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A6C" w:rsidRPr="00CD4A6C" w:rsidRDefault="00F65572" w:rsidP="00CD4A6C">
      <w:pPr>
        <w:spacing w:after="200" w:line="276" w:lineRule="auto"/>
        <w:jc w:val="both"/>
        <w:rPr>
          <w:rFonts w:ascii="Arial" w:eastAsia="Times New Roman" w:hAnsi="Arial" w:cs="Arial"/>
          <w:sz w:val="22"/>
          <w:szCs w:val="22"/>
          <w:lang w:eastAsia="en-US"/>
        </w:rPr>
      </w:pPr>
      <w:r>
        <w:rPr>
          <w:rFonts w:ascii="Arial" w:eastAsia="Times New Roman" w:hAnsi="Arial" w:cs="Arial"/>
          <w:sz w:val="22"/>
          <w:szCs w:val="22"/>
          <w:lang w:eastAsia="en-US"/>
        </w:rPr>
        <w:t>Valsts zemes dienesta (turpmāk – Dienests) informē:</w:t>
      </w:r>
      <w:r w:rsidR="00CD4A6C" w:rsidRPr="00CD4A6C">
        <w:rPr>
          <w:rFonts w:ascii="Arial" w:eastAsia="Times New Roman" w:hAnsi="Arial" w:cs="Arial"/>
          <w:sz w:val="22"/>
          <w:szCs w:val="22"/>
          <w:lang w:eastAsia="en-US"/>
        </w:rPr>
        <w:t xml:space="preserve"> </w:t>
      </w:r>
    </w:p>
    <w:p w:rsidR="00CD4A6C" w:rsidRPr="00CD4A6C" w:rsidRDefault="00CD4A6C" w:rsidP="00CD4A6C">
      <w:pPr>
        <w:spacing w:after="200" w:line="276" w:lineRule="auto"/>
        <w:ind w:firstLine="360"/>
        <w:jc w:val="both"/>
        <w:rPr>
          <w:rFonts w:ascii="Arial" w:eastAsia="Times New Roman" w:hAnsi="Arial" w:cs="Arial"/>
          <w:i/>
          <w:iCs/>
          <w:sz w:val="22"/>
          <w:szCs w:val="22"/>
          <w:lang w:eastAsia="en-US"/>
        </w:rPr>
      </w:pPr>
      <w:r w:rsidRPr="00CD4A6C">
        <w:rPr>
          <w:rFonts w:ascii="Arial" w:eastAsia="Times New Roman" w:hAnsi="Arial" w:cs="Arial"/>
          <w:i/>
          <w:iCs/>
          <w:sz w:val="22"/>
          <w:szCs w:val="22"/>
          <w:lang w:eastAsia="en-US"/>
        </w:rPr>
        <w:t xml:space="preserve">“Ņemot vērā, ka praksē maksātnespējas procesa administratori Dienestā pieprasa arhīva materiālus, vēršam uzmanību, ka turpmāk Dienesta arhīva materiālu pieprasīšana/saņemšana tiek nodrošināta datu publicēšanas un e-pakalpojumu portālā </w:t>
      </w:r>
      <w:hyperlink r:id="rId6" w:history="1">
        <w:r w:rsidRPr="00CD4A6C">
          <w:rPr>
            <w:rFonts w:ascii="Arial" w:eastAsia="Times New Roman" w:hAnsi="Arial" w:cs="Arial"/>
            <w:i/>
            <w:iCs/>
            <w:sz w:val="22"/>
            <w:szCs w:val="22"/>
            <w:u w:val="single"/>
            <w:lang w:eastAsia="en-US"/>
          </w:rPr>
          <w:t>www.kadastrs.lv</w:t>
        </w:r>
      </w:hyperlink>
      <w:r w:rsidRPr="00CD4A6C">
        <w:rPr>
          <w:rFonts w:ascii="Arial" w:eastAsia="Times New Roman" w:hAnsi="Arial" w:cs="Arial"/>
          <w:i/>
          <w:iCs/>
          <w:sz w:val="22"/>
          <w:szCs w:val="22"/>
          <w:lang w:eastAsia="en-US"/>
        </w:rPr>
        <w:t xml:space="preserve"> (turpmāk – Portāls) un,  saskaņā ar Ministru kabineta 2015. gada 22. decembra noteikumu Nr. 787 "Valsts zemes dienesta maksas pakalpojumu cenrādis un samaksas kārtība" (turpmāk – Cenrādis) 6.punktu, Dienests gadījumos, kad arhīva materiālus pieprasīs savādāk, t.i., elektroniska dokumenta veidā, pa pastu vai klātienē, par pakalpojumu piemēros papildus samaksu atbilstoši Cenrāža pielikuma 40.punktam – EUR 4.30.</w:t>
      </w:r>
    </w:p>
    <w:p w:rsidR="00CD4A6C" w:rsidRPr="00CD4A6C" w:rsidRDefault="00CD4A6C" w:rsidP="00CD4A6C">
      <w:pPr>
        <w:spacing w:after="200" w:line="276" w:lineRule="auto"/>
        <w:ind w:firstLine="360"/>
        <w:jc w:val="both"/>
        <w:rPr>
          <w:rFonts w:ascii="Arial" w:eastAsia="Times New Roman" w:hAnsi="Arial" w:cs="Arial"/>
          <w:b/>
          <w:bCs/>
          <w:i/>
          <w:iCs/>
          <w:sz w:val="22"/>
          <w:szCs w:val="22"/>
          <w:lang w:eastAsia="en-US"/>
        </w:rPr>
      </w:pPr>
      <w:r w:rsidRPr="00CD4A6C">
        <w:rPr>
          <w:rFonts w:ascii="Arial" w:eastAsia="Times New Roman" w:hAnsi="Arial" w:cs="Arial"/>
          <w:i/>
          <w:iCs/>
          <w:sz w:val="22"/>
          <w:szCs w:val="22"/>
          <w:lang w:eastAsia="en-US"/>
        </w:rPr>
        <w:t xml:space="preserve">Lai arī arhīva materiālu pieprasīšanu un saņemšanu Portālā var veikt jau šobrīd, Dienests, izprotot, ka prakses maiņai nepieciešams pārejas periods, nosaka, ka Cenrāža 6.punktu un tā pielikuma 40.punktā noteikto maksu par elektroniska pakalpojuma pasūtīšanu vai saņemšanu, uzsāks piemērot ar </w:t>
      </w:r>
      <w:r w:rsidRPr="00CD4A6C">
        <w:rPr>
          <w:rFonts w:ascii="Arial" w:eastAsia="Times New Roman" w:hAnsi="Arial" w:cs="Arial"/>
          <w:b/>
          <w:bCs/>
          <w:i/>
          <w:iCs/>
          <w:sz w:val="22"/>
          <w:szCs w:val="22"/>
          <w:lang w:eastAsia="en-US"/>
        </w:rPr>
        <w:t>2016.gada 1.septembri.</w:t>
      </w:r>
    </w:p>
    <w:p w:rsidR="00CD4A6C" w:rsidRPr="00CD4A6C" w:rsidRDefault="00CD4A6C" w:rsidP="00CD4A6C">
      <w:pPr>
        <w:spacing w:after="200" w:line="276" w:lineRule="auto"/>
        <w:ind w:firstLine="360"/>
        <w:jc w:val="both"/>
        <w:rPr>
          <w:rFonts w:ascii="Arial" w:eastAsia="Times New Roman" w:hAnsi="Arial" w:cs="Arial"/>
          <w:i/>
          <w:iCs/>
          <w:sz w:val="22"/>
          <w:szCs w:val="22"/>
          <w:lang w:eastAsia="en-US"/>
        </w:rPr>
      </w:pPr>
      <w:r w:rsidRPr="00CD4A6C">
        <w:rPr>
          <w:rFonts w:ascii="Arial" w:eastAsia="Times New Roman" w:hAnsi="Arial" w:cs="Arial"/>
          <w:i/>
          <w:iCs/>
          <w:sz w:val="22"/>
          <w:szCs w:val="22"/>
          <w:lang w:eastAsia="en-US"/>
        </w:rPr>
        <w:t xml:space="preserve">E-pakalpojumu “Arhīva materiāli” Portālā var pieprasīt persona, kas autentificējusies izmantojot Vienotā valsts un pašvaldību pakalpojumu portāla </w:t>
      </w:r>
      <w:hyperlink r:id="rId7" w:history="1">
        <w:r w:rsidRPr="00CD4A6C">
          <w:rPr>
            <w:rFonts w:ascii="Arial" w:eastAsia="Times New Roman" w:hAnsi="Arial" w:cs="Arial"/>
            <w:i/>
            <w:iCs/>
            <w:sz w:val="22"/>
            <w:szCs w:val="22"/>
            <w:u w:val="single"/>
            <w:lang w:eastAsia="en-US"/>
          </w:rPr>
          <w:t>www.latvija.lv</w:t>
        </w:r>
      </w:hyperlink>
      <w:r w:rsidRPr="00CD4A6C">
        <w:rPr>
          <w:rFonts w:ascii="Arial" w:eastAsia="Times New Roman" w:hAnsi="Arial" w:cs="Arial"/>
          <w:i/>
          <w:iCs/>
          <w:sz w:val="22"/>
          <w:szCs w:val="22"/>
          <w:lang w:eastAsia="en-US"/>
        </w:rPr>
        <w:t xml:space="preserve"> komponenti “Vienotā pieteikšanās”. Pielikumā īsa instrukcija par pieslēgšanos pakalpojumam. Informācija par e-pakalpojumu pieejama Dienesta tīmekļa vietnē </w:t>
      </w:r>
      <w:hyperlink r:id="rId8" w:history="1">
        <w:r w:rsidRPr="00CD4A6C">
          <w:rPr>
            <w:rFonts w:ascii="Arial" w:eastAsia="Times New Roman" w:hAnsi="Arial" w:cs="Arial"/>
            <w:i/>
            <w:iCs/>
            <w:sz w:val="22"/>
            <w:szCs w:val="22"/>
            <w:u w:val="single"/>
            <w:lang w:eastAsia="en-US"/>
          </w:rPr>
          <w:t>www.vzd.gov.lv</w:t>
        </w:r>
      </w:hyperlink>
      <w:r w:rsidRPr="00CD4A6C">
        <w:rPr>
          <w:rFonts w:ascii="Arial" w:eastAsia="Times New Roman" w:hAnsi="Arial" w:cs="Arial"/>
          <w:i/>
          <w:iCs/>
          <w:sz w:val="22"/>
          <w:szCs w:val="22"/>
          <w:lang w:eastAsia="en-US"/>
        </w:rPr>
        <w:t xml:space="preserve">, bet plašāka informācija par tā lietojamību, t.sk., </w:t>
      </w:r>
      <w:proofErr w:type="spellStart"/>
      <w:r w:rsidRPr="00CD4A6C">
        <w:rPr>
          <w:rFonts w:ascii="Arial" w:eastAsia="Times New Roman" w:hAnsi="Arial" w:cs="Arial"/>
          <w:i/>
          <w:iCs/>
          <w:sz w:val="22"/>
          <w:szCs w:val="22"/>
          <w:lang w:eastAsia="en-US"/>
        </w:rPr>
        <w:t>videopamācība</w:t>
      </w:r>
      <w:proofErr w:type="spellEnd"/>
      <w:r w:rsidRPr="00CD4A6C">
        <w:rPr>
          <w:rFonts w:ascii="Arial" w:eastAsia="Times New Roman" w:hAnsi="Arial" w:cs="Arial"/>
          <w:i/>
          <w:iCs/>
          <w:sz w:val="22"/>
          <w:szCs w:val="22"/>
          <w:lang w:eastAsia="en-US"/>
        </w:rPr>
        <w:t xml:space="preserve"> tiks ievietota nākamās nedēļas laikā.”</w:t>
      </w:r>
    </w:p>
    <w:p w:rsidR="00CD4A6C" w:rsidRDefault="00CD4A6C" w:rsidP="003C3C79">
      <w:pPr>
        <w:spacing w:before="100" w:beforeAutospacing="1" w:after="100" w:afterAutospacing="1"/>
        <w:ind w:left="1080"/>
        <w:rPr>
          <w:rFonts w:ascii="Arial" w:hAnsi="Arial" w:cs="Arial"/>
          <w:sz w:val="22"/>
          <w:szCs w:val="22"/>
          <w:u w:val="single"/>
        </w:rPr>
      </w:pPr>
    </w:p>
    <w:p w:rsidR="00CD4A6C" w:rsidRDefault="00CD4A6C" w:rsidP="003C3C79">
      <w:pPr>
        <w:spacing w:before="100" w:beforeAutospacing="1" w:after="100" w:afterAutospacing="1"/>
        <w:ind w:left="1080"/>
        <w:rPr>
          <w:rFonts w:ascii="Arial" w:hAnsi="Arial" w:cs="Arial"/>
          <w:sz w:val="22"/>
          <w:szCs w:val="22"/>
          <w:u w:val="single"/>
        </w:rPr>
      </w:pPr>
    </w:p>
    <w:p w:rsidR="00CD4A6C" w:rsidRDefault="00CD4A6C" w:rsidP="003C3C79">
      <w:pPr>
        <w:spacing w:before="100" w:beforeAutospacing="1" w:after="100" w:afterAutospacing="1"/>
        <w:ind w:left="1080"/>
        <w:rPr>
          <w:rFonts w:ascii="Arial" w:hAnsi="Arial" w:cs="Arial"/>
          <w:sz w:val="22"/>
          <w:szCs w:val="22"/>
          <w:u w:val="single"/>
        </w:rPr>
      </w:pPr>
    </w:p>
    <w:p w:rsidR="00CD4A6C" w:rsidRDefault="00CD4A6C" w:rsidP="003C3C79">
      <w:pPr>
        <w:spacing w:before="100" w:beforeAutospacing="1" w:after="100" w:afterAutospacing="1"/>
        <w:ind w:left="1080"/>
        <w:rPr>
          <w:rFonts w:ascii="Arial" w:hAnsi="Arial" w:cs="Arial"/>
          <w:sz w:val="22"/>
          <w:szCs w:val="22"/>
          <w:u w:val="single"/>
        </w:rPr>
      </w:pPr>
    </w:p>
    <w:p w:rsidR="00CD4A6C" w:rsidRDefault="00CD4A6C" w:rsidP="003C3C79">
      <w:pPr>
        <w:spacing w:before="100" w:beforeAutospacing="1" w:after="100" w:afterAutospacing="1"/>
        <w:ind w:left="1080"/>
        <w:rPr>
          <w:rFonts w:ascii="Arial" w:hAnsi="Arial" w:cs="Arial"/>
          <w:sz w:val="22"/>
          <w:szCs w:val="22"/>
          <w:u w:val="single"/>
        </w:rPr>
      </w:pPr>
    </w:p>
    <w:p w:rsidR="00CD4A6C" w:rsidRDefault="00CD4A6C" w:rsidP="003C3C79">
      <w:pPr>
        <w:spacing w:before="100" w:beforeAutospacing="1" w:after="100" w:afterAutospacing="1"/>
        <w:ind w:left="1080"/>
        <w:rPr>
          <w:rFonts w:ascii="Arial" w:hAnsi="Arial" w:cs="Arial"/>
          <w:sz w:val="22"/>
          <w:szCs w:val="22"/>
          <w:u w:val="single"/>
        </w:rPr>
      </w:pPr>
    </w:p>
    <w:p w:rsidR="00CD4A6C" w:rsidRDefault="00CD4A6C" w:rsidP="003C3C79">
      <w:pPr>
        <w:spacing w:before="100" w:beforeAutospacing="1" w:after="100" w:afterAutospacing="1"/>
        <w:ind w:left="1080"/>
        <w:rPr>
          <w:rFonts w:ascii="Arial" w:hAnsi="Arial" w:cs="Arial"/>
          <w:sz w:val="22"/>
          <w:szCs w:val="22"/>
          <w:u w:val="single"/>
        </w:rPr>
      </w:pPr>
    </w:p>
    <w:p w:rsidR="00CD4A6C" w:rsidRDefault="00CD4A6C" w:rsidP="003C3C79">
      <w:pPr>
        <w:spacing w:before="100" w:beforeAutospacing="1" w:after="100" w:afterAutospacing="1"/>
        <w:ind w:left="1080"/>
        <w:rPr>
          <w:rFonts w:ascii="Arial" w:hAnsi="Arial" w:cs="Arial"/>
          <w:sz w:val="22"/>
          <w:szCs w:val="22"/>
          <w:u w:val="single"/>
        </w:rPr>
      </w:pPr>
    </w:p>
    <w:p w:rsidR="00E6396A" w:rsidRDefault="00E6396A" w:rsidP="003C3C79">
      <w:pPr>
        <w:spacing w:before="100" w:beforeAutospacing="1" w:after="100" w:afterAutospacing="1"/>
        <w:ind w:left="1080"/>
        <w:rPr>
          <w:rFonts w:ascii="Arial" w:hAnsi="Arial" w:cs="Arial"/>
          <w:sz w:val="22"/>
          <w:szCs w:val="22"/>
          <w:u w:val="single"/>
        </w:rPr>
      </w:pPr>
    </w:p>
    <w:p w:rsidR="00E6396A" w:rsidRDefault="00E6396A" w:rsidP="003C3C79">
      <w:pPr>
        <w:spacing w:before="100" w:beforeAutospacing="1" w:after="100" w:afterAutospacing="1"/>
        <w:ind w:left="1080"/>
        <w:rPr>
          <w:rFonts w:ascii="Arial" w:hAnsi="Arial" w:cs="Arial"/>
          <w:sz w:val="22"/>
          <w:szCs w:val="22"/>
          <w:u w:val="single"/>
        </w:rPr>
      </w:pPr>
      <w:bookmarkStart w:id="0" w:name="_GoBack"/>
      <w:bookmarkEnd w:id="0"/>
    </w:p>
    <w:p w:rsidR="00CD4A6C" w:rsidRDefault="00CD4A6C" w:rsidP="003C3C79">
      <w:pPr>
        <w:spacing w:before="100" w:beforeAutospacing="1" w:after="100" w:afterAutospacing="1"/>
        <w:ind w:left="1080"/>
        <w:rPr>
          <w:rFonts w:ascii="Arial" w:hAnsi="Arial" w:cs="Arial"/>
          <w:sz w:val="22"/>
          <w:szCs w:val="22"/>
          <w:u w:val="single"/>
        </w:rPr>
      </w:pPr>
    </w:p>
    <w:p w:rsidR="00CD4A6C" w:rsidRDefault="00CD4A6C" w:rsidP="003C3C79">
      <w:pPr>
        <w:spacing w:before="100" w:beforeAutospacing="1" w:after="100" w:afterAutospacing="1"/>
        <w:ind w:left="1080"/>
        <w:rPr>
          <w:rFonts w:ascii="Arial" w:hAnsi="Arial" w:cs="Arial"/>
          <w:sz w:val="22"/>
          <w:szCs w:val="22"/>
          <w:u w:val="single"/>
        </w:rPr>
      </w:pPr>
    </w:p>
    <w:p w:rsidR="00CD4A6C" w:rsidRDefault="00CD4A6C" w:rsidP="003C3C79">
      <w:pPr>
        <w:spacing w:before="100" w:beforeAutospacing="1" w:after="100" w:afterAutospacing="1"/>
        <w:ind w:left="1080"/>
        <w:rPr>
          <w:rFonts w:ascii="Arial" w:hAnsi="Arial" w:cs="Arial"/>
          <w:sz w:val="22"/>
          <w:szCs w:val="22"/>
          <w:u w:val="single"/>
        </w:rPr>
      </w:pPr>
    </w:p>
    <w:p w:rsidR="00CD4A6C" w:rsidRDefault="00CD4A6C" w:rsidP="003C3C79">
      <w:pPr>
        <w:spacing w:before="100" w:beforeAutospacing="1" w:after="100" w:afterAutospacing="1"/>
        <w:ind w:left="1080"/>
        <w:rPr>
          <w:rFonts w:ascii="Arial" w:hAnsi="Arial" w:cs="Arial"/>
          <w:sz w:val="22"/>
          <w:szCs w:val="22"/>
          <w:u w:val="single"/>
        </w:rPr>
      </w:pPr>
    </w:p>
    <w:p w:rsidR="003C3C79" w:rsidRPr="003C3C79" w:rsidRDefault="003C3C79" w:rsidP="003C3C79">
      <w:pPr>
        <w:spacing w:before="100" w:beforeAutospacing="1" w:after="100" w:afterAutospacing="1"/>
        <w:ind w:left="1080"/>
        <w:rPr>
          <w:rFonts w:ascii="Arial" w:hAnsi="Arial" w:cs="Arial"/>
          <w:sz w:val="22"/>
          <w:szCs w:val="22"/>
          <w:u w:val="single"/>
        </w:rPr>
      </w:pPr>
      <w:r w:rsidRPr="003C3C79">
        <w:rPr>
          <w:rFonts w:ascii="Arial" w:hAnsi="Arial" w:cs="Arial"/>
          <w:sz w:val="22"/>
          <w:szCs w:val="22"/>
          <w:u w:val="single"/>
        </w:rPr>
        <w:t>Pieslēgšanās pakalpojumam</w:t>
      </w:r>
      <w:proofErr w:type="gramStart"/>
      <w:r w:rsidRPr="003C3C79">
        <w:rPr>
          <w:rFonts w:ascii="Arial" w:hAnsi="Arial" w:cs="Arial"/>
          <w:sz w:val="22"/>
          <w:szCs w:val="22"/>
          <w:u w:val="single"/>
        </w:rPr>
        <w:t xml:space="preserve">  </w:t>
      </w:r>
      <w:proofErr w:type="gramEnd"/>
      <w:r w:rsidRPr="003C3C79">
        <w:rPr>
          <w:rFonts w:ascii="Arial" w:hAnsi="Arial" w:cs="Arial"/>
          <w:sz w:val="22"/>
          <w:szCs w:val="22"/>
          <w:u w:val="single"/>
        </w:rPr>
        <w:t>“Arhīva materiāli”</w:t>
      </w:r>
    </w:p>
    <w:p w:rsidR="003C3C79" w:rsidRDefault="003C3C79" w:rsidP="003C3C79">
      <w:pPr>
        <w:pStyle w:val="ListParagraph"/>
        <w:numPr>
          <w:ilvl w:val="0"/>
          <w:numId w:val="1"/>
        </w:numPr>
        <w:spacing w:before="100" w:beforeAutospacing="1" w:after="100" w:afterAutospacing="1"/>
      </w:pPr>
      <w:r w:rsidRPr="003C3C79">
        <w:t xml:space="preserve">tīmekļa vietnē </w:t>
      </w:r>
      <w:hyperlink r:id="rId9" w:tgtFrame="_blank" w:history="1">
        <w:r w:rsidRPr="003C3C79">
          <w:t>www.kadastrs.lv</w:t>
        </w:r>
      </w:hyperlink>
      <w:r w:rsidRPr="003C3C79">
        <w:t xml:space="preserve"> </w:t>
      </w:r>
      <w:r>
        <w:t xml:space="preserve">(turpmāk – Portāls) </w:t>
      </w:r>
      <w:r w:rsidRPr="003C3C79">
        <w:t xml:space="preserve">aktivizē izvēlni </w:t>
      </w:r>
      <w:proofErr w:type="spellStart"/>
      <w:r w:rsidRPr="003C3C79">
        <w:t>Latvija.lv</w:t>
      </w:r>
      <w:proofErr w:type="spellEnd"/>
      <w:r w:rsidRPr="003C3C79">
        <w:t xml:space="preserve">: </w:t>
      </w:r>
    </w:p>
    <w:p w:rsidR="003C3C79" w:rsidRDefault="003C3C79" w:rsidP="003C3C79">
      <w:pPr>
        <w:spacing w:before="100" w:beforeAutospacing="1" w:after="100" w:afterAutospacing="1"/>
        <w:ind w:left="1080"/>
      </w:pPr>
      <w:r>
        <w:rPr>
          <w:rFonts w:ascii="Arial" w:hAnsi="Arial" w:cs="Arial"/>
          <w:noProof/>
          <w:sz w:val="22"/>
          <w:szCs w:val="22"/>
        </w:rPr>
        <w:drawing>
          <wp:inline distT="0" distB="0" distL="0" distR="0">
            <wp:extent cx="2256155" cy="3918585"/>
            <wp:effectExtent l="0" t="0" r="0" b="5715"/>
            <wp:docPr id="5" name="Attēls 5" descr="cid:image004.jpg@01D180F2.2BF54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180F2.2BF543F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256155" cy="3918585"/>
                    </a:xfrm>
                    <a:prstGeom prst="rect">
                      <a:avLst/>
                    </a:prstGeom>
                    <a:noFill/>
                    <a:ln>
                      <a:noFill/>
                    </a:ln>
                  </pic:spPr>
                </pic:pic>
              </a:graphicData>
            </a:graphic>
          </wp:inline>
        </w:drawing>
      </w:r>
    </w:p>
    <w:p w:rsidR="003C3C79" w:rsidRDefault="003C3C79" w:rsidP="003C3C79">
      <w:pPr>
        <w:spacing w:before="100" w:beforeAutospacing="1" w:after="100" w:afterAutospacing="1"/>
        <w:ind w:left="360" w:firstLine="720"/>
      </w:pPr>
      <w:r w:rsidRPr="003C3C79">
        <w:t xml:space="preserve">un izmanto kādu no </w:t>
      </w:r>
      <w:proofErr w:type="spellStart"/>
      <w:r w:rsidRPr="003C3C79">
        <w:t>Latvija.lv</w:t>
      </w:r>
      <w:proofErr w:type="spellEnd"/>
      <w:r w:rsidRPr="003C3C79">
        <w:t xml:space="preserve"> autentifikācijas rīkiem:</w:t>
      </w:r>
    </w:p>
    <w:p w:rsidR="003C3C79" w:rsidRDefault="003C3C79" w:rsidP="003C3C79">
      <w:pPr>
        <w:spacing w:before="100" w:beforeAutospacing="1" w:after="100" w:afterAutospacing="1"/>
        <w:ind w:left="1080"/>
      </w:pPr>
      <w:r>
        <w:rPr>
          <w:rFonts w:ascii="Arial" w:hAnsi="Arial" w:cs="Arial"/>
          <w:noProof/>
          <w:sz w:val="22"/>
          <w:szCs w:val="22"/>
        </w:rPr>
        <w:drawing>
          <wp:inline distT="0" distB="0" distL="0" distR="0">
            <wp:extent cx="4382135" cy="1092835"/>
            <wp:effectExtent l="0" t="0" r="0" b="0"/>
            <wp:docPr id="4" name="Attēls 4" descr="cid:image002.png@01D17613.4C053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17613.4C05318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382135" cy="1092835"/>
                    </a:xfrm>
                    <a:prstGeom prst="rect">
                      <a:avLst/>
                    </a:prstGeom>
                    <a:noFill/>
                    <a:ln>
                      <a:noFill/>
                    </a:ln>
                  </pic:spPr>
                </pic:pic>
              </a:graphicData>
            </a:graphic>
          </wp:inline>
        </w:drawing>
      </w:r>
    </w:p>
    <w:p w:rsidR="003C3C79" w:rsidRDefault="003C3C79" w:rsidP="003C3C79">
      <w:pPr>
        <w:pStyle w:val="ListParagraph"/>
        <w:numPr>
          <w:ilvl w:val="0"/>
          <w:numId w:val="1"/>
        </w:numPr>
        <w:spacing w:before="100" w:beforeAutospacing="1" w:after="100" w:afterAutospacing="1"/>
      </w:pPr>
      <w:r>
        <w:t>Pēc autentifikācijas, atgriežoties Portālā, izvēlas sadaļas “Elektroniskie pakalpojumi” apakšsadaļu “Portālā”:</w:t>
      </w:r>
    </w:p>
    <w:p w:rsidR="003C3C79" w:rsidRPr="003C3C79" w:rsidRDefault="003C3C79" w:rsidP="003C3C79">
      <w:pPr>
        <w:pStyle w:val="ListParagraph"/>
        <w:spacing w:before="100" w:beforeAutospacing="1" w:after="100" w:afterAutospacing="1"/>
        <w:ind w:left="1440"/>
      </w:pPr>
      <w:r w:rsidRPr="003C3C79">
        <w:rPr>
          <w:noProof/>
        </w:rPr>
        <w:drawing>
          <wp:inline distT="0" distB="0" distL="0" distR="0" wp14:anchorId="277FE68E" wp14:editId="70BCAA07">
            <wp:extent cx="2280285" cy="688975"/>
            <wp:effectExtent l="0" t="0" r="5715" b="0"/>
            <wp:docPr id="2" name="Attēls 2" descr="cid:image006.png@01D1A46A.38B26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6.png@01D1A46A.38B268C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280285" cy="688975"/>
                    </a:xfrm>
                    <a:prstGeom prst="rect">
                      <a:avLst/>
                    </a:prstGeom>
                    <a:noFill/>
                    <a:ln>
                      <a:noFill/>
                    </a:ln>
                  </pic:spPr>
                </pic:pic>
              </a:graphicData>
            </a:graphic>
          </wp:inline>
        </w:drawing>
      </w:r>
      <w:r w:rsidRPr="003C3C79">
        <w:t> </w:t>
      </w:r>
    </w:p>
    <w:p w:rsidR="003C3C79" w:rsidRPr="003C3C79" w:rsidRDefault="003C3C79" w:rsidP="003C3C79">
      <w:pPr>
        <w:pStyle w:val="ListParagraph"/>
        <w:spacing w:before="100" w:beforeAutospacing="1" w:after="100" w:afterAutospacing="1"/>
        <w:ind w:left="1440"/>
      </w:pPr>
      <w:r w:rsidRPr="003C3C79">
        <w:t>un attiecīgo pakalpojumu “Arhīva materiāli”:</w:t>
      </w:r>
      <w:r w:rsidRPr="003C3C79">
        <w:rPr>
          <w:noProof/>
        </w:rPr>
        <w:drawing>
          <wp:inline distT="0" distB="0" distL="0" distR="0" wp14:anchorId="385001DF" wp14:editId="7064A2E6">
            <wp:extent cx="4974336" cy="587030"/>
            <wp:effectExtent l="0" t="0" r="0" b="3810"/>
            <wp:docPr id="1" name="Attēls 1" descr="cid:image007.png@01D1A46A.38B26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7.png@01D1A46A.38B268C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975063" cy="587116"/>
                    </a:xfrm>
                    <a:prstGeom prst="rect">
                      <a:avLst/>
                    </a:prstGeom>
                    <a:noFill/>
                    <a:ln>
                      <a:noFill/>
                    </a:ln>
                  </pic:spPr>
                </pic:pic>
              </a:graphicData>
            </a:graphic>
          </wp:inline>
        </w:drawing>
      </w:r>
    </w:p>
    <w:p w:rsidR="00BF6193" w:rsidRDefault="00BF6193"/>
    <w:sectPr w:rsidR="00BF61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364C7"/>
    <w:multiLevelType w:val="hybridMultilevel"/>
    <w:tmpl w:val="45380CA2"/>
    <w:lvl w:ilvl="0" w:tplc="E83622E6">
      <w:start w:val="2"/>
      <w:numFmt w:val="bullet"/>
      <w:lvlText w:val=""/>
      <w:lvlJc w:val="left"/>
      <w:pPr>
        <w:ind w:left="720" w:hanging="360"/>
      </w:pPr>
      <w:rPr>
        <w:rFonts w:ascii="Symbol" w:eastAsiaTheme="minorHAnsi" w:hAnsi="Symbol" w:cs="Arial" w:hint="default"/>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57B75C34"/>
    <w:multiLevelType w:val="hybridMultilevel"/>
    <w:tmpl w:val="10CA988C"/>
    <w:lvl w:ilvl="0" w:tplc="DFD8F57A">
      <w:start w:val="1"/>
      <w:numFmt w:val="decimal"/>
      <w:lvlText w:val="%1)"/>
      <w:lvlJc w:val="left"/>
      <w:pPr>
        <w:ind w:left="1440" w:hanging="360"/>
      </w:pPr>
      <w:rPr>
        <w:rFonts w:ascii="Arial" w:hAnsi="Arial" w:cs="Arial" w:hint="default"/>
        <w:sz w:val="22"/>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C79"/>
    <w:rsid w:val="003C3C79"/>
    <w:rsid w:val="00755C37"/>
    <w:rsid w:val="009A3B03"/>
    <w:rsid w:val="00BF6193"/>
    <w:rsid w:val="00CD4A6C"/>
    <w:rsid w:val="00E6396A"/>
    <w:rsid w:val="00E93A05"/>
    <w:rsid w:val="00EC3491"/>
    <w:rsid w:val="00F655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C79"/>
    <w:pPr>
      <w:spacing w:after="0" w:line="240" w:lineRule="auto"/>
    </w:pPr>
    <w:rPr>
      <w:rFonts w:ascii="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3C79"/>
    <w:rPr>
      <w:color w:val="0000FF"/>
      <w:u w:val="single"/>
    </w:rPr>
  </w:style>
  <w:style w:type="paragraph" w:styleId="BalloonText">
    <w:name w:val="Balloon Text"/>
    <w:basedOn w:val="Normal"/>
    <w:link w:val="BalloonTextChar"/>
    <w:uiPriority w:val="99"/>
    <w:semiHidden/>
    <w:unhideWhenUsed/>
    <w:rsid w:val="003C3C79"/>
    <w:rPr>
      <w:rFonts w:ascii="Tahoma" w:hAnsi="Tahoma" w:cs="Tahoma"/>
      <w:sz w:val="16"/>
      <w:szCs w:val="16"/>
    </w:rPr>
  </w:style>
  <w:style w:type="character" w:customStyle="1" w:styleId="BalloonTextChar">
    <w:name w:val="Balloon Text Char"/>
    <w:basedOn w:val="DefaultParagraphFont"/>
    <w:link w:val="BalloonText"/>
    <w:uiPriority w:val="99"/>
    <w:semiHidden/>
    <w:rsid w:val="003C3C79"/>
    <w:rPr>
      <w:rFonts w:ascii="Tahoma" w:hAnsi="Tahoma" w:cs="Tahoma"/>
      <w:sz w:val="16"/>
      <w:szCs w:val="16"/>
      <w:lang w:eastAsia="lv-LV"/>
    </w:rPr>
  </w:style>
  <w:style w:type="paragraph" w:styleId="ListParagraph">
    <w:name w:val="List Paragraph"/>
    <w:basedOn w:val="Normal"/>
    <w:uiPriority w:val="34"/>
    <w:qFormat/>
    <w:rsid w:val="003C3C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C79"/>
    <w:pPr>
      <w:spacing w:after="0" w:line="240" w:lineRule="auto"/>
    </w:pPr>
    <w:rPr>
      <w:rFonts w:ascii="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3C79"/>
    <w:rPr>
      <w:color w:val="0000FF"/>
      <w:u w:val="single"/>
    </w:rPr>
  </w:style>
  <w:style w:type="paragraph" w:styleId="BalloonText">
    <w:name w:val="Balloon Text"/>
    <w:basedOn w:val="Normal"/>
    <w:link w:val="BalloonTextChar"/>
    <w:uiPriority w:val="99"/>
    <w:semiHidden/>
    <w:unhideWhenUsed/>
    <w:rsid w:val="003C3C79"/>
    <w:rPr>
      <w:rFonts w:ascii="Tahoma" w:hAnsi="Tahoma" w:cs="Tahoma"/>
      <w:sz w:val="16"/>
      <w:szCs w:val="16"/>
    </w:rPr>
  </w:style>
  <w:style w:type="character" w:customStyle="1" w:styleId="BalloonTextChar">
    <w:name w:val="Balloon Text Char"/>
    <w:basedOn w:val="DefaultParagraphFont"/>
    <w:link w:val="BalloonText"/>
    <w:uiPriority w:val="99"/>
    <w:semiHidden/>
    <w:rsid w:val="003C3C79"/>
    <w:rPr>
      <w:rFonts w:ascii="Tahoma" w:hAnsi="Tahoma" w:cs="Tahoma"/>
      <w:sz w:val="16"/>
      <w:szCs w:val="16"/>
      <w:lang w:eastAsia="lv-LV"/>
    </w:rPr>
  </w:style>
  <w:style w:type="paragraph" w:styleId="ListParagraph">
    <w:name w:val="List Paragraph"/>
    <w:basedOn w:val="Normal"/>
    <w:uiPriority w:val="34"/>
    <w:qFormat/>
    <w:rsid w:val="003C3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502303">
      <w:bodyDiv w:val="1"/>
      <w:marLeft w:val="0"/>
      <w:marRight w:val="0"/>
      <w:marTop w:val="0"/>
      <w:marBottom w:val="0"/>
      <w:divBdr>
        <w:top w:val="none" w:sz="0" w:space="0" w:color="auto"/>
        <w:left w:val="none" w:sz="0" w:space="0" w:color="auto"/>
        <w:bottom w:val="none" w:sz="0" w:space="0" w:color="auto"/>
        <w:right w:val="none" w:sz="0" w:space="0" w:color="auto"/>
      </w:divBdr>
    </w:div>
    <w:div w:id="21375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zd.gov.lv" TargetMode="External"/><Relationship Id="rId13" Type="http://schemas.openxmlformats.org/officeDocument/2006/relationships/image" Target="cid:image003.png@01D1E9B0.728ACCF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atvija.lv" TargetMode="External"/><Relationship Id="rId12" Type="http://schemas.openxmlformats.org/officeDocument/2006/relationships/image" Target="media/image2.png"/><Relationship Id="rId17" Type="http://schemas.openxmlformats.org/officeDocument/2006/relationships/image" Target="cid:image006.png@01D1E9B0.728ACCF0" TargetMode="Externa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www.kadastrs.lv" TargetMode="External"/><Relationship Id="rId11" Type="http://schemas.openxmlformats.org/officeDocument/2006/relationships/image" Target="cid:image002.jpg@01D1E9B0.728ACCF0" TargetMode="External"/><Relationship Id="rId5" Type="http://schemas.openxmlformats.org/officeDocument/2006/relationships/webSettings" Target="webSettings.xml"/><Relationship Id="rId15" Type="http://schemas.openxmlformats.org/officeDocument/2006/relationships/image" Target="cid:image005.png@01D1E9B0.728ACCF0"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adastrs.lv" TargetMode="External"/><Relationship Id="rId14" Type="http://schemas.openxmlformats.org/officeDocument/2006/relationships/image" Target="media/image3.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1270</Words>
  <Characters>725</Characters>
  <Application>Microsoft Office Word</Application>
  <DocSecurity>0</DocSecurity>
  <Lines>6</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Mirdza</dc:creator>
  <cp:lastModifiedBy>User</cp:lastModifiedBy>
  <cp:revision>6</cp:revision>
  <dcterms:created xsi:type="dcterms:W3CDTF">2016-08-08T12:30:00Z</dcterms:created>
  <dcterms:modified xsi:type="dcterms:W3CDTF">2016-08-08T12:58:00Z</dcterms:modified>
</cp:coreProperties>
</file>