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jpeg" ContentType="image/jpeg"/>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3"/>
        <w:jc w:val="left"/>
        <w:rPr>
          <w:sz w:val="17"/>
        </w:rPr>
      </w:pPr>
    </w:p>
    <w:p>
      <w:pPr>
        <w:spacing w:before="101"/>
        <w:ind w:left="1332" w:right="1116" w:firstLine="0"/>
        <w:jc w:val="center"/>
        <w:rPr>
          <w:rFonts w:ascii="Century Gothic" w:hAnsi="Century Gothic"/>
          <w:b/>
          <w:sz w:val="40"/>
        </w:rPr>
      </w:pPr>
      <w:r>
        <w:rPr>
          <w:rFonts w:ascii="Century Gothic" w:hAnsi="Century Gothic"/>
          <w:b/>
          <w:color w:val="2F5495"/>
          <w:sz w:val="40"/>
        </w:rPr>
        <w:t>PĒTĪJUMS</w:t>
      </w:r>
    </w:p>
    <w:p>
      <w:pPr>
        <w:pStyle w:val="BodyText"/>
        <w:spacing w:before="2"/>
        <w:jc w:val="left"/>
        <w:rPr>
          <w:rFonts w:ascii="Century Gothic"/>
          <w:b/>
          <w:sz w:val="36"/>
        </w:rPr>
      </w:pPr>
    </w:p>
    <w:p>
      <w:pPr>
        <w:spacing w:before="0"/>
        <w:ind w:left="711" w:right="495" w:hanging="3"/>
        <w:jc w:val="center"/>
        <w:rPr>
          <w:rFonts w:ascii="Century Gothic" w:hAnsi="Century Gothic"/>
          <w:b/>
          <w:sz w:val="56"/>
        </w:rPr>
      </w:pPr>
      <w:r>
        <w:rPr>
          <w:rFonts w:ascii="Century Gothic" w:hAnsi="Century Gothic"/>
          <w:b/>
          <w:color w:val="2F5495"/>
          <w:sz w:val="56"/>
        </w:rPr>
        <w:t>“Fiziskās personas maksātnespējas procesa piemērošanas nosacījumi un tā efektivitāte”</w:t>
      </w:r>
    </w:p>
    <w:p>
      <w:pPr>
        <w:spacing w:before="443"/>
        <w:ind w:left="1332" w:right="1120" w:firstLine="0"/>
        <w:jc w:val="center"/>
        <w:rPr>
          <w:rFonts w:ascii="Century Gothic" w:hAnsi="Century Gothic"/>
          <w:b/>
          <w:sz w:val="24"/>
        </w:rPr>
      </w:pPr>
      <w:r>
        <w:rPr>
          <w:rFonts w:ascii="Century Gothic" w:hAnsi="Century Gothic"/>
          <w:b/>
          <w:color w:val="2F5495"/>
          <w:sz w:val="24"/>
        </w:rPr>
        <w:t>(iepirkuma identifikācijas Nr. MKD 2018/4)</w:t>
      </w: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spacing w:before="9"/>
        <w:jc w:val="left"/>
        <w:rPr>
          <w:rFonts w:ascii="Century Gothic"/>
          <w:b/>
          <w:sz w:val="29"/>
        </w:rPr>
      </w:pPr>
    </w:p>
    <w:p>
      <w:pPr>
        <w:spacing w:before="0"/>
        <w:ind w:left="1332" w:right="1117" w:firstLine="0"/>
        <w:jc w:val="center"/>
        <w:rPr>
          <w:rFonts w:ascii="Century Gothic" w:hAnsi="Century Gothic"/>
          <w:b/>
          <w:sz w:val="24"/>
        </w:rPr>
      </w:pPr>
      <w:r>
        <w:rPr>
          <w:rFonts w:ascii="Century Gothic" w:hAnsi="Century Gothic"/>
          <w:b/>
          <w:color w:val="2F5495"/>
          <w:sz w:val="24"/>
        </w:rPr>
        <w:t>Pētījuma pasūtītājs: Maksātnespējas kontroles dienests Pētījuma veicējs: zvērinātu advokātu birojs “NOVIUS”</w:t>
      </w:r>
    </w:p>
    <w:p>
      <w:pPr>
        <w:pStyle w:val="BodyText"/>
        <w:jc w:val="left"/>
        <w:rPr>
          <w:rFonts w:ascii="Century Gothic"/>
          <w:b/>
          <w:sz w:val="28"/>
        </w:rPr>
      </w:pPr>
    </w:p>
    <w:p>
      <w:pPr>
        <w:pStyle w:val="BodyText"/>
        <w:jc w:val="left"/>
        <w:rPr>
          <w:rFonts w:ascii="Century Gothic"/>
          <w:b/>
          <w:sz w:val="28"/>
        </w:rPr>
      </w:pPr>
    </w:p>
    <w:p>
      <w:pPr>
        <w:pStyle w:val="BodyText"/>
        <w:jc w:val="left"/>
        <w:rPr>
          <w:rFonts w:ascii="Century Gothic"/>
          <w:b/>
          <w:sz w:val="28"/>
        </w:rPr>
      </w:pPr>
    </w:p>
    <w:p>
      <w:pPr>
        <w:pStyle w:val="BodyText"/>
        <w:spacing w:before="12"/>
        <w:jc w:val="left"/>
        <w:rPr>
          <w:rFonts w:ascii="Century Gothic"/>
          <w:b/>
          <w:sz w:val="35"/>
        </w:rPr>
      </w:pPr>
    </w:p>
    <w:p>
      <w:pPr>
        <w:spacing w:before="0"/>
        <w:ind w:left="1332" w:right="1120" w:firstLine="0"/>
        <w:jc w:val="center"/>
        <w:rPr>
          <w:rFonts w:ascii="Century Gothic"/>
          <w:b/>
          <w:sz w:val="24"/>
        </w:rPr>
      </w:pPr>
      <w:r>
        <w:rPr>
          <w:rFonts w:ascii="Century Gothic"/>
          <w:b/>
          <w:color w:val="2F5495"/>
          <w:sz w:val="24"/>
        </w:rPr>
        <w:t>2018</w:t>
      </w:r>
    </w:p>
    <w:p>
      <w:pPr>
        <w:spacing w:after="0"/>
        <w:jc w:val="center"/>
        <w:rPr>
          <w:rFonts w:ascii="Century Gothic"/>
          <w:sz w:val="24"/>
        </w:rPr>
        <w:sectPr>
          <w:type w:val="continuous"/>
          <w:pgSz w:w="11910" w:h="16840"/>
          <w:pgMar w:top="1580" w:bottom="280" w:left="1180" w:right="1040"/>
        </w:sectPr>
      </w:pPr>
    </w:p>
    <w:p>
      <w:pPr>
        <w:spacing w:before="78"/>
        <w:ind w:left="815" w:right="1320" w:firstLine="0"/>
        <w:jc w:val="center"/>
        <w:rPr>
          <w:b/>
          <w:sz w:val="24"/>
        </w:rPr>
      </w:pPr>
      <w:r>
        <w:rPr>
          <w:b/>
          <w:sz w:val="24"/>
        </w:rPr>
        <w:t>SATURA RĀDĪTĀJS</w:t>
      </w:r>
    </w:p>
    <w:p>
      <w:pPr>
        <w:spacing w:after="0"/>
        <w:jc w:val="center"/>
        <w:rPr>
          <w:sz w:val="24"/>
        </w:rPr>
        <w:sectPr>
          <w:footerReference w:type="even" r:id="rId5"/>
          <w:footerReference w:type="default" r:id="rId6"/>
          <w:pgSz w:w="11910" w:h="16840"/>
          <w:pgMar w:footer="1055" w:header="0" w:top="1340" w:bottom="1586" w:left="1180" w:right="1040"/>
          <w:pgNumType w:start="2"/>
        </w:sectPr>
      </w:pPr>
    </w:p>
    <w:sdt>
      <w:sdtPr>
        <w:docPartObj>
          <w:docPartGallery w:val="Table of Contents"/>
          <w:docPartUnique/>
        </w:docPartObj>
      </w:sdtPr>
      <w:sdtEndPr/>
      <w:sdtContent>
        <w:p>
          <w:pPr>
            <w:pStyle w:val="TOC1"/>
            <w:tabs>
              <w:tab w:pos="8624" w:val="left" w:leader="dot"/>
            </w:tabs>
            <w:spacing w:before="271"/>
          </w:pPr>
          <w:hyperlink w:history="true" w:anchor="_TOC_250077">
            <w:r>
              <w:rPr/>
              <w:t>PĒTĪJUMA</w:t>
            </w:r>
            <w:r>
              <w:rPr>
                <w:spacing w:val="-1"/>
              </w:rPr>
              <w:t> </w:t>
            </w:r>
            <w:r>
              <w:rPr/>
              <w:t>IZPILDES</w:t>
            </w:r>
            <w:r>
              <w:rPr>
                <w:spacing w:val="1"/>
              </w:rPr>
              <w:t> </w:t>
            </w:r>
            <w:r>
              <w:rPr/>
              <w:t>ZIŅOJUMS</w:t>
              <w:tab/>
              <w:t>5</w:t>
            </w:r>
          </w:hyperlink>
        </w:p>
        <w:p>
          <w:pPr>
            <w:pStyle w:val="TOC1"/>
            <w:numPr>
              <w:ilvl w:val="0"/>
              <w:numId w:val="1"/>
            </w:numPr>
            <w:tabs>
              <w:tab w:pos="460" w:val="left" w:leader="none"/>
              <w:tab w:pos="8482" w:val="left" w:leader="dot"/>
            </w:tabs>
            <w:spacing w:line="240" w:lineRule="auto" w:before="0" w:after="0"/>
            <w:ind w:left="459" w:right="0" w:hanging="200"/>
            <w:jc w:val="left"/>
          </w:pPr>
          <w:r>
            <w:rPr/>
            <w:t>NODAĻA – TIESU PRAKSES</w:t>
          </w:r>
          <w:r>
            <w:rPr>
              <w:spacing w:val="-2"/>
            </w:rPr>
            <w:t> </w:t>
          </w:r>
          <w:r>
            <w:rPr/>
            <w:t>ANALĪZES</w:t>
          </w:r>
          <w:r>
            <w:rPr>
              <w:spacing w:val="-3"/>
            </w:rPr>
            <w:t> </w:t>
          </w:r>
          <w:r>
            <w:rPr/>
            <w:t>REZULTĀTI</w:t>
            <w:tab/>
            <w:t>10</w:t>
          </w:r>
        </w:p>
        <w:p>
          <w:pPr>
            <w:pStyle w:val="TOC2"/>
            <w:numPr>
              <w:ilvl w:val="1"/>
              <w:numId w:val="1"/>
            </w:numPr>
            <w:tabs>
              <w:tab w:pos="642" w:val="left" w:leader="none"/>
            </w:tabs>
            <w:spacing w:line="240" w:lineRule="auto" w:before="0" w:after="0"/>
            <w:ind w:left="641" w:right="0" w:hanging="241"/>
            <w:jc w:val="left"/>
          </w:pPr>
          <w:r>
            <w:rPr/>
            <w:t>Tiesu nolēmumu, ar kuriem noraidīts fiziskās personas</w:t>
          </w:r>
          <w:r>
            <w:rPr>
              <w:spacing w:val="-9"/>
            </w:rPr>
            <w:t> </w:t>
          </w:r>
          <w:r>
            <w:rPr/>
            <w:t>maksātnespējas</w:t>
          </w:r>
        </w:p>
        <w:p>
          <w:pPr>
            <w:pStyle w:val="TOC5"/>
            <w:tabs>
              <w:tab w:pos="8483" w:val="left" w:leader="dot"/>
            </w:tabs>
            <w:ind w:left="680" w:firstLine="0"/>
          </w:pPr>
          <w:r>
            <w:rPr/>
            <w:t>procesa</w:t>
          </w:r>
          <w:r>
            <w:rPr>
              <w:spacing w:val="-2"/>
            </w:rPr>
            <w:t> </w:t>
          </w:r>
          <w:r>
            <w:rPr/>
            <w:t>pieteikums</w:t>
            <w:tab/>
            <w:t>10</w:t>
          </w:r>
        </w:p>
        <w:p>
          <w:pPr>
            <w:pStyle w:val="TOC5"/>
            <w:numPr>
              <w:ilvl w:val="2"/>
              <w:numId w:val="1"/>
            </w:numPr>
            <w:tabs>
              <w:tab w:pos="1108" w:val="left" w:leader="none"/>
              <w:tab w:pos="8483" w:val="left" w:leader="dot"/>
            </w:tabs>
            <w:spacing w:line="240" w:lineRule="auto" w:before="0" w:after="0"/>
            <w:ind w:left="1107" w:right="0" w:hanging="421"/>
            <w:jc w:val="left"/>
          </w:pPr>
          <w:hyperlink w:history="true" w:anchor="_TOC_250076">
            <w:r>
              <w:rPr/>
              <w:t>Periods no 2010.gada 1.novembra līdz</w:t>
            </w:r>
            <w:r>
              <w:rPr>
                <w:spacing w:val="-9"/>
              </w:rPr>
              <w:t> </w:t>
            </w:r>
            <w:r>
              <w:rPr/>
              <w:t>2015.gada</w:t>
            </w:r>
            <w:r>
              <w:rPr>
                <w:spacing w:val="-1"/>
              </w:rPr>
              <w:t> </w:t>
            </w:r>
            <w:r>
              <w:rPr/>
              <w:t>28.februārim</w:t>
              <w:tab/>
              <w:t>10</w:t>
            </w:r>
          </w:hyperlink>
        </w:p>
        <w:p>
          <w:pPr>
            <w:pStyle w:val="TOC5"/>
            <w:numPr>
              <w:ilvl w:val="2"/>
              <w:numId w:val="1"/>
            </w:numPr>
            <w:tabs>
              <w:tab w:pos="1108" w:val="left" w:leader="none"/>
              <w:tab w:pos="8482" w:val="left" w:leader="dot"/>
            </w:tabs>
            <w:spacing w:line="240" w:lineRule="auto" w:before="0" w:after="0"/>
            <w:ind w:left="1107" w:right="0" w:hanging="421"/>
            <w:jc w:val="left"/>
          </w:pPr>
          <w:hyperlink w:history="true" w:anchor="_TOC_250075">
            <w:r>
              <w:rPr/>
              <w:t>Periods no</w:t>
            </w:r>
            <w:r>
              <w:rPr>
                <w:spacing w:val="-1"/>
              </w:rPr>
              <w:t> </w:t>
            </w:r>
            <w:r>
              <w:rPr/>
              <w:t>2015.gada</w:t>
            </w:r>
            <w:r>
              <w:rPr>
                <w:spacing w:val="-3"/>
              </w:rPr>
              <w:t> </w:t>
            </w:r>
            <w:r>
              <w:rPr/>
              <w:t>1.marta</w:t>
              <w:tab/>
              <w:t>14</w:t>
            </w:r>
          </w:hyperlink>
        </w:p>
        <w:p>
          <w:pPr>
            <w:pStyle w:val="TOC5"/>
            <w:numPr>
              <w:ilvl w:val="2"/>
              <w:numId w:val="1"/>
            </w:numPr>
            <w:tabs>
              <w:tab w:pos="1110" w:val="left" w:leader="none"/>
            </w:tabs>
            <w:spacing w:line="240" w:lineRule="auto" w:before="0" w:after="0"/>
            <w:ind w:left="1100" w:right="1356" w:hanging="413"/>
            <w:jc w:val="left"/>
          </w:pPr>
          <w:r>
            <w:rPr>
              <w:spacing w:val="-3"/>
            </w:rPr>
            <w:t>LR </w:t>
          </w:r>
          <w:r>
            <w:rPr/>
            <w:t>Augstākās tiesas (Senāta) Civillietu departamenta nolēmumi, ar kuriem risināti jautājumi saistībā ar fiziskas personas</w:t>
          </w:r>
        </w:p>
        <w:p>
          <w:pPr>
            <w:tabs>
              <w:tab w:pos="8482" w:val="left" w:leader="dot"/>
            </w:tabs>
            <w:spacing w:before="0"/>
            <w:ind w:left="1107" w:right="0" w:firstLine="0"/>
            <w:jc w:val="left"/>
            <w:rPr>
              <w:sz w:val="24"/>
            </w:rPr>
          </w:pPr>
          <w:r>
            <w:rPr>
              <w:sz w:val="24"/>
            </w:rPr>
            <w:t>maksātnespējas</w:t>
          </w:r>
          <w:r>
            <w:rPr>
              <w:spacing w:val="-2"/>
              <w:sz w:val="24"/>
            </w:rPr>
            <w:t> </w:t>
          </w:r>
          <w:r>
            <w:rPr>
              <w:sz w:val="24"/>
            </w:rPr>
            <w:t>procesa</w:t>
          </w:r>
          <w:r>
            <w:rPr>
              <w:spacing w:val="-2"/>
              <w:sz w:val="24"/>
            </w:rPr>
            <w:t> </w:t>
          </w:r>
          <w:r>
            <w:rPr>
              <w:sz w:val="24"/>
            </w:rPr>
            <w:t>pasludināšanu</w:t>
            <w:tab/>
            <w:t>20</w:t>
          </w:r>
        </w:p>
        <w:p>
          <w:pPr>
            <w:pStyle w:val="TOC5"/>
            <w:numPr>
              <w:ilvl w:val="2"/>
              <w:numId w:val="1"/>
            </w:numPr>
            <w:tabs>
              <w:tab w:pos="1110" w:val="left" w:leader="none"/>
              <w:tab w:pos="8483" w:val="left" w:leader="dot"/>
            </w:tabs>
            <w:spacing w:line="240" w:lineRule="auto" w:before="0" w:after="0"/>
            <w:ind w:left="1109" w:right="0" w:hanging="423"/>
            <w:jc w:val="left"/>
          </w:pPr>
          <w:hyperlink w:history="true" w:anchor="_TOC_250074">
            <w:r>
              <w:rPr/>
              <w:t>Identificētie</w:t>
            </w:r>
            <w:r>
              <w:rPr>
                <w:spacing w:val="-3"/>
              </w:rPr>
              <w:t> </w:t>
            </w:r>
            <w:r>
              <w:rPr/>
              <w:t>problēmjautājumi</w:t>
              <w:tab/>
              <w:t>23</w:t>
            </w:r>
          </w:hyperlink>
        </w:p>
        <w:p>
          <w:pPr>
            <w:pStyle w:val="TOC2"/>
            <w:numPr>
              <w:ilvl w:val="1"/>
              <w:numId w:val="1"/>
            </w:numPr>
            <w:tabs>
              <w:tab w:pos="642" w:val="left" w:leader="none"/>
              <w:tab w:pos="8482" w:val="left" w:leader="dot"/>
            </w:tabs>
            <w:spacing w:line="240" w:lineRule="auto" w:before="0" w:after="0"/>
            <w:ind w:left="680" w:right="961" w:hanging="279"/>
            <w:jc w:val="left"/>
          </w:pPr>
          <w:r>
            <w:rPr/>
            <w:t>Tiesu nolēmumi, ar kuriem maksātnespējas process izbeigts pēc bankrota procedūras pabeigšanas, nepiemērojot saistību</w:t>
          </w:r>
          <w:r>
            <w:rPr>
              <w:spacing w:val="-2"/>
            </w:rPr>
            <w:t> </w:t>
          </w:r>
          <w:r>
            <w:rPr/>
            <w:t>dzēšanas</w:t>
          </w:r>
          <w:r>
            <w:rPr>
              <w:spacing w:val="-4"/>
            </w:rPr>
            <w:t> </w:t>
          </w:r>
          <w:r>
            <w:rPr/>
            <w:t>procedūru</w:t>
            <w:tab/>
          </w:r>
          <w:r>
            <w:rPr>
              <w:spacing w:val="-9"/>
            </w:rPr>
            <w:t>25</w:t>
          </w:r>
        </w:p>
        <w:p>
          <w:pPr>
            <w:pStyle w:val="TOC5"/>
            <w:numPr>
              <w:ilvl w:val="2"/>
              <w:numId w:val="1"/>
            </w:numPr>
            <w:tabs>
              <w:tab w:pos="1108" w:val="left" w:leader="none"/>
              <w:tab w:pos="8483" w:val="left" w:leader="dot"/>
            </w:tabs>
            <w:spacing w:line="240" w:lineRule="auto" w:before="1" w:after="0"/>
            <w:ind w:left="1107" w:right="0" w:hanging="421"/>
            <w:jc w:val="left"/>
          </w:pPr>
          <w:hyperlink w:history="true" w:anchor="_TOC_250073">
            <w:r>
              <w:rPr/>
              <w:t>Periods no 2010.gada 1.novembra līdz</w:t>
            </w:r>
            <w:r>
              <w:rPr>
                <w:spacing w:val="-9"/>
              </w:rPr>
              <w:t> </w:t>
            </w:r>
            <w:r>
              <w:rPr/>
              <w:t>2015.gada</w:t>
            </w:r>
            <w:r>
              <w:rPr>
                <w:spacing w:val="-1"/>
              </w:rPr>
              <w:t> </w:t>
            </w:r>
            <w:r>
              <w:rPr/>
              <w:t>28.februārim</w:t>
              <w:tab/>
              <w:t>25</w:t>
            </w:r>
          </w:hyperlink>
        </w:p>
        <w:p>
          <w:pPr>
            <w:pStyle w:val="TOC5"/>
            <w:numPr>
              <w:ilvl w:val="2"/>
              <w:numId w:val="1"/>
            </w:numPr>
            <w:tabs>
              <w:tab w:pos="1108" w:val="left" w:leader="none"/>
              <w:tab w:pos="8482" w:val="left" w:leader="dot"/>
            </w:tabs>
            <w:spacing w:line="240" w:lineRule="auto" w:before="0" w:after="0"/>
            <w:ind w:left="1107" w:right="0" w:hanging="421"/>
            <w:jc w:val="left"/>
          </w:pPr>
          <w:hyperlink w:history="true" w:anchor="_TOC_250072">
            <w:r>
              <w:rPr/>
              <w:t>Periods no</w:t>
            </w:r>
            <w:r>
              <w:rPr>
                <w:spacing w:val="-1"/>
              </w:rPr>
              <w:t> </w:t>
            </w:r>
            <w:r>
              <w:rPr/>
              <w:t>2015.gada</w:t>
            </w:r>
            <w:r>
              <w:rPr>
                <w:spacing w:val="-3"/>
              </w:rPr>
              <w:t> </w:t>
            </w:r>
            <w:r>
              <w:rPr/>
              <w:t>1.marta</w:t>
              <w:tab/>
              <w:t>31</w:t>
            </w:r>
          </w:hyperlink>
        </w:p>
        <w:p>
          <w:pPr>
            <w:pStyle w:val="TOC5"/>
            <w:numPr>
              <w:ilvl w:val="2"/>
              <w:numId w:val="1"/>
            </w:numPr>
            <w:tabs>
              <w:tab w:pos="1110" w:val="left" w:leader="none"/>
              <w:tab w:pos="8482" w:val="left" w:leader="dot"/>
            </w:tabs>
            <w:spacing w:line="240" w:lineRule="auto" w:before="0" w:after="0"/>
            <w:ind w:left="1112" w:right="961" w:hanging="425"/>
            <w:jc w:val="left"/>
          </w:pPr>
          <w:r>
            <w:rPr>
              <w:spacing w:val="-3"/>
            </w:rPr>
            <w:t>LR </w:t>
          </w:r>
          <w:r>
            <w:rPr/>
            <w:t>Augstākās tiesas (Senāta) Civillietu departamenta nolēmumi, ar kuriem risināti jautājumi saistībā ar fiziskas personas bankrota procedūru un tās pabeigšanu  / izbeigšanu, nepiemērojot saistību</w:t>
          </w:r>
          <w:r>
            <w:rPr>
              <w:spacing w:val="-4"/>
            </w:rPr>
            <w:t> </w:t>
          </w:r>
          <w:r>
            <w:rPr/>
            <w:t>dzēšanas</w:t>
          </w:r>
          <w:r>
            <w:rPr>
              <w:spacing w:val="-4"/>
            </w:rPr>
            <w:t> </w:t>
          </w:r>
          <w:r>
            <w:rPr/>
            <w:t>procedūru</w:t>
            <w:tab/>
          </w:r>
          <w:r>
            <w:rPr>
              <w:spacing w:val="-9"/>
            </w:rPr>
            <w:t>38</w:t>
          </w:r>
        </w:p>
        <w:p>
          <w:pPr>
            <w:pStyle w:val="TOC5"/>
            <w:numPr>
              <w:ilvl w:val="2"/>
              <w:numId w:val="1"/>
            </w:numPr>
            <w:tabs>
              <w:tab w:pos="1110" w:val="left" w:leader="none"/>
              <w:tab w:pos="8483" w:val="left" w:leader="dot"/>
            </w:tabs>
            <w:spacing w:line="240" w:lineRule="auto" w:before="0" w:after="0"/>
            <w:ind w:left="1109" w:right="0" w:hanging="423"/>
            <w:jc w:val="left"/>
          </w:pPr>
          <w:hyperlink w:history="true" w:anchor="_TOC_250071">
            <w:r>
              <w:rPr/>
              <w:t>Identificētie</w:t>
            </w:r>
            <w:r>
              <w:rPr>
                <w:spacing w:val="-3"/>
              </w:rPr>
              <w:t> </w:t>
            </w:r>
            <w:r>
              <w:rPr/>
              <w:t>problēmjautājumi</w:t>
              <w:tab/>
              <w:t>40</w:t>
            </w:r>
          </w:hyperlink>
        </w:p>
        <w:p>
          <w:pPr>
            <w:pStyle w:val="TOC2"/>
            <w:numPr>
              <w:ilvl w:val="1"/>
              <w:numId w:val="1"/>
            </w:numPr>
            <w:tabs>
              <w:tab w:pos="642" w:val="left" w:leader="none"/>
            </w:tabs>
            <w:spacing w:line="240" w:lineRule="auto" w:before="0" w:after="0"/>
            <w:ind w:left="641" w:right="0" w:hanging="241"/>
            <w:jc w:val="left"/>
          </w:pPr>
          <w:r>
            <w:rPr/>
            <w:t>Tiesu nolēmumi, ar kuriem maksātnespējas process izbeigts, nedzēšot</w:t>
          </w:r>
        </w:p>
        <w:p>
          <w:pPr>
            <w:pStyle w:val="TOC5"/>
            <w:tabs>
              <w:tab w:pos="8483" w:val="left" w:leader="dot"/>
            </w:tabs>
            <w:ind w:left="680" w:firstLine="0"/>
          </w:pPr>
          <w:r>
            <w:rPr/>
            <w:t>saistību dzēšanas procedūras laikā</w:t>
          </w:r>
          <w:r>
            <w:rPr>
              <w:spacing w:val="-3"/>
            </w:rPr>
            <w:t> </w:t>
          </w:r>
          <w:r>
            <w:rPr/>
            <w:t>nesegtās</w:t>
          </w:r>
          <w:r>
            <w:rPr>
              <w:spacing w:val="-3"/>
            </w:rPr>
            <w:t> </w:t>
          </w:r>
          <w:r>
            <w:rPr/>
            <w:t>saistības</w:t>
            <w:tab/>
            <w:t>42</w:t>
          </w:r>
        </w:p>
        <w:p>
          <w:pPr>
            <w:pStyle w:val="TOC5"/>
            <w:numPr>
              <w:ilvl w:val="2"/>
              <w:numId w:val="1"/>
            </w:numPr>
            <w:tabs>
              <w:tab w:pos="1108" w:val="left" w:leader="none"/>
              <w:tab w:pos="8483" w:val="left" w:leader="dot"/>
            </w:tabs>
            <w:spacing w:line="240" w:lineRule="auto" w:before="0" w:after="0"/>
            <w:ind w:left="1107" w:right="0" w:hanging="421"/>
            <w:jc w:val="left"/>
          </w:pPr>
          <w:hyperlink w:history="true" w:anchor="_TOC_250070">
            <w:r>
              <w:rPr/>
              <w:t>Periods no 2010.gada 1.novembra līdz</w:t>
            </w:r>
            <w:r>
              <w:rPr>
                <w:spacing w:val="-9"/>
              </w:rPr>
              <w:t> </w:t>
            </w:r>
            <w:r>
              <w:rPr/>
              <w:t>2015.gada</w:t>
            </w:r>
            <w:r>
              <w:rPr>
                <w:spacing w:val="-1"/>
              </w:rPr>
              <w:t> </w:t>
            </w:r>
            <w:r>
              <w:rPr/>
              <w:t>28.februārim</w:t>
              <w:tab/>
              <w:t>42</w:t>
            </w:r>
          </w:hyperlink>
        </w:p>
        <w:p>
          <w:pPr>
            <w:pStyle w:val="TOC5"/>
            <w:numPr>
              <w:ilvl w:val="2"/>
              <w:numId w:val="1"/>
            </w:numPr>
            <w:tabs>
              <w:tab w:pos="1108" w:val="left" w:leader="none"/>
              <w:tab w:pos="8482" w:val="left" w:leader="dot"/>
            </w:tabs>
            <w:spacing w:line="240" w:lineRule="auto" w:before="0" w:after="0"/>
            <w:ind w:left="1107" w:right="0" w:hanging="421"/>
            <w:jc w:val="left"/>
          </w:pPr>
          <w:hyperlink w:history="true" w:anchor="_TOC_250069">
            <w:r>
              <w:rPr/>
              <w:t>Periods no</w:t>
            </w:r>
            <w:r>
              <w:rPr>
                <w:spacing w:val="-1"/>
              </w:rPr>
              <w:t> </w:t>
            </w:r>
            <w:r>
              <w:rPr/>
              <w:t>2015.gada</w:t>
            </w:r>
            <w:r>
              <w:rPr>
                <w:spacing w:val="-3"/>
              </w:rPr>
              <w:t> </w:t>
            </w:r>
            <w:r>
              <w:rPr/>
              <w:t>1.marta</w:t>
              <w:tab/>
              <w:t>43</w:t>
            </w:r>
          </w:hyperlink>
        </w:p>
        <w:p>
          <w:pPr>
            <w:pStyle w:val="TOC5"/>
            <w:numPr>
              <w:ilvl w:val="2"/>
              <w:numId w:val="1"/>
            </w:numPr>
            <w:tabs>
              <w:tab w:pos="1110" w:val="left" w:leader="none"/>
            </w:tabs>
            <w:spacing w:line="240" w:lineRule="auto" w:before="0" w:after="0"/>
            <w:ind w:left="1109" w:right="0" w:hanging="423"/>
            <w:jc w:val="left"/>
          </w:pPr>
          <w:r>
            <w:rPr>
              <w:spacing w:val="-3"/>
            </w:rPr>
            <w:t>LR </w:t>
          </w:r>
          <w:r>
            <w:rPr/>
            <w:t>Augstākās tiesas (Senāta) Civillietu departamenta nolēmumi,</w:t>
          </w:r>
        </w:p>
        <w:p>
          <w:pPr>
            <w:spacing w:before="0"/>
            <w:ind w:left="1107" w:right="0" w:firstLine="0"/>
            <w:jc w:val="left"/>
            <w:rPr>
              <w:sz w:val="24"/>
            </w:rPr>
          </w:pPr>
          <w:r>
            <w:rPr>
              <w:sz w:val="24"/>
            </w:rPr>
            <w:t>ar kuriem risināti jautājumi par saistību dzēšanas procedūras izbeigšanu</w:t>
          </w:r>
        </w:p>
        <w:p>
          <w:pPr>
            <w:pStyle w:val="TOC9"/>
            <w:tabs>
              <w:tab w:pos="8481" w:val="left" w:leader="dot"/>
            </w:tabs>
            <w:ind w:left="1047" w:firstLine="0"/>
          </w:pPr>
          <w:r>
            <w:rPr/>
            <w:t>un parādnieka neatbrīvošanu</w:t>
          </w:r>
          <w:r>
            <w:rPr>
              <w:spacing w:val="-4"/>
            </w:rPr>
            <w:t> </w:t>
          </w:r>
          <w:r>
            <w:rPr/>
            <w:t>no saistībām</w:t>
            <w:tab/>
            <w:t>47</w:t>
          </w:r>
        </w:p>
        <w:p>
          <w:pPr>
            <w:pStyle w:val="TOC5"/>
            <w:numPr>
              <w:ilvl w:val="2"/>
              <w:numId w:val="1"/>
            </w:numPr>
            <w:tabs>
              <w:tab w:pos="1110" w:val="left" w:leader="none"/>
              <w:tab w:pos="8483" w:val="left" w:leader="dot"/>
            </w:tabs>
            <w:spacing w:line="240" w:lineRule="auto" w:before="0" w:after="0"/>
            <w:ind w:left="1109" w:right="0" w:hanging="423"/>
            <w:jc w:val="left"/>
          </w:pPr>
          <w:hyperlink w:history="true" w:anchor="_TOC_250068">
            <w:r>
              <w:rPr/>
              <w:t>Identificētie</w:t>
            </w:r>
            <w:r>
              <w:rPr>
                <w:spacing w:val="-3"/>
              </w:rPr>
              <w:t> </w:t>
            </w:r>
            <w:r>
              <w:rPr/>
              <w:t>problēmjautājumi</w:t>
              <w:tab/>
              <w:t>49</w:t>
            </w:r>
          </w:hyperlink>
        </w:p>
        <w:p>
          <w:pPr>
            <w:pStyle w:val="TOC2"/>
            <w:numPr>
              <w:ilvl w:val="1"/>
              <w:numId w:val="1"/>
            </w:numPr>
            <w:tabs>
              <w:tab w:pos="642" w:val="left" w:leader="none"/>
            </w:tabs>
            <w:spacing w:line="240" w:lineRule="auto" w:before="0" w:after="0"/>
            <w:ind w:left="641" w:right="0" w:hanging="241"/>
            <w:jc w:val="left"/>
          </w:pPr>
          <w:r>
            <w:rPr/>
            <w:t>Tiesu nolēmumi, ar kuriem maksātnespējas process</w:t>
          </w:r>
          <w:r>
            <w:rPr>
              <w:spacing w:val="-1"/>
            </w:rPr>
            <w:t> </w:t>
          </w:r>
          <w:r>
            <w:rPr/>
            <w:t>izbeigts,</w:t>
          </w:r>
        </w:p>
        <w:p>
          <w:pPr>
            <w:pStyle w:val="TOC5"/>
            <w:tabs>
              <w:tab w:pos="8482" w:val="left" w:leader="dot"/>
            </w:tabs>
            <w:ind w:left="687" w:firstLine="0"/>
          </w:pPr>
          <w:r>
            <w:rPr/>
            <w:t>dzēšot saistību dzēšanas procedūras laikā</w:t>
          </w:r>
          <w:r>
            <w:rPr>
              <w:spacing w:val="-5"/>
            </w:rPr>
            <w:t> </w:t>
          </w:r>
          <w:r>
            <w:rPr/>
            <w:t>nesegtās</w:t>
          </w:r>
          <w:r>
            <w:rPr>
              <w:spacing w:val="1"/>
            </w:rPr>
            <w:t> </w:t>
          </w:r>
          <w:r>
            <w:rPr/>
            <w:t>saistības</w:t>
            <w:tab/>
            <w:t>51</w:t>
          </w:r>
        </w:p>
        <w:p>
          <w:pPr>
            <w:pStyle w:val="TOC5"/>
            <w:numPr>
              <w:ilvl w:val="2"/>
              <w:numId w:val="1"/>
            </w:numPr>
            <w:tabs>
              <w:tab w:pos="1108" w:val="left" w:leader="none"/>
              <w:tab w:pos="8483" w:val="left" w:leader="dot"/>
            </w:tabs>
            <w:spacing w:line="240" w:lineRule="auto" w:before="0" w:after="0"/>
            <w:ind w:left="1107" w:right="0" w:hanging="421"/>
            <w:jc w:val="left"/>
          </w:pPr>
          <w:hyperlink w:history="true" w:anchor="_TOC_250067">
            <w:r>
              <w:rPr/>
              <w:t>Periods no 2010.gada 1.novembra līdz</w:t>
            </w:r>
            <w:r>
              <w:rPr>
                <w:spacing w:val="-9"/>
              </w:rPr>
              <w:t> </w:t>
            </w:r>
            <w:r>
              <w:rPr/>
              <w:t>2015.gada</w:t>
            </w:r>
            <w:r>
              <w:rPr>
                <w:spacing w:val="-1"/>
              </w:rPr>
              <w:t> </w:t>
            </w:r>
            <w:r>
              <w:rPr/>
              <w:t>28.februārim</w:t>
              <w:tab/>
              <w:t>51</w:t>
            </w:r>
          </w:hyperlink>
        </w:p>
        <w:p>
          <w:pPr>
            <w:pStyle w:val="TOC5"/>
            <w:numPr>
              <w:ilvl w:val="2"/>
              <w:numId w:val="1"/>
            </w:numPr>
            <w:tabs>
              <w:tab w:pos="1108" w:val="left" w:leader="none"/>
              <w:tab w:pos="8482" w:val="left" w:leader="dot"/>
            </w:tabs>
            <w:spacing w:line="240" w:lineRule="auto" w:before="0" w:after="0"/>
            <w:ind w:left="1107" w:right="0" w:hanging="421"/>
            <w:jc w:val="left"/>
          </w:pPr>
          <w:hyperlink w:history="true" w:anchor="_TOC_250066">
            <w:r>
              <w:rPr/>
              <w:t>Periods no</w:t>
            </w:r>
            <w:r>
              <w:rPr>
                <w:spacing w:val="-1"/>
              </w:rPr>
              <w:t> </w:t>
            </w:r>
            <w:r>
              <w:rPr/>
              <w:t>2015.gada</w:t>
            </w:r>
            <w:r>
              <w:rPr>
                <w:spacing w:val="-3"/>
              </w:rPr>
              <w:t> </w:t>
            </w:r>
            <w:r>
              <w:rPr/>
              <w:t>1.marta</w:t>
              <w:tab/>
              <w:t>55</w:t>
            </w:r>
          </w:hyperlink>
        </w:p>
        <w:p>
          <w:pPr>
            <w:pStyle w:val="TOC5"/>
            <w:numPr>
              <w:ilvl w:val="2"/>
              <w:numId w:val="1"/>
            </w:numPr>
            <w:tabs>
              <w:tab w:pos="1110" w:val="left" w:leader="none"/>
            </w:tabs>
            <w:spacing w:line="240" w:lineRule="auto" w:before="0" w:after="0"/>
            <w:ind w:left="1107" w:right="2344" w:hanging="421"/>
            <w:jc w:val="left"/>
          </w:pPr>
          <w:r>
            <w:rPr>
              <w:spacing w:val="-3"/>
            </w:rPr>
            <w:t>LR </w:t>
          </w:r>
          <w:r>
            <w:rPr/>
            <w:t>Augstākās tiesas (Senāta) Civillietu departamenta nolēmumi, ar kuriem risināti jautājumi saistībā ar fiziskas personas</w:t>
          </w:r>
          <w:r>
            <w:rPr>
              <w:spacing w:val="-7"/>
            </w:rPr>
            <w:t> </w:t>
          </w:r>
          <w:r>
            <w:rPr/>
            <w:t>saistību</w:t>
          </w:r>
        </w:p>
        <w:p>
          <w:pPr>
            <w:tabs>
              <w:tab w:pos="8482" w:val="left" w:leader="dot"/>
            </w:tabs>
            <w:spacing w:before="0"/>
            <w:ind w:left="1107" w:right="0" w:firstLine="0"/>
            <w:jc w:val="left"/>
            <w:rPr>
              <w:sz w:val="24"/>
            </w:rPr>
          </w:pPr>
          <w:r>
            <w:rPr>
              <w:sz w:val="24"/>
            </w:rPr>
            <w:t>dzēšanas procedūras norisi un parādnieka atbrīvošanu</w:t>
          </w:r>
          <w:r>
            <w:rPr>
              <w:spacing w:val="-2"/>
              <w:sz w:val="24"/>
            </w:rPr>
            <w:t> </w:t>
          </w:r>
          <w:r>
            <w:rPr>
              <w:sz w:val="24"/>
            </w:rPr>
            <w:t>no</w:t>
          </w:r>
          <w:r>
            <w:rPr>
              <w:spacing w:val="-1"/>
              <w:sz w:val="24"/>
            </w:rPr>
            <w:t> </w:t>
          </w:r>
          <w:r>
            <w:rPr>
              <w:sz w:val="24"/>
            </w:rPr>
            <w:t>saistībām</w:t>
            <w:tab/>
            <w:t>59</w:t>
          </w:r>
        </w:p>
        <w:p>
          <w:pPr>
            <w:pStyle w:val="TOC5"/>
            <w:numPr>
              <w:ilvl w:val="2"/>
              <w:numId w:val="1"/>
            </w:numPr>
            <w:tabs>
              <w:tab w:pos="1110" w:val="left" w:leader="none"/>
              <w:tab w:pos="8483" w:val="left" w:leader="dot"/>
            </w:tabs>
            <w:spacing w:line="240" w:lineRule="auto" w:before="0" w:after="0"/>
            <w:ind w:left="1109" w:right="0" w:hanging="423"/>
            <w:jc w:val="left"/>
          </w:pPr>
          <w:hyperlink w:history="true" w:anchor="_TOC_250065">
            <w:r>
              <w:rPr/>
              <w:t>Identificētie</w:t>
            </w:r>
            <w:r>
              <w:rPr>
                <w:spacing w:val="-3"/>
              </w:rPr>
              <w:t> </w:t>
            </w:r>
            <w:r>
              <w:rPr/>
              <w:t>problēmjautājumi</w:t>
              <w:tab/>
              <w:t>63</w:t>
            </w:r>
          </w:hyperlink>
        </w:p>
        <w:p>
          <w:pPr>
            <w:pStyle w:val="TOC2"/>
            <w:numPr>
              <w:ilvl w:val="1"/>
              <w:numId w:val="1"/>
            </w:numPr>
            <w:tabs>
              <w:tab w:pos="642" w:val="left" w:leader="none"/>
              <w:tab w:pos="8483" w:val="left" w:leader="dot"/>
            </w:tabs>
            <w:spacing w:line="240" w:lineRule="auto" w:before="0" w:after="0"/>
            <w:ind w:left="641" w:right="0" w:hanging="241"/>
            <w:jc w:val="left"/>
          </w:pPr>
          <w:hyperlink w:history="true" w:anchor="_TOC_250064">
            <w:r>
              <w:rPr/>
              <w:t>Parādnieka godprātības vērtējums Latvijas</w:t>
            </w:r>
            <w:r>
              <w:rPr>
                <w:spacing w:val="-3"/>
              </w:rPr>
              <w:t> </w:t>
            </w:r>
            <w:r>
              <w:rPr/>
              <w:t>tiesu</w:t>
            </w:r>
            <w:r>
              <w:rPr>
                <w:spacing w:val="-1"/>
              </w:rPr>
              <w:t> </w:t>
            </w:r>
            <w:r>
              <w:rPr/>
              <w:t>praksē</w:t>
              <w:tab/>
              <w:t>65</w:t>
            </w:r>
          </w:hyperlink>
        </w:p>
        <w:p>
          <w:pPr>
            <w:pStyle w:val="TOC5"/>
            <w:numPr>
              <w:ilvl w:val="2"/>
              <w:numId w:val="1"/>
            </w:numPr>
            <w:tabs>
              <w:tab w:pos="1108" w:val="left" w:leader="none"/>
              <w:tab w:pos="8481" w:val="left" w:leader="dot"/>
            </w:tabs>
            <w:spacing w:line="240" w:lineRule="auto" w:before="0" w:after="0"/>
            <w:ind w:left="1112" w:right="962" w:hanging="425"/>
            <w:jc w:val="left"/>
          </w:pPr>
          <w:hyperlink w:history="true" w:anchor="_TOC_250063">
            <w:r>
              <w:rPr/>
              <w:t>Parādnieka godprātības vērtējums, pasludinot fiziskās personas  maksātnespējas</w:t>
            </w:r>
            <w:r>
              <w:rPr>
                <w:spacing w:val="-2"/>
              </w:rPr>
              <w:t> </w:t>
            </w:r>
            <w:r>
              <w:rPr/>
              <w:t>procesu</w:t>
              <w:tab/>
            </w:r>
            <w:r>
              <w:rPr>
                <w:spacing w:val="-9"/>
              </w:rPr>
              <w:t>65</w:t>
            </w:r>
          </w:hyperlink>
        </w:p>
        <w:p>
          <w:pPr>
            <w:pStyle w:val="TOC5"/>
            <w:numPr>
              <w:ilvl w:val="2"/>
              <w:numId w:val="1"/>
            </w:numPr>
            <w:tabs>
              <w:tab w:pos="1108" w:val="left" w:leader="none"/>
            </w:tabs>
            <w:spacing w:line="240" w:lineRule="auto" w:before="0" w:after="0"/>
            <w:ind w:left="1107" w:right="0" w:hanging="421"/>
            <w:jc w:val="left"/>
          </w:pPr>
          <w:r>
            <w:rPr/>
            <w:t>Tekošo maksājumu neveikšana pēc maksātnespējas</w:t>
          </w:r>
          <w:r>
            <w:rPr>
              <w:spacing w:val="-5"/>
            </w:rPr>
            <w:t> </w:t>
          </w:r>
          <w:r>
            <w:rPr/>
            <w:t>procesa</w:t>
          </w:r>
        </w:p>
        <w:p>
          <w:pPr>
            <w:tabs>
              <w:tab w:pos="8483" w:val="left" w:leader="dot"/>
            </w:tabs>
            <w:spacing w:before="0"/>
            <w:ind w:left="1107" w:right="0" w:firstLine="0"/>
            <w:jc w:val="left"/>
            <w:rPr>
              <w:sz w:val="24"/>
            </w:rPr>
          </w:pPr>
          <w:r>
            <w:rPr>
              <w:sz w:val="24"/>
            </w:rPr>
            <w:t>pasludināšanas (komunālie maksājumi, apsaimniekošanas</w:t>
          </w:r>
          <w:r>
            <w:rPr>
              <w:spacing w:val="-4"/>
              <w:sz w:val="24"/>
            </w:rPr>
            <w:t> </w:t>
          </w:r>
          <w:r>
            <w:rPr>
              <w:sz w:val="24"/>
            </w:rPr>
            <w:t>izdevumi)</w:t>
            <w:tab/>
            <w:t>69</w:t>
          </w:r>
        </w:p>
        <w:p>
          <w:pPr>
            <w:pStyle w:val="TOC5"/>
            <w:numPr>
              <w:ilvl w:val="2"/>
              <w:numId w:val="1"/>
            </w:numPr>
            <w:tabs>
              <w:tab w:pos="1108" w:val="left" w:leader="none"/>
              <w:tab w:pos="8483" w:val="left" w:leader="dot"/>
            </w:tabs>
            <w:spacing w:line="240" w:lineRule="auto" w:before="0" w:after="0"/>
            <w:ind w:left="1107" w:right="0" w:hanging="421"/>
            <w:jc w:val="left"/>
          </w:pPr>
          <w:hyperlink w:history="true" w:anchor="_TOC_250062">
            <w:r>
              <w:rPr/>
              <w:t>Nepatiesas vai nepilnīgas</w:t>
            </w:r>
            <w:r>
              <w:rPr>
                <w:spacing w:val="-6"/>
              </w:rPr>
              <w:t> </w:t>
            </w:r>
            <w:r>
              <w:rPr/>
              <w:t>informācijas sniegšana</w:t>
              <w:tab/>
              <w:t>70</w:t>
            </w:r>
          </w:hyperlink>
        </w:p>
        <w:p>
          <w:pPr>
            <w:pStyle w:val="TOC5"/>
            <w:numPr>
              <w:ilvl w:val="2"/>
              <w:numId w:val="1"/>
            </w:numPr>
            <w:tabs>
              <w:tab w:pos="1108" w:val="left" w:leader="none"/>
              <w:tab w:pos="8481" w:val="left" w:leader="dot"/>
            </w:tabs>
            <w:spacing w:line="240" w:lineRule="auto" w:before="0" w:after="0"/>
            <w:ind w:left="1107" w:right="0" w:hanging="421"/>
            <w:jc w:val="left"/>
          </w:pPr>
          <w:hyperlink w:history="true" w:anchor="_TOC_250061">
            <w:r>
              <w:rPr/>
              <w:t>Patieso</w:t>
            </w:r>
            <w:r>
              <w:rPr>
                <w:spacing w:val="-1"/>
              </w:rPr>
              <w:t> </w:t>
            </w:r>
            <w:r>
              <w:rPr/>
              <w:t>ienākumu</w:t>
            </w:r>
            <w:r>
              <w:rPr>
                <w:spacing w:val="-1"/>
              </w:rPr>
              <w:t> </w:t>
            </w:r>
            <w:r>
              <w:rPr/>
              <w:t>slēpšana</w:t>
              <w:tab/>
              <w:t>71</w:t>
            </w:r>
          </w:hyperlink>
        </w:p>
        <w:p>
          <w:pPr>
            <w:pStyle w:val="TOC5"/>
            <w:numPr>
              <w:ilvl w:val="2"/>
              <w:numId w:val="1"/>
            </w:numPr>
            <w:tabs>
              <w:tab w:pos="1108" w:val="left" w:leader="none"/>
              <w:tab w:pos="8483" w:val="left" w:leader="dot"/>
            </w:tabs>
            <w:spacing w:line="240" w:lineRule="auto" w:before="0" w:after="0"/>
            <w:ind w:left="1107" w:right="0" w:hanging="421"/>
            <w:jc w:val="left"/>
          </w:pPr>
          <w:hyperlink w:history="true" w:anchor="_TOC_250060">
            <w:r>
              <w:rPr/>
              <w:t>Mantas atsavināšana pretēji kreditoru interesēm</w:t>
            </w:r>
            <w:r>
              <w:rPr>
                <w:spacing w:val="-2"/>
              </w:rPr>
              <w:t> </w:t>
            </w:r>
            <w:r>
              <w:rPr/>
              <w:t>vai</w:t>
            </w:r>
            <w:r>
              <w:rPr>
                <w:spacing w:val="-3"/>
              </w:rPr>
              <w:t> </w:t>
            </w:r>
            <w:r>
              <w:rPr/>
              <w:t>slēpšana</w:t>
              <w:tab/>
              <w:t>71</w:t>
            </w:r>
          </w:hyperlink>
        </w:p>
        <w:p>
          <w:pPr>
            <w:pStyle w:val="TOC5"/>
            <w:numPr>
              <w:ilvl w:val="2"/>
              <w:numId w:val="1"/>
            </w:numPr>
            <w:tabs>
              <w:tab w:pos="1108" w:val="left" w:leader="none"/>
              <w:tab w:pos="8482" w:val="left" w:leader="dot"/>
            </w:tabs>
            <w:spacing w:line="240" w:lineRule="auto" w:before="0" w:after="0"/>
            <w:ind w:left="1107" w:right="0" w:hanging="421"/>
            <w:jc w:val="left"/>
          </w:pPr>
          <w:hyperlink w:history="true" w:anchor="_TOC_250059">
            <w:r>
              <w:rPr/>
              <w:t>Parādniekam labvēlīgi</w:t>
            </w:r>
            <w:r>
              <w:rPr>
                <w:spacing w:val="-3"/>
              </w:rPr>
              <w:t> </w:t>
            </w:r>
            <w:r>
              <w:rPr/>
              <w:t>tiesu</w:t>
            </w:r>
            <w:r>
              <w:rPr>
                <w:spacing w:val="-1"/>
              </w:rPr>
              <w:t> </w:t>
            </w:r>
            <w:r>
              <w:rPr/>
              <w:t>nolēmumi</w:t>
              <w:tab/>
              <w:t>73</w:t>
            </w:r>
          </w:hyperlink>
        </w:p>
        <w:p>
          <w:pPr>
            <w:pStyle w:val="TOC1"/>
            <w:numPr>
              <w:ilvl w:val="0"/>
              <w:numId w:val="1"/>
            </w:numPr>
            <w:tabs>
              <w:tab w:pos="480" w:val="left" w:leader="none"/>
              <w:tab w:pos="8482" w:val="left" w:leader="dot"/>
            </w:tabs>
            <w:spacing w:line="240" w:lineRule="auto" w:before="0" w:after="0"/>
            <w:ind w:left="479" w:right="0" w:hanging="220"/>
            <w:jc w:val="left"/>
          </w:pPr>
          <w:r>
            <w:rPr/>
            <w:t>NODAĻA – MAKSĀTNESPĒJAS PROCESU</w:t>
          </w:r>
          <w:r>
            <w:rPr>
              <w:spacing w:val="-2"/>
            </w:rPr>
            <w:t> </w:t>
          </w:r>
          <w:r>
            <w:rPr/>
            <w:t>ANALĪZES</w:t>
          </w:r>
          <w:r>
            <w:rPr>
              <w:spacing w:val="-1"/>
            </w:rPr>
            <w:t> </w:t>
          </w:r>
          <w:r>
            <w:rPr/>
            <w:t>REZULTĀTI</w:t>
            <w:tab/>
            <w:t>76</w:t>
          </w:r>
        </w:p>
        <w:p>
          <w:pPr>
            <w:pStyle w:val="TOC2"/>
            <w:numPr>
              <w:ilvl w:val="1"/>
              <w:numId w:val="1"/>
            </w:numPr>
            <w:tabs>
              <w:tab w:pos="642" w:val="left" w:leader="none"/>
            </w:tabs>
            <w:spacing w:line="240" w:lineRule="auto" w:before="0" w:after="0"/>
            <w:ind w:left="641" w:right="0" w:hanging="241"/>
            <w:jc w:val="left"/>
          </w:pPr>
          <w:r>
            <w:rPr/>
            <w:t>Dati par fizisko personu maksātnespējas procesiem laika periodā</w:t>
          </w:r>
          <w:r>
            <w:rPr>
              <w:spacing w:val="-5"/>
            </w:rPr>
            <w:t> </w:t>
          </w:r>
          <w:r>
            <w:rPr/>
            <w:t>no</w:t>
          </w:r>
        </w:p>
        <w:p>
          <w:pPr>
            <w:pStyle w:val="TOC5"/>
            <w:tabs>
              <w:tab w:pos="8483" w:val="left" w:leader="dot"/>
            </w:tabs>
            <w:ind w:left="620" w:firstLine="0"/>
          </w:pPr>
          <w:r>
            <w:rPr/>
            <w:t>2010.gada 1.novembra līdz</w:t>
          </w:r>
          <w:r>
            <w:rPr>
              <w:spacing w:val="-4"/>
            </w:rPr>
            <w:t> </w:t>
          </w:r>
          <w:r>
            <w:rPr/>
            <w:t>2015.gada</w:t>
          </w:r>
          <w:r>
            <w:rPr>
              <w:spacing w:val="-4"/>
            </w:rPr>
            <w:t> </w:t>
          </w:r>
          <w:r>
            <w:rPr/>
            <w:t>28.februārim</w:t>
            <w:tab/>
            <w:t>76</w:t>
          </w:r>
        </w:p>
        <w:p>
          <w:pPr>
            <w:pStyle w:val="TOC5"/>
            <w:numPr>
              <w:ilvl w:val="2"/>
              <w:numId w:val="1"/>
            </w:numPr>
            <w:tabs>
              <w:tab w:pos="1108" w:val="left" w:leader="none"/>
              <w:tab w:pos="8482" w:val="left" w:leader="dot"/>
            </w:tabs>
            <w:spacing w:line="240" w:lineRule="auto" w:before="0" w:after="20"/>
            <w:ind w:left="1107" w:right="961" w:hanging="421"/>
            <w:jc w:val="left"/>
          </w:pPr>
          <w:hyperlink w:history="true" w:anchor="_TOC_250058">
            <w:r>
              <w:rPr/>
              <w:t>Fizisko personu maksātnespējas procesu iedalījums atkarībā no tā, vai ir sastādīts ziņojums par mantas neesamību vai mantas</w:t>
            </w:r>
            <w:r>
              <w:rPr>
                <w:spacing w:val="-4"/>
              </w:rPr>
              <w:t> </w:t>
            </w:r>
            <w:r>
              <w:rPr/>
              <w:t>pārdošanas</w:t>
            </w:r>
            <w:r>
              <w:rPr>
                <w:spacing w:val="-3"/>
              </w:rPr>
              <w:t> </w:t>
            </w:r>
            <w:r>
              <w:rPr/>
              <w:t>plāns</w:t>
              <w:tab/>
            </w:r>
            <w:r>
              <w:rPr>
                <w:spacing w:val="-9"/>
              </w:rPr>
              <w:t>76</w:t>
            </w:r>
          </w:hyperlink>
        </w:p>
        <w:p>
          <w:pPr>
            <w:pStyle w:val="TOC9"/>
            <w:numPr>
              <w:ilvl w:val="2"/>
              <w:numId w:val="1"/>
            </w:numPr>
            <w:tabs>
              <w:tab w:pos="1468" w:val="left" w:leader="none"/>
              <w:tab w:pos="8557" w:val="left" w:leader="dot"/>
            </w:tabs>
            <w:spacing w:line="240" w:lineRule="auto" w:before="73" w:after="0"/>
            <w:ind w:left="1467" w:right="0" w:hanging="421"/>
            <w:jc w:val="left"/>
          </w:pPr>
          <w:hyperlink w:history="true" w:anchor="_TOC_250057">
            <w:r>
              <w:rPr/>
              <w:t>Saistību</w:t>
            </w:r>
            <w:r>
              <w:rPr>
                <w:spacing w:val="-1"/>
              </w:rPr>
              <w:t> </w:t>
            </w:r>
            <w:r>
              <w:rPr/>
              <w:t>apmērs</w:t>
              <w:tab/>
              <w:t>76</w:t>
            </w:r>
          </w:hyperlink>
        </w:p>
        <w:p>
          <w:pPr>
            <w:pStyle w:val="TOC9"/>
            <w:numPr>
              <w:ilvl w:val="2"/>
              <w:numId w:val="1"/>
            </w:numPr>
            <w:tabs>
              <w:tab w:pos="1468" w:val="left" w:leader="none"/>
              <w:tab w:pos="8558" w:val="left" w:leader="dot"/>
            </w:tabs>
            <w:spacing w:line="240" w:lineRule="auto" w:before="0" w:after="0"/>
            <w:ind w:left="1467" w:right="0" w:hanging="421"/>
            <w:jc w:val="left"/>
          </w:pPr>
          <w:hyperlink w:history="true" w:anchor="_TOC_250056">
            <w:r>
              <w:rPr/>
              <w:t>Kreditoru</w:t>
            </w:r>
            <w:r>
              <w:rPr>
                <w:spacing w:val="-4"/>
              </w:rPr>
              <w:t> </w:t>
            </w:r>
            <w:r>
              <w:rPr/>
              <w:t>skaits</w:t>
              <w:tab/>
              <w:t>77</w:t>
            </w:r>
          </w:hyperlink>
        </w:p>
        <w:p>
          <w:pPr>
            <w:pStyle w:val="TOC9"/>
            <w:numPr>
              <w:ilvl w:val="2"/>
              <w:numId w:val="1"/>
            </w:numPr>
            <w:tabs>
              <w:tab w:pos="1468" w:val="left" w:leader="none"/>
              <w:tab w:pos="8557" w:val="left" w:leader="dot"/>
            </w:tabs>
            <w:spacing w:line="240" w:lineRule="auto" w:before="0" w:after="0"/>
            <w:ind w:left="1467" w:right="0" w:hanging="421"/>
            <w:jc w:val="left"/>
          </w:pPr>
          <w:hyperlink w:history="true" w:anchor="_TOC_250055">
            <w:r>
              <w:rPr/>
              <w:t>Saistību dzēšanas</w:t>
            </w:r>
            <w:r>
              <w:rPr>
                <w:spacing w:val="-5"/>
              </w:rPr>
              <w:t> </w:t>
            </w:r>
            <w:r>
              <w:rPr/>
              <w:t>plāna</w:t>
            </w:r>
            <w:r>
              <w:rPr>
                <w:spacing w:val="-1"/>
              </w:rPr>
              <w:t> </w:t>
            </w:r>
            <w:r>
              <w:rPr/>
              <w:t>termiņš</w:t>
              <w:tab/>
              <w:t>77</w:t>
            </w:r>
          </w:hyperlink>
        </w:p>
        <w:p>
          <w:pPr>
            <w:pStyle w:val="TOC9"/>
            <w:numPr>
              <w:ilvl w:val="2"/>
              <w:numId w:val="1"/>
            </w:numPr>
            <w:tabs>
              <w:tab w:pos="1468" w:val="left" w:leader="none"/>
              <w:tab w:pos="8557" w:val="left" w:leader="dot"/>
            </w:tabs>
            <w:spacing w:line="240" w:lineRule="auto" w:before="0" w:after="0"/>
            <w:ind w:left="1467" w:right="0" w:hanging="421"/>
            <w:jc w:val="left"/>
          </w:pPr>
          <w:hyperlink w:history="true" w:anchor="_TOC_250054">
            <w:r>
              <w:rPr/>
              <w:t>Kreditoriem</w:t>
            </w:r>
            <w:r>
              <w:rPr>
                <w:spacing w:val="-1"/>
              </w:rPr>
              <w:t> </w:t>
            </w:r>
            <w:r>
              <w:rPr/>
              <w:t>maksājamā</w:t>
            </w:r>
            <w:r>
              <w:rPr>
                <w:spacing w:val="-1"/>
              </w:rPr>
              <w:t> </w:t>
            </w:r>
            <w:r>
              <w:rPr/>
              <w:t>summa</w:t>
              <w:tab/>
              <w:t>78</w:t>
            </w:r>
          </w:hyperlink>
        </w:p>
        <w:p>
          <w:pPr>
            <w:pStyle w:val="TOC9"/>
            <w:numPr>
              <w:ilvl w:val="2"/>
              <w:numId w:val="1"/>
            </w:numPr>
            <w:tabs>
              <w:tab w:pos="1468" w:val="left" w:leader="none"/>
              <w:tab w:pos="8557" w:val="left" w:leader="dot"/>
            </w:tabs>
            <w:spacing w:line="240" w:lineRule="auto" w:before="0" w:after="0"/>
            <w:ind w:left="1467" w:right="0" w:hanging="421"/>
            <w:jc w:val="left"/>
          </w:pPr>
          <w:hyperlink w:history="true" w:anchor="_TOC_250053">
            <w:r>
              <w:rPr/>
              <w:t>Parādnieka</w:t>
            </w:r>
            <w:r>
              <w:rPr>
                <w:spacing w:val="-3"/>
              </w:rPr>
              <w:t> </w:t>
            </w:r>
            <w:r>
              <w:rPr/>
              <w:t>dzimums</w:t>
              <w:tab/>
              <w:t>80</w:t>
            </w:r>
          </w:hyperlink>
        </w:p>
        <w:p>
          <w:pPr>
            <w:pStyle w:val="TOC9"/>
            <w:numPr>
              <w:ilvl w:val="2"/>
              <w:numId w:val="1"/>
            </w:numPr>
            <w:tabs>
              <w:tab w:pos="1468" w:val="left" w:leader="none"/>
              <w:tab w:pos="8557" w:val="left" w:leader="dot"/>
            </w:tabs>
            <w:spacing w:line="240" w:lineRule="auto" w:before="0" w:after="0"/>
            <w:ind w:left="1467" w:right="0" w:hanging="421"/>
            <w:jc w:val="left"/>
          </w:pPr>
          <w:hyperlink w:history="true" w:anchor="_TOC_250052">
            <w:r>
              <w:rPr/>
              <w:t>Tiesas</w:t>
            </w:r>
            <w:r>
              <w:rPr>
                <w:spacing w:val="-3"/>
              </w:rPr>
              <w:t> </w:t>
            </w:r>
            <w:r>
              <w:rPr/>
              <w:t>lēmuma būtība</w:t>
              <w:tab/>
              <w:t>81</w:t>
            </w:r>
          </w:hyperlink>
        </w:p>
        <w:p>
          <w:pPr>
            <w:pStyle w:val="TOC6"/>
            <w:numPr>
              <w:ilvl w:val="1"/>
              <w:numId w:val="1"/>
            </w:numPr>
            <w:tabs>
              <w:tab w:pos="1002" w:val="left" w:leader="none"/>
            </w:tabs>
            <w:spacing w:line="240" w:lineRule="auto" w:before="0" w:after="0"/>
            <w:ind w:left="1001" w:right="0" w:hanging="241"/>
            <w:jc w:val="left"/>
          </w:pPr>
          <w:r>
            <w:rPr/>
            <w:t>Dati par fizisko personu maksātnespējas procesiem laika periodā</w:t>
          </w:r>
          <w:r>
            <w:rPr>
              <w:spacing w:val="-5"/>
            </w:rPr>
            <w:t> </w:t>
          </w:r>
          <w:r>
            <w:rPr/>
            <w:t>no</w:t>
          </w:r>
        </w:p>
        <w:p>
          <w:pPr>
            <w:pStyle w:val="TOC8"/>
            <w:tabs>
              <w:tab w:pos="8557" w:val="left" w:leader="dot"/>
            </w:tabs>
          </w:pPr>
          <w:r>
            <w:rPr/>
            <w:t>2015.gada</w:t>
          </w:r>
          <w:r>
            <w:rPr>
              <w:spacing w:val="-4"/>
            </w:rPr>
            <w:t> </w:t>
          </w:r>
          <w:r>
            <w:rPr/>
            <w:t>1.marta</w:t>
            <w:tab/>
            <w:t>82</w:t>
          </w:r>
        </w:p>
        <w:p>
          <w:pPr>
            <w:pStyle w:val="TOC9"/>
            <w:numPr>
              <w:ilvl w:val="2"/>
              <w:numId w:val="1"/>
            </w:numPr>
            <w:tabs>
              <w:tab w:pos="1468" w:val="left" w:leader="none"/>
              <w:tab w:pos="8556" w:val="left" w:leader="dot"/>
            </w:tabs>
            <w:spacing w:line="240" w:lineRule="auto" w:before="0" w:after="0"/>
            <w:ind w:left="1467" w:right="887" w:hanging="421"/>
            <w:jc w:val="left"/>
          </w:pPr>
          <w:hyperlink w:history="true" w:anchor="_TOC_250051">
            <w:r>
              <w:rPr/>
              <w:t>Fizisko personu maksātnespējas procesu iedalījums atkarībā no tā, vai ir sastādīts ziņojums par mantas neesamību vai mantas</w:t>
            </w:r>
            <w:r>
              <w:rPr>
                <w:spacing w:val="-4"/>
              </w:rPr>
              <w:t> </w:t>
            </w:r>
            <w:r>
              <w:rPr/>
              <w:t>pārdošanas</w:t>
            </w:r>
            <w:r>
              <w:rPr>
                <w:spacing w:val="-3"/>
              </w:rPr>
              <w:t> </w:t>
            </w:r>
            <w:r>
              <w:rPr/>
              <w:t>plāns</w:t>
              <w:tab/>
            </w:r>
            <w:r>
              <w:rPr>
                <w:spacing w:val="-9"/>
              </w:rPr>
              <w:t>82</w:t>
            </w:r>
          </w:hyperlink>
        </w:p>
        <w:p>
          <w:pPr>
            <w:pStyle w:val="TOC9"/>
            <w:numPr>
              <w:ilvl w:val="2"/>
              <w:numId w:val="1"/>
            </w:numPr>
            <w:tabs>
              <w:tab w:pos="1468" w:val="left" w:leader="none"/>
              <w:tab w:pos="8557" w:val="left" w:leader="dot"/>
            </w:tabs>
            <w:spacing w:line="240" w:lineRule="auto" w:before="0" w:after="0"/>
            <w:ind w:left="1467" w:right="0" w:hanging="421"/>
            <w:jc w:val="left"/>
          </w:pPr>
          <w:hyperlink w:history="true" w:anchor="_TOC_250050">
            <w:r>
              <w:rPr/>
              <w:t>Saistību</w:t>
            </w:r>
            <w:r>
              <w:rPr>
                <w:spacing w:val="-1"/>
              </w:rPr>
              <w:t> </w:t>
            </w:r>
            <w:r>
              <w:rPr/>
              <w:t>apmērs</w:t>
              <w:tab/>
              <w:t>82</w:t>
            </w:r>
          </w:hyperlink>
        </w:p>
        <w:p>
          <w:pPr>
            <w:pStyle w:val="TOC9"/>
            <w:numPr>
              <w:ilvl w:val="2"/>
              <w:numId w:val="1"/>
            </w:numPr>
            <w:tabs>
              <w:tab w:pos="1468" w:val="left" w:leader="none"/>
              <w:tab w:pos="8558" w:val="left" w:leader="dot"/>
            </w:tabs>
            <w:spacing w:line="240" w:lineRule="auto" w:before="0" w:after="0"/>
            <w:ind w:left="1467" w:right="0" w:hanging="421"/>
            <w:jc w:val="left"/>
          </w:pPr>
          <w:hyperlink w:history="true" w:anchor="_TOC_250049">
            <w:r>
              <w:rPr/>
              <w:t>Kreditoru</w:t>
            </w:r>
            <w:r>
              <w:rPr>
                <w:spacing w:val="-4"/>
              </w:rPr>
              <w:t> </w:t>
            </w:r>
            <w:r>
              <w:rPr/>
              <w:t>skaits</w:t>
              <w:tab/>
              <w:t>83</w:t>
            </w:r>
          </w:hyperlink>
        </w:p>
        <w:p>
          <w:pPr>
            <w:pStyle w:val="TOC9"/>
            <w:numPr>
              <w:ilvl w:val="2"/>
              <w:numId w:val="1"/>
            </w:numPr>
            <w:tabs>
              <w:tab w:pos="1468" w:val="left" w:leader="none"/>
              <w:tab w:pos="8557" w:val="left" w:leader="dot"/>
            </w:tabs>
            <w:spacing w:line="240" w:lineRule="auto" w:before="1" w:after="0"/>
            <w:ind w:left="1467" w:right="0" w:hanging="421"/>
            <w:jc w:val="left"/>
          </w:pPr>
          <w:hyperlink w:history="true" w:anchor="_TOC_250048">
            <w:r>
              <w:rPr/>
              <w:t>Saistību dzēšanas</w:t>
            </w:r>
            <w:r>
              <w:rPr>
                <w:spacing w:val="-5"/>
              </w:rPr>
              <w:t> </w:t>
            </w:r>
            <w:r>
              <w:rPr/>
              <w:t>plāna</w:t>
            </w:r>
            <w:r>
              <w:rPr>
                <w:spacing w:val="-1"/>
              </w:rPr>
              <w:t> </w:t>
            </w:r>
            <w:r>
              <w:rPr/>
              <w:t>termiņš</w:t>
              <w:tab/>
              <w:t>84</w:t>
            </w:r>
          </w:hyperlink>
        </w:p>
        <w:p>
          <w:pPr>
            <w:pStyle w:val="TOC9"/>
            <w:numPr>
              <w:ilvl w:val="2"/>
              <w:numId w:val="1"/>
            </w:numPr>
            <w:tabs>
              <w:tab w:pos="1468" w:val="left" w:leader="none"/>
              <w:tab w:pos="8557" w:val="left" w:leader="dot"/>
            </w:tabs>
            <w:spacing w:line="240" w:lineRule="auto" w:before="0" w:after="0"/>
            <w:ind w:left="1467" w:right="0" w:hanging="421"/>
            <w:jc w:val="left"/>
          </w:pPr>
          <w:hyperlink w:history="true" w:anchor="_TOC_250047">
            <w:r>
              <w:rPr/>
              <w:t>Kreditoriem</w:t>
            </w:r>
            <w:r>
              <w:rPr>
                <w:spacing w:val="-1"/>
              </w:rPr>
              <w:t> </w:t>
            </w:r>
            <w:r>
              <w:rPr/>
              <w:t>maksājamā</w:t>
            </w:r>
            <w:r>
              <w:rPr>
                <w:spacing w:val="-1"/>
              </w:rPr>
              <w:t> </w:t>
            </w:r>
            <w:r>
              <w:rPr/>
              <w:t>summa</w:t>
              <w:tab/>
              <w:t>84</w:t>
            </w:r>
          </w:hyperlink>
        </w:p>
        <w:p>
          <w:pPr>
            <w:pStyle w:val="TOC9"/>
            <w:numPr>
              <w:ilvl w:val="2"/>
              <w:numId w:val="1"/>
            </w:numPr>
            <w:tabs>
              <w:tab w:pos="1468" w:val="left" w:leader="none"/>
              <w:tab w:pos="8557" w:val="left" w:leader="dot"/>
            </w:tabs>
            <w:spacing w:line="240" w:lineRule="auto" w:before="0" w:after="0"/>
            <w:ind w:left="1467" w:right="0" w:hanging="421"/>
            <w:jc w:val="left"/>
          </w:pPr>
          <w:hyperlink w:history="true" w:anchor="_TOC_250046">
            <w:r>
              <w:rPr/>
              <w:t>Parādnieka</w:t>
            </w:r>
            <w:r>
              <w:rPr>
                <w:spacing w:val="-3"/>
              </w:rPr>
              <w:t> </w:t>
            </w:r>
            <w:r>
              <w:rPr/>
              <w:t>dzimums</w:t>
              <w:tab/>
              <w:t>86</w:t>
            </w:r>
          </w:hyperlink>
        </w:p>
        <w:p>
          <w:pPr>
            <w:pStyle w:val="TOC9"/>
            <w:numPr>
              <w:ilvl w:val="2"/>
              <w:numId w:val="1"/>
            </w:numPr>
            <w:tabs>
              <w:tab w:pos="1468" w:val="left" w:leader="none"/>
              <w:tab w:pos="8557" w:val="left" w:leader="dot"/>
            </w:tabs>
            <w:spacing w:line="240" w:lineRule="auto" w:before="0" w:after="0"/>
            <w:ind w:left="1467" w:right="0" w:hanging="421"/>
            <w:jc w:val="left"/>
          </w:pPr>
          <w:r>
            <w:rPr/>
            <w:t>Tiesa</w:t>
          </w:r>
          <w:r>
            <w:rPr>
              <w:spacing w:val="-3"/>
            </w:rPr>
            <w:t> </w:t>
          </w:r>
          <w:r>
            <w:rPr/>
            <w:t>nolēmuma būtība</w:t>
            <w:tab/>
            <w:t>87</w:t>
          </w:r>
        </w:p>
        <w:p>
          <w:pPr>
            <w:pStyle w:val="TOC6"/>
            <w:numPr>
              <w:ilvl w:val="1"/>
              <w:numId w:val="1"/>
            </w:numPr>
            <w:tabs>
              <w:tab w:pos="1002" w:val="left" w:leader="none"/>
              <w:tab w:pos="8556" w:val="left" w:leader="dot"/>
            </w:tabs>
            <w:spacing w:line="240" w:lineRule="auto" w:before="0" w:after="0"/>
            <w:ind w:left="1001" w:right="0" w:hanging="241"/>
            <w:jc w:val="left"/>
          </w:pPr>
          <w:r>
            <w:rPr/>
            <w:t>Secinājumi no maksātnespējas</w:t>
          </w:r>
          <w:r>
            <w:rPr>
              <w:spacing w:val="-1"/>
            </w:rPr>
            <w:t> </w:t>
          </w:r>
          <w:r>
            <w:rPr/>
            <w:t>procesu</w:t>
          </w:r>
          <w:r>
            <w:rPr>
              <w:spacing w:val="-1"/>
            </w:rPr>
            <w:t> </w:t>
          </w:r>
          <w:r>
            <w:rPr/>
            <w:t>analīzes</w:t>
            <w:tab/>
            <w:t>88</w:t>
          </w:r>
        </w:p>
        <w:p>
          <w:pPr>
            <w:pStyle w:val="TOC4"/>
            <w:numPr>
              <w:ilvl w:val="0"/>
              <w:numId w:val="1"/>
            </w:numPr>
            <w:tabs>
              <w:tab w:pos="917" w:val="left" w:leader="none"/>
              <w:tab w:pos="8557" w:val="left" w:leader="dot"/>
            </w:tabs>
            <w:spacing w:line="240" w:lineRule="auto" w:before="0" w:after="0"/>
            <w:ind w:left="916" w:right="0" w:hanging="297"/>
            <w:jc w:val="left"/>
          </w:pPr>
          <w:r>
            <w:rPr/>
            <w:t>NODAĻA – APTAUJAS ANKETU REZULTĀTI</w:t>
            <w:tab/>
            <w:t>92</w:t>
          </w:r>
        </w:p>
        <w:p>
          <w:pPr>
            <w:pStyle w:val="TOC4"/>
            <w:numPr>
              <w:ilvl w:val="0"/>
              <w:numId w:val="1"/>
            </w:numPr>
            <w:tabs>
              <w:tab w:pos="934" w:val="left" w:leader="none"/>
              <w:tab w:pos="8556" w:val="left" w:leader="dot"/>
            </w:tabs>
            <w:spacing w:line="240" w:lineRule="auto" w:before="0" w:after="0"/>
            <w:ind w:left="933" w:right="0" w:hanging="314"/>
            <w:jc w:val="left"/>
          </w:pPr>
          <w:hyperlink w:history="true" w:anchor="_TOC_250045">
            <w:r>
              <w:rPr/>
              <w:t>NODAĻA –</w:t>
            </w:r>
            <w:r>
              <w:rPr>
                <w:spacing w:val="-3"/>
              </w:rPr>
              <w:t> </w:t>
            </w:r>
            <w:r>
              <w:rPr/>
              <w:t>ĀRVALSTU</w:t>
            </w:r>
            <w:r>
              <w:rPr>
                <w:spacing w:val="-1"/>
              </w:rPr>
              <w:t> </w:t>
            </w:r>
            <w:r>
              <w:rPr/>
              <w:t>PIEREDZE</w:t>
              <w:tab/>
              <w:t>99</w:t>
            </w:r>
          </w:hyperlink>
        </w:p>
        <w:p>
          <w:pPr>
            <w:pStyle w:val="TOC6"/>
            <w:numPr>
              <w:ilvl w:val="1"/>
              <w:numId w:val="1"/>
            </w:numPr>
            <w:tabs>
              <w:tab w:pos="1004" w:val="left" w:leader="none"/>
              <w:tab w:pos="8556" w:val="left" w:leader="dot"/>
            </w:tabs>
            <w:spacing w:line="240" w:lineRule="auto" w:before="0" w:after="0"/>
            <w:ind w:left="1004" w:right="0" w:hanging="243"/>
            <w:jc w:val="left"/>
          </w:pPr>
          <w:hyperlink w:history="true" w:anchor="_TOC_250044">
            <w:r>
              <w:rPr/>
              <w:t>Lielbritānija</w:t>
              <w:tab/>
              <w:t>99</w:t>
            </w:r>
          </w:hyperlink>
        </w:p>
        <w:p>
          <w:pPr>
            <w:pStyle w:val="TOC9"/>
            <w:numPr>
              <w:ilvl w:val="2"/>
              <w:numId w:val="1"/>
            </w:numPr>
            <w:tabs>
              <w:tab w:pos="1461" w:val="left" w:leader="none"/>
              <w:tab w:pos="8557" w:val="left" w:leader="dot"/>
            </w:tabs>
            <w:spacing w:line="240" w:lineRule="auto" w:before="0" w:after="0"/>
            <w:ind w:left="1460" w:right="0" w:hanging="421"/>
            <w:jc w:val="left"/>
          </w:pPr>
          <w:hyperlink w:history="true" w:anchor="_TOC_250043">
            <w:r>
              <w:rPr/>
              <w:t>Vispārējs apraksts par pieejamajām</w:t>
            </w:r>
            <w:r>
              <w:rPr>
                <w:spacing w:val="-4"/>
              </w:rPr>
              <w:t> </w:t>
            </w:r>
            <w:r>
              <w:rPr/>
              <w:t>maksātnespējas</w:t>
            </w:r>
            <w:r>
              <w:rPr>
                <w:spacing w:val="-4"/>
              </w:rPr>
              <w:t> </w:t>
            </w:r>
            <w:r>
              <w:rPr/>
              <w:t>procedūrām</w:t>
              <w:tab/>
              <w:t>99</w:t>
            </w:r>
          </w:hyperlink>
        </w:p>
        <w:p>
          <w:pPr>
            <w:pStyle w:val="TOC9"/>
            <w:numPr>
              <w:ilvl w:val="2"/>
              <w:numId w:val="1"/>
            </w:numPr>
            <w:tabs>
              <w:tab w:pos="1461" w:val="left" w:leader="none"/>
              <w:tab w:pos="8417" w:val="left" w:leader="dot"/>
            </w:tabs>
            <w:spacing w:line="240" w:lineRule="auto" w:before="0" w:after="0"/>
            <w:ind w:left="1460" w:right="0" w:hanging="421"/>
            <w:jc w:val="left"/>
          </w:pPr>
          <w:hyperlink w:history="true" w:anchor="_TOC_250042">
            <w:r>
              <w:rPr/>
              <w:t>Bankrota procedūra Anglijā</w:t>
            </w:r>
            <w:r>
              <w:rPr>
                <w:spacing w:val="-5"/>
              </w:rPr>
              <w:t> </w:t>
            </w:r>
            <w:r>
              <w:rPr/>
              <w:t>un Velsā</w:t>
              <w:tab/>
              <w:t>100</w:t>
            </w:r>
          </w:hyperlink>
        </w:p>
        <w:p>
          <w:pPr>
            <w:pStyle w:val="TOC9"/>
            <w:numPr>
              <w:ilvl w:val="2"/>
              <w:numId w:val="1"/>
            </w:numPr>
            <w:tabs>
              <w:tab w:pos="1463" w:val="left" w:leader="none"/>
              <w:tab w:pos="8418" w:val="left" w:leader="dot"/>
            </w:tabs>
            <w:spacing w:line="240" w:lineRule="auto" w:before="0" w:after="0"/>
            <w:ind w:left="1460" w:right="905" w:hanging="421"/>
            <w:jc w:val="left"/>
          </w:pPr>
          <w:hyperlink w:history="true" w:anchor="_TOC_250041">
            <w:r>
              <w:rPr/>
              <w:t>Individuālās  brīvprātīgās  vienošanās  ar  kreditoriem   par   parādu samaksu</w:t>
              <w:tab/>
            </w:r>
            <w:r>
              <w:rPr>
                <w:spacing w:val="-6"/>
              </w:rPr>
              <w:t>103</w:t>
            </w:r>
          </w:hyperlink>
        </w:p>
        <w:p>
          <w:pPr>
            <w:pStyle w:val="TOC9"/>
            <w:numPr>
              <w:ilvl w:val="2"/>
              <w:numId w:val="1"/>
            </w:numPr>
            <w:tabs>
              <w:tab w:pos="1461" w:val="left" w:leader="none"/>
              <w:tab w:pos="8418" w:val="left" w:leader="dot"/>
            </w:tabs>
            <w:spacing w:line="240" w:lineRule="auto" w:before="0" w:after="0"/>
            <w:ind w:left="1460" w:right="0" w:hanging="421"/>
            <w:jc w:val="left"/>
          </w:pPr>
          <w:r>
            <w:rPr/>
            <w:t>County Court tiesas</w:t>
          </w:r>
          <w:r>
            <w:rPr>
              <w:spacing w:val="-7"/>
            </w:rPr>
            <w:t> </w:t>
          </w:r>
          <w:r>
            <w:rPr/>
            <w:t>administrācijas</w:t>
          </w:r>
          <w:r>
            <w:rPr>
              <w:spacing w:val="-2"/>
            </w:rPr>
            <w:t> </w:t>
          </w:r>
          <w:r>
            <w:rPr/>
            <w:t>rīkojums</w:t>
            <w:tab/>
            <w:t>104</w:t>
          </w:r>
        </w:p>
        <w:p>
          <w:pPr>
            <w:pStyle w:val="TOC9"/>
            <w:numPr>
              <w:ilvl w:val="2"/>
              <w:numId w:val="1"/>
            </w:numPr>
            <w:tabs>
              <w:tab w:pos="1461" w:val="left" w:leader="none"/>
              <w:tab w:pos="8417" w:val="left" w:leader="dot"/>
            </w:tabs>
            <w:spacing w:line="240" w:lineRule="auto" w:before="0" w:after="0"/>
            <w:ind w:left="1460" w:right="0" w:hanging="421"/>
            <w:jc w:val="left"/>
          </w:pPr>
          <w:r>
            <w:rPr/>
            <w:t>Parādu</w:t>
          </w:r>
          <w:r>
            <w:rPr>
              <w:spacing w:val="-1"/>
            </w:rPr>
            <w:t> </w:t>
          </w:r>
          <w:r>
            <w:rPr/>
            <w:t>pārvaldības</w:t>
          </w:r>
          <w:r>
            <w:rPr>
              <w:spacing w:val="-1"/>
            </w:rPr>
            <w:t> </w:t>
          </w:r>
          <w:r>
            <w:rPr/>
            <w:t>plāns</w:t>
            <w:tab/>
            <w:t>105</w:t>
          </w:r>
        </w:p>
        <w:p>
          <w:pPr>
            <w:pStyle w:val="TOC9"/>
            <w:numPr>
              <w:ilvl w:val="2"/>
              <w:numId w:val="1"/>
            </w:numPr>
            <w:tabs>
              <w:tab w:pos="1461" w:val="left" w:leader="none"/>
              <w:tab w:pos="8418" w:val="left" w:leader="dot"/>
            </w:tabs>
            <w:spacing w:line="240" w:lineRule="auto" w:before="0" w:after="0"/>
            <w:ind w:left="1460" w:right="0" w:hanging="421"/>
            <w:jc w:val="left"/>
          </w:pPr>
          <w:r>
            <w:rPr/>
            <w:t>Parādu atvieglojuma</w:t>
          </w:r>
          <w:r>
            <w:rPr>
              <w:spacing w:val="-3"/>
            </w:rPr>
            <w:t> </w:t>
          </w:r>
          <w:r>
            <w:rPr/>
            <w:t>rīkojums</w:t>
            <w:tab/>
            <w:t>106</w:t>
          </w:r>
        </w:p>
        <w:p>
          <w:pPr>
            <w:pStyle w:val="TOC9"/>
            <w:numPr>
              <w:ilvl w:val="2"/>
              <w:numId w:val="1"/>
            </w:numPr>
            <w:tabs>
              <w:tab w:pos="1461" w:val="left" w:leader="none"/>
            </w:tabs>
            <w:spacing w:line="240" w:lineRule="auto" w:before="0" w:after="0"/>
            <w:ind w:left="1460" w:right="0" w:hanging="421"/>
            <w:jc w:val="left"/>
          </w:pPr>
          <w:r>
            <w:rPr/>
            <w:t>Priekšlikumi attiecībā uz tiesisko regulējumu, ko Latvija</w:t>
          </w:r>
          <w:r>
            <w:rPr>
              <w:spacing w:val="3"/>
            </w:rPr>
            <w:t> </w:t>
          </w:r>
          <w:r>
            <w:rPr/>
            <w:t>varētu</w:t>
          </w:r>
        </w:p>
        <w:p>
          <w:pPr>
            <w:tabs>
              <w:tab w:pos="8418" w:val="left" w:leader="dot"/>
            </w:tabs>
            <w:spacing w:before="0"/>
            <w:ind w:left="1460" w:right="0" w:firstLine="0"/>
            <w:jc w:val="left"/>
            <w:rPr>
              <w:sz w:val="24"/>
            </w:rPr>
          </w:pPr>
          <w:r>
            <w:rPr>
              <w:sz w:val="24"/>
            </w:rPr>
            <w:t>pārņemt</w:t>
          </w:r>
          <w:r>
            <w:rPr>
              <w:spacing w:val="-1"/>
              <w:sz w:val="24"/>
            </w:rPr>
            <w:t> </w:t>
          </w:r>
          <w:r>
            <w:rPr>
              <w:sz w:val="24"/>
            </w:rPr>
            <w:t>no</w:t>
          </w:r>
          <w:r>
            <w:rPr>
              <w:spacing w:val="1"/>
              <w:sz w:val="24"/>
            </w:rPr>
            <w:t> </w:t>
          </w:r>
          <w:r>
            <w:rPr>
              <w:sz w:val="24"/>
            </w:rPr>
            <w:t>Lielbritānijas</w:t>
            <w:tab/>
            <w:t>118</w:t>
          </w:r>
        </w:p>
        <w:p>
          <w:pPr>
            <w:pStyle w:val="TOC6"/>
            <w:numPr>
              <w:ilvl w:val="1"/>
              <w:numId w:val="1"/>
            </w:numPr>
            <w:tabs>
              <w:tab w:pos="1004" w:val="left" w:leader="none"/>
              <w:tab w:pos="8417" w:val="left" w:leader="dot"/>
            </w:tabs>
            <w:spacing w:line="240" w:lineRule="auto" w:before="0" w:after="0"/>
            <w:ind w:left="1004" w:right="0" w:hanging="243"/>
            <w:jc w:val="left"/>
          </w:pPr>
          <w:hyperlink w:history="true" w:anchor="_TOC_250040">
            <w:r>
              <w:rPr/>
              <w:t>Igaunija</w:t>
              <w:tab/>
              <w:t>120</w:t>
            </w:r>
          </w:hyperlink>
        </w:p>
        <w:p>
          <w:pPr>
            <w:pStyle w:val="TOC9"/>
            <w:numPr>
              <w:ilvl w:val="2"/>
              <w:numId w:val="1"/>
            </w:numPr>
            <w:tabs>
              <w:tab w:pos="1482" w:val="left" w:leader="none"/>
              <w:tab w:pos="8417" w:val="left" w:leader="dot"/>
            </w:tabs>
            <w:spacing w:line="240" w:lineRule="auto" w:before="0" w:after="0"/>
            <w:ind w:left="1481" w:right="0" w:hanging="421"/>
            <w:jc w:val="left"/>
          </w:pPr>
          <w:r>
            <w:rPr/>
            <w:t>Bankrota</w:t>
          </w:r>
          <w:r>
            <w:rPr>
              <w:spacing w:val="-1"/>
            </w:rPr>
            <w:t> </w:t>
          </w:r>
          <w:r>
            <w:rPr/>
            <w:t>procedūra</w:t>
            <w:tab/>
            <w:t>120</w:t>
          </w:r>
        </w:p>
        <w:p>
          <w:pPr>
            <w:pStyle w:val="TOC9"/>
            <w:numPr>
              <w:ilvl w:val="2"/>
              <w:numId w:val="1"/>
            </w:numPr>
            <w:tabs>
              <w:tab w:pos="1482" w:val="left" w:leader="none"/>
              <w:tab w:pos="8417" w:val="left" w:leader="dot"/>
            </w:tabs>
            <w:spacing w:line="240" w:lineRule="auto" w:before="0" w:after="0"/>
            <w:ind w:left="1481" w:right="0" w:hanging="421"/>
            <w:jc w:val="left"/>
          </w:pPr>
          <w:r>
            <w:rPr/>
            <w:t>Parādu</w:t>
          </w:r>
          <w:r>
            <w:rPr>
              <w:spacing w:val="-1"/>
            </w:rPr>
            <w:t> </w:t>
          </w:r>
          <w:r>
            <w:rPr/>
            <w:t>pārstrukturēšanas</w:t>
          </w:r>
          <w:r>
            <w:rPr>
              <w:spacing w:val="-4"/>
            </w:rPr>
            <w:t> </w:t>
          </w:r>
          <w:r>
            <w:rPr/>
            <w:t>procedūra</w:t>
            <w:tab/>
            <w:t>127</w:t>
          </w:r>
        </w:p>
        <w:p>
          <w:pPr>
            <w:pStyle w:val="TOC9"/>
            <w:numPr>
              <w:ilvl w:val="2"/>
              <w:numId w:val="1"/>
            </w:numPr>
            <w:tabs>
              <w:tab w:pos="1482" w:val="left" w:leader="none"/>
            </w:tabs>
            <w:spacing w:line="240" w:lineRule="auto" w:before="0" w:after="0"/>
            <w:ind w:left="1481" w:right="0" w:hanging="421"/>
            <w:jc w:val="left"/>
          </w:pPr>
          <w:r>
            <w:rPr/>
            <w:t>Priekšlikumi attiecībā uz tiesisko regulējumu, ko Latvija varētu</w:t>
          </w:r>
        </w:p>
        <w:p>
          <w:pPr>
            <w:tabs>
              <w:tab w:pos="8417" w:val="left" w:leader="dot"/>
            </w:tabs>
            <w:spacing w:before="0"/>
            <w:ind w:left="1481" w:right="0" w:firstLine="0"/>
            <w:jc w:val="left"/>
            <w:rPr>
              <w:sz w:val="24"/>
            </w:rPr>
          </w:pPr>
          <w:r>
            <w:rPr>
              <w:sz w:val="24"/>
            </w:rPr>
            <w:t>pārņemt</w:t>
          </w:r>
          <w:r>
            <w:rPr>
              <w:spacing w:val="-2"/>
              <w:sz w:val="24"/>
            </w:rPr>
            <w:t> </w:t>
          </w:r>
          <w:r>
            <w:rPr>
              <w:sz w:val="24"/>
            </w:rPr>
            <w:t>no</w:t>
          </w:r>
          <w:r>
            <w:rPr>
              <w:spacing w:val="1"/>
              <w:sz w:val="24"/>
            </w:rPr>
            <w:t> </w:t>
          </w:r>
          <w:r>
            <w:rPr>
              <w:sz w:val="24"/>
            </w:rPr>
            <w:t>Igaunijas</w:t>
            <w:tab/>
            <w:t>134</w:t>
          </w:r>
        </w:p>
        <w:p>
          <w:pPr>
            <w:pStyle w:val="TOC6"/>
            <w:numPr>
              <w:ilvl w:val="1"/>
              <w:numId w:val="1"/>
            </w:numPr>
            <w:tabs>
              <w:tab w:pos="1002" w:val="left" w:leader="none"/>
              <w:tab w:pos="8418" w:val="left" w:leader="dot"/>
            </w:tabs>
            <w:spacing w:line="240" w:lineRule="auto" w:before="0" w:after="0"/>
            <w:ind w:left="1001" w:right="0" w:hanging="241"/>
            <w:jc w:val="left"/>
          </w:pPr>
          <w:hyperlink w:history="true" w:anchor="_TOC_250039">
            <w:r>
              <w:rPr/>
              <w:t>Dānija</w:t>
              <w:tab/>
              <w:t>135</w:t>
            </w:r>
          </w:hyperlink>
        </w:p>
        <w:p>
          <w:pPr>
            <w:pStyle w:val="TOC9"/>
            <w:numPr>
              <w:ilvl w:val="2"/>
              <w:numId w:val="1"/>
            </w:numPr>
            <w:tabs>
              <w:tab w:pos="1482" w:val="left" w:leader="none"/>
              <w:tab w:pos="8418" w:val="left" w:leader="dot"/>
            </w:tabs>
            <w:spacing w:line="240" w:lineRule="auto" w:before="0" w:after="0"/>
            <w:ind w:left="1481" w:right="0" w:hanging="421"/>
            <w:jc w:val="left"/>
          </w:pPr>
          <w:hyperlink w:history="true" w:anchor="_TOC_250038">
            <w:r>
              <w:rPr/>
              <w:t>Vispārīgs apraksts</w:t>
              <w:tab/>
              <w:t>135</w:t>
            </w:r>
          </w:hyperlink>
        </w:p>
        <w:p>
          <w:pPr>
            <w:pStyle w:val="TOC9"/>
            <w:numPr>
              <w:ilvl w:val="2"/>
              <w:numId w:val="1"/>
            </w:numPr>
            <w:tabs>
              <w:tab w:pos="1482" w:val="left" w:leader="none"/>
              <w:tab w:pos="8417" w:val="left" w:leader="dot"/>
            </w:tabs>
            <w:spacing w:line="240" w:lineRule="auto" w:before="0" w:after="0"/>
            <w:ind w:left="1481" w:right="0" w:hanging="421"/>
            <w:jc w:val="left"/>
          </w:pPr>
          <w:hyperlink w:history="true" w:anchor="_TOC_250037">
            <w:r>
              <w:rPr/>
              <w:t>Bankrota</w:t>
            </w:r>
            <w:r>
              <w:rPr>
                <w:spacing w:val="-1"/>
              </w:rPr>
              <w:t> </w:t>
            </w:r>
            <w:r>
              <w:rPr/>
              <w:t>procedūra</w:t>
              <w:tab/>
              <w:t>135</w:t>
            </w:r>
          </w:hyperlink>
        </w:p>
        <w:p>
          <w:pPr>
            <w:pStyle w:val="TOC9"/>
            <w:numPr>
              <w:ilvl w:val="2"/>
              <w:numId w:val="1"/>
            </w:numPr>
            <w:tabs>
              <w:tab w:pos="1482" w:val="left" w:leader="none"/>
              <w:tab w:pos="8417" w:val="left" w:leader="dot"/>
            </w:tabs>
            <w:spacing w:line="240" w:lineRule="auto" w:before="0" w:after="0"/>
            <w:ind w:left="1481" w:right="0" w:hanging="421"/>
            <w:jc w:val="left"/>
          </w:pPr>
          <w:hyperlink w:history="true" w:anchor="_TOC_250036">
            <w:r>
              <w:rPr/>
              <w:t>Debt restructuring</w:t>
              <w:tab/>
              <w:t>136</w:t>
            </w:r>
          </w:hyperlink>
        </w:p>
        <w:p>
          <w:pPr>
            <w:pStyle w:val="TOC9"/>
            <w:numPr>
              <w:ilvl w:val="2"/>
              <w:numId w:val="1"/>
            </w:numPr>
            <w:tabs>
              <w:tab w:pos="1482" w:val="left" w:leader="none"/>
              <w:tab w:pos="8417" w:val="left" w:leader="dot"/>
            </w:tabs>
            <w:spacing w:line="240" w:lineRule="auto" w:before="0" w:after="0"/>
            <w:ind w:left="1481" w:right="0" w:hanging="421"/>
            <w:jc w:val="left"/>
          </w:pPr>
          <w:r>
            <w:rPr/>
            <w:t>Debt rescheduling</w:t>
            <w:tab/>
            <w:t>136</w:t>
          </w:r>
        </w:p>
        <w:p>
          <w:pPr>
            <w:pStyle w:val="TOC9"/>
            <w:numPr>
              <w:ilvl w:val="2"/>
              <w:numId w:val="1"/>
            </w:numPr>
            <w:tabs>
              <w:tab w:pos="1482" w:val="left" w:leader="none"/>
              <w:tab w:pos="8418" w:val="left" w:leader="dot"/>
            </w:tabs>
            <w:spacing w:line="240" w:lineRule="auto" w:before="0" w:after="0"/>
            <w:ind w:left="1481" w:right="0" w:hanging="421"/>
            <w:jc w:val="left"/>
          </w:pPr>
          <w:hyperlink w:history="true" w:anchor="_TOC_250035">
            <w:r>
              <w:rPr/>
              <w:t>Secinājumi par godprātības</w:t>
            </w:r>
            <w:r>
              <w:rPr>
                <w:spacing w:val="-2"/>
              </w:rPr>
              <w:t> </w:t>
            </w:r>
            <w:r>
              <w:rPr/>
              <w:t>kritēriju</w:t>
            </w:r>
            <w:r>
              <w:rPr>
                <w:spacing w:val="1"/>
              </w:rPr>
              <w:t> </w:t>
            </w:r>
            <w:r>
              <w:rPr/>
              <w:t>vērtēšanu</w:t>
              <w:tab/>
              <w:t>143</w:t>
            </w:r>
          </w:hyperlink>
        </w:p>
        <w:p>
          <w:pPr>
            <w:pStyle w:val="TOC9"/>
            <w:numPr>
              <w:ilvl w:val="2"/>
              <w:numId w:val="1"/>
            </w:numPr>
            <w:tabs>
              <w:tab w:pos="1482" w:val="left" w:leader="none"/>
            </w:tabs>
            <w:spacing w:line="240" w:lineRule="auto" w:before="0" w:after="0"/>
            <w:ind w:left="1481" w:right="0" w:hanging="421"/>
            <w:jc w:val="left"/>
          </w:pPr>
          <w:r>
            <w:rPr/>
            <w:t>Priekšlikumi attiecībā uz tiesisko regulējumu, ko Latvija varētu</w:t>
          </w:r>
        </w:p>
        <w:p>
          <w:pPr>
            <w:tabs>
              <w:tab w:pos="8418" w:val="left" w:leader="dot"/>
            </w:tabs>
            <w:spacing w:before="0"/>
            <w:ind w:left="1520" w:right="0" w:firstLine="0"/>
            <w:jc w:val="left"/>
            <w:rPr>
              <w:sz w:val="24"/>
            </w:rPr>
          </w:pPr>
          <w:r>
            <w:rPr>
              <w:sz w:val="24"/>
            </w:rPr>
            <w:t>pārņemt</w:t>
          </w:r>
          <w:r>
            <w:rPr>
              <w:spacing w:val="-1"/>
              <w:sz w:val="24"/>
            </w:rPr>
            <w:t> </w:t>
          </w:r>
          <w:r>
            <w:rPr>
              <w:sz w:val="24"/>
            </w:rPr>
            <w:t>no</w:t>
          </w:r>
          <w:r>
            <w:rPr>
              <w:spacing w:val="-1"/>
              <w:sz w:val="24"/>
            </w:rPr>
            <w:t> </w:t>
          </w:r>
          <w:r>
            <w:rPr>
              <w:sz w:val="24"/>
            </w:rPr>
            <w:t>Dānijas</w:t>
            <w:tab/>
            <w:t>144</w:t>
          </w:r>
        </w:p>
        <w:p>
          <w:pPr>
            <w:pStyle w:val="TOC6"/>
            <w:numPr>
              <w:ilvl w:val="1"/>
              <w:numId w:val="1"/>
            </w:numPr>
            <w:tabs>
              <w:tab w:pos="1002" w:val="left" w:leader="none"/>
              <w:tab w:pos="8418" w:val="left" w:leader="dot"/>
            </w:tabs>
            <w:spacing w:line="240" w:lineRule="auto" w:before="0" w:after="0"/>
            <w:ind w:left="1001" w:right="0" w:hanging="241"/>
            <w:jc w:val="left"/>
          </w:pPr>
          <w:hyperlink w:history="true" w:anchor="_TOC_250034">
            <w:r>
              <w:rPr/>
              <w:t>Vācija</w:t>
              <w:tab/>
              <w:t>145</w:t>
            </w:r>
          </w:hyperlink>
        </w:p>
        <w:p>
          <w:pPr>
            <w:pStyle w:val="TOC9"/>
            <w:numPr>
              <w:ilvl w:val="2"/>
              <w:numId w:val="1"/>
            </w:numPr>
            <w:tabs>
              <w:tab w:pos="1482" w:val="left" w:leader="none"/>
            </w:tabs>
            <w:spacing w:line="240" w:lineRule="auto" w:before="0" w:after="0"/>
            <w:ind w:left="1481" w:right="0" w:hanging="421"/>
            <w:jc w:val="left"/>
          </w:pPr>
          <w:r>
            <w:rPr/>
            <w:t>Vispārējs fiziskās personas maksātnespējas procesa</w:t>
          </w:r>
          <w:r>
            <w:rPr>
              <w:spacing w:val="-1"/>
            </w:rPr>
            <w:t> </w:t>
          </w:r>
          <w:r>
            <w:rPr/>
            <w:t>tiesiskā</w:t>
          </w:r>
        </w:p>
        <w:p>
          <w:pPr>
            <w:tabs>
              <w:tab w:pos="8418" w:val="left" w:leader="dot"/>
            </w:tabs>
            <w:spacing w:before="0"/>
            <w:ind w:left="1481" w:right="0" w:firstLine="0"/>
            <w:jc w:val="left"/>
            <w:rPr>
              <w:sz w:val="24"/>
            </w:rPr>
          </w:pPr>
          <w:r>
            <w:rPr>
              <w:sz w:val="24"/>
            </w:rPr>
            <w:t>regulējuma apraksts</w:t>
            <w:tab/>
            <w:t>145</w:t>
          </w:r>
        </w:p>
        <w:p>
          <w:pPr>
            <w:pStyle w:val="TOC9"/>
            <w:numPr>
              <w:ilvl w:val="2"/>
              <w:numId w:val="1"/>
            </w:numPr>
            <w:tabs>
              <w:tab w:pos="1482" w:val="left" w:leader="none"/>
              <w:tab w:pos="8416" w:val="left" w:leader="dot"/>
            </w:tabs>
            <w:spacing w:line="240" w:lineRule="auto" w:before="0" w:after="0"/>
            <w:ind w:left="1481" w:right="0" w:hanging="421"/>
            <w:jc w:val="left"/>
          </w:pPr>
          <w:hyperlink w:history="true" w:anchor="_TOC_250033">
            <w:r>
              <w:rPr/>
              <w:t>Parādnieka negodprātība maksātnespējas</w:t>
            </w:r>
            <w:r>
              <w:rPr>
                <w:spacing w:val="-7"/>
              </w:rPr>
              <w:t> </w:t>
            </w:r>
            <w:r>
              <w:rPr/>
              <w:t>cēloņu</w:t>
            </w:r>
            <w:r>
              <w:rPr>
                <w:spacing w:val="-1"/>
              </w:rPr>
              <w:t> </w:t>
            </w:r>
            <w:r>
              <w:rPr/>
              <w:t>aspektā</w:t>
              <w:tab/>
              <w:t>156</w:t>
            </w:r>
          </w:hyperlink>
        </w:p>
        <w:p>
          <w:pPr>
            <w:pStyle w:val="TOC9"/>
            <w:numPr>
              <w:ilvl w:val="2"/>
              <w:numId w:val="1"/>
            </w:numPr>
            <w:tabs>
              <w:tab w:pos="1482" w:val="left" w:leader="none"/>
              <w:tab w:pos="8416" w:val="left" w:leader="dot"/>
            </w:tabs>
            <w:spacing w:line="240" w:lineRule="auto" w:before="0" w:after="0"/>
            <w:ind w:left="1481" w:right="0" w:hanging="421"/>
            <w:jc w:val="left"/>
          </w:pPr>
          <w:hyperlink w:history="true" w:anchor="_TOC_250032">
            <w:r>
              <w:rPr/>
              <w:t>Parādnieka negodprātības elementi</w:t>
            </w:r>
            <w:r>
              <w:rPr>
                <w:spacing w:val="-6"/>
              </w:rPr>
              <w:t> </w:t>
            </w:r>
            <w:r>
              <w:rPr/>
              <w:t>un kritēriji</w:t>
              <w:tab/>
              <w:t>157</w:t>
            </w:r>
          </w:hyperlink>
        </w:p>
        <w:p>
          <w:pPr>
            <w:pStyle w:val="TOC9"/>
            <w:numPr>
              <w:ilvl w:val="2"/>
              <w:numId w:val="1"/>
            </w:numPr>
            <w:tabs>
              <w:tab w:pos="1482" w:val="left" w:leader="none"/>
              <w:tab w:pos="8418" w:val="left" w:leader="dot"/>
            </w:tabs>
            <w:spacing w:line="240" w:lineRule="auto" w:before="0" w:after="0"/>
            <w:ind w:left="1481" w:right="0" w:hanging="421"/>
            <w:jc w:val="left"/>
          </w:pPr>
          <w:hyperlink w:history="true" w:anchor="_TOC_250031">
            <w:r>
              <w:rPr/>
              <w:t>Parādnieka negodprātības elementu</w:t>
            </w:r>
            <w:r>
              <w:rPr>
                <w:spacing w:val="-6"/>
              </w:rPr>
              <w:t> </w:t>
            </w:r>
            <w:r>
              <w:rPr/>
              <w:t>konstatēšanas kārtība</w:t>
              <w:tab/>
              <w:t>163</w:t>
            </w:r>
          </w:hyperlink>
        </w:p>
        <w:p>
          <w:pPr>
            <w:pStyle w:val="TOC9"/>
            <w:numPr>
              <w:ilvl w:val="2"/>
              <w:numId w:val="1"/>
            </w:numPr>
            <w:tabs>
              <w:tab w:pos="1482" w:val="left" w:leader="none"/>
              <w:tab w:pos="8418" w:val="left" w:leader="dot"/>
            </w:tabs>
            <w:spacing w:line="240" w:lineRule="auto" w:before="0" w:after="0"/>
            <w:ind w:left="1481" w:right="0" w:hanging="421"/>
            <w:jc w:val="left"/>
          </w:pPr>
          <w:hyperlink w:history="true" w:anchor="_TOC_250030">
            <w:r>
              <w:rPr/>
              <w:t>Parādnieka negodprātības izvērtēšana pēc</w:t>
            </w:r>
            <w:r>
              <w:rPr>
                <w:spacing w:val="-8"/>
              </w:rPr>
              <w:t> </w:t>
            </w:r>
            <w:r>
              <w:rPr/>
              <w:t>tiesas iniciatīvas</w:t>
              <w:tab/>
              <w:t>164</w:t>
            </w:r>
          </w:hyperlink>
        </w:p>
        <w:p>
          <w:pPr>
            <w:pStyle w:val="TOC9"/>
            <w:numPr>
              <w:ilvl w:val="2"/>
              <w:numId w:val="1"/>
            </w:numPr>
            <w:tabs>
              <w:tab w:pos="1482" w:val="left" w:leader="none"/>
              <w:tab w:pos="8418" w:val="left" w:leader="dot"/>
            </w:tabs>
            <w:spacing w:line="240" w:lineRule="auto" w:before="0" w:after="20"/>
            <w:ind w:left="1481" w:right="0" w:hanging="421"/>
            <w:jc w:val="left"/>
          </w:pPr>
          <w:hyperlink w:history="true" w:anchor="_TOC_250029">
            <w:r>
              <w:rPr/>
              <w:t>Parādnieka ne(godprātības)</w:t>
            </w:r>
            <w:r>
              <w:rPr>
                <w:spacing w:val="-5"/>
              </w:rPr>
              <w:t> </w:t>
            </w:r>
            <w:r>
              <w:rPr/>
              <w:t>kontroles</w:t>
            </w:r>
            <w:r>
              <w:rPr>
                <w:spacing w:val="-1"/>
              </w:rPr>
              <w:t> </w:t>
            </w:r>
            <w:r>
              <w:rPr/>
              <w:t>mehānismi</w:t>
              <w:tab/>
              <w:t>166</w:t>
            </w:r>
          </w:hyperlink>
        </w:p>
        <w:p>
          <w:pPr>
            <w:pStyle w:val="TOC6"/>
            <w:numPr>
              <w:ilvl w:val="2"/>
              <w:numId w:val="1"/>
            </w:numPr>
            <w:tabs>
              <w:tab w:pos="1122" w:val="left" w:leader="none"/>
              <w:tab w:pos="8340" w:val="left" w:leader="dot"/>
            </w:tabs>
            <w:spacing w:line="240" w:lineRule="auto" w:before="73" w:after="0"/>
            <w:ind w:left="1121" w:right="0" w:hanging="421"/>
            <w:jc w:val="left"/>
          </w:pPr>
          <w:hyperlink w:history="true" w:anchor="_TOC_250028">
            <w:r>
              <w:rPr/>
              <w:t>Parādnieka negodprātības</w:t>
            </w:r>
            <w:r>
              <w:rPr>
                <w:spacing w:val="-7"/>
              </w:rPr>
              <w:t> </w:t>
            </w:r>
            <w:r>
              <w:rPr/>
              <w:t>tiesiskās</w:t>
            </w:r>
            <w:r>
              <w:rPr>
                <w:spacing w:val="-1"/>
              </w:rPr>
              <w:t> </w:t>
            </w:r>
            <w:r>
              <w:rPr/>
              <w:t>sekas</w:t>
              <w:tab/>
              <w:t>166</w:t>
            </w:r>
          </w:hyperlink>
        </w:p>
        <w:p>
          <w:pPr>
            <w:pStyle w:val="TOC6"/>
            <w:numPr>
              <w:ilvl w:val="2"/>
              <w:numId w:val="1"/>
            </w:numPr>
            <w:tabs>
              <w:tab w:pos="1122" w:val="left" w:leader="none"/>
              <w:tab w:pos="8340" w:val="left" w:leader="dot"/>
            </w:tabs>
            <w:spacing w:line="240" w:lineRule="auto" w:before="0" w:after="0"/>
            <w:ind w:left="1121" w:right="0" w:hanging="421"/>
            <w:jc w:val="left"/>
          </w:pPr>
          <w:hyperlink w:history="true" w:anchor="_TOC_250027">
            <w:r>
              <w:rPr/>
              <w:t>Parādnieka negodprātības identificēšanas</w:t>
            </w:r>
            <w:r>
              <w:rPr>
                <w:spacing w:val="-7"/>
              </w:rPr>
              <w:t> </w:t>
            </w:r>
            <w:r>
              <w:rPr/>
              <w:t>problemātiskie</w:t>
            </w:r>
            <w:r>
              <w:rPr>
                <w:spacing w:val="-3"/>
              </w:rPr>
              <w:t> </w:t>
            </w:r>
            <w:r>
              <w:rPr/>
              <w:t>aspekti</w:t>
              <w:tab/>
              <w:t>167</w:t>
            </w:r>
          </w:hyperlink>
        </w:p>
        <w:p>
          <w:pPr>
            <w:pStyle w:val="TOC6"/>
            <w:numPr>
              <w:ilvl w:val="2"/>
              <w:numId w:val="1"/>
            </w:numPr>
            <w:tabs>
              <w:tab w:pos="1122" w:val="left" w:leader="none"/>
              <w:tab w:pos="8340" w:val="left" w:leader="dot"/>
            </w:tabs>
            <w:spacing w:line="240" w:lineRule="auto" w:before="0" w:after="0"/>
            <w:ind w:left="1121" w:right="0" w:hanging="421"/>
            <w:jc w:val="left"/>
          </w:pPr>
          <w:hyperlink w:history="true" w:anchor="_TOC_250026">
            <w:r>
              <w:rPr/>
              <w:t>Atvieglots fiziskās personas</w:t>
            </w:r>
            <w:r>
              <w:rPr>
                <w:spacing w:val="-6"/>
              </w:rPr>
              <w:t> </w:t>
            </w:r>
            <w:r>
              <w:rPr/>
              <w:t>maksātnespējas</w:t>
            </w:r>
            <w:r>
              <w:rPr>
                <w:spacing w:val="-1"/>
              </w:rPr>
              <w:t> </w:t>
            </w:r>
            <w:r>
              <w:rPr/>
              <w:t>process</w:t>
              <w:tab/>
              <w:t>169</w:t>
            </w:r>
          </w:hyperlink>
        </w:p>
        <w:p>
          <w:pPr>
            <w:pStyle w:val="TOC4"/>
            <w:numPr>
              <w:ilvl w:val="2"/>
              <w:numId w:val="1"/>
            </w:numPr>
            <w:tabs>
              <w:tab w:pos="1122" w:val="left" w:leader="none"/>
            </w:tabs>
            <w:spacing w:line="240" w:lineRule="auto" w:before="0" w:after="0"/>
            <w:ind w:left="1121" w:right="0" w:hanging="541"/>
            <w:jc w:val="left"/>
          </w:pPr>
          <w:r>
            <w:rPr/>
            <w:t>Priekšlikumi attiecībā uz tiesisko regulējumu, ko Latvija varētu</w:t>
          </w:r>
        </w:p>
        <w:p>
          <w:pPr>
            <w:tabs>
              <w:tab w:pos="8341" w:val="left" w:leader="dot"/>
            </w:tabs>
            <w:spacing w:before="0"/>
            <w:ind w:left="1121" w:right="0" w:firstLine="0"/>
            <w:jc w:val="left"/>
            <w:rPr>
              <w:sz w:val="24"/>
            </w:rPr>
          </w:pPr>
          <w:r>
            <w:rPr>
              <w:sz w:val="24"/>
            </w:rPr>
            <w:t>pārņemt</w:t>
          </w:r>
          <w:r>
            <w:rPr>
              <w:spacing w:val="-1"/>
              <w:sz w:val="24"/>
            </w:rPr>
            <w:t> </w:t>
          </w:r>
          <w:r>
            <w:rPr>
              <w:sz w:val="24"/>
            </w:rPr>
            <w:t>no Vācijas</w:t>
            <w:tab/>
            <w:t>171</w:t>
          </w:r>
        </w:p>
        <w:p>
          <w:pPr>
            <w:pStyle w:val="TOC1"/>
            <w:numPr>
              <w:ilvl w:val="0"/>
              <w:numId w:val="1"/>
            </w:numPr>
            <w:tabs>
              <w:tab w:pos="495" w:val="left" w:leader="none"/>
              <w:tab w:pos="8340" w:val="left" w:leader="dot"/>
            </w:tabs>
            <w:spacing w:line="240" w:lineRule="auto" w:before="0" w:after="0"/>
            <w:ind w:left="494" w:right="0" w:hanging="235"/>
            <w:jc w:val="left"/>
          </w:pPr>
          <w:r>
            <w:rPr/>
            <w:t>NODAĻA – NOZARES PĀRSTĀVJU</w:t>
          </w:r>
          <w:r>
            <w:rPr>
              <w:spacing w:val="-4"/>
            </w:rPr>
            <w:t> </w:t>
          </w:r>
          <w:r>
            <w:rPr/>
            <w:t>IDENTIFICĒTĀS</w:t>
          </w:r>
          <w:r>
            <w:rPr>
              <w:spacing w:val="-3"/>
            </w:rPr>
            <w:t> </w:t>
          </w:r>
          <w:r>
            <w:rPr/>
            <w:t>PROBLĒMAS</w:t>
            <w:tab/>
            <w:t>173</w:t>
          </w:r>
        </w:p>
        <w:p>
          <w:pPr>
            <w:pStyle w:val="TOC1"/>
            <w:numPr>
              <w:ilvl w:val="0"/>
              <w:numId w:val="1"/>
            </w:numPr>
            <w:tabs>
              <w:tab w:pos="574" w:val="left" w:leader="none"/>
              <w:tab w:pos="8341" w:val="left" w:leader="dot"/>
            </w:tabs>
            <w:spacing w:line="240" w:lineRule="auto" w:before="0" w:after="0"/>
            <w:ind w:left="573" w:right="0" w:hanging="314"/>
            <w:jc w:val="left"/>
          </w:pPr>
          <w:r>
            <w:rPr/>
            <w:t>NODAĻA - KONSTATĒTO</w:t>
          </w:r>
          <w:r>
            <w:rPr>
              <w:spacing w:val="-4"/>
            </w:rPr>
            <w:t> </w:t>
          </w:r>
          <w:r>
            <w:rPr/>
            <w:t>PROBLĒMJAUTĀJUMU</w:t>
          </w:r>
          <w:r>
            <w:rPr>
              <w:spacing w:val="-2"/>
            </w:rPr>
            <w:t> </w:t>
          </w:r>
          <w:r>
            <w:rPr/>
            <w:t>ANALĪZE</w:t>
            <w:tab/>
            <w:t>175</w:t>
          </w:r>
        </w:p>
        <w:p>
          <w:pPr>
            <w:pStyle w:val="TOC2"/>
            <w:numPr>
              <w:ilvl w:val="1"/>
              <w:numId w:val="1"/>
            </w:numPr>
            <w:tabs>
              <w:tab w:pos="800" w:val="left" w:leader="none"/>
              <w:tab w:pos="8340" w:val="left" w:leader="dot"/>
            </w:tabs>
            <w:spacing w:line="240" w:lineRule="auto" w:before="0" w:after="0"/>
            <w:ind w:left="800" w:right="0" w:hanging="360"/>
            <w:jc w:val="left"/>
          </w:pPr>
          <w:hyperlink w:history="true" w:anchor="_TOC_250025">
            <w:r>
              <w:rPr/>
              <w:t>Patieso ienākumu slēpšana</w:t>
              <w:tab/>
              <w:t>175</w:t>
            </w:r>
          </w:hyperlink>
        </w:p>
        <w:p>
          <w:pPr>
            <w:pStyle w:val="TOC2"/>
            <w:numPr>
              <w:ilvl w:val="1"/>
              <w:numId w:val="1"/>
            </w:numPr>
            <w:tabs>
              <w:tab w:pos="800" w:val="left" w:leader="none"/>
            </w:tabs>
            <w:spacing w:line="240" w:lineRule="auto" w:before="0" w:after="0"/>
            <w:ind w:left="800" w:right="0" w:hanging="360"/>
            <w:jc w:val="left"/>
          </w:pPr>
          <w:hyperlink w:history="true" w:anchor="_TOC_250024">
            <w:r>
              <w:rPr/>
              <w:t>Motivācijas trūkums gūt lielākus ienākumus saistību</w:t>
            </w:r>
            <w:r>
              <w:rPr>
                <w:spacing w:val="2"/>
              </w:rPr>
              <w:t> </w:t>
            </w:r>
            <w:r>
              <w:rPr/>
              <w:t>dzēšanas</w:t>
            </w:r>
          </w:hyperlink>
        </w:p>
        <w:p>
          <w:pPr>
            <w:pStyle w:val="TOC7"/>
            <w:tabs>
              <w:tab w:pos="8340" w:val="left" w:leader="dot"/>
            </w:tabs>
          </w:pPr>
          <w:hyperlink w:history="true" w:anchor="_TOC_250023">
            <w:r>
              <w:rPr/>
              <w:t>procedūras</w:t>
            </w:r>
            <w:r>
              <w:rPr>
                <w:spacing w:val="-1"/>
              </w:rPr>
              <w:t> </w:t>
            </w:r>
            <w:r>
              <w:rPr/>
              <w:t>laikā</w:t>
              <w:tab/>
              <w:t>178</w:t>
            </w:r>
          </w:hyperlink>
        </w:p>
        <w:p>
          <w:pPr>
            <w:pStyle w:val="TOC2"/>
            <w:numPr>
              <w:ilvl w:val="1"/>
              <w:numId w:val="1"/>
            </w:numPr>
            <w:tabs>
              <w:tab w:pos="800" w:val="left" w:leader="none"/>
              <w:tab w:pos="8340" w:val="left" w:leader="dot"/>
            </w:tabs>
            <w:spacing w:line="240" w:lineRule="auto" w:before="0" w:after="0"/>
            <w:ind w:left="800" w:right="0" w:hanging="360"/>
            <w:jc w:val="left"/>
          </w:pPr>
          <w:r>
            <w:rPr/>
            <w:t>Saistību dzēšanas procedūras termiņi un kreditoriem</w:t>
          </w:r>
          <w:r>
            <w:rPr>
              <w:spacing w:val="-5"/>
            </w:rPr>
            <w:t> </w:t>
          </w:r>
          <w:r>
            <w:rPr/>
            <w:t>maksājamā</w:t>
          </w:r>
          <w:r>
            <w:rPr>
              <w:spacing w:val="-1"/>
            </w:rPr>
            <w:t> </w:t>
          </w:r>
          <w:r>
            <w:rPr/>
            <w:t>summa</w:t>
            <w:tab/>
            <w:t>181</w:t>
          </w:r>
        </w:p>
        <w:p>
          <w:pPr>
            <w:pStyle w:val="TOC7"/>
            <w:numPr>
              <w:ilvl w:val="2"/>
              <w:numId w:val="1"/>
            </w:numPr>
            <w:tabs>
              <w:tab w:pos="1221" w:val="left" w:leader="none"/>
              <w:tab w:pos="8341" w:val="left" w:leader="dot"/>
            </w:tabs>
            <w:spacing w:line="240" w:lineRule="auto" w:before="0" w:after="0"/>
            <w:ind w:left="1220" w:right="0" w:hanging="421"/>
            <w:jc w:val="left"/>
          </w:pPr>
          <w:hyperlink w:history="true" w:anchor="_TOC_250022">
            <w:r>
              <w:rPr/>
              <w:t>Saistību dzēšanas</w:t>
            </w:r>
            <w:r>
              <w:rPr>
                <w:spacing w:val="-5"/>
              </w:rPr>
              <w:t> </w:t>
            </w:r>
            <w:r>
              <w:rPr/>
              <w:t>procedūras termiņš</w:t>
              <w:tab/>
              <w:t>182</w:t>
            </w:r>
          </w:hyperlink>
        </w:p>
        <w:p>
          <w:pPr>
            <w:pStyle w:val="TOC7"/>
            <w:numPr>
              <w:ilvl w:val="2"/>
              <w:numId w:val="1"/>
            </w:numPr>
            <w:tabs>
              <w:tab w:pos="1221" w:val="left" w:leader="none"/>
              <w:tab w:pos="8340" w:val="left" w:leader="dot"/>
            </w:tabs>
            <w:spacing w:line="240" w:lineRule="auto" w:before="1" w:after="0"/>
            <w:ind w:left="1220" w:right="0" w:hanging="421"/>
            <w:jc w:val="left"/>
          </w:pPr>
          <w:hyperlink w:history="true" w:anchor="_TOC_250021">
            <w:r>
              <w:rPr/>
              <w:t>Maksājumi kreditoriem saistību dzēšanas</w:t>
            </w:r>
            <w:r>
              <w:rPr>
                <w:spacing w:val="-6"/>
              </w:rPr>
              <w:t> </w:t>
            </w:r>
            <w:r>
              <w:rPr/>
              <w:t>procedūras</w:t>
            </w:r>
            <w:r>
              <w:rPr>
                <w:spacing w:val="-1"/>
              </w:rPr>
              <w:t> </w:t>
            </w:r>
            <w:r>
              <w:rPr/>
              <w:t>laikā</w:t>
              <w:tab/>
              <w:t>184</w:t>
            </w:r>
          </w:hyperlink>
        </w:p>
        <w:p>
          <w:pPr>
            <w:pStyle w:val="TOC2"/>
            <w:numPr>
              <w:ilvl w:val="1"/>
              <w:numId w:val="1"/>
            </w:numPr>
            <w:tabs>
              <w:tab w:pos="800" w:val="left" w:leader="none"/>
              <w:tab w:pos="8341" w:val="left" w:leader="dot"/>
            </w:tabs>
            <w:spacing w:line="240" w:lineRule="auto" w:before="0" w:after="0"/>
            <w:ind w:left="800" w:right="0" w:hanging="360"/>
            <w:jc w:val="left"/>
          </w:pPr>
          <w:hyperlink w:history="true" w:anchor="_TOC_250020">
            <w:r>
              <w:rPr/>
              <w:t>Neapdomīga vai negodprātīga</w:t>
            </w:r>
            <w:r>
              <w:rPr>
                <w:spacing w:val="-5"/>
              </w:rPr>
              <w:t> </w:t>
            </w:r>
            <w:r>
              <w:rPr/>
              <w:t>saistību uzņemšanās</w:t>
              <w:tab/>
              <w:t>186</w:t>
            </w:r>
          </w:hyperlink>
        </w:p>
        <w:p>
          <w:pPr>
            <w:pStyle w:val="TOC2"/>
            <w:numPr>
              <w:ilvl w:val="1"/>
              <w:numId w:val="1"/>
            </w:numPr>
            <w:tabs>
              <w:tab w:pos="800" w:val="left" w:leader="none"/>
              <w:tab w:pos="8340" w:val="left" w:leader="dot"/>
            </w:tabs>
            <w:spacing w:line="240" w:lineRule="auto" w:before="0" w:after="0"/>
            <w:ind w:left="800" w:right="984" w:hanging="360"/>
            <w:jc w:val="left"/>
          </w:pPr>
          <w:hyperlink w:history="true" w:anchor="_TOC_250019">
            <w:r>
              <w:rPr/>
              <w:t>Parādnieka negodprātība plašākā nozīmē (mantas slēpšana vai nobēdzināšana, nepatiesas informācijas</w:t>
            </w:r>
            <w:r>
              <w:rPr>
                <w:spacing w:val="-2"/>
              </w:rPr>
              <w:t> </w:t>
            </w:r>
            <w:r>
              <w:rPr/>
              <w:t>sniegšana u.c.)</w:t>
              <w:tab/>
            </w:r>
            <w:r>
              <w:rPr>
                <w:spacing w:val="-6"/>
              </w:rPr>
              <w:t>189</w:t>
            </w:r>
          </w:hyperlink>
        </w:p>
        <w:p>
          <w:pPr>
            <w:pStyle w:val="TOC2"/>
            <w:numPr>
              <w:ilvl w:val="1"/>
              <w:numId w:val="1"/>
            </w:numPr>
            <w:tabs>
              <w:tab w:pos="800" w:val="left" w:leader="none"/>
            </w:tabs>
            <w:spacing w:line="240" w:lineRule="auto" w:before="0" w:after="0"/>
            <w:ind w:left="800" w:right="0" w:hanging="360"/>
            <w:jc w:val="left"/>
          </w:pPr>
          <w:r>
            <w:rPr/>
            <w:t>Būtiski samazinājies uzsākto maksātnespējas procesu skaits</w:t>
          </w:r>
          <w:r>
            <w:rPr>
              <w:spacing w:val="-1"/>
            </w:rPr>
            <w:t> </w:t>
          </w:r>
          <w:r>
            <w:rPr/>
            <w:t>2018.gadā</w:t>
          </w:r>
        </w:p>
        <w:p>
          <w:pPr>
            <w:pStyle w:val="TOC7"/>
            <w:tabs>
              <w:tab w:pos="8341" w:val="left" w:leader="dot"/>
            </w:tabs>
            <w:ind w:right="982"/>
          </w:pPr>
          <w:r>
            <w:rPr/>
            <w:t>un “tipiskā” fiziskās personas maksātnespējas procesa subjekta maiņa – vai nepieciešama NINA (no-income</w:t>
          </w:r>
          <w:r>
            <w:rPr>
              <w:spacing w:val="-5"/>
            </w:rPr>
            <w:t> </w:t>
          </w:r>
          <w:r>
            <w:rPr/>
            <w:t>no-asset)</w:t>
          </w:r>
          <w:r>
            <w:rPr>
              <w:spacing w:val="-4"/>
            </w:rPr>
            <w:t> </w:t>
          </w:r>
          <w:r>
            <w:rPr/>
            <w:t>procedūra?</w:t>
            <w:tab/>
          </w:r>
          <w:r>
            <w:rPr>
              <w:spacing w:val="-6"/>
            </w:rPr>
            <w:t>191</w:t>
          </w:r>
        </w:p>
        <w:p>
          <w:pPr>
            <w:pStyle w:val="TOC2"/>
            <w:numPr>
              <w:ilvl w:val="1"/>
              <w:numId w:val="1"/>
            </w:numPr>
            <w:tabs>
              <w:tab w:pos="800" w:val="left" w:leader="none"/>
              <w:tab w:pos="8341" w:val="left" w:leader="dot"/>
            </w:tabs>
            <w:spacing w:line="240" w:lineRule="auto" w:before="0" w:after="0"/>
            <w:ind w:left="800" w:right="0" w:hanging="360"/>
            <w:jc w:val="left"/>
          </w:pPr>
          <w:hyperlink w:history="true" w:anchor="_TOC_250018">
            <w:r>
              <w:rPr/>
              <w:t>Novēloti uzsākti</w:t>
            </w:r>
            <w:r>
              <w:rPr>
                <w:spacing w:val="1"/>
              </w:rPr>
              <w:t> </w:t>
            </w:r>
            <w:r>
              <w:rPr/>
              <w:t>maksātnespējas</w:t>
            </w:r>
            <w:r>
              <w:rPr>
                <w:spacing w:val="-4"/>
              </w:rPr>
              <w:t> </w:t>
            </w:r>
            <w:r>
              <w:rPr/>
              <w:t>procesi</w:t>
              <w:tab/>
              <w:t>195</w:t>
            </w:r>
          </w:hyperlink>
        </w:p>
        <w:p>
          <w:pPr>
            <w:pStyle w:val="TOC6"/>
            <w:numPr>
              <w:ilvl w:val="2"/>
              <w:numId w:val="1"/>
            </w:numPr>
            <w:tabs>
              <w:tab w:pos="1114" w:val="left" w:leader="none"/>
              <w:tab w:pos="8342" w:val="left" w:leader="dot"/>
            </w:tabs>
            <w:spacing w:line="240" w:lineRule="auto" w:before="0" w:after="0"/>
            <w:ind w:left="1113" w:right="0" w:hanging="362"/>
            <w:jc w:val="left"/>
          </w:pPr>
          <w:hyperlink w:history="true" w:anchor="_TOC_250017">
            <w:r>
              <w:rPr/>
              <w:t>Kreditora</w:t>
            </w:r>
            <w:r>
              <w:rPr>
                <w:spacing w:val="-5"/>
              </w:rPr>
              <w:t> </w:t>
            </w:r>
            <w:r>
              <w:rPr/>
              <w:t>pieteikums</w:t>
              <w:tab/>
              <w:t>195</w:t>
            </w:r>
          </w:hyperlink>
        </w:p>
        <w:p>
          <w:pPr>
            <w:pStyle w:val="TOC6"/>
            <w:numPr>
              <w:ilvl w:val="2"/>
              <w:numId w:val="1"/>
            </w:numPr>
            <w:tabs>
              <w:tab w:pos="1114" w:val="left" w:leader="none"/>
              <w:tab w:pos="8341" w:val="left" w:leader="dot"/>
            </w:tabs>
            <w:spacing w:line="240" w:lineRule="auto" w:before="0" w:after="0"/>
            <w:ind w:left="1113" w:right="0" w:hanging="362"/>
            <w:jc w:val="left"/>
          </w:pPr>
          <w:hyperlink w:history="true" w:anchor="_TOC_250016">
            <w:r>
              <w:rPr/>
              <w:t>Saistību</w:t>
            </w:r>
            <w:r>
              <w:rPr>
                <w:spacing w:val="-1"/>
              </w:rPr>
              <w:t> </w:t>
            </w:r>
            <w:r>
              <w:rPr/>
              <w:t>restrukturizācijas</w:t>
            </w:r>
            <w:r>
              <w:rPr>
                <w:spacing w:val="-1"/>
              </w:rPr>
              <w:t> </w:t>
            </w:r>
            <w:r>
              <w:rPr/>
              <w:t>procedūra</w:t>
              <w:tab/>
              <w:t>197</w:t>
            </w:r>
          </w:hyperlink>
        </w:p>
        <w:p>
          <w:pPr>
            <w:pStyle w:val="TOC6"/>
            <w:numPr>
              <w:ilvl w:val="2"/>
              <w:numId w:val="1"/>
            </w:numPr>
            <w:tabs>
              <w:tab w:pos="1114" w:val="left" w:leader="none"/>
            </w:tabs>
            <w:spacing w:line="240" w:lineRule="auto" w:before="0" w:after="0"/>
            <w:ind w:left="1113" w:right="0" w:hanging="362"/>
            <w:jc w:val="left"/>
          </w:pPr>
          <w:r>
            <w:rPr/>
            <w:t>Atvieglota maksātnespējas procedūra parādniekiem</w:t>
          </w:r>
          <w:r>
            <w:rPr>
              <w:spacing w:val="-6"/>
            </w:rPr>
            <w:t> </w:t>
          </w:r>
          <w:r>
            <w:rPr/>
            <w:t>ar</w:t>
          </w:r>
        </w:p>
        <w:p>
          <w:pPr>
            <w:tabs>
              <w:tab w:pos="8341" w:val="left" w:leader="dot"/>
            </w:tabs>
            <w:spacing w:before="0"/>
            <w:ind w:left="1112" w:right="0" w:firstLine="0"/>
            <w:jc w:val="left"/>
            <w:rPr>
              <w:sz w:val="24"/>
            </w:rPr>
          </w:pPr>
          <w:r>
            <w:rPr>
              <w:sz w:val="24"/>
            </w:rPr>
            <w:t>vērtīgiem</w:t>
          </w:r>
          <w:r>
            <w:rPr>
              <w:spacing w:val="-1"/>
              <w:sz w:val="24"/>
            </w:rPr>
            <w:t> </w:t>
          </w:r>
          <w:r>
            <w:rPr>
              <w:sz w:val="24"/>
            </w:rPr>
            <w:t>aktīviem</w:t>
            <w:tab/>
            <w:t>197</w:t>
          </w:r>
        </w:p>
        <w:p>
          <w:pPr>
            <w:pStyle w:val="TOC6"/>
            <w:numPr>
              <w:ilvl w:val="2"/>
              <w:numId w:val="1"/>
            </w:numPr>
            <w:tabs>
              <w:tab w:pos="1114" w:val="left" w:leader="none"/>
              <w:tab w:pos="8340" w:val="left" w:leader="dot"/>
            </w:tabs>
            <w:spacing w:line="240" w:lineRule="auto" w:before="0" w:after="0"/>
            <w:ind w:left="1113" w:right="0" w:hanging="362"/>
            <w:jc w:val="left"/>
          </w:pPr>
          <w:hyperlink w:history="true" w:anchor="_TOC_250015">
            <w:r>
              <w:rPr/>
              <w:t>Mehānisms pakāpeniskai nedzēšamo</w:t>
            </w:r>
            <w:r>
              <w:rPr>
                <w:spacing w:val="-2"/>
              </w:rPr>
              <w:t> </w:t>
            </w:r>
            <w:r>
              <w:rPr/>
              <w:t>saistību</w:t>
            </w:r>
            <w:r>
              <w:rPr>
                <w:spacing w:val="-1"/>
              </w:rPr>
              <w:t> </w:t>
            </w:r>
            <w:r>
              <w:rPr/>
              <w:t>izpildei</w:t>
              <w:tab/>
              <w:t>198</w:t>
            </w:r>
          </w:hyperlink>
        </w:p>
        <w:p>
          <w:pPr>
            <w:pStyle w:val="TOC2"/>
            <w:numPr>
              <w:ilvl w:val="1"/>
              <w:numId w:val="1"/>
            </w:numPr>
            <w:tabs>
              <w:tab w:pos="800" w:val="left" w:leader="none"/>
              <w:tab w:pos="8341" w:val="left" w:leader="dot"/>
            </w:tabs>
            <w:spacing w:line="240" w:lineRule="auto" w:before="0" w:after="0"/>
            <w:ind w:left="800" w:right="0" w:hanging="360"/>
            <w:jc w:val="left"/>
          </w:pPr>
          <w:hyperlink w:history="true" w:anchor="_TOC_250014">
            <w:r>
              <w:rPr/>
              <w:t>Maksātnespējas procesa pieejamība (procesa</w:t>
            </w:r>
            <w:r>
              <w:rPr>
                <w:spacing w:val="-4"/>
              </w:rPr>
              <w:t> </w:t>
            </w:r>
            <w:r>
              <w:rPr/>
              <w:t>izmaksas u.c.)</w:t>
              <w:tab/>
              <w:t>199</w:t>
            </w:r>
          </w:hyperlink>
        </w:p>
        <w:p>
          <w:pPr>
            <w:pStyle w:val="TOC2"/>
            <w:numPr>
              <w:ilvl w:val="1"/>
              <w:numId w:val="1"/>
            </w:numPr>
            <w:tabs>
              <w:tab w:pos="800" w:val="left" w:leader="none"/>
              <w:tab w:pos="8340" w:val="left" w:leader="dot"/>
            </w:tabs>
            <w:spacing w:line="240" w:lineRule="auto" w:before="0" w:after="0"/>
            <w:ind w:left="800" w:right="983" w:hanging="360"/>
            <w:jc w:val="left"/>
          </w:pPr>
          <w:r>
            <w:rPr/>
            <w:t>Dažāda izpratne par procesā iesaistīto personu – kreditoru, maksātnespējas procesa administratoru un tiesnešu lomu un uzdevumiem</w:t>
            <w:tab/>
          </w:r>
          <w:r>
            <w:rPr>
              <w:spacing w:val="-6"/>
            </w:rPr>
            <w:t>201</w:t>
          </w:r>
        </w:p>
        <w:p>
          <w:pPr>
            <w:pStyle w:val="TOC1"/>
            <w:numPr>
              <w:ilvl w:val="1"/>
              <w:numId w:val="1"/>
            </w:numPr>
            <w:tabs>
              <w:tab w:pos="799" w:val="left" w:leader="none"/>
              <w:tab w:pos="800" w:val="left" w:leader="none"/>
              <w:tab w:pos="8341" w:val="left" w:leader="dot"/>
            </w:tabs>
            <w:spacing w:line="240" w:lineRule="auto" w:before="0" w:after="0"/>
            <w:ind w:left="800" w:right="0" w:hanging="540"/>
            <w:jc w:val="left"/>
          </w:pPr>
          <w:hyperlink w:history="true" w:anchor="_TOC_250013">
            <w:r>
              <w:rPr/>
              <w:t>Vienotas tiesu</w:t>
            </w:r>
            <w:r>
              <w:rPr>
                <w:spacing w:val="-3"/>
              </w:rPr>
              <w:t> </w:t>
            </w:r>
            <w:r>
              <w:rPr/>
              <w:t>prakses</w:t>
            </w:r>
            <w:r>
              <w:rPr>
                <w:spacing w:val="-3"/>
              </w:rPr>
              <w:t> </w:t>
            </w:r>
            <w:r>
              <w:rPr/>
              <w:t>trūkums</w:t>
              <w:tab/>
              <w:t>203</w:t>
            </w:r>
          </w:hyperlink>
        </w:p>
        <w:p>
          <w:pPr>
            <w:pStyle w:val="TOC1"/>
            <w:numPr>
              <w:ilvl w:val="0"/>
              <w:numId w:val="1"/>
            </w:numPr>
            <w:tabs>
              <w:tab w:pos="653" w:val="left" w:leader="none"/>
              <w:tab w:pos="8340" w:val="left" w:leader="dot"/>
            </w:tabs>
            <w:spacing w:line="240" w:lineRule="auto" w:before="0" w:after="0"/>
            <w:ind w:left="652" w:right="0" w:hanging="393"/>
            <w:jc w:val="left"/>
          </w:pPr>
          <w:hyperlink w:history="true" w:anchor="_TOC_250012">
            <w:r>
              <w:rPr/>
              <w:t>NODAĻA –</w:t>
            </w:r>
            <w:r>
              <w:rPr>
                <w:spacing w:val="-2"/>
              </w:rPr>
              <w:t> </w:t>
            </w:r>
            <w:r>
              <w:rPr/>
              <w:t>PRIEKŠLIKUMU</w:t>
            </w:r>
            <w:r>
              <w:rPr>
                <w:spacing w:val="-1"/>
              </w:rPr>
              <w:t> </w:t>
            </w:r>
            <w:r>
              <w:rPr/>
              <w:t>APKOPOJUMS</w:t>
              <w:tab/>
              <w:t>205</w:t>
            </w:r>
          </w:hyperlink>
        </w:p>
        <w:p>
          <w:pPr>
            <w:pStyle w:val="TOC3"/>
            <w:numPr>
              <w:ilvl w:val="1"/>
              <w:numId w:val="1"/>
            </w:numPr>
            <w:tabs>
              <w:tab w:pos="827" w:val="left" w:leader="none"/>
            </w:tabs>
            <w:spacing w:line="240" w:lineRule="auto" w:before="0" w:after="0"/>
            <w:ind w:left="826" w:right="0" w:hanging="361"/>
            <w:jc w:val="left"/>
          </w:pPr>
          <w:r>
            <w:rPr/>
            <w:t>Paradigmas maiņa par iespēju dzēst saistības tikai</w:t>
          </w:r>
          <w:r>
            <w:rPr>
              <w:spacing w:val="-11"/>
            </w:rPr>
            <w:t> </w:t>
          </w:r>
          <w:r>
            <w:rPr/>
            <w:t>godprātīgam</w:t>
          </w:r>
        </w:p>
        <w:p>
          <w:pPr>
            <w:pStyle w:val="TOC7"/>
            <w:tabs>
              <w:tab w:pos="8340" w:val="left" w:leader="dot"/>
            </w:tabs>
            <w:ind w:left="826"/>
          </w:pPr>
          <w:r>
            <w:rPr/>
            <w:t>parādniekam</w:t>
            <w:tab/>
            <w:t>205</w:t>
          </w:r>
        </w:p>
        <w:p>
          <w:pPr>
            <w:pStyle w:val="TOC3"/>
            <w:numPr>
              <w:ilvl w:val="1"/>
              <w:numId w:val="1"/>
            </w:numPr>
            <w:tabs>
              <w:tab w:pos="827" w:val="left" w:leader="none"/>
              <w:tab w:pos="8340" w:val="left" w:leader="dot"/>
            </w:tabs>
            <w:spacing w:line="240" w:lineRule="auto" w:before="0" w:after="0"/>
            <w:ind w:left="826" w:right="0" w:hanging="361"/>
            <w:jc w:val="left"/>
          </w:pPr>
          <w:hyperlink w:history="true" w:anchor="_TOC_250011">
            <w:r>
              <w:rPr/>
              <w:t>Patieso ienākumu slēpšana</w:t>
              <w:tab/>
              <w:t>207</w:t>
            </w:r>
          </w:hyperlink>
        </w:p>
        <w:p>
          <w:pPr>
            <w:pStyle w:val="TOC3"/>
            <w:numPr>
              <w:ilvl w:val="1"/>
              <w:numId w:val="1"/>
            </w:numPr>
            <w:tabs>
              <w:tab w:pos="827" w:val="left" w:leader="none"/>
              <w:tab w:pos="8342" w:val="left" w:leader="dot"/>
            </w:tabs>
            <w:spacing w:line="240" w:lineRule="auto" w:before="0" w:after="0"/>
            <w:ind w:left="826" w:right="0" w:hanging="361"/>
            <w:jc w:val="left"/>
          </w:pPr>
          <w:hyperlink w:history="true" w:anchor="_TOC_250010">
            <w:r>
              <w:rPr/>
              <w:t>Motivācijas trūkums gūt</w:t>
            </w:r>
            <w:r>
              <w:rPr>
                <w:spacing w:val="-2"/>
              </w:rPr>
              <w:t> </w:t>
            </w:r>
            <w:r>
              <w:rPr/>
              <w:t>lielākus</w:t>
            </w:r>
            <w:r>
              <w:rPr>
                <w:spacing w:val="-2"/>
              </w:rPr>
              <w:t> </w:t>
            </w:r>
            <w:r>
              <w:rPr/>
              <w:t>ienākumus</w:t>
              <w:tab/>
              <w:t>208</w:t>
            </w:r>
          </w:hyperlink>
        </w:p>
        <w:p>
          <w:pPr>
            <w:pStyle w:val="TOC3"/>
            <w:numPr>
              <w:ilvl w:val="1"/>
              <w:numId w:val="1"/>
            </w:numPr>
            <w:tabs>
              <w:tab w:pos="827" w:val="left" w:leader="none"/>
              <w:tab w:pos="8340" w:val="left" w:leader="dot"/>
            </w:tabs>
            <w:spacing w:line="240" w:lineRule="auto" w:before="0" w:after="0"/>
            <w:ind w:left="826" w:right="0" w:hanging="361"/>
            <w:jc w:val="left"/>
          </w:pPr>
          <w:hyperlink w:history="true" w:anchor="_TOC_250009">
            <w:r>
              <w:rPr/>
              <w:t>Saistību dzēšanas</w:t>
            </w:r>
            <w:r>
              <w:rPr>
                <w:spacing w:val="-3"/>
              </w:rPr>
              <w:t> </w:t>
            </w:r>
            <w:r>
              <w:rPr/>
              <w:t>plāna</w:t>
            </w:r>
            <w:r>
              <w:rPr>
                <w:spacing w:val="-3"/>
              </w:rPr>
              <w:t> </w:t>
            </w:r>
            <w:r>
              <w:rPr/>
              <w:t>termiņš</w:t>
              <w:tab/>
              <w:t>209</w:t>
            </w:r>
          </w:hyperlink>
        </w:p>
        <w:p>
          <w:pPr>
            <w:pStyle w:val="TOC3"/>
            <w:numPr>
              <w:ilvl w:val="1"/>
              <w:numId w:val="1"/>
            </w:numPr>
            <w:tabs>
              <w:tab w:pos="827" w:val="left" w:leader="none"/>
            </w:tabs>
            <w:spacing w:line="240" w:lineRule="auto" w:before="0" w:after="0"/>
            <w:ind w:left="826" w:right="0" w:hanging="361"/>
            <w:jc w:val="left"/>
          </w:pPr>
          <w:r>
            <w:rPr/>
            <w:t>Kreditoru prasījumu segšanai novirzāmā summa saistību</w:t>
          </w:r>
          <w:r>
            <w:rPr>
              <w:spacing w:val="-3"/>
            </w:rPr>
            <w:t> </w:t>
          </w:r>
          <w:r>
            <w:rPr/>
            <w:t>dzēšanas</w:t>
          </w:r>
        </w:p>
        <w:p>
          <w:pPr>
            <w:pStyle w:val="TOC7"/>
            <w:tabs>
              <w:tab w:pos="8341" w:val="left" w:leader="dot"/>
            </w:tabs>
            <w:ind w:left="826"/>
          </w:pPr>
          <w:r>
            <w:rPr/>
            <w:t>procedūras</w:t>
          </w:r>
          <w:r>
            <w:rPr>
              <w:spacing w:val="-1"/>
            </w:rPr>
            <w:t> </w:t>
          </w:r>
          <w:r>
            <w:rPr/>
            <w:t>laikā</w:t>
            <w:tab/>
            <w:t>210</w:t>
          </w:r>
        </w:p>
        <w:p>
          <w:pPr>
            <w:pStyle w:val="TOC3"/>
            <w:numPr>
              <w:ilvl w:val="1"/>
              <w:numId w:val="1"/>
            </w:numPr>
            <w:tabs>
              <w:tab w:pos="827" w:val="left" w:leader="none"/>
              <w:tab w:pos="8341" w:val="left" w:leader="dot"/>
            </w:tabs>
            <w:spacing w:line="240" w:lineRule="auto" w:before="0" w:after="0"/>
            <w:ind w:left="826" w:right="0" w:hanging="361"/>
            <w:jc w:val="left"/>
          </w:pPr>
          <w:hyperlink w:history="true" w:anchor="_TOC_250008">
            <w:r>
              <w:rPr/>
              <w:t>Neapdomīga vai pārmērīga</w:t>
            </w:r>
            <w:r>
              <w:rPr>
                <w:spacing w:val="-6"/>
              </w:rPr>
              <w:t> </w:t>
            </w:r>
            <w:r>
              <w:rPr/>
              <w:t>saistību uzņemšanās</w:t>
              <w:tab/>
              <w:t>212</w:t>
            </w:r>
          </w:hyperlink>
        </w:p>
        <w:p>
          <w:pPr>
            <w:pStyle w:val="TOC3"/>
            <w:numPr>
              <w:ilvl w:val="1"/>
              <w:numId w:val="1"/>
            </w:numPr>
            <w:tabs>
              <w:tab w:pos="827" w:val="left" w:leader="none"/>
              <w:tab w:pos="8340" w:val="left" w:leader="dot"/>
            </w:tabs>
            <w:spacing w:line="240" w:lineRule="auto" w:before="0" w:after="0"/>
            <w:ind w:left="826" w:right="983" w:hanging="360"/>
            <w:jc w:val="left"/>
          </w:pPr>
          <w:hyperlink w:history="true" w:anchor="_TOC_250007">
            <w:r>
              <w:rPr/>
              <w:t>Parādnieka negodprātība plašākā nozīmē (mantas slēpšana vai nobēdzināšana, nepatiesas informācijas</w:t>
            </w:r>
            <w:r>
              <w:rPr>
                <w:spacing w:val="-2"/>
              </w:rPr>
              <w:t> </w:t>
            </w:r>
            <w:r>
              <w:rPr/>
              <w:t>sniegšana u.c.)</w:t>
              <w:tab/>
            </w:r>
            <w:r>
              <w:rPr>
                <w:spacing w:val="-6"/>
              </w:rPr>
              <w:t>212</w:t>
            </w:r>
          </w:hyperlink>
        </w:p>
        <w:p>
          <w:pPr>
            <w:pStyle w:val="TOC3"/>
            <w:numPr>
              <w:ilvl w:val="1"/>
              <w:numId w:val="1"/>
            </w:numPr>
            <w:tabs>
              <w:tab w:pos="827" w:val="left" w:leader="none"/>
              <w:tab w:pos="8340" w:val="left" w:leader="dot"/>
            </w:tabs>
            <w:spacing w:line="240" w:lineRule="auto" w:before="0" w:after="0"/>
            <w:ind w:left="826" w:right="0" w:hanging="361"/>
            <w:jc w:val="left"/>
          </w:pPr>
          <w:hyperlink w:history="true" w:anchor="_TOC_250006">
            <w:r>
              <w:rPr/>
              <w:t>Atvieglotās maksātnespējas</w:t>
            </w:r>
            <w:r>
              <w:rPr>
                <w:spacing w:val="-2"/>
              </w:rPr>
              <w:t> </w:t>
            </w:r>
            <w:r>
              <w:rPr/>
              <w:t>procedūras</w:t>
            </w:r>
            <w:r>
              <w:rPr>
                <w:spacing w:val="-1"/>
              </w:rPr>
              <w:t> </w:t>
            </w:r>
            <w:r>
              <w:rPr/>
              <w:t>ieviešana</w:t>
              <w:tab/>
              <w:t>213</w:t>
            </w:r>
          </w:hyperlink>
        </w:p>
        <w:p>
          <w:pPr>
            <w:pStyle w:val="TOC3"/>
            <w:numPr>
              <w:ilvl w:val="1"/>
              <w:numId w:val="1"/>
            </w:numPr>
            <w:tabs>
              <w:tab w:pos="827" w:val="left" w:leader="none"/>
              <w:tab w:pos="8341" w:val="left" w:leader="dot"/>
            </w:tabs>
            <w:spacing w:line="240" w:lineRule="auto" w:before="0" w:after="0"/>
            <w:ind w:left="826" w:right="0" w:hanging="361"/>
            <w:jc w:val="left"/>
          </w:pPr>
          <w:hyperlink w:history="true" w:anchor="_TOC_250005">
            <w:r>
              <w:rPr/>
              <w:t>Novēloti uzsākti</w:t>
            </w:r>
            <w:r>
              <w:rPr>
                <w:spacing w:val="1"/>
              </w:rPr>
              <w:t> </w:t>
            </w:r>
            <w:r>
              <w:rPr/>
              <w:t>maksātnespējas</w:t>
            </w:r>
            <w:r>
              <w:rPr>
                <w:spacing w:val="-4"/>
              </w:rPr>
              <w:t> </w:t>
            </w:r>
            <w:r>
              <w:rPr/>
              <w:t>procesi</w:t>
              <w:tab/>
              <w:t>215</w:t>
            </w:r>
          </w:hyperlink>
        </w:p>
        <w:p>
          <w:pPr>
            <w:pStyle w:val="TOC2"/>
            <w:numPr>
              <w:ilvl w:val="1"/>
              <w:numId w:val="1"/>
            </w:numPr>
            <w:tabs>
              <w:tab w:pos="827" w:val="left" w:leader="none"/>
              <w:tab w:pos="8341" w:val="left" w:leader="dot"/>
            </w:tabs>
            <w:spacing w:line="240" w:lineRule="auto" w:before="0" w:after="0"/>
            <w:ind w:left="826" w:right="0" w:hanging="435"/>
            <w:jc w:val="left"/>
          </w:pPr>
          <w:hyperlink w:history="true" w:anchor="_TOC_250004">
            <w:r>
              <w:rPr/>
              <w:t>Maksātnespējas</w:t>
            </w:r>
            <w:r>
              <w:rPr>
                <w:spacing w:val="-1"/>
              </w:rPr>
              <w:t> </w:t>
            </w:r>
            <w:r>
              <w:rPr/>
              <w:t>procesa pieejamība</w:t>
              <w:tab/>
              <w:t>216</w:t>
            </w:r>
          </w:hyperlink>
        </w:p>
        <w:p>
          <w:pPr>
            <w:pStyle w:val="TOC2"/>
            <w:numPr>
              <w:ilvl w:val="1"/>
              <w:numId w:val="1"/>
            </w:numPr>
            <w:tabs>
              <w:tab w:pos="827" w:val="left" w:leader="none"/>
              <w:tab w:pos="8341" w:val="left" w:leader="dot"/>
            </w:tabs>
            <w:spacing w:line="240" w:lineRule="auto" w:before="0" w:after="0"/>
            <w:ind w:left="826" w:right="0" w:hanging="435"/>
            <w:jc w:val="left"/>
          </w:pPr>
          <w:hyperlink w:history="true" w:anchor="_TOC_250003">
            <w:r>
              <w:rPr/>
              <w:t>Parādnieka uzraudzība saistību dzēšanas</w:t>
            </w:r>
            <w:r>
              <w:rPr>
                <w:spacing w:val="-8"/>
              </w:rPr>
              <w:t> </w:t>
            </w:r>
            <w:r>
              <w:rPr/>
              <w:t>procedūras</w:t>
            </w:r>
            <w:r>
              <w:rPr>
                <w:spacing w:val="-1"/>
              </w:rPr>
              <w:t> </w:t>
            </w:r>
            <w:r>
              <w:rPr/>
              <w:t>laikā</w:t>
              <w:tab/>
              <w:t>217</w:t>
            </w:r>
          </w:hyperlink>
        </w:p>
        <w:p>
          <w:pPr>
            <w:pStyle w:val="TOC2"/>
            <w:numPr>
              <w:ilvl w:val="1"/>
              <w:numId w:val="1"/>
            </w:numPr>
            <w:tabs>
              <w:tab w:pos="827" w:val="left" w:leader="none"/>
              <w:tab w:pos="8340" w:val="left" w:leader="dot"/>
            </w:tabs>
            <w:spacing w:line="240" w:lineRule="auto" w:before="0" w:after="0"/>
            <w:ind w:left="826" w:right="0" w:hanging="435"/>
            <w:jc w:val="left"/>
          </w:pPr>
          <w:hyperlink w:history="true" w:anchor="_TOC_250002">
            <w:r>
              <w:rPr/>
              <w:t>Pārsūdzamo tiesu nolēmumu</w:t>
            </w:r>
            <w:r>
              <w:rPr>
                <w:spacing w:val="-2"/>
              </w:rPr>
              <w:t> </w:t>
            </w:r>
            <w:r>
              <w:rPr/>
              <w:t>loka</w:t>
            </w:r>
            <w:r>
              <w:rPr>
                <w:spacing w:val="-3"/>
              </w:rPr>
              <w:t> </w:t>
            </w:r>
            <w:r>
              <w:rPr/>
              <w:t>paplašināšana</w:t>
              <w:tab/>
              <w:t>218</w:t>
            </w:r>
          </w:hyperlink>
        </w:p>
        <w:p>
          <w:pPr>
            <w:pStyle w:val="TOC2"/>
            <w:numPr>
              <w:ilvl w:val="1"/>
              <w:numId w:val="1"/>
            </w:numPr>
            <w:tabs>
              <w:tab w:pos="827" w:val="left" w:leader="none"/>
              <w:tab w:pos="8341" w:val="left" w:leader="dot"/>
            </w:tabs>
            <w:spacing w:line="240" w:lineRule="auto" w:before="0" w:after="0"/>
            <w:ind w:left="826" w:right="0" w:hanging="435"/>
            <w:jc w:val="left"/>
          </w:pPr>
          <w:hyperlink w:history="true" w:anchor="_TOC_250001">
            <w:r>
              <w:rPr/>
              <w:t>Citi priekšlikumi</w:t>
              <w:tab/>
              <w:t>218</w:t>
            </w:r>
          </w:hyperlink>
        </w:p>
        <w:p>
          <w:pPr>
            <w:pStyle w:val="TOC1"/>
            <w:tabs>
              <w:tab w:pos="8340" w:val="left" w:leader="dot"/>
            </w:tabs>
          </w:pPr>
          <w:hyperlink w:history="true" w:anchor="_TOC_250000">
            <w:r>
              <w:rPr/>
              <w:t>IZMANTOTO</w:t>
            </w:r>
            <w:r>
              <w:rPr>
                <w:spacing w:val="-1"/>
              </w:rPr>
              <w:t> </w:t>
            </w:r>
            <w:r>
              <w:rPr/>
              <w:t>AVOTU SARAKSTS</w:t>
              <w:tab/>
              <w:t>222</w:t>
            </w:r>
          </w:hyperlink>
        </w:p>
        <w:p>
          <w:pPr>
            <w:pStyle w:val="TOC1"/>
            <w:tabs>
              <w:tab w:pos="8339" w:val="left" w:leader="dot"/>
            </w:tabs>
          </w:pPr>
          <w:r>
            <w:rPr/>
            <w:t>PIELIKUMS.</w:t>
          </w:r>
          <w:r>
            <w:rPr>
              <w:spacing w:val="-3"/>
            </w:rPr>
            <w:t> </w:t>
          </w:r>
          <w:r>
            <w:rPr/>
            <w:t>ANOTĀCIJA</w:t>
            <w:tab/>
            <w:t>227</w:t>
          </w:r>
        </w:p>
        <w:p>
          <w:pPr>
            <w:pStyle w:val="TOC1"/>
            <w:tabs>
              <w:tab w:pos="8340" w:val="left" w:leader="dot"/>
            </w:tabs>
          </w:pPr>
          <w:r>
            <w:rPr/>
            <w:t>PIELIKUMS. ANALIZĒTO TIESU</w:t>
          </w:r>
          <w:r>
            <w:rPr>
              <w:spacing w:val="-3"/>
            </w:rPr>
            <w:t> </w:t>
          </w:r>
          <w:r>
            <w:rPr/>
            <w:t>NOLĒMUMU</w:t>
          </w:r>
          <w:r>
            <w:rPr>
              <w:spacing w:val="-4"/>
            </w:rPr>
            <w:t> </w:t>
          </w:r>
          <w:r>
            <w:rPr/>
            <w:t>SARAKSTS</w:t>
            <w:tab/>
            <w:t>230</w:t>
          </w:r>
        </w:p>
      </w:sdtContent>
    </w:sdt>
    <w:p>
      <w:pPr>
        <w:spacing w:after="0"/>
        <w:sectPr>
          <w:type w:val="continuous"/>
          <w:pgSz w:w="11910" w:h="16840"/>
          <w:pgMar w:top="1360" w:bottom="1586" w:left="1180" w:right="1040"/>
        </w:sectPr>
      </w:pPr>
    </w:p>
    <w:p>
      <w:pPr>
        <w:pStyle w:val="Heading2"/>
        <w:ind w:right="1118"/>
        <w:jc w:val="center"/>
      </w:pPr>
      <w:bookmarkStart w:name="_TOC_250077" w:id="1"/>
      <w:bookmarkEnd w:id="1"/>
      <w:r>
        <w:rPr>
          <w:color w:val="4472C3"/>
        </w:rPr>
        <w:t>PĒTĪJUMA IZPILDES ZIŅOJUMS</w:t>
      </w:r>
    </w:p>
    <w:p>
      <w:pPr>
        <w:spacing w:before="551"/>
        <w:ind w:left="620" w:right="0" w:firstLine="0"/>
        <w:jc w:val="left"/>
        <w:rPr>
          <w:b/>
          <w:i/>
          <w:sz w:val="24"/>
        </w:rPr>
      </w:pPr>
      <w:r>
        <w:rPr>
          <w:b/>
          <w:i/>
          <w:spacing w:val="-147"/>
          <w:sz w:val="24"/>
          <w:u w:val="thick"/>
        </w:rPr>
        <w:t>P</w:t>
      </w:r>
      <w:r>
        <w:rPr>
          <w:b/>
          <w:i/>
          <w:spacing w:val="89"/>
          <w:sz w:val="24"/>
        </w:rPr>
        <w:t> </w:t>
      </w:r>
      <w:r>
        <w:rPr>
          <w:b/>
          <w:i/>
          <w:sz w:val="24"/>
          <w:u w:val="thick"/>
        </w:rPr>
        <w:t>ētījuma mērķis un uzdevumi</w:t>
      </w:r>
    </w:p>
    <w:p>
      <w:pPr>
        <w:pStyle w:val="BodyText"/>
        <w:spacing w:before="271"/>
        <w:ind w:left="620" w:right="401" w:firstLine="720"/>
      </w:pPr>
      <w:r>
        <w:rPr/>
        <w:t>Pētījuma “Fiziskās personas maksātnespējas procesa piemērošanas nosacījumi un tā</w:t>
      </w:r>
      <w:r>
        <w:rPr>
          <w:spacing w:val="-10"/>
        </w:rPr>
        <w:t> </w:t>
      </w:r>
      <w:r>
        <w:rPr/>
        <w:t>efektivitāte”</w:t>
      </w:r>
      <w:r>
        <w:rPr>
          <w:spacing w:val="-10"/>
        </w:rPr>
        <w:t> </w:t>
      </w:r>
      <w:r>
        <w:rPr/>
        <w:t>(turpmāk</w:t>
      </w:r>
      <w:r>
        <w:rPr>
          <w:spacing w:val="-7"/>
        </w:rPr>
        <w:t> </w:t>
      </w:r>
      <w:r>
        <w:rPr/>
        <w:t>arī</w:t>
      </w:r>
      <w:r>
        <w:rPr>
          <w:spacing w:val="-6"/>
        </w:rPr>
        <w:t> </w:t>
      </w:r>
      <w:r>
        <w:rPr/>
        <w:t>-</w:t>
      </w:r>
      <w:r>
        <w:rPr>
          <w:spacing w:val="-12"/>
        </w:rPr>
        <w:t> </w:t>
      </w:r>
      <w:r>
        <w:rPr/>
        <w:t>pētījums)</w:t>
      </w:r>
      <w:r>
        <w:rPr>
          <w:spacing w:val="-10"/>
        </w:rPr>
        <w:t> </w:t>
      </w:r>
      <w:r>
        <w:rPr/>
        <w:t>mērķis</w:t>
      </w:r>
      <w:r>
        <w:rPr>
          <w:spacing w:val="-6"/>
        </w:rPr>
        <w:t> </w:t>
      </w:r>
      <w:r>
        <w:rPr/>
        <w:t>ir</w:t>
      </w:r>
      <w:r>
        <w:rPr>
          <w:spacing w:val="-11"/>
        </w:rPr>
        <w:t> </w:t>
      </w:r>
      <w:r>
        <w:rPr/>
        <w:t>analizēt</w:t>
      </w:r>
      <w:r>
        <w:rPr>
          <w:spacing w:val="-10"/>
        </w:rPr>
        <w:t> </w:t>
      </w:r>
      <w:r>
        <w:rPr/>
        <w:t>fiziskās</w:t>
      </w:r>
      <w:r>
        <w:rPr>
          <w:spacing w:val="-9"/>
        </w:rPr>
        <w:t> </w:t>
      </w:r>
      <w:r>
        <w:rPr/>
        <w:t>personas</w:t>
      </w:r>
      <w:r>
        <w:rPr>
          <w:spacing w:val="-12"/>
        </w:rPr>
        <w:t> </w:t>
      </w:r>
      <w:r>
        <w:rPr/>
        <w:t>maksātnespējas procesa piemērošanas Latvijā problemātiskos aspektus un sniegt priekšlikumus fiziskās personas maksātnespējas procesa pilnveidošanai Latvijā, tai skaitā saistībā ar parādnieka godprātības kritēriju konstatēšanu fiziskās personas maksātnespējas procesā un atvieglota fiziskās personas maksātnespējas procesa</w:t>
      </w:r>
      <w:r>
        <w:rPr>
          <w:spacing w:val="-1"/>
        </w:rPr>
        <w:t> </w:t>
      </w:r>
      <w:r>
        <w:rPr/>
        <w:t>izstrādi.</w:t>
      </w:r>
    </w:p>
    <w:p>
      <w:pPr>
        <w:pStyle w:val="BodyText"/>
        <w:spacing w:before="276"/>
        <w:ind w:left="620" w:right="405" w:firstLine="720"/>
      </w:pPr>
      <w:r>
        <w:rPr/>
        <w:t>Pētījuma virsuzdevums ir veikt fiziskās personas maksātnespējas procesa piemērošanas</w:t>
      </w:r>
      <w:r>
        <w:rPr>
          <w:spacing w:val="-17"/>
        </w:rPr>
        <w:t> </w:t>
      </w:r>
      <w:r>
        <w:rPr/>
        <w:t>izpēti</w:t>
      </w:r>
      <w:r>
        <w:rPr>
          <w:spacing w:val="-13"/>
        </w:rPr>
        <w:t> </w:t>
      </w:r>
      <w:r>
        <w:rPr/>
        <w:t>Latvijā</w:t>
      </w:r>
      <w:r>
        <w:rPr>
          <w:spacing w:val="-16"/>
        </w:rPr>
        <w:t> </w:t>
      </w:r>
      <w:r>
        <w:rPr/>
        <w:t>un</w:t>
      </w:r>
      <w:r>
        <w:rPr>
          <w:spacing w:val="-16"/>
        </w:rPr>
        <w:t> </w:t>
      </w:r>
      <w:r>
        <w:rPr/>
        <w:t>tiesiskā</w:t>
      </w:r>
      <w:r>
        <w:rPr>
          <w:spacing w:val="-16"/>
        </w:rPr>
        <w:t> </w:t>
      </w:r>
      <w:r>
        <w:rPr/>
        <w:t>regulējuma</w:t>
      </w:r>
      <w:r>
        <w:rPr>
          <w:spacing w:val="-13"/>
        </w:rPr>
        <w:t> </w:t>
      </w:r>
      <w:r>
        <w:rPr/>
        <w:t>izpēti</w:t>
      </w:r>
      <w:r>
        <w:rPr>
          <w:spacing w:val="-16"/>
        </w:rPr>
        <w:t> </w:t>
      </w:r>
      <w:r>
        <w:rPr/>
        <w:t>ārvalstīs,</w:t>
      </w:r>
      <w:r>
        <w:rPr>
          <w:spacing w:val="-16"/>
        </w:rPr>
        <w:t> </w:t>
      </w:r>
      <w:r>
        <w:rPr/>
        <w:t>lai</w:t>
      </w:r>
      <w:r>
        <w:rPr>
          <w:spacing w:val="-18"/>
        </w:rPr>
        <w:t> </w:t>
      </w:r>
      <w:r>
        <w:rPr/>
        <w:t>sagatavotu</w:t>
      </w:r>
      <w:r>
        <w:rPr>
          <w:spacing w:val="-16"/>
        </w:rPr>
        <w:t> </w:t>
      </w:r>
      <w:r>
        <w:rPr/>
        <w:t>pamatotus priekšlikums konstatēto problēmjautājumu</w:t>
      </w:r>
      <w:r>
        <w:rPr>
          <w:spacing w:val="-1"/>
        </w:rPr>
        <w:t> </w:t>
      </w:r>
      <w:r>
        <w:rPr/>
        <w:t>risināšanai.</w:t>
      </w:r>
    </w:p>
    <w:p>
      <w:pPr>
        <w:spacing w:before="557"/>
        <w:ind w:left="620" w:right="0" w:firstLine="0"/>
        <w:jc w:val="left"/>
        <w:rPr>
          <w:b/>
          <w:i/>
          <w:sz w:val="24"/>
        </w:rPr>
      </w:pPr>
      <w:r>
        <w:rPr>
          <w:b/>
          <w:i/>
          <w:spacing w:val="-147"/>
          <w:sz w:val="24"/>
          <w:u w:val="thick"/>
        </w:rPr>
        <w:t>P</w:t>
      </w:r>
      <w:r>
        <w:rPr>
          <w:b/>
          <w:i/>
          <w:spacing w:val="90"/>
          <w:sz w:val="24"/>
        </w:rPr>
        <w:t> </w:t>
      </w:r>
      <w:r>
        <w:rPr>
          <w:b/>
          <w:i/>
          <w:sz w:val="24"/>
          <w:u w:val="thick"/>
        </w:rPr>
        <w:t>ētāmie laika posmi</w:t>
      </w:r>
    </w:p>
    <w:p>
      <w:pPr>
        <w:pStyle w:val="BodyText"/>
        <w:spacing w:before="6"/>
        <w:jc w:val="left"/>
        <w:rPr>
          <w:b/>
          <w:i/>
          <w:sz w:val="23"/>
        </w:rPr>
      </w:pPr>
    </w:p>
    <w:p>
      <w:pPr>
        <w:pStyle w:val="BodyText"/>
        <w:spacing w:before="1"/>
        <w:ind w:left="620" w:right="398" w:firstLine="720"/>
        <w:jc w:val="left"/>
      </w:pPr>
      <w:r>
        <w:rPr/>
        <w:t>Pētījumā ir analizēta 2010.gada 26.jūlijā pieņemtā Maksātnespējas likuma (stājās spēkā 2010.gada 1.novembrī) piemērošana. Pētījums veikts pa laika posmiem:</w:t>
      </w:r>
    </w:p>
    <w:p>
      <w:pPr>
        <w:pStyle w:val="ListParagraph"/>
        <w:numPr>
          <w:ilvl w:val="0"/>
          <w:numId w:val="2"/>
        </w:numPr>
        <w:tabs>
          <w:tab w:pos="1700" w:val="left" w:leader="none"/>
        </w:tabs>
        <w:spacing w:line="240" w:lineRule="auto" w:before="0" w:after="0"/>
        <w:ind w:left="1700" w:right="0" w:hanging="360"/>
        <w:jc w:val="left"/>
        <w:rPr>
          <w:sz w:val="24"/>
        </w:rPr>
      </w:pPr>
      <w:r>
        <w:rPr>
          <w:sz w:val="24"/>
        </w:rPr>
        <w:t>no 2010. gada 1. novembra līdz 2015. gada</w:t>
      </w:r>
      <w:r>
        <w:rPr>
          <w:spacing w:val="-6"/>
          <w:sz w:val="24"/>
        </w:rPr>
        <w:t> </w:t>
      </w:r>
      <w:r>
        <w:rPr>
          <w:sz w:val="24"/>
        </w:rPr>
        <w:t>28.februārim,</w:t>
      </w:r>
    </w:p>
    <w:p>
      <w:pPr>
        <w:pStyle w:val="ListParagraph"/>
        <w:numPr>
          <w:ilvl w:val="0"/>
          <w:numId w:val="2"/>
        </w:numPr>
        <w:tabs>
          <w:tab w:pos="1700" w:val="left" w:leader="none"/>
        </w:tabs>
        <w:spacing w:line="240" w:lineRule="auto" w:before="0" w:after="0"/>
        <w:ind w:left="1700" w:right="0" w:hanging="360"/>
        <w:jc w:val="left"/>
        <w:rPr>
          <w:sz w:val="24"/>
        </w:rPr>
      </w:pPr>
      <w:r>
        <w:rPr>
          <w:sz w:val="24"/>
        </w:rPr>
        <w:t>no 2015. gada 1.</w:t>
      </w:r>
      <w:r>
        <w:rPr>
          <w:spacing w:val="-4"/>
          <w:sz w:val="24"/>
        </w:rPr>
        <w:t> </w:t>
      </w:r>
      <w:r>
        <w:rPr>
          <w:sz w:val="24"/>
        </w:rPr>
        <w:t>marta.</w:t>
      </w:r>
    </w:p>
    <w:p>
      <w:pPr>
        <w:pStyle w:val="BodyText"/>
        <w:jc w:val="left"/>
      </w:pPr>
    </w:p>
    <w:p>
      <w:pPr>
        <w:pStyle w:val="BodyText"/>
        <w:ind w:left="620" w:right="403" w:firstLine="720"/>
      </w:pPr>
      <w:r>
        <w:rPr/>
        <w:t>Šāds sadalījums pa laika posmiem tika veikts, ņemot vērā 2014.gada 25.septembra un 2015.gada 19.februāra Maksātnespējas likuma grozījumus, kas stājās  spēkā  2015.gada 1.martā, būtiski liberalizējot fiziskās personas maksātnespējas procesa regulējumu, tas ir, saīsinot saistību dzēšanas procedūras termiņus, kā arī atsakoties no pienākuma bankrota procedūras laikā maksāt 1/3 daļu no</w:t>
      </w:r>
      <w:r>
        <w:rPr>
          <w:spacing w:val="-4"/>
        </w:rPr>
        <w:t> </w:t>
      </w:r>
      <w:r>
        <w:rPr/>
        <w:t>ienākumiem.</w:t>
      </w:r>
    </w:p>
    <w:p>
      <w:pPr>
        <w:pStyle w:val="BodyText"/>
        <w:jc w:val="left"/>
      </w:pPr>
    </w:p>
    <w:p>
      <w:pPr>
        <w:pStyle w:val="BodyText"/>
        <w:ind w:left="620" w:right="402" w:firstLine="720"/>
      </w:pPr>
      <w:r>
        <w:rPr/>
        <w:t>Proti, laika posmā no 2010.gada 1.novembra līdz 2015.gada 28.februārim bija spēkā šādi saistību dzēšanas procedūras termiņi:</w:t>
      </w:r>
    </w:p>
    <w:p>
      <w:pPr>
        <w:pStyle w:val="ListParagraph"/>
        <w:numPr>
          <w:ilvl w:val="0"/>
          <w:numId w:val="3"/>
        </w:numPr>
        <w:tabs>
          <w:tab w:pos="1700" w:val="left" w:leader="none"/>
        </w:tabs>
        <w:spacing w:line="240" w:lineRule="auto" w:before="0" w:after="0"/>
        <w:ind w:left="1700" w:right="403" w:hanging="360"/>
        <w:jc w:val="both"/>
        <w:rPr>
          <w:sz w:val="24"/>
        </w:rPr>
      </w:pPr>
      <w:r>
        <w:rPr>
          <w:i/>
          <w:sz w:val="24"/>
        </w:rPr>
        <w:t>viens</w:t>
      </w:r>
      <w:r>
        <w:rPr>
          <w:i/>
          <w:spacing w:val="-11"/>
          <w:sz w:val="24"/>
        </w:rPr>
        <w:t> </w:t>
      </w:r>
      <w:r>
        <w:rPr>
          <w:i/>
          <w:sz w:val="24"/>
        </w:rPr>
        <w:t>gads</w:t>
      </w:r>
      <w:r>
        <w:rPr>
          <w:sz w:val="24"/>
        </w:rPr>
        <w:t>,</w:t>
      </w:r>
      <w:r>
        <w:rPr>
          <w:spacing w:val="-13"/>
          <w:sz w:val="24"/>
        </w:rPr>
        <w:t> </w:t>
      </w:r>
      <w:r>
        <w:rPr>
          <w:sz w:val="24"/>
        </w:rPr>
        <w:t>ja</w:t>
      </w:r>
      <w:r>
        <w:rPr>
          <w:spacing w:val="-13"/>
          <w:sz w:val="24"/>
        </w:rPr>
        <w:t> </w:t>
      </w:r>
      <w:r>
        <w:rPr>
          <w:sz w:val="24"/>
        </w:rPr>
        <w:t>saskaņā</w:t>
      </w:r>
      <w:r>
        <w:rPr>
          <w:spacing w:val="-12"/>
          <w:sz w:val="24"/>
        </w:rPr>
        <w:t> </w:t>
      </w:r>
      <w:r>
        <w:rPr>
          <w:sz w:val="24"/>
        </w:rPr>
        <w:t>ar</w:t>
      </w:r>
      <w:r>
        <w:rPr>
          <w:spacing w:val="-11"/>
          <w:sz w:val="24"/>
        </w:rPr>
        <w:t> </w:t>
      </w:r>
      <w:r>
        <w:rPr>
          <w:sz w:val="24"/>
        </w:rPr>
        <w:t>parādnieka</w:t>
      </w:r>
      <w:r>
        <w:rPr>
          <w:spacing w:val="-16"/>
          <w:sz w:val="24"/>
        </w:rPr>
        <w:t> </w:t>
      </w:r>
      <w:r>
        <w:rPr>
          <w:sz w:val="24"/>
        </w:rPr>
        <w:t>vērtējumu</w:t>
      </w:r>
      <w:r>
        <w:rPr>
          <w:spacing w:val="-12"/>
          <w:sz w:val="24"/>
        </w:rPr>
        <w:t> </w:t>
      </w:r>
      <w:r>
        <w:rPr>
          <w:sz w:val="24"/>
        </w:rPr>
        <w:t>saistību</w:t>
      </w:r>
      <w:r>
        <w:rPr>
          <w:spacing w:val="-13"/>
          <w:sz w:val="24"/>
        </w:rPr>
        <w:t> </w:t>
      </w:r>
      <w:r>
        <w:rPr>
          <w:sz w:val="24"/>
        </w:rPr>
        <w:t>dzēšanas</w:t>
      </w:r>
      <w:r>
        <w:rPr>
          <w:spacing w:val="-16"/>
          <w:sz w:val="24"/>
        </w:rPr>
        <w:t> </w:t>
      </w:r>
      <w:r>
        <w:rPr>
          <w:sz w:val="24"/>
        </w:rPr>
        <w:t>procedūrā</w:t>
      </w:r>
      <w:r>
        <w:rPr>
          <w:spacing w:val="-10"/>
          <w:sz w:val="24"/>
        </w:rPr>
        <w:t> </w:t>
      </w:r>
      <w:r>
        <w:rPr>
          <w:sz w:val="24"/>
        </w:rPr>
        <w:t>viņa ienākumi būs pietiekami, lai segtu vismaz 50 procentus no kopējām saistībām, kuras paliek pēc bankrota procedūras</w:t>
      </w:r>
      <w:r>
        <w:rPr>
          <w:spacing w:val="-4"/>
          <w:sz w:val="24"/>
        </w:rPr>
        <w:t> </w:t>
      </w:r>
      <w:r>
        <w:rPr>
          <w:sz w:val="24"/>
        </w:rPr>
        <w:t>pabeigšanas;</w:t>
      </w:r>
    </w:p>
    <w:p>
      <w:pPr>
        <w:pStyle w:val="ListParagraph"/>
        <w:numPr>
          <w:ilvl w:val="0"/>
          <w:numId w:val="3"/>
        </w:numPr>
        <w:tabs>
          <w:tab w:pos="1700" w:val="left" w:leader="none"/>
        </w:tabs>
        <w:spacing w:line="240" w:lineRule="auto" w:before="0" w:after="0"/>
        <w:ind w:left="1700" w:right="402" w:hanging="360"/>
        <w:jc w:val="both"/>
        <w:rPr>
          <w:sz w:val="24"/>
        </w:rPr>
      </w:pPr>
      <w:r>
        <w:rPr>
          <w:i/>
          <w:sz w:val="24"/>
        </w:rPr>
        <w:t>divi gadi</w:t>
      </w:r>
      <w:r>
        <w:rPr>
          <w:sz w:val="24"/>
        </w:rPr>
        <w:t>, ja saskaņā ar parādnieka vērtējumu saistību dzēšanas procedūrā viņa ienākumi būs pietiekami, lai segtu vismaz 35 procentus no kopējām saistībām, kuras paliek pēc bankrota procedūras</w:t>
      </w:r>
      <w:r>
        <w:rPr>
          <w:spacing w:val="-4"/>
          <w:sz w:val="24"/>
        </w:rPr>
        <w:t> </w:t>
      </w:r>
      <w:r>
        <w:rPr>
          <w:sz w:val="24"/>
        </w:rPr>
        <w:t>pabeigšanas;</w:t>
      </w:r>
    </w:p>
    <w:p>
      <w:pPr>
        <w:pStyle w:val="ListParagraph"/>
        <w:numPr>
          <w:ilvl w:val="0"/>
          <w:numId w:val="3"/>
        </w:numPr>
        <w:tabs>
          <w:tab w:pos="1700" w:val="left" w:leader="none"/>
        </w:tabs>
        <w:spacing w:line="240" w:lineRule="auto" w:before="0" w:after="0"/>
        <w:ind w:left="1700" w:right="404" w:hanging="360"/>
        <w:jc w:val="both"/>
        <w:rPr>
          <w:sz w:val="24"/>
        </w:rPr>
      </w:pPr>
      <w:r>
        <w:rPr>
          <w:i/>
          <w:sz w:val="24"/>
        </w:rPr>
        <w:t>trīs gadi</w:t>
      </w:r>
      <w:r>
        <w:rPr>
          <w:sz w:val="24"/>
        </w:rPr>
        <w:t>, ja saskaņā ar parādnieka vērtējumu saistību dzēšanas procedūrā viņa ienākumi būs pietiekami, lai segtu vismaz 20 procentus no kopējām saistībām, kuras paliek pēc bankrota procedūras</w:t>
      </w:r>
      <w:r>
        <w:rPr>
          <w:spacing w:val="-4"/>
          <w:sz w:val="24"/>
        </w:rPr>
        <w:t> </w:t>
      </w:r>
      <w:r>
        <w:rPr>
          <w:sz w:val="24"/>
        </w:rPr>
        <w:t>pabeigšanas,</w:t>
      </w:r>
    </w:p>
    <w:p>
      <w:pPr>
        <w:pStyle w:val="ListParagraph"/>
        <w:numPr>
          <w:ilvl w:val="0"/>
          <w:numId w:val="3"/>
        </w:numPr>
        <w:tabs>
          <w:tab w:pos="1700" w:val="left" w:leader="none"/>
        </w:tabs>
        <w:spacing w:line="240" w:lineRule="auto" w:before="0" w:after="0"/>
        <w:ind w:left="1700" w:right="402" w:hanging="360"/>
        <w:jc w:val="both"/>
        <w:rPr>
          <w:sz w:val="24"/>
        </w:rPr>
      </w:pPr>
      <w:r>
        <w:rPr>
          <w:i/>
          <w:sz w:val="24"/>
        </w:rPr>
        <w:t>trīs gadi un seši mēneši</w:t>
      </w:r>
      <w:r>
        <w:rPr>
          <w:sz w:val="24"/>
        </w:rPr>
        <w:t>, ja parādnieks saistību dzēšanas procedūras laikā no savas gribas neatkarīgu apstākļu dēļ nav spējīgs segt vismaz 20 procentus no kopējām saistībām, kuras paliek pēc bankrota procedūras</w:t>
      </w:r>
      <w:r>
        <w:rPr>
          <w:spacing w:val="-8"/>
          <w:sz w:val="24"/>
        </w:rPr>
        <w:t> </w:t>
      </w:r>
      <w:r>
        <w:rPr>
          <w:sz w:val="24"/>
        </w:rPr>
        <w:t>pabeigšanas,</w:t>
      </w:r>
    </w:p>
    <w:p>
      <w:pPr>
        <w:pStyle w:val="ListParagraph"/>
        <w:numPr>
          <w:ilvl w:val="0"/>
          <w:numId w:val="3"/>
        </w:numPr>
        <w:tabs>
          <w:tab w:pos="1700" w:val="left" w:leader="none"/>
        </w:tabs>
        <w:spacing w:line="240" w:lineRule="auto" w:before="0" w:after="0"/>
        <w:ind w:left="1700" w:right="400" w:hanging="360"/>
        <w:jc w:val="both"/>
        <w:rPr>
          <w:i/>
          <w:sz w:val="24"/>
        </w:rPr>
      </w:pPr>
      <w:r>
        <w:rPr>
          <w:i/>
          <w:sz w:val="24"/>
        </w:rPr>
        <w:t>divi gadi</w:t>
      </w:r>
      <w:r>
        <w:rPr>
          <w:sz w:val="24"/>
        </w:rPr>
        <w:t>, ja parādnieks saistību dzēšanas procedūras laikā no savas gribas neatkarīgu apstākļu dēļ nav spējīgs segt vismaz 20 procentus no kopējām saistībām, kuras paliek pēc bankrota procedūras pabeigšanas, un parādnieka kopējās saistības maksātnespējas procesa pasludināšanas brīdī nepārsniedz</w:t>
      </w:r>
      <w:r>
        <w:rPr>
          <w:spacing w:val="-19"/>
          <w:sz w:val="24"/>
        </w:rPr>
        <w:t> </w:t>
      </w:r>
      <w:r>
        <w:rPr>
          <w:sz w:val="24"/>
        </w:rPr>
        <w:t>142 287</w:t>
      </w:r>
      <w:r>
        <w:rPr>
          <w:spacing w:val="-1"/>
          <w:sz w:val="24"/>
        </w:rPr>
        <w:t> </w:t>
      </w:r>
      <w:r>
        <w:rPr>
          <w:i/>
          <w:sz w:val="24"/>
        </w:rPr>
        <w:t>euro.</w:t>
      </w:r>
    </w:p>
    <w:p>
      <w:pPr>
        <w:spacing w:after="0" w:line="240" w:lineRule="auto"/>
        <w:jc w:val="both"/>
        <w:rPr>
          <w:sz w:val="24"/>
        </w:rPr>
        <w:sectPr>
          <w:pgSz w:w="11910" w:h="16840"/>
          <w:pgMar w:header="0" w:footer="1055" w:top="1360" w:bottom="1240" w:left="1180" w:right="1040"/>
        </w:sectPr>
      </w:pPr>
    </w:p>
    <w:p>
      <w:pPr>
        <w:pStyle w:val="BodyText"/>
        <w:spacing w:before="73"/>
        <w:ind w:left="980"/>
      </w:pPr>
      <w:r>
        <w:rPr/>
        <w:t>Savukārt no 2015.gada 1.marta ir spēkā šādi saistību dzēšanas procedūras termiņi:</w:t>
      </w:r>
    </w:p>
    <w:p>
      <w:pPr>
        <w:pStyle w:val="ListParagraph"/>
        <w:numPr>
          <w:ilvl w:val="0"/>
          <w:numId w:val="4"/>
        </w:numPr>
        <w:tabs>
          <w:tab w:pos="1393" w:val="left" w:leader="none"/>
        </w:tabs>
        <w:spacing w:line="240" w:lineRule="auto" w:before="0" w:after="0"/>
        <w:ind w:left="1392" w:right="765" w:hanging="425"/>
        <w:jc w:val="both"/>
        <w:rPr>
          <w:sz w:val="24"/>
        </w:rPr>
      </w:pPr>
      <w:r>
        <w:rPr>
          <w:i/>
          <w:sz w:val="24"/>
        </w:rPr>
        <w:t>seši mēneši</w:t>
      </w:r>
      <w:r>
        <w:rPr>
          <w:sz w:val="24"/>
        </w:rPr>
        <w:t>, ja saskaņā ar parādnieka vērtējumu saistību dzēšanas procedūrā viņa ienākumi būs pietiekami, lai segtu vismaz 50 procentus no kopējām saistībām, kuras paliek pēc bankrota procedūras</w:t>
      </w:r>
      <w:r>
        <w:rPr>
          <w:spacing w:val="-7"/>
          <w:sz w:val="24"/>
        </w:rPr>
        <w:t> </w:t>
      </w:r>
      <w:r>
        <w:rPr>
          <w:sz w:val="24"/>
        </w:rPr>
        <w:t>pabeigšanas;</w:t>
      </w:r>
    </w:p>
    <w:p>
      <w:pPr>
        <w:pStyle w:val="ListParagraph"/>
        <w:numPr>
          <w:ilvl w:val="0"/>
          <w:numId w:val="4"/>
        </w:numPr>
        <w:tabs>
          <w:tab w:pos="1393" w:val="left" w:leader="none"/>
        </w:tabs>
        <w:spacing w:line="240" w:lineRule="auto" w:before="0" w:after="0"/>
        <w:ind w:left="1392" w:right="766" w:hanging="425"/>
        <w:jc w:val="both"/>
        <w:rPr>
          <w:sz w:val="24"/>
        </w:rPr>
      </w:pPr>
      <w:r>
        <w:rPr>
          <w:i/>
          <w:sz w:val="24"/>
        </w:rPr>
        <w:t>viens gads</w:t>
      </w:r>
      <w:r>
        <w:rPr>
          <w:sz w:val="24"/>
        </w:rPr>
        <w:t>, ja saskaņā ar parādnieka vērtējumu saistību dzēšanas procedūrā viņa ienākumi būs pietiekami, lai segtu vismaz 35 procentus no kopējām saistībām, kuras paliek pēc bankrota procedūras</w:t>
      </w:r>
      <w:r>
        <w:rPr>
          <w:spacing w:val="-7"/>
          <w:sz w:val="24"/>
        </w:rPr>
        <w:t> </w:t>
      </w:r>
      <w:r>
        <w:rPr>
          <w:sz w:val="24"/>
        </w:rPr>
        <w:t>pabeigšanas;</w:t>
      </w:r>
    </w:p>
    <w:p>
      <w:pPr>
        <w:pStyle w:val="ListParagraph"/>
        <w:numPr>
          <w:ilvl w:val="0"/>
          <w:numId w:val="4"/>
        </w:numPr>
        <w:tabs>
          <w:tab w:pos="1393" w:val="left" w:leader="none"/>
        </w:tabs>
        <w:spacing w:line="240" w:lineRule="auto" w:before="0" w:after="0"/>
        <w:ind w:left="1392" w:right="764" w:hanging="425"/>
        <w:jc w:val="both"/>
        <w:rPr>
          <w:sz w:val="24"/>
        </w:rPr>
      </w:pPr>
      <w:r>
        <w:rPr>
          <w:i/>
          <w:sz w:val="24"/>
        </w:rPr>
        <w:t>viens</w:t>
      </w:r>
      <w:r>
        <w:rPr>
          <w:i/>
          <w:spacing w:val="-11"/>
          <w:sz w:val="24"/>
        </w:rPr>
        <w:t> </w:t>
      </w:r>
      <w:r>
        <w:rPr>
          <w:i/>
          <w:sz w:val="24"/>
        </w:rPr>
        <w:t>gads</w:t>
      </w:r>
      <w:r>
        <w:rPr>
          <w:i/>
          <w:spacing w:val="-12"/>
          <w:sz w:val="24"/>
        </w:rPr>
        <w:t> </w:t>
      </w:r>
      <w:r>
        <w:rPr>
          <w:i/>
          <w:sz w:val="24"/>
        </w:rPr>
        <w:t>un</w:t>
      </w:r>
      <w:r>
        <w:rPr>
          <w:i/>
          <w:spacing w:val="-12"/>
          <w:sz w:val="24"/>
        </w:rPr>
        <w:t> </w:t>
      </w:r>
      <w:r>
        <w:rPr>
          <w:i/>
          <w:sz w:val="24"/>
        </w:rPr>
        <w:t>seši</w:t>
      </w:r>
      <w:r>
        <w:rPr>
          <w:i/>
          <w:spacing w:val="-13"/>
          <w:sz w:val="24"/>
        </w:rPr>
        <w:t> </w:t>
      </w:r>
      <w:r>
        <w:rPr>
          <w:i/>
          <w:sz w:val="24"/>
        </w:rPr>
        <w:t>mēneši</w:t>
      </w:r>
      <w:r>
        <w:rPr>
          <w:sz w:val="24"/>
        </w:rPr>
        <w:t>,</w:t>
      </w:r>
      <w:r>
        <w:rPr>
          <w:spacing w:val="-12"/>
          <w:sz w:val="24"/>
        </w:rPr>
        <w:t> </w:t>
      </w:r>
      <w:r>
        <w:rPr>
          <w:sz w:val="24"/>
        </w:rPr>
        <w:t>ja</w:t>
      </w:r>
      <w:r>
        <w:rPr>
          <w:spacing w:val="-12"/>
          <w:sz w:val="24"/>
        </w:rPr>
        <w:t> </w:t>
      </w:r>
      <w:r>
        <w:rPr>
          <w:sz w:val="24"/>
        </w:rPr>
        <w:t>saskaņā</w:t>
      </w:r>
      <w:r>
        <w:rPr>
          <w:spacing w:val="-12"/>
          <w:sz w:val="24"/>
        </w:rPr>
        <w:t> </w:t>
      </w:r>
      <w:r>
        <w:rPr>
          <w:sz w:val="24"/>
        </w:rPr>
        <w:t>ar</w:t>
      </w:r>
      <w:r>
        <w:rPr>
          <w:spacing w:val="-13"/>
          <w:sz w:val="24"/>
        </w:rPr>
        <w:t> </w:t>
      </w:r>
      <w:r>
        <w:rPr>
          <w:sz w:val="24"/>
        </w:rPr>
        <w:t>parādnieka</w:t>
      </w:r>
      <w:r>
        <w:rPr>
          <w:spacing w:val="-11"/>
          <w:sz w:val="24"/>
        </w:rPr>
        <w:t> </w:t>
      </w:r>
      <w:r>
        <w:rPr>
          <w:sz w:val="24"/>
        </w:rPr>
        <w:t>vērtējumu</w:t>
      </w:r>
      <w:r>
        <w:rPr>
          <w:spacing w:val="-12"/>
          <w:sz w:val="24"/>
        </w:rPr>
        <w:t> </w:t>
      </w:r>
      <w:r>
        <w:rPr>
          <w:sz w:val="24"/>
        </w:rPr>
        <w:t>saistību</w:t>
      </w:r>
      <w:r>
        <w:rPr>
          <w:spacing w:val="-12"/>
          <w:sz w:val="24"/>
        </w:rPr>
        <w:t> </w:t>
      </w:r>
      <w:r>
        <w:rPr>
          <w:sz w:val="24"/>
        </w:rPr>
        <w:t>dzēšanas procedūrā viņa ienākumi būs pietiekami, lai segtu vismaz 20 procentus no kopējām saistībām, kuras paliek pēc bankrota procedūras</w:t>
      </w:r>
      <w:r>
        <w:rPr>
          <w:spacing w:val="-8"/>
          <w:sz w:val="24"/>
        </w:rPr>
        <w:t> </w:t>
      </w:r>
      <w:r>
        <w:rPr>
          <w:sz w:val="24"/>
        </w:rPr>
        <w:t>pabeigšanas,</w:t>
      </w:r>
    </w:p>
    <w:p>
      <w:pPr>
        <w:pStyle w:val="ListParagraph"/>
        <w:numPr>
          <w:ilvl w:val="0"/>
          <w:numId w:val="4"/>
        </w:numPr>
        <w:tabs>
          <w:tab w:pos="1393" w:val="left" w:leader="none"/>
        </w:tabs>
        <w:spacing w:line="240" w:lineRule="auto" w:before="0" w:after="0"/>
        <w:ind w:left="1392" w:right="764" w:hanging="425"/>
        <w:jc w:val="both"/>
        <w:rPr>
          <w:sz w:val="24"/>
        </w:rPr>
      </w:pPr>
      <w:r>
        <w:rPr>
          <w:sz w:val="24"/>
        </w:rPr>
        <w:t>ja parādnieks saistību dzēšanas procedūras laikā no savas gribas neatkarīgu apstākļu</w:t>
      </w:r>
      <w:r>
        <w:rPr>
          <w:spacing w:val="-5"/>
          <w:sz w:val="24"/>
        </w:rPr>
        <w:t> </w:t>
      </w:r>
      <w:r>
        <w:rPr>
          <w:sz w:val="24"/>
        </w:rPr>
        <w:t>dēļ</w:t>
      </w:r>
      <w:r>
        <w:rPr>
          <w:spacing w:val="-6"/>
          <w:sz w:val="24"/>
        </w:rPr>
        <w:t> </w:t>
      </w:r>
      <w:r>
        <w:rPr>
          <w:sz w:val="24"/>
        </w:rPr>
        <w:t>nav</w:t>
      </w:r>
      <w:r>
        <w:rPr>
          <w:spacing w:val="-4"/>
          <w:sz w:val="24"/>
        </w:rPr>
        <w:t> </w:t>
      </w:r>
      <w:r>
        <w:rPr>
          <w:sz w:val="24"/>
        </w:rPr>
        <w:t>spējīgs</w:t>
      </w:r>
      <w:r>
        <w:rPr>
          <w:spacing w:val="-4"/>
          <w:sz w:val="24"/>
        </w:rPr>
        <w:t> </w:t>
      </w:r>
      <w:r>
        <w:rPr>
          <w:sz w:val="24"/>
        </w:rPr>
        <w:t>segt</w:t>
      </w:r>
      <w:r>
        <w:rPr>
          <w:spacing w:val="-4"/>
          <w:sz w:val="24"/>
        </w:rPr>
        <w:t> </w:t>
      </w:r>
      <w:r>
        <w:rPr>
          <w:sz w:val="24"/>
        </w:rPr>
        <w:t>vismaz</w:t>
      </w:r>
      <w:r>
        <w:rPr>
          <w:spacing w:val="-2"/>
          <w:sz w:val="24"/>
        </w:rPr>
        <w:t> </w:t>
      </w:r>
      <w:r>
        <w:rPr>
          <w:sz w:val="24"/>
        </w:rPr>
        <w:t>20</w:t>
      </w:r>
      <w:r>
        <w:rPr>
          <w:spacing w:val="-4"/>
          <w:sz w:val="24"/>
        </w:rPr>
        <w:t> </w:t>
      </w:r>
      <w:r>
        <w:rPr>
          <w:sz w:val="24"/>
        </w:rPr>
        <w:t>procentus</w:t>
      </w:r>
      <w:r>
        <w:rPr>
          <w:spacing w:val="-4"/>
          <w:sz w:val="24"/>
        </w:rPr>
        <w:t> </w:t>
      </w:r>
      <w:r>
        <w:rPr>
          <w:sz w:val="24"/>
        </w:rPr>
        <w:t>no</w:t>
      </w:r>
      <w:r>
        <w:rPr>
          <w:spacing w:val="-4"/>
          <w:sz w:val="24"/>
        </w:rPr>
        <w:t> </w:t>
      </w:r>
      <w:r>
        <w:rPr>
          <w:sz w:val="24"/>
        </w:rPr>
        <w:t>kopējām</w:t>
      </w:r>
      <w:r>
        <w:rPr>
          <w:spacing w:val="-4"/>
          <w:sz w:val="24"/>
        </w:rPr>
        <w:t> </w:t>
      </w:r>
      <w:r>
        <w:rPr>
          <w:sz w:val="24"/>
        </w:rPr>
        <w:t>saistībām,</w:t>
      </w:r>
      <w:r>
        <w:rPr>
          <w:spacing w:val="-4"/>
          <w:sz w:val="24"/>
        </w:rPr>
        <w:t> </w:t>
      </w:r>
      <w:r>
        <w:rPr>
          <w:sz w:val="24"/>
        </w:rPr>
        <w:t>kuras paliek pēc bankrota procedūras pabeigšanas, saistību dzēšanas plāna termiņš</w:t>
      </w:r>
      <w:r>
        <w:rPr>
          <w:spacing w:val="-28"/>
          <w:sz w:val="24"/>
        </w:rPr>
        <w:t> </w:t>
      </w:r>
      <w:r>
        <w:rPr>
          <w:sz w:val="24"/>
        </w:rPr>
        <w:t>ir atkarīgs no parādnieka saistību apmēra, un</w:t>
      </w:r>
      <w:r>
        <w:rPr>
          <w:spacing w:val="-2"/>
          <w:sz w:val="24"/>
        </w:rPr>
        <w:t> </w:t>
      </w:r>
      <w:r>
        <w:rPr>
          <w:sz w:val="24"/>
        </w:rPr>
        <w:t>tieši:</w:t>
      </w:r>
    </w:p>
    <w:p>
      <w:pPr>
        <w:pStyle w:val="ListParagraph"/>
        <w:numPr>
          <w:ilvl w:val="1"/>
          <w:numId w:val="4"/>
        </w:numPr>
        <w:tabs>
          <w:tab w:pos="1819" w:val="left" w:leader="none"/>
          <w:tab w:pos="1820" w:val="left" w:leader="none"/>
        </w:tabs>
        <w:spacing w:line="240" w:lineRule="auto" w:before="1" w:after="0"/>
        <w:ind w:left="1820" w:right="766" w:hanging="428"/>
        <w:jc w:val="left"/>
        <w:rPr>
          <w:sz w:val="24"/>
        </w:rPr>
      </w:pPr>
      <w:r>
        <w:rPr>
          <w:i/>
          <w:sz w:val="24"/>
        </w:rPr>
        <w:t>viens gads</w:t>
      </w:r>
      <w:r>
        <w:rPr>
          <w:sz w:val="24"/>
        </w:rPr>
        <w:t>, ja parādnieka kopējās saistības pēc bankrota procedūras pabeigšanas nepārsniedz 30 000</w:t>
      </w:r>
      <w:r>
        <w:rPr>
          <w:spacing w:val="-2"/>
          <w:sz w:val="24"/>
        </w:rPr>
        <w:t> </w:t>
      </w:r>
      <w:r>
        <w:rPr>
          <w:i/>
          <w:sz w:val="24"/>
        </w:rPr>
        <w:t>euro</w:t>
      </w:r>
      <w:r>
        <w:rPr>
          <w:sz w:val="24"/>
        </w:rPr>
        <w:t>;</w:t>
      </w:r>
    </w:p>
    <w:p>
      <w:pPr>
        <w:pStyle w:val="ListParagraph"/>
        <w:numPr>
          <w:ilvl w:val="1"/>
          <w:numId w:val="4"/>
        </w:numPr>
        <w:tabs>
          <w:tab w:pos="1819" w:val="left" w:leader="none"/>
          <w:tab w:pos="1820" w:val="left" w:leader="none"/>
        </w:tabs>
        <w:spacing w:line="240" w:lineRule="auto" w:before="0" w:after="0"/>
        <w:ind w:left="1820" w:right="765" w:hanging="428"/>
        <w:jc w:val="left"/>
        <w:rPr>
          <w:sz w:val="24"/>
        </w:rPr>
      </w:pPr>
      <w:r>
        <w:rPr>
          <w:i/>
          <w:sz w:val="24"/>
        </w:rPr>
        <w:t>divi gadi</w:t>
      </w:r>
      <w:r>
        <w:rPr>
          <w:sz w:val="24"/>
        </w:rPr>
        <w:t>, ja parādnieka kopējās saistības pēc bankrota procedūras pabeigšanas ir no 30 001 </w:t>
      </w:r>
      <w:r>
        <w:rPr>
          <w:i/>
          <w:sz w:val="24"/>
        </w:rPr>
        <w:t>euro </w:t>
      </w:r>
      <w:r>
        <w:rPr>
          <w:sz w:val="24"/>
        </w:rPr>
        <w:t>līdz 150 000</w:t>
      </w:r>
      <w:r>
        <w:rPr>
          <w:spacing w:val="-1"/>
          <w:sz w:val="24"/>
        </w:rPr>
        <w:t> </w:t>
      </w:r>
      <w:r>
        <w:rPr>
          <w:i/>
          <w:sz w:val="24"/>
        </w:rPr>
        <w:t>euro</w:t>
      </w:r>
      <w:r>
        <w:rPr>
          <w:sz w:val="24"/>
        </w:rPr>
        <w:t>;</w:t>
      </w:r>
    </w:p>
    <w:p>
      <w:pPr>
        <w:pStyle w:val="ListParagraph"/>
        <w:numPr>
          <w:ilvl w:val="1"/>
          <w:numId w:val="4"/>
        </w:numPr>
        <w:tabs>
          <w:tab w:pos="1819" w:val="left" w:leader="none"/>
          <w:tab w:pos="1820" w:val="left" w:leader="none"/>
        </w:tabs>
        <w:spacing w:line="240" w:lineRule="auto" w:before="0" w:after="0"/>
        <w:ind w:left="1820" w:right="764" w:hanging="428"/>
        <w:jc w:val="left"/>
        <w:rPr>
          <w:sz w:val="24"/>
        </w:rPr>
      </w:pPr>
      <w:r>
        <w:rPr>
          <w:i/>
          <w:sz w:val="24"/>
        </w:rPr>
        <w:t>trīs gadi</w:t>
      </w:r>
      <w:r>
        <w:rPr>
          <w:sz w:val="24"/>
        </w:rPr>
        <w:t>, ja parādnieka kopējās saistības pēc bankrota procedūras pabeigšanas pārsniedz 150 000</w:t>
      </w:r>
      <w:r>
        <w:rPr>
          <w:spacing w:val="-4"/>
          <w:sz w:val="24"/>
        </w:rPr>
        <w:t> </w:t>
      </w:r>
      <w:r>
        <w:rPr>
          <w:i/>
          <w:sz w:val="24"/>
        </w:rPr>
        <w:t>euro</w:t>
      </w:r>
      <w:r>
        <w:rPr>
          <w:sz w:val="24"/>
        </w:rPr>
        <w:t>.</w:t>
      </w:r>
    </w:p>
    <w:p>
      <w:pPr>
        <w:pStyle w:val="BodyText"/>
        <w:jc w:val="left"/>
        <w:rPr>
          <w:sz w:val="20"/>
        </w:rPr>
      </w:pPr>
    </w:p>
    <w:p>
      <w:pPr>
        <w:pStyle w:val="BodyText"/>
        <w:spacing w:before="7"/>
        <w:jc w:val="left"/>
        <w:rPr>
          <w:sz w:val="20"/>
        </w:rPr>
      </w:pPr>
    </w:p>
    <w:p>
      <w:pPr>
        <w:spacing w:before="90"/>
        <w:ind w:left="260" w:right="0" w:firstLine="0"/>
        <w:jc w:val="left"/>
        <w:rPr>
          <w:b/>
          <w:i/>
          <w:sz w:val="24"/>
        </w:rPr>
      </w:pPr>
      <w:r>
        <w:rPr>
          <w:b/>
          <w:i/>
          <w:spacing w:val="-147"/>
          <w:sz w:val="24"/>
          <w:u w:val="thick"/>
        </w:rPr>
        <w:t>P</w:t>
      </w:r>
      <w:r>
        <w:rPr>
          <w:b/>
          <w:i/>
          <w:spacing w:val="88"/>
          <w:sz w:val="24"/>
        </w:rPr>
        <w:t> </w:t>
      </w:r>
      <w:r>
        <w:rPr>
          <w:b/>
          <w:i/>
          <w:sz w:val="24"/>
          <w:u w:val="thick"/>
        </w:rPr>
        <w:t>ētījuma</w:t>
      </w:r>
      <w:r>
        <w:rPr>
          <w:b/>
          <w:i/>
          <w:spacing w:val="-1"/>
          <w:sz w:val="24"/>
          <w:u w:val="thick"/>
        </w:rPr>
        <w:t> </w:t>
      </w:r>
      <w:r>
        <w:rPr>
          <w:b/>
          <w:i/>
          <w:sz w:val="24"/>
          <w:u w:val="thick"/>
        </w:rPr>
        <w:t>veicējs</w:t>
      </w:r>
    </w:p>
    <w:p>
      <w:pPr>
        <w:pStyle w:val="BodyText"/>
        <w:spacing w:before="8"/>
        <w:jc w:val="left"/>
        <w:rPr>
          <w:b/>
          <w:i/>
          <w:sz w:val="15"/>
        </w:rPr>
      </w:pPr>
    </w:p>
    <w:p>
      <w:pPr>
        <w:pStyle w:val="BodyText"/>
        <w:spacing w:before="90"/>
        <w:ind w:left="260" w:right="764" w:firstLine="720"/>
      </w:pPr>
      <w:r>
        <w:rPr/>
        <w:t>Pētījums ir izstrādāts publiskā iepirkuma "Pētījuma "Par Fiziskās personas maksātnespējas procesa piemērošanas nosacījumi un tā efektivitāte" veikšana" (MKD 2018/4)</w:t>
      </w:r>
      <w:r>
        <w:rPr>
          <w:spacing w:val="-1"/>
        </w:rPr>
        <w:t> </w:t>
      </w:r>
      <w:r>
        <w:rPr/>
        <w:t>ietvaros.</w:t>
      </w:r>
    </w:p>
    <w:p>
      <w:pPr>
        <w:pStyle w:val="BodyText"/>
        <w:ind w:left="260" w:right="766" w:firstLine="720"/>
      </w:pPr>
      <w:r>
        <w:rPr/>
        <w:t>Pētījumu veica zvērinātu advokātu birojs “NOVIUS”,  pamatojoties  uz  2018.gada 20.septembrī ar Maksātnespējas kontroles dienestu noslēgto</w:t>
      </w:r>
      <w:r>
        <w:rPr>
          <w:spacing w:val="-5"/>
        </w:rPr>
        <w:t> </w:t>
      </w:r>
      <w:r>
        <w:rPr/>
        <w:t>līgumu.</w:t>
      </w:r>
    </w:p>
    <w:p>
      <w:pPr>
        <w:pStyle w:val="BodyText"/>
        <w:jc w:val="left"/>
        <w:rPr>
          <w:sz w:val="20"/>
        </w:rPr>
      </w:pPr>
    </w:p>
    <w:p>
      <w:pPr>
        <w:pStyle w:val="BodyText"/>
        <w:spacing w:before="7"/>
        <w:jc w:val="left"/>
        <w:rPr>
          <w:sz w:val="20"/>
        </w:rPr>
      </w:pPr>
    </w:p>
    <w:p>
      <w:pPr>
        <w:spacing w:before="90"/>
        <w:ind w:left="260" w:right="0" w:firstLine="0"/>
        <w:jc w:val="left"/>
        <w:rPr>
          <w:b/>
          <w:i/>
          <w:sz w:val="24"/>
        </w:rPr>
      </w:pPr>
      <w:r>
        <w:rPr>
          <w:b/>
          <w:i/>
          <w:spacing w:val="-147"/>
          <w:sz w:val="24"/>
          <w:u w:val="thick"/>
        </w:rPr>
        <w:t>P</w:t>
      </w:r>
      <w:r>
        <w:rPr>
          <w:b/>
          <w:i/>
          <w:spacing w:val="90"/>
          <w:sz w:val="24"/>
        </w:rPr>
        <w:t> </w:t>
      </w:r>
      <w:r>
        <w:rPr>
          <w:b/>
          <w:i/>
          <w:sz w:val="24"/>
          <w:u w:val="thick"/>
        </w:rPr>
        <w:t>ētījuma metodoloģija</w:t>
      </w:r>
    </w:p>
    <w:p>
      <w:pPr>
        <w:pStyle w:val="BodyText"/>
        <w:spacing w:before="9"/>
        <w:jc w:val="left"/>
        <w:rPr>
          <w:b/>
          <w:i/>
          <w:sz w:val="15"/>
        </w:rPr>
      </w:pPr>
    </w:p>
    <w:p>
      <w:pPr>
        <w:pStyle w:val="BodyText"/>
        <w:spacing w:before="90"/>
        <w:ind w:left="260" w:right="761" w:firstLine="720"/>
      </w:pPr>
      <w:r>
        <w:rPr/>
        <w:t>Pētījuma vadošā metode ir analīze, kas tika izmantota, lai noskaidrotu fiziskās personas maksātnespējas procesa piemērošanas Latvijā problemātiskos aspektus. Analīzes ceļā iegūto datu atspoguļošanai un papildināšanai ar tiesību literatūrā paustajām atziņām papildus tika izmantota aprakstošā jeb monogrāfiskā metode.</w:t>
      </w:r>
    </w:p>
    <w:p>
      <w:pPr>
        <w:pStyle w:val="BodyText"/>
        <w:ind w:left="260" w:right="761" w:firstLine="720"/>
      </w:pPr>
      <w:r>
        <w:rPr/>
        <w:t>Pētījumā tika izmantota arī empīriskā metode, veicot respondentu anketēšanu un konkrētu maksātnespējas procesu analīzi. Papildus tam plaši tika izmantota salīdzinošā metode, pētot ārvalstu tiesisko regulējumu un praksi, kā arī tiesību doktrīnu. Proti,</w:t>
      </w:r>
      <w:r>
        <w:rPr>
          <w:spacing w:val="-40"/>
        </w:rPr>
        <w:t> </w:t>
      </w:r>
      <w:r>
        <w:rPr/>
        <w:t>fiziskās personas</w:t>
      </w:r>
      <w:r>
        <w:rPr>
          <w:spacing w:val="-13"/>
        </w:rPr>
        <w:t> </w:t>
      </w:r>
      <w:r>
        <w:rPr/>
        <w:t>maksātnespējas</w:t>
      </w:r>
      <w:r>
        <w:rPr>
          <w:spacing w:val="-11"/>
        </w:rPr>
        <w:t> </w:t>
      </w:r>
      <w:r>
        <w:rPr/>
        <w:t>procesa</w:t>
      </w:r>
      <w:r>
        <w:rPr>
          <w:spacing w:val="-12"/>
        </w:rPr>
        <w:t> </w:t>
      </w:r>
      <w:r>
        <w:rPr/>
        <w:t>tiesiskais</w:t>
      </w:r>
      <w:r>
        <w:rPr>
          <w:spacing w:val="-13"/>
        </w:rPr>
        <w:t> </w:t>
      </w:r>
      <w:r>
        <w:rPr/>
        <w:t>regulējums</w:t>
      </w:r>
      <w:r>
        <w:rPr>
          <w:spacing w:val="-13"/>
        </w:rPr>
        <w:t> </w:t>
      </w:r>
      <w:r>
        <w:rPr/>
        <w:t>ir</w:t>
      </w:r>
      <w:r>
        <w:rPr>
          <w:spacing w:val="-13"/>
        </w:rPr>
        <w:t> </w:t>
      </w:r>
      <w:r>
        <w:rPr/>
        <w:t>salīdzinoši</w:t>
      </w:r>
      <w:r>
        <w:rPr>
          <w:spacing w:val="-12"/>
        </w:rPr>
        <w:t> </w:t>
      </w:r>
      <w:r>
        <w:rPr/>
        <w:t>jauns</w:t>
      </w:r>
      <w:r>
        <w:rPr>
          <w:spacing w:val="-13"/>
        </w:rPr>
        <w:t> </w:t>
      </w:r>
      <w:r>
        <w:rPr/>
        <w:t>institūts</w:t>
      </w:r>
      <w:r>
        <w:rPr>
          <w:spacing w:val="-13"/>
        </w:rPr>
        <w:t> </w:t>
      </w:r>
      <w:r>
        <w:rPr/>
        <w:t>Latvijas tiesībās, kā rezultātā tiesu prakse tikai pamazām sāk veidoties un ir ļoti ierobežota apmēra tiesību literatūra. Savukārt atvieglots fiziskās personas maksātnespējas process Latvijā ir pilnīgi nezināms un nepētīts institūts. Tādējādi ārvalstu pieredze un tiesiskais regulējums kalpo kā lielisks izziņas un ideju avots Latvijas tiesiskā regulējuma uzlabošanai un atvieglota fiziskās personas maksātnespējas procesa</w:t>
      </w:r>
      <w:r>
        <w:rPr>
          <w:spacing w:val="-5"/>
        </w:rPr>
        <w:t> </w:t>
      </w:r>
      <w:r>
        <w:rPr/>
        <w:t>ieviešanai.</w:t>
      </w:r>
    </w:p>
    <w:p>
      <w:pPr>
        <w:pStyle w:val="BodyText"/>
        <w:ind w:left="260" w:right="762" w:firstLine="720"/>
      </w:pPr>
      <w:r>
        <w:rPr/>
        <w:t>Ņemot</w:t>
      </w:r>
      <w:r>
        <w:rPr>
          <w:spacing w:val="-9"/>
        </w:rPr>
        <w:t> </w:t>
      </w:r>
      <w:r>
        <w:rPr/>
        <w:t>vērā</w:t>
      </w:r>
      <w:r>
        <w:rPr>
          <w:spacing w:val="-11"/>
        </w:rPr>
        <w:t> </w:t>
      </w:r>
      <w:r>
        <w:rPr/>
        <w:t>pētījuma</w:t>
      </w:r>
      <w:r>
        <w:rPr>
          <w:spacing w:val="-13"/>
        </w:rPr>
        <w:t> </w:t>
      </w:r>
      <w:r>
        <w:rPr/>
        <w:t>mērķi</w:t>
      </w:r>
      <w:r>
        <w:rPr>
          <w:spacing w:val="-11"/>
        </w:rPr>
        <w:t> </w:t>
      </w:r>
      <w:r>
        <w:rPr/>
        <w:t>un</w:t>
      </w:r>
      <w:r>
        <w:rPr>
          <w:spacing w:val="-11"/>
        </w:rPr>
        <w:t> </w:t>
      </w:r>
      <w:r>
        <w:rPr/>
        <w:t>virsuzdevumu,</w:t>
      </w:r>
      <w:r>
        <w:rPr>
          <w:spacing w:val="-13"/>
        </w:rPr>
        <w:t> </w:t>
      </w:r>
      <w:r>
        <w:rPr/>
        <w:t>pētījumā</w:t>
      </w:r>
      <w:r>
        <w:rPr>
          <w:spacing w:val="-11"/>
        </w:rPr>
        <w:t> </w:t>
      </w:r>
      <w:r>
        <w:rPr/>
        <w:t>tika</w:t>
      </w:r>
      <w:r>
        <w:rPr>
          <w:spacing w:val="-10"/>
        </w:rPr>
        <w:t> </w:t>
      </w:r>
      <w:r>
        <w:rPr/>
        <w:t>pielietota</w:t>
      </w:r>
      <w:r>
        <w:rPr>
          <w:spacing w:val="-11"/>
        </w:rPr>
        <w:t> </w:t>
      </w:r>
      <w:r>
        <w:rPr/>
        <w:t>arī</w:t>
      </w:r>
      <w:r>
        <w:rPr>
          <w:spacing w:val="-11"/>
        </w:rPr>
        <w:t> </w:t>
      </w:r>
      <w:r>
        <w:rPr/>
        <w:t>vēsturiskā pētniecības metode, īstenojot tiesu prakses vēsturisko izpēti. Vēsturiskā metode ir izmantota</w:t>
      </w:r>
      <w:r>
        <w:rPr>
          <w:spacing w:val="13"/>
        </w:rPr>
        <w:t> </w:t>
      </w:r>
      <w:r>
        <w:rPr/>
        <w:t>arī</w:t>
      </w:r>
      <w:r>
        <w:rPr>
          <w:spacing w:val="11"/>
        </w:rPr>
        <w:t> </w:t>
      </w:r>
      <w:r>
        <w:rPr/>
        <w:t>nolūkā</w:t>
      </w:r>
      <w:r>
        <w:rPr>
          <w:spacing w:val="12"/>
        </w:rPr>
        <w:t> </w:t>
      </w:r>
      <w:r>
        <w:rPr/>
        <w:t>apzināt</w:t>
      </w:r>
      <w:r>
        <w:rPr>
          <w:spacing w:val="13"/>
        </w:rPr>
        <w:t> </w:t>
      </w:r>
      <w:r>
        <w:rPr/>
        <w:t>atvieglotā</w:t>
      </w:r>
      <w:r>
        <w:rPr>
          <w:spacing w:val="13"/>
        </w:rPr>
        <w:t> </w:t>
      </w:r>
      <w:r>
        <w:rPr/>
        <w:t>fiziskās</w:t>
      </w:r>
      <w:r>
        <w:rPr>
          <w:spacing w:val="14"/>
        </w:rPr>
        <w:t> </w:t>
      </w:r>
      <w:r>
        <w:rPr/>
        <w:t>personas</w:t>
      </w:r>
      <w:r>
        <w:rPr>
          <w:spacing w:val="13"/>
        </w:rPr>
        <w:t> </w:t>
      </w:r>
      <w:r>
        <w:rPr/>
        <w:t>maksātnespējas</w:t>
      </w:r>
      <w:r>
        <w:rPr>
          <w:spacing w:val="13"/>
        </w:rPr>
        <w:t> </w:t>
      </w:r>
      <w:r>
        <w:rPr/>
        <w:t>procesa</w:t>
      </w:r>
      <w:r>
        <w:rPr>
          <w:spacing w:val="12"/>
        </w:rPr>
        <w:t> </w:t>
      </w:r>
      <w:r>
        <w:rPr/>
        <w:t>rašanās</w:t>
      </w:r>
    </w:p>
    <w:p>
      <w:pPr>
        <w:spacing w:after="0"/>
        <w:sectPr>
          <w:pgSz w:w="11910" w:h="16840"/>
          <w:pgMar w:header="0" w:footer="1055" w:top="1340" w:bottom="1240" w:left="1180" w:right="1040"/>
        </w:sectPr>
      </w:pPr>
    </w:p>
    <w:p>
      <w:pPr>
        <w:pStyle w:val="BodyText"/>
        <w:spacing w:before="73"/>
        <w:ind w:left="620" w:right="398"/>
        <w:jc w:val="left"/>
      </w:pPr>
      <w:r>
        <w:rPr/>
        <w:t>vēsturiskos</w:t>
      </w:r>
      <w:r>
        <w:rPr>
          <w:spacing w:val="-11"/>
        </w:rPr>
        <w:t> </w:t>
      </w:r>
      <w:r>
        <w:rPr/>
        <w:t>apstākļus</w:t>
      </w:r>
      <w:r>
        <w:rPr>
          <w:spacing w:val="-11"/>
        </w:rPr>
        <w:t> </w:t>
      </w:r>
      <w:r>
        <w:rPr/>
        <w:t>un</w:t>
      </w:r>
      <w:r>
        <w:rPr>
          <w:spacing w:val="-11"/>
        </w:rPr>
        <w:t> </w:t>
      </w:r>
      <w:r>
        <w:rPr/>
        <w:t>cēloņus,</w:t>
      </w:r>
      <w:r>
        <w:rPr>
          <w:spacing w:val="-11"/>
        </w:rPr>
        <w:t> </w:t>
      </w:r>
      <w:r>
        <w:rPr/>
        <w:t>tādējādi</w:t>
      </w:r>
      <w:r>
        <w:rPr>
          <w:spacing w:val="-11"/>
        </w:rPr>
        <w:t> </w:t>
      </w:r>
      <w:r>
        <w:rPr/>
        <w:t>palīdzot</w:t>
      </w:r>
      <w:r>
        <w:rPr>
          <w:spacing w:val="-11"/>
        </w:rPr>
        <w:t> </w:t>
      </w:r>
      <w:r>
        <w:rPr/>
        <w:t>saprast</w:t>
      </w:r>
      <w:r>
        <w:rPr>
          <w:spacing w:val="-9"/>
        </w:rPr>
        <w:t> </w:t>
      </w:r>
      <w:r>
        <w:rPr/>
        <w:t>šādas</w:t>
      </w:r>
      <w:r>
        <w:rPr>
          <w:spacing w:val="-11"/>
        </w:rPr>
        <w:t> </w:t>
      </w:r>
      <w:r>
        <w:rPr/>
        <w:t>procedūras</w:t>
      </w:r>
      <w:r>
        <w:rPr>
          <w:spacing w:val="-9"/>
        </w:rPr>
        <w:t> </w:t>
      </w:r>
      <w:r>
        <w:rPr/>
        <w:t>būtību,</w:t>
      </w:r>
      <w:r>
        <w:rPr>
          <w:spacing w:val="-11"/>
        </w:rPr>
        <w:t> </w:t>
      </w:r>
      <w:r>
        <w:rPr/>
        <w:t>vēlamo attīstību, kā arī izvairīšanos no pagātnes kļūdu</w:t>
      </w:r>
      <w:r>
        <w:rPr>
          <w:spacing w:val="-5"/>
        </w:rPr>
        <w:t> </w:t>
      </w:r>
      <w:r>
        <w:rPr/>
        <w:t>atkārtošanas.</w:t>
      </w:r>
    </w:p>
    <w:p>
      <w:pPr>
        <w:pStyle w:val="BodyText"/>
        <w:ind w:left="620" w:firstLine="720"/>
        <w:jc w:val="left"/>
      </w:pPr>
      <w:r>
        <w:rPr/>
        <w:t>Pētījuma secinājumi ir sagatavoti, izmantojot visas iepriekš minētās metodes kopsakarā, tā kā tās ir cieši saistītas cita ar citu un nav nodalāmas.</w:t>
      </w:r>
    </w:p>
    <w:p>
      <w:pPr>
        <w:pStyle w:val="BodyText"/>
        <w:spacing w:before="7"/>
        <w:jc w:val="left"/>
        <w:rPr>
          <w:sz w:val="16"/>
        </w:rPr>
      </w:pPr>
    </w:p>
    <w:p>
      <w:pPr>
        <w:spacing w:before="90"/>
        <w:ind w:left="620" w:right="0" w:firstLine="0"/>
        <w:jc w:val="left"/>
        <w:rPr>
          <w:b/>
          <w:i/>
          <w:sz w:val="24"/>
        </w:rPr>
      </w:pPr>
      <w:r>
        <w:rPr>
          <w:b/>
          <w:i/>
          <w:spacing w:val="-147"/>
          <w:sz w:val="24"/>
          <w:u w:val="thick"/>
        </w:rPr>
        <w:t>P</w:t>
      </w:r>
      <w:r>
        <w:rPr>
          <w:b/>
          <w:i/>
          <w:spacing w:val="89"/>
          <w:sz w:val="24"/>
        </w:rPr>
        <w:t> </w:t>
      </w:r>
      <w:r>
        <w:rPr>
          <w:b/>
          <w:i/>
          <w:sz w:val="24"/>
          <w:u w:val="thick"/>
        </w:rPr>
        <w:t>ētījuma ietvaros veiktās darbības un galvenie secinājumi</w:t>
      </w:r>
    </w:p>
    <w:p>
      <w:pPr>
        <w:pStyle w:val="BodyText"/>
        <w:spacing w:before="9"/>
        <w:jc w:val="left"/>
        <w:rPr>
          <w:b/>
          <w:i/>
          <w:sz w:val="15"/>
        </w:rPr>
      </w:pPr>
    </w:p>
    <w:p>
      <w:pPr>
        <w:pStyle w:val="BodyText"/>
        <w:spacing w:before="90"/>
        <w:ind w:left="620" w:right="405" w:firstLine="720"/>
      </w:pPr>
      <w:r>
        <w:rPr>
          <w:b/>
          <w:i/>
        </w:rPr>
        <w:t>Pētījums I. nodaļā </w:t>
      </w:r>
      <w:r>
        <w:rPr/>
        <w:t>ir atspoguļota pētījuma ietvaros īstenotās tiesu prakses analīze, norādot būtiskākās atziņas no analizētajiem tiesu nolēmumiem, kā arī identificētos problēmjautājumus.</w:t>
      </w:r>
    </w:p>
    <w:p>
      <w:pPr>
        <w:pStyle w:val="BodyText"/>
        <w:jc w:val="left"/>
      </w:pPr>
    </w:p>
    <w:p>
      <w:pPr>
        <w:pStyle w:val="BodyText"/>
        <w:ind w:left="1340"/>
        <w:jc w:val="left"/>
      </w:pPr>
      <w:r>
        <w:rPr/>
        <w:t>Kopā pētījuma ietvaros, sadalot pa pētāmajiem laika posmiem, tika analizēti:</w:t>
      </w:r>
    </w:p>
    <w:p>
      <w:pPr>
        <w:pStyle w:val="ListParagraph"/>
        <w:numPr>
          <w:ilvl w:val="0"/>
          <w:numId w:val="5"/>
        </w:numPr>
        <w:tabs>
          <w:tab w:pos="1700" w:val="left" w:leader="none"/>
        </w:tabs>
        <w:spacing w:line="240" w:lineRule="auto" w:before="0" w:after="0"/>
        <w:ind w:left="1700" w:right="401" w:hanging="360"/>
        <w:jc w:val="left"/>
        <w:rPr>
          <w:sz w:val="24"/>
        </w:rPr>
      </w:pPr>
      <w:r>
        <w:rPr>
          <w:sz w:val="24"/>
        </w:rPr>
        <w:t>50 tiesu nolēmumi, ar kuriem noraidīts fiziskās personas maksātnespējas procesa</w:t>
      </w:r>
      <w:r>
        <w:rPr>
          <w:spacing w:val="-1"/>
          <w:sz w:val="24"/>
        </w:rPr>
        <w:t> </w:t>
      </w:r>
      <w:r>
        <w:rPr>
          <w:sz w:val="24"/>
        </w:rPr>
        <w:t>pieteikums,</w:t>
      </w:r>
    </w:p>
    <w:p>
      <w:pPr>
        <w:pStyle w:val="ListParagraph"/>
        <w:numPr>
          <w:ilvl w:val="0"/>
          <w:numId w:val="5"/>
        </w:numPr>
        <w:tabs>
          <w:tab w:pos="1700" w:val="left" w:leader="none"/>
        </w:tabs>
        <w:spacing w:line="240" w:lineRule="auto" w:before="0" w:after="0"/>
        <w:ind w:left="1700" w:right="405" w:hanging="360"/>
        <w:jc w:val="left"/>
        <w:rPr>
          <w:sz w:val="24"/>
        </w:rPr>
      </w:pPr>
      <w:r>
        <w:rPr>
          <w:sz w:val="24"/>
        </w:rPr>
        <w:t>51 tiesu nolēmums, ar kuru maksātnespējas process izbeigts, pēc bankrota procedūras pabeigšanas, nepiemērojot saistību dzēšanas</w:t>
      </w:r>
      <w:r>
        <w:rPr>
          <w:spacing w:val="-3"/>
          <w:sz w:val="24"/>
        </w:rPr>
        <w:t> </w:t>
      </w:r>
      <w:r>
        <w:rPr>
          <w:sz w:val="24"/>
        </w:rPr>
        <w:t>procedūru,</w:t>
      </w:r>
    </w:p>
    <w:p>
      <w:pPr>
        <w:pStyle w:val="ListParagraph"/>
        <w:numPr>
          <w:ilvl w:val="0"/>
          <w:numId w:val="5"/>
        </w:numPr>
        <w:tabs>
          <w:tab w:pos="1700" w:val="left" w:leader="none"/>
        </w:tabs>
        <w:spacing w:line="240" w:lineRule="auto" w:before="0" w:after="0"/>
        <w:ind w:left="1700" w:right="406" w:hanging="360"/>
        <w:jc w:val="left"/>
        <w:rPr>
          <w:sz w:val="24"/>
        </w:rPr>
      </w:pPr>
      <w:r>
        <w:rPr>
          <w:sz w:val="24"/>
        </w:rPr>
        <w:t>50 tiesu nolēmumi, ar kuriem maksātnespējas process izbeigts, </w:t>
      </w:r>
      <w:r>
        <w:rPr>
          <w:spacing w:val="-3"/>
          <w:sz w:val="24"/>
        </w:rPr>
        <w:t>nedzēšot </w:t>
      </w:r>
      <w:r>
        <w:rPr>
          <w:sz w:val="24"/>
        </w:rPr>
        <w:t>saistību dzēšanas procedūras laikā nesegtās</w:t>
      </w:r>
      <w:r>
        <w:rPr>
          <w:spacing w:val="-6"/>
          <w:sz w:val="24"/>
        </w:rPr>
        <w:t> </w:t>
      </w:r>
      <w:r>
        <w:rPr>
          <w:sz w:val="24"/>
        </w:rPr>
        <w:t>saistības,</w:t>
      </w:r>
    </w:p>
    <w:p>
      <w:pPr>
        <w:pStyle w:val="ListParagraph"/>
        <w:numPr>
          <w:ilvl w:val="0"/>
          <w:numId w:val="5"/>
        </w:numPr>
        <w:tabs>
          <w:tab w:pos="1700" w:val="left" w:leader="none"/>
        </w:tabs>
        <w:spacing w:line="240" w:lineRule="auto" w:before="0" w:after="0"/>
        <w:ind w:left="1700" w:right="405" w:hanging="360"/>
        <w:jc w:val="left"/>
        <w:rPr>
          <w:sz w:val="24"/>
        </w:rPr>
      </w:pPr>
      <w:r>
        <w:rPr>
          <w:sz w:val="24"/>
        </w:rPr>
        <w:t>50 tiesu nolēmumi, ar kuriem maksātnespējas process izbeigts, dzēšot saistību dzēšanas procedūras laikā nesegtās saistības,</w:t>
      </w:r>
      <w:r>
        <w:rPr>
          <w:spacing w:val="-4"/>
          <w:sz w:val="24"/>
        </w:rPr>
        <w:t> </w:t>
      </w:r>
      <w:r>
        <w:rPr>
          <w:sz w:val="24"/>
        </w:rPr>
        <w:t>analīze,</w:t>
      </w:r>
    </w:p>
    <w:p>
      <w:pPr>
        <w:pStyle w:val="ListParagraph"/>
        <w:numPr>
          <w:ilvl w:val="0"/>
          <w:numId w:val="5"/>
        </w:numPr>
        <w:tabs>
          <w:tab w:pos="1700" w:val="left" w:leader="none"/>
        </w:tabs>
        <w:spacing w:line="240" w:lineRule="auto" w:before="0" w:after="0"/>
        <w:ind w:left="1700" w:right="402" w:hanging="360"/>
        <w:jc w:val="left"/>
        <w:rPr>
          <w:sz w:val="24"/>
        </w:rPr>
      </w:pPr>
      <w:r>
        <w:rPr>
          <w:sz w:val="24"/>
        </w:rPr>
        <w:t>28 Augstākās tiesas (Senāta) Civillietu departamenta nolēmumi fiziskās personas maksātnespējas procesa piemērošanas</w:t>
      </w:r>
      <w:r>
        <w:rPr>
          <w:spacing w:val="1"/>
          <w:sz w:val="24"/>
        </w:rPr>
        <w:t> </w:t>
      </w:r>
      <w:r>
        <w:rPr>
          <w:sz w:val="24"/>
        </w:rPr>
        <w:t>jautājumos,</w:t>
      </w:r>
    </w:p>
    <w:p>
      <w:pPr>
        <w:pStyle w:val="ListParagraph"/>
        <w:numPr>
          <w:ilvl w:val="0"/>
          <w:numId w:val="5"/>
        </w:numPr>
        <w:tabs>
          <w:tab w:pos="1700" w:val="left" w:leader="none"/>
        </w:tabs>
        <w:spacing w:line="240" w:lineRule="auto" w:before="0" w:after="0"/>
        <w:ind w:left="1700" w:right="402" w:hanging="360"/>
        <w:jc w:val="left"/>
        <w:rPr>
          <w:sz w:val="24"/>
        </w:rPr>
      </w:pPr>
      <w:r>
        <w:rPr>
          <w:sz w:val="24"/>
        </w:rPr>
        <w:t>papildus 30 tiesu nolēmumi, kuros tiesa ir vērtējusi parādnieka godprātību, atsaucoties uz labas ticības principu (Maksātnespējas likuma 6.panta</w:t>
      </w:r>
      <w:r>
        <w:rPr>
          <w:spacing w:val="-40"/>
          <w:sz w:val="24"/>
        </w:rPr>
        <w:t> </w:t>
      </w:r>
      <w:r>
        <w:rPr>
          <w:sz w:val="24"/>
        </w:rPr>
        <w:t>8.punkts).</w:t>
      </w:r>
    </w:p>
    <w:p>
      <w:pPr>
        <w:pStyle w:val="BodyText"/>
        <w:jc w:val="left"/>
      </w:pPr>
    </w:p>
    <w:p>
      <w:pPr>
        <w:pStyle w:val="BodyText"/>
        <w:ind w:left="1327"/>
        <w:jc w:val="left"/>
      </w:pPr>
      <w:r>
        <w:rPr/>
        <w:t>Analizēto tiesu nolēmumu saraksts ir pievienots Pielikumā Nr.2.</w:t>
      </w:r>
    </w:p>
    <w:p>
      <w:pPr>
        <w:pStyle w:val="BodyText"/>
        <w:jc w:val="left"/>
      </w:pPr>
    </w:p>
    <w:p>
      <w:pPr>
        <w:pStyle w:val="BodyText"/>
        <w:ind w:left="620" w:right="402" w:firstLine="708"/>
      </w:pPr>
      <w:r>
        <w:rPr/>
        <w:t>Tiesu prakses analīze ir apliecinājusi vairāku būtisku problēmu esamību Maksātnespējas</w:t>
      </w:r>
      <w:r>
        <w:rPr>
          <w:spacing w:val="-9"/>
        </w:rPr>
        <w:t> </w:t>
      </w:r>
      <w:r>
        <w:rPr/>
        <w:t>likuma</w:t>
      </w:r>
      <w:r>
        <w:rPr>
          <w:spacing w:val="-9"/>
        </w:rPr>
        <w:t> </w:t>
      </w:r>
      <w:r>
        <w:rPr/>
        <w:t>piemērošanā,</w:t>
      </w:r>
      <w:r>
        <w:rPr>
          <w:spacing w:val="-9"/>
        </w:rPr>
        <w:t> </w:t>
      </w:r>
      <w:r>
        <w:rPr/>
        <w:t>daļa</w:t>
      </w:r>
      <w:r>
        <w:rPr>
          <w:spacing w:val="-9"/>
        </w:rPr>
        <w:t> </w:t>
      </w:r>
      <w:r>
        <w:rPr/>
        <w:t>no</w:t>
      </w:r>
      <w:r>
        <w:rPr>
          <w:spacing w:val="-9"/>
        </w:rPr>
        <w:t> </w:t>
      </w:r>
      <w:r>
        <w:rPr/>
        <w:t>kurām</w:t>
      </w:r>
      <w:r>
        <w:rPr>
          <w:spacing w:val="-9"/>
        </w:rPr>
        <w:t> </w:t>
      </w:r>
      <w:r>
        <w:rPr/>
        <w:t>ir</w:t>
      </w:r>
      <w:r>
        <w:rPr>
          <w:spacing w:val="-7"/>
        </w:rPr>
        <w:t> </w:t>
      </w:r>
      <w:r>
        <w:rPr/>
        <w:t>saistītas</w:t>
      </w:r>
      <w:r>
        <w:rPr>
          <w:spacing w:val="-10"/>
        </w:rPr>
        <w:t> </w:t>
      </w:r>
      <w:r>
        <w:rPr/>
        <w:t>ar</w:t>
      </w:r>
      <w:r>
        <w:rPr>
          <w:spacing w:val="-9"/>
        </w:rPr>
        <w:t> </w:t>
      </w:r>
      <w:r>
        <w:rPr/>
        <w:t>parādnieku</w:t>
      </w:r>
      <w:r>
        <w:rPr>
          <w:spacing w:val="-9"/>
        </w:rPr>
        <w:t> </w:t>
      </w:r>
      <w:r>
        <w:rPr/>
        <w:t>negodprātību (lielākoties, pārmērīgu vai neapdomīga saistību uzņemšanās, patieso ienākumu slēpšana, nepatiesas informācijas sniegšana), taču daļa arī – ar tiesiskā regulējuma trūkumiem, nekonsekvenci vai pārlieku biežajām likuma izmaiņām. Būtiskākās konstatētās problēmas ir analizētas pētījuma VI.</w:t>
      </w:r>
      <w:r>
        <w:rPr>
          <w:spacing w:val="1"/>
        </w:rPr>
        <w:t> </w:t>
      </w:r>
      <w:r>
        <w:rPr/>
        <w:t>nodaļā.</w:t>
      </w:r>
    </w:p>
    <w:p>
      <w:pPr>
        <w:pStyle w:val="BodyText"/>
        <w:jc w:val="left"/>
      </w:pPr>
    </w:p>
    <w:p>
      <w:pPr>
        <w:pStyle w:val="BodyText"/>
        <w:spacing w:before="1"/>
        <w:ind w:left="620" w:right="400" w:firstLine="720"/>
      </w:pPr>
      <w:r>
        <w:rPr>
          <w:b/>
          <w:i/>
        </w:rPr>
        <w:t>Pētījuma II. nodaļā </w:t>
      </w:r>
      <w:r>
        <w:rPr/>
        <w:t>ir atspoguļoti rezultāti pētījuma ietvaros īstenotajai konkrētu maksātnespējas</w:t>
      </w:r>
      <w:r>
        <w:rPr>
          <w:spacing w:val="-9"/>
        </w:rPr>
        <w:t> </w:t>
      </w:r>
      <w:r>
        <w:rPr/>
        <w:t>procesu</w:t>
      </w:r>
      <w:r>
        <w:rPr>
          <w:spacing w:val="-6"/>
        </w:rPr>
        <w:t> </w:t>
      </w:r>
      <w:r>
        <w:rPr/>
        <w:t>datu</w:t>
      </w:r>
      <w:r>
        <w:rPr>
          <w:spacing w:val="-9"/>
        </w:rPr>
        <w:t> </w:t>
      </w:r>
      <w:r>
        <w:rPr/>
        <w:t>analīzei.</w:t>
      </w:r>
      <w:r>
        <w:rPr>
          <w:spacing w:val="-9"/>
        </w:rPr>
        <w:t> </w:t>
      </w:r>
      <w:r>
        <w:rPr/>
        <w:t>Kopumā</w:t>
      </w:r>
      <w:r>
        <w:rPr>
          <w:spacing w:val="-9"/>
        </w:rPr>
        <w:t> </w:t>
      </w:r>
      <w:r>
        <w:rPr/>
        <w:t>pētījuma</w:t>
      </w:r>
      <w:r>
        <w:rPr>
          <w:spacing w:val="-11"/>
        </w:rPr>
        <w:t> </w:t>
      </w:r>
      <w:r>
        <w:rPr/>
        <w:t>ietvaros</w:t>
      </w:r>
      <w:r>
        <w:rPr>
          <w:spacing w:val="-6"/>
        </w:rPr>
        <w:t> </w:t>
      </w:r>
      <w:r>
        <w:rPr/>
        <w:t>tika</w:t>
      </w:r>
      <w:r>
        <w:rPr>
          <w:spacing w:val="-9"/>
        </w:rPr>
        <w:t> </w:t>
      </w:r>
      <w:r>
        <w:rPr/>
        <w:t>analizēti</w:t>
      </w:r>
      <w:r>
        <w:rPr>
          <w:spacing w:val="-9"/>
        </w:rPr>
        <w:t> </w:t>
      </w:r>
      <w:r>
        <w:rPr/>
        <w:t>dati</w:t>
      </w:r>
      <w:r>
        <w:rPr>
          <w:spacing w:val="-9"/>
        </w:rPr>
        <w:t> </w:t>
      </w:r>
      <w:r>
        <w:rPr/>
        <w:t>par</w:t>
      </w:r>
      <w:r>
        <w:rPr>
          <w:spacing w:val="-9"/>
        </w:rPr>
        <w:t> </w:t>
      </w:r>
      <w:r>
        <w:rPr/>
        <w:t>173 maksātnespējas procesiem, kas uzsākti laika periodā no 2010.gada 1.novembra līdz 2015.gada 28.februārim, un dati par 100 maksātnespējas procesiem, kas uzsākti pēc 2015.gada</w:t>
      </w:r>
      <w:r>
        <w:rPr>
          <w:spacing w:val="-3"/>
        </w:rPr>
        <w:t> </w:t>
      </w:r>
      <w:r>
        <w:rPr/>
        <w:t>1.marta.</w:t>
      </w:r>
    </w:p>
    <w:p>
      <w:pPr>
        <w:pStyle w:val="BodyText"/>
        <w:spacing w:before="11"/>
        <w:jc w:val="left"/>
        <w:rPr>
          <w:sz w:val="23"/>
        </w:rPr>
      </w:pPr>
    </w:p>
    <w:p>
      <w:pPr>
        <w:pStyle w:val="BodyText"/>
        <w:ind w:left="620" w:right="400" w:firstLine="720"/>
      </w:pPr>
      <w:r>
        <w:rPr/>
        <w:t>Maksātnespējas procesu analīzē tika vērtēts tas, cik % maksātnespējas procesa gadījumu ticis sastādīts mantas pārdošanas plāns/ziņojums par mantas neesamību, saistību apmērs, kreditoru skaits, kreditoru prasījumu segšanai novirzāmā summa (cik % saistību dzēšanas plānā ir paredzēts veikt kreditoriem maksājumu 1/3 apmērā no valstī noteiktās minimālās mēnešalgas), saistību dzēšanas plāna termiņš, parādnieka dzimums, kā arī maksātnespējas procesa rezultāta būtība – respektīvi, gala tiesas nolēmuma būtība (ir/nav dzēstas saistības, vai arī maksātnespējas process izbeigts, nepiemērojot saistību dzēšanas procedūru).</w:t>
      </w:r>
    </w:p>
    <w:p>
      <w:pPr>
        <w:spacing w:after="0"/>
        <w:sectPr>
          <w:pgSz w:w="11910" w:h="16840"/>
          <w:pgMar w:header="0" w:footer="1055" w:top="1340" w:bottom="1240" w:left="1180" w:right="1040"/>
        </w:sectPr>
      </w:pPr>
    </w:p>
    <w:p>
      <w:pPr>
        <w:pStyle w:val="BodyText"/>
        <w:spacing w:before="73"/>
        <w:ind w:left="260" w:right="761" w:firstLine="720"/>
      </w:pPr>
      <w:r>
        <w:rPr/>
        <w:t>Būtiskākais</w:t>
      </w:r>
      <w:r>
        <w:rPr>
          <w:spacing w:val="-12"/>
        </w:rPr>
        <w:t> </w:t>
      </w:r>
      <w:r>
        <w:rPr/>
        <w:t>secinājums</w:t>
      </w:r>
      <w:r>
        <w:rPr>
          <w:spacing w:val="-11"/>
        </w:rPr>
        <w:t> </w:t>
      </w:r>
      <w:r>
        <w:rPr/>
        <w:t>ir</w:t>
      </w:r>
      <w:r>
        <w:rPr>
          <w:spacing w:val="-9"/>
        </w:rPr>
        <w:t> </w:t>
      </w:r>
      <w:r>
        <w:rPr/>
        <w:t>tāds,</w:t>
      </w:r>
      <w:r>
        <w:rPr>
          <w:spacing w:val="-11"/>
        </w:rPr>
        <w:t> </w:t>
      </w:r>
      <w:r>
        <w:rPr/>
        <w:t>ka</w:t>
      </w:r>
      <w:r>
        <w:rPr>
          <w:spacing w:val="-11"/>
        </w:rPr>
        <w:t> </w:t>
      </w:r>
      <w:r>
        <w:rPr/>
        <w:t>Latvijā</w:t>
      </w:r>
      <w:r>
        <w:rPr>
          <w:spacing w:val="-11"/>
        </w:rPr>
        <w:t> </w:t>
      </w:r>
      <w:r>
        <w:rPr/>
        <w:t>fiziskās</w:t>
      </w:r>
      <w:r>
        <w:rPr>
          <w:spacing w:val="-10"/>
        </w:rPr>
        <w:t> </w:t>
      </w:r>
      <w:r>
        <w:rPr/>
        <w:t>personas</w:t>
      </w:r>
      <w:r>
        <w:rPr>
          <w:spacing w:val="-11"/>
        </w:rPr>
        <w:t> </w:t>
      </w:r>
      <w:r>
        <w:rPr/>
        <w:t>maksātnespējas</w:t>
      </w:r>
      <w:r>
        <w:rPr>
          <w:spacing w:val="-9"/>
        </w:rPr>
        <w:t> </w:t>
      </w:r>
      <w:r>
        <w:rPr/>
        <w:t>procesā ir ļoti augsts to procesu īpatsvars, kuros tiek sastādīts ziņojums par mantas neesamību, turklāt tas ir strauji pieaudzis kopš 2015.gada 1.marta – minētajā laika posmā vidēji statistiski pētāmajos maksātnespējas procesos ziņojums par mantas neesamību bija sastādīts 71 % gadījumu. Turklāt lielā daļā analizēto maksātnespējas procesa gadījumu saistību dzēšanas plānā tiek paredzēts veikt maksājumus kreditoriem 1/3 daļas apmērā no valstī noteiktās minimālās mēnešalgas – laika posmā no 2015.gada 1.marta šādus minimālos</w:t>
      </w:r>
      <w:r>
        <w:rPr>
          <w:spacing w:val="-7"/>
        </w:rPr>
        <w:t> </w:t>
      </w:r>
      <w:r>
        <w:rPr/>
        <w:t>maksājumus</w:t>
      </w:r>
      <w:r>
        <w:rPr>
          <w:spacing w:val="-4"/>
        </w:rPr>
        <w:t> </w:t>
      </w:r>
      <w:r>
        <w:rPr/>
        <w:t>tika</w:t>
      </w:r>
      <w:r>
        <w:rPr>
          <w:spacing w:val="-9"/>
        </w:rPr>
        <w:t> </w:t>
      </w:r>
      <w:r>
        <w:rPr/>
        <w:t>paredzēts</w:t>
      </w:r>
      <w:r>
        <w:rPr>
          <w:spacing w:val="-6"/>
        </w:rPr>
        <w:t> </w:t>
      </w:r>
      <w:r>
        <w:rPr/>
        <w:t>veikt</w:t>
      </w:r>
      <w:r>
        <w:rPr>
          <w:spacing w:val="-6"/>
        </w:rPr>
        <w:t> </w:t>
      </w:r>
      <w:r>
        <w:rPr/>
        <w:t>vidēji</w:t>
      </w:r>
      <w:r>
        <w:rPr>
          <w:spacing w:val="-6"/>
        </w:rPr>
        <w:t> </w:t>
      </w:r>
      <w:r>
        <w:rPr/>
        <w:t>44</w:t>
      </w:r>
      <w:r>
        <w:rPr>
          <w:spacing w:val="-6"/>
        </w:rPr>
        <w:t> </w:t>
      </w:r>
      <w:r>
        <w:rPr/>
        <w:t>%</w:t>
      </w:r>
      <w:r>
        <w:rPr>
          <w:spacing w:val="-6"/>
        </w:rPr>
        <w:t> </w:t>
      </w:r>
      <w:r>
        <w:rPr/>
        <w:t>gadījumu,</w:t>
      </w:r>
      <w:r>
        <w:rPr>
          <w:spacing w:val="-6"/>
        </w:rPr>
        <w:t> </w:t>
      </w:r>
      <w:r>
        <w:rPr/>
        <w:t>pie</w:t>
      </w:r>
      <w:r>
        <w:rPr>
          <w:spacing w:val="-5"/>
        </w:rPr>
        <w:t> </w:t>
      </w:r>
      <w:r>
        <w:rPr/>
        <w:t>tam</w:t>
      </w:r>
      <w:r>
        <w:rPr>
          <w:spacing w:val="-8"/>
        </w:rPr>
        <w:t> </w:t>
      </w:r>
      <w:r>
        <w:rPr/>
        <w:t>maskātnespējas procesos, kuros bija sastādīts mantas pārdošanas plāns – pat 53,57 % analizēto maksātnespējas procesu (turklāt pārējos gadījumos ļoti bieži novērojama tendence veikt maksājumus, kuru apmērs ļoti nebūtiski pārsniedz 1/3 no valstī noteiktās minimālās mēnešalgas).</w:t>
      </w:r>
    </w:p>
    <w:p>
      <w:pPr>
        <w:pStyle w:val="BodyText"/>
        <w:jc w:val="left"/>
      </w:pPr>
    </w:p>
    <w:p>
      <w:pPr>
        <w:pStyle w:val="BodyText"/>
        <w:spacing w:before="1"/>
        <w:ind w:left="260" w:right="761" w:firstLine="720"/>
      </w:pPr>
      <w:r>
        <w:rPr>
          <w:b/>
          <w:i/>
        </w:rPr>
        <w:t>Pētījuma III. nodaļā </w:t>
      </w:r>
      <w:r>
        <w:rPr/>
        <w:t>ir aprakstīti anketēšanas rezultāti. Kopumā, vērtējot aptaujas anketu rezultātus, ir secināms, ka respondenti Latvijas tiesisko regulējumu attiecībā uz fiziskās personas maksātnespējas procesu vērtē kā pārlieku liberālu, uzskata, ka ir nepieciešami stingrāki noteikumi parādnieku kontrolei saistību dzēšanas procedūras laikā, kā arī regulējums, kas risinātu šobrīd visaktuālāko problēmu – patieso ienākumu </w:t>
      </w:r>
      <w:r>
        <w:rPr>
          <w:spacing w:val="-3"/>
        </w:rPr>
        <w:t>slēpšanu. </w:t>
      </w:r>
      <w:r>
        <w:rPr/>
        <w:t>Daudzi respondenti ir norādījuši arī uz vienveidīgas prakses trūkumu, kā arī specifiskiem Maksātnespējas likuma vai tā piemērošanas trūkumiem. Turklāt ir secināms, ka, atkarībā no ieņemamā amata, būtiski atšķiras respondentu viedoklis jautājumā par to, kāda loma</w:t>
      </w:r>
      <w:r>
        <w:rPr>
          <w:spacing w:val="-39"/>
        </w:rPr>
        <w:t> </w:t>
      </w:r>
      <w:r>
        <w:rPr/>
        <w:t>un uzdevumi ir kreditoriem, maksātnespējas procesa administratoram un tiesai saistībā ar negodprātīgiem</w:t>
      </w:r>
      <w:r>
        <w:rPr>
          <w:spacing w:val="-3"/>
        </w:rPr>
        <w:t> </w:t>
      </w:r>
      <w:r>
        <w:rPr/>
        <w:t>parādniekiem.</w:t>
      </w:r>
    </w:p>
    <w:p>
      <w:pPr>
        <w:pStyle w:val="BodyText"/>
        <w:jc w:val="left"/>
      </w:pPr>
    </w:p>
    <w:p>
      <w:pPr>
        <w:pStyle w:val="BodyText"/>
        <w:ind w:left="260" w:right="763" w:firstLine="720"/>
      </w:pPr>
      <w:r>
        <w:rPr>
          <w:b/>
          <w:i/>
        </w:rPr>
        <w:t>Pētījuma IV. nodaļā </w:t>
      </w:r>
      <w:r>
        <w:rPr/>
        <w:t>ir iekļauts ārvalstu – Lielbritānijas, Igaunijas, Dānijas un Vācijas (turpmāk tekstā arī – “Pētāmās valstis”) tiesiskā regulējuma un prakses izpētes apraksts, konstatējot, ka atvieglots fiziskās personas maksātnespējas process ir pieejams tikai Lielbritānijā (parādu atvieglojuma rīkojumi - debt relief orders jeb DRO). Attiecīgi pētījumā ir iekļauts plašs DRO procedūras apraksts.</w:t>
      </w:r>
    </w:p>
    <w:p>
      <w:pPr>
        <w:pStyle w:val="BodyText"/>
        <w:jc w:val="left"/>
      </w:pPr>
    </w:p>
    <w:p>
      <w:pPr>
        <w:pStyle w:val="BodyText"/>
        <w:ind w:left="260" w:right="761" w:firstLine="720"/>
      </w:pPr>
      <w:r>
        <w:rPr/>
        <w:t>Veicot izpēti, tika konstatēts, ka pārējās Pētāmajās valstīs fiziskās personas maksātnespējas procesa regulējums kopumā ir stingrāks nekā Latvijā (piemēram, ir garāki saistību dzēšanas termini vai stingrāki maksātnespējas procesa uzsākšanas/saistību dzēšanas ierobežojumi). Vienlaikus, ņemot vērā Latvijā identificētās problēmas, pēc iespējas plaši tika veikta Pētāmo valstu tiesiskā regulējuma un prakses izpēte, lai varētu izdarīt secinājumus par iespējām Latvijas regulējumā ieviest ārvalstu regulējumam līdzvērtīgus risinājumus. Tā, piemēram, tika konstatēts, ka visās Pētāmajās valstīs tiesības iesniegt kreditora prasījumu ir arī kreditoram, kā arī visās Pētāmajās valstīs fiziskajām personām</w:t>
      </w:r>
      <w:r>
        <w:rPr>
          <w:spacing w:val="-6"/>
        </w:rPr>
        <w:t> </w:t>
      </w:r>
      <w:r>
        <w:rPr/>
        <w:t>ir</w:t>
      </w:r>
      <w:r>
        <w:rPr>
          <w:spacing w:val="-6"/>
        </w:rPr>
        <w:t> </w:t>
      </w:r>
      <w:r>
        <w:rPr/>
        <w:t>pieejama</w:t>
      </w:r>
      <w:r>
        <w:rPr>
          <w:spacing w:val="-5"/>
        </w:rPr>
        <w:t> </w:t>
      </w:r>
      <w:r>
        <w:rPr/>
        <w:t>ne</w:t>
      </w:r>
      <w:r>
        <w:rPr>
          <w:spacing w:val="-5"/>
        </w:rPr>
        <w:t> </w:t>
      </w:r>
      <w:r>
        <w:rPr/>
        <w:t>vien</w:t>
      </w:r>
      <w:r>
        <w:rPr>
          <w:spacing w:val="-6"/>
        </w:rPr>
        <w:t> </w:t>
      </w:r>
      <w:r>
        <w:rPr/>
        <w:t>maksātnespējas</w:t>
      </w:r>
      <w:r>
        <w:rPr>
          <w:spacing w:val="-6"/>
        </w:rPr>
        <w:t> </w:t>
      </w:r>
      <w:r>
        <w:rPr/>
        <w:t>procedūra,</w:t>
      </w:r>
      <w:r>
        <w:rPr>
          <w:spacing w:val="-5"/>
        </w:rPr>
        <w:t> </w:t>
      </w:r>
      <w:r>
        <w:rPr/>
        <w:t>bet</w:t>
      </w:r>
      <w:r>
        <w:rPr>
          <w:spacing w:val="-8"/>
        </w:rPr>
        <w:t> </w:t>
      </w:r>
      <w:r>
        <w:rPr/>
        <w:t>arī</w:t>
      </w:r>
      <w:r>
        <w:rPr>
          <w:spacing w:val="-6"/>
        </w:rPr>
        <w:t> </w:t>
      </w:r>
      <w:r>
        <w:rPr/>
        <w:t>saistību</w:t>
      </w:r>
      <w:r>
        <w:rPr>
          <w:spacing w:val="-5"/>
        </w:rPr>
        <w:t> </w:t>
      </w:r>
      <w:r>
        <w:rPr/>
        <w:t>restrukturizēšanas procedūra. Tāpat arī tika secināts, ka Pētāmajās valstīs ir arī citi tiesību instrumenti, kurus būtu lietderīgi ieviest arī Latvijā, piemēram, speciāli noteikumi darījumu apstrīdēšanai, plašāks pārsūdzamo tiesu nolēmumu klāsts, “plūstošā” saistību dzēšanas procedūras termiņa regulējums</w:t>
      </w:r>
      <w:r>
        <w:rPr>
          <w:spacing w:val="-1"/>
        </w:rPr>
        <w:t> </w:t>
      </w:r>
      <w:r>
        <w:rPr/>
        <w:t>u.c.</w:t>
      </w:r>
    </w:p>
    <w:p>
      <w:pPr>
        <w:pStyle w:val="BodyText"/>
        <w:jc w:val="left"/>
      </w:pPr>
    </w:p>
    <w:p>
      <w:pPr>
        <w:pStyle w:val="BodyText"/>
        <w:ind w:left="260" w:right="761" w:firstLine="720"/>
      </w:pPr>
      <w:r>
        <w:rPr/>
        <w:t>Sagatavojot aprakstu par Pētāmajām valstīm, īpaša uzmanība ir pievērsta jautājumam par parādnieka godprātību, konstatējot, ka visās Pētāmajās valstīs ir noteiktas tiesību</w:t>
      </w:r>
      <w:r>
        <w:rPr>
          <w:spacing w:val="-9"/>
        </w:rPr>
        <w:t> </w:t>
      </w:r>
      <w:r>
        <w:rPr/>
        <w:t>normas,</w:t>
      </w:r>
      <w:r>
        <w:rPr>
          <w:spacing w:val="-8"/>
        </w:rPr>
        <w:t> </w:t>
      </w:r>
      <w:r>
        <w:rPr/>
        <w:t>kuru</w:t>
      </w:r>
      <w:r>
        <w:rPr>
          <w:spacing w:val="-8"/>
        </w:rPr>
        <w:t> </w:t>
      </w:r>
      <w:r>
        <w:rPr/>
        <w:t>mērķis</w:t>
      </w:r>
      <w:r>
        <w:rPr>
          <w:spacing w:val="-8"/>
        </w:rPr>
        <w:t> </w:t>
      </w:r>
      <w:r>
        <w:rPr/>
        <w:t>ir</w:t>
      </w:r>
      <w:r>
        <w:rPr>
          <w:spacing w:val="-8"/>
        </w:rPr>
        <w:t> </w:t>
      </w:r>
      <w:r>
        <w:rPr/>
        <w:t>liegt</w:t>
      </w:r>
      <w:r>
        <w:rPr>
          <w:spacing w:val="-9"/>
        </w:rPr>
        <w:t> </w:t>
      </w:r>
      <w:r>
        <w:rPr/>
        <w:t>saistību</w:t>
      </w:r>
      <w:r>
        <w:rPr>
          <w:spacing w:val="-8"/>
        </w:rPr>
        <w:t> </w:t>
      </w:r>
      <w:r>
        <w:rPr/>
        <w:t>dzēšanu</w:t>
      </w:r>
      <w:r>
        <w:rPr>
          <w:spacing w:val="-8"/>
        </w:rPr>
        <w:t> </w:t>
      </w:r>
      <w:r>
        <w:rPr/>
        <w:t>negodprātīgam</w:t>
      </w:r>
      <w:r>
        <w:rPr>
          <w:spacing w:val="-8"/>
        </w:rPr>
        <w:t> </w:t>
      </w:r>
      <w:r>
        <w:rPr/>
        <w:t>parādniekam</w:t>
      </w:r>
      <w:r>
        <w:rPr>
          <w:spacing w:val="-10"/>
        </w:rPr>
        <w:t> </w:t>
      </w:r>
      <w:r>
        <w:rPr/>
        <w:t>–</w:t>
      </w:r>
      <w:r>
        <w:rPr>
          <w:spacing w:val="-8"/>
        </w:rPr>
        <w:t> </w:t>
      </w:r>
      <w:r>
        <w:rPr/>
        <w:t>pamatā tās ir (a) tiesību normas, kuras nosaka ierobežojumus maksātnespējas procesa uzsākšanai vai</w:t>
      </w:r>
      <w:r>
        <w:rPr>
          <w:spacing w:val="14"/>
        </w:rPr>
        <w:t> </w:t>
      </w:r>
      <w:r>
        <w:rPr/>
        <w:t>parādnieka</w:t>
      </w:r>
      <w:r>
        <w:rPr>
          <w:spacing w:val="15"/>
        </w:rPr>
        <w:t> </w:t>
      </w:r>
      <w:r>
        <w:rPr/>
        <w:t>atbrīvošanai</w:t>
      </w:r>
      <w:r>
        <w:rPr>
          <w:spacing w:val="14"/>
        </w:rPr>
        <w:t> </w:t>
      </w:r>
      <w:r>
        <w:rPr/>
        <w:t>no</w:t>
      </w:r>
      <w:r>
        <w:rPr>
          <w:spacing w:val="15"/>
        </w:rPr>
        <w:t> </w:t>
      </w:r>
      <w:r>
        <w:rPr/>
        <w:t>saistībām,</w:t>
      </w:r>
      <w:r>
        <w:rPr>
          <w:spacing w:val="13"/>
        </w:rPr>
        <w:t> </w:t>
      </w:r>
      <w:r>
        <w:rPr/>
        <w:t>(b)</w:t>
      </w:r>
      <w:r>
        <w:rPr>
          <w:spacing w:val="14"/>
        </w:rPr>
        <w:t> </w:t>
      </w:r>
      <w:r>
        <w:rPr/>
        <w:t>normas,</w:t>
      </w:r>
      <w:r>
        <w:rPr>
          <w:spacing w:val="15"/>
        </w:rPr>
        <w:t> </w:t>
      </w:r>
      <w:r>
        <w:rPr/>
        <w:t>kas</w:t>
      </w:r>
      <w:r>
        <w:rPr>
          <w:spacing w:val="15"/>
        </w:rPr>
        <w:t> </w:t>
      </w:r>
      <w:r>
        <w:rPr/>
        <w:t>regulē</w:t>
      </w:r>
      <w:r>
        <w:rPr>
          <w:spacing w:val="16"/>
        </w:rPr>
        <w:t> </w:t>
      </w:r>
      <w:r>
        <w:rPr/>
        <w:t>parādnieka</w:t>
      </w:r>
      <w:r>
        <w:rPr>
          <w:spacing w:val="13"/>
        </w:rPr>
        <w:t> </w:t>
      </w:r>
      <w:r>
        <w:rPr/>
        <w:t>pienākumus</w:t>
      </w:r>
    </w:p>
    <w:p>
      <w:pPr>
        <w:spacing w:after="0"/>
        <w:sectPr>
          <w:pgSz w:w="11910" w:h="16840"/>
          <w:pgMar w:header="0" w:footer="1055" w:top="1340" w:bottom="1240" w:left="1180" w:right="1040"/>
        </w:sectPr>
      </w:pPr>
    </w:p>
    <w:p>
      <w:pPr>
        <w:pStyle w:val="BodyText"/>
        <w:spacing w:before="73"/>
        <w:ind w:left="620" w:right="398"/>
        <w:jc w:val="left"/>
      </w:pPr>
      <w:r>
        <w:rPr/>
        <w:t>procesa laikā un atbildību par to pārkāpšanu, (c) darījumu apstrīdēšanas tiesiskais regulējums.</w:t>
      </w:r>
    </w:p>
    <w:p>
      <w:pPr>
        <w:pStyle w:val="BodyText"/>
        <w:jc w:val="left"/>
      </w:pPr>
    </w:p>
    <w:p>
      <w:pPr>
        <w:pStyle w:val="BodyText"/>
        <w:ind w:left="620" w:right="403" w:firstLine="720"/>
      </w:pPr>
      <w:r>
        <w:rPr>
          <w:b/>
          <w:i/>
        </w:rPr>
        <w:t>Pētījuma </w:t>
      </w:r>
      <w:r>
        <w:rPr>
          <w:b/>
          <w:i/>
          <w:spacing w:val="-3"/>
        </w:rPr>
        <w:t>V. </w:t>
      </w:r>
      <w:r>
        <w:rPr>
          <w:b/>
          <w:i/>
        </w:rPr>
        <w:t>nodaļā </w:t>
      </w:r>
      <w:r>
        <w:rPr/>
        <w:t>ir aprakstītas nozares pārstāvju identificētās fiziskās personas maksātnespējas procesa piemērošanas problēmas un priekšlikumi. Proti, pētījuma ietvaros tika nosūtīti Lūgumi par informācijas sniegšanu Ārvalstu investoru padomei Latvijā, Latvijas finanšu nozares asociācijai, Nebanku Finanšu Pakalpojumu Sniedzēju</w:t>
      </w:r>
      <w:r>
        <w:rPr>
          <w:spacing w:val="-28"/>
        </w:rPr>
        <w:t> </w:t>
      </w:r>
      <w:r>
        <w:rPr/>
        <w:t>Asociācija, LATVIJAS KREDĪTŅĒMĒJU APVIENĪBAI, Latvijas kredītņēmēju asociācijai. Atbildes tika</w:t>
      </w:r>
      <w:r>
        <w:rPr>
          <w:spacing w:val="-7"/>
        </w:rPr>
        <w:t> </w:t>
      </w:r>
      <w:r>
        <w:rPr/>
        <w:t>saņemtas</w:t>
      </w:r>
      <w:r>
        <w:rPr>
          <w:spacing w:val="-7"/>
        </w:rPr>
        <w:t> </w:t>
      </w:r>
      <w:r>
        <w:rPr/>
        <w:t>no</w:t>
      </w:r>
      <w:r>
        <w:rPr>
          <w:spacing w:val="-4"/>
        </w:rPr>
        <w:t> </w:t>
      </w:r>
      <w:r>
        <w:rPr/>
        <w:t>Latvijas</w:t>
      </w:r>
      <w:r>
        <w:rPr>
          <w:spacing w:val="-7"/>
        </w:rPr>
        <w:t> </w:t>
      </w:r>
      <w:r>
        <w:rPr/>
        <w:t>finanšu</w:t>
      </w:r>
      <w:r>
        <w:rPr>
          <w:spacing w:val="-7"/>
        </w:rPr>
        <w:t> </w:t>
      </w:r>
      <w:r>
        <w:rPr/>
        <w:t>nozares</w:t>
      </w:r>
      <w:r>
        <w:rPr>
          <w:spacing w:val="-4"/>
        </w:rPr>
        <w:t> </w:t>
      </w:r>
      <w:r>
        <w:rPr/>
        <w:t>asociācijas</w:t>
      </w:r>
      <w:r>
        <w:rPr>
          <w:spacing w:val="-7"/>
        </w:rPr>
        <w:t> </w:t>
      </w:r>
      <w:r>
        <w:rPr/>
        <w:t>un</w:t>
      </w:r>
      <w:r>
        <w:rPr>
          <w:spacing w:val="-5"/>
        </w:rPr>
        <w:t> </w:t>
      </w:r>
      <w:r>
        <w:rPr/>
        <w:t>Latvijas</w:t>
      </w:r>
      <w:r>
        <w:rPr>
          <w:spacing w:val="-8"/>
        </w:rPr>
        <w:t> </w:t>
      </w:r>
      <w:r>
        <w:rPr/>
        <w:t>kredītņēmēju</w:t>
      </w:r>
      <w:r>
        <w:rPr>
          <w:spacing w:val="-7"/>
        </w:rPr>
        <w:t> </w:t>
      </w:r>
      <w:r>
        <w:rPr/>
        <w:t>asociācijas.</w:t>
      </w:r>
    </w:p>
    <w:p>
      <w:pPr>
        <w:pStyle w:val="BodyText"/>
        <w:jc w:val="left"/>
      </w:pPr>
    </w:p>
    <w:p>
      <w:pPr>
        <w:pStyle w:val="BodyText"/>
        <w:ind w:left="620" w:right="403" w:firstLine="720"/>
      </w:pPr>
      <w:r>
        <w:rPr>
          <w:b/>
          <w:i/>
        </w:rPr>
        <w:t>Pētījuma</w:t>
      </w:r>
      <w:r>
        <w:rPr>
          <w:b/>
          <w:i/>
          <w:spacing w:val="-14"/>
        </w:rPr>
        <w:t> </w:t>
      </w:r>
      <w:r>
        <w:rPr>
          <w:b/>
          <w:i/>
        </w:rPr>
        <w:t>VI.</w:t>
      </w:r>
      <w:r>
        <w:rPr>
          <w:b/>
          <w:i/>
          <w:spacing w:val="-13"/>
        </w:rPr>
        <w:t> </w:t>
      </w:r>
      <w:r>
        <w:rPr>
          <w:b/>
          <w:i/>
        </w:rPr>
        <w:t>nodaļā</w:t>
      </w:r>
      <w:r>
        <w:rPr>
          <w:b/>
          <w:i/>
          <w:spacing w:val="-14"/>
        </w:rPr>
        <w:t> </w:t>
      </w:r>
      <w:r>
        <w:rPr/>
        <w:t>ir</w:t>
      </w:r>
      <w:r>
        <w:rPr>
          <w:spacing w:val="-13"/>
        </w:rPr>
        <w:t> </w:t>
      </w:r>
      <w:r>
        <w:rPr/>
        <w:t>plašāk</w:t>
      </w:r>
      <w:r>
        <w:rPr>
          <w:spacing w:val="-16"/>
        </w:rPr>
        <w:t> </w:t>
      </w:r>
      <w:r>
        <w:rPr/>
        <w:t>analizēti</w:t>
      </w:r>
      <w:r>
        <w:rPr>
          <w:spacing w:val="-13"/>
        </w:rPr>
        <w:t> </w:t>
      </w:r>
      <w:r>
        <w:rPr/>
        <w:t>būtiskākie</w:t>
      </w:r>
      <w:r>
        <w:rPr>
          <w:spacing w:val="-13"/>
        </w:rPr>
        <w:t> </w:t>
      </w:r>
      <w:r>
        <w:rPr/>
        <w:t>fiziskās</w:t>
      </w:r>
      <w:r>
        <w:rPr>
          <w:spacing w:val="-16"/>
        </w:rPr>
        <w:t> </w:t>
      </w:r>
      <w:r>
        <w:rPr/>
        <w:t>personas</w:t>
      </w:r>
      <w:r>
        <w:rPr>
          <w:spacing w:val="-13"/>
        </w:rPr>
        <w:t> </w:t>
      </w:r>
      <w:r>
        <w:rPr/>
        <w:t>maksātnespējas procesa piemērošanas Latvijā problemātiskie aspekti, sniedzot arī priekšlikumus to risināšanai. Un tieši, minētajā nodaļā ir aprakstīti šādi</w:t>
      </w:r>
      <w:r>
        <w:rPr>
          <w:spacing w:val="2"/>
        </w:rPr>
        <w:t> </w:t>
      </w:r>
      <w:r>
        <w:rPr/>
        <w:t>problēmjautājumi:</w:t>
      </w:r>
    </w:p>
    <w:p>
      <w:pPr>
        <w:pStyle w:val="ListParagraph"/>
        <w:numPr>
          <w:ilvl w:val="0"/>
          <w:numId w:val="6"/>
        </w:numPr>
        <w:tabs>
          <w:tab w:pos="1340" w:val="left" w:leader="none"/>
        </w:tabs>
        <w:spacing w:line="240" w:lineRule="auto" w:before="1" w:after="0"/>
        <w:ind w:left="1340" w:right="0" w:hanging="360"/>
        <w:jc w:val="left"/>
        <w:rPr>
          <w:sz w:val="24"/>
        </w:rPr>
      </w:pPr>
      <w:r>
        <w:rPr>
          <w:sz w:val="24"/>
        </w:rPr>
        <w:t>patieso ienākumu</w:t>
      </w:r>
      <w:r>
        <w:rPr>
          <w:spacing w:val="-1"/>
          <w:sz w:val="24"/>
        </w:rPr>
        <w:t> </w:t>
      </w:r>
      <w:r>
        <w:rPr>
          <w:sz w:val="24"/>
        </w:rPr>
        <w:t>slēpšana,</w:t>
      </w:r>
    </w:p>
    <w:p>
      <w:pPr>
        <w:pStyle w:val="ListParagraph"/>
        <w:numPr>
          <w:ilvl w:val="0"/>
          <w:numId w:val="6"/>
        </w:numPr>
        <w:tabs>
          <w:tab w:pos="1340" w:val="left" w:leader="none"/>
        </w:tabs>
        <w:spacing w:line="240" w:lineRule="auto" w:before="0" w:after="0"/>
        <w:ind w:left="1340" w:right="0" w:hanging="360"/>
        <w:jc w:val="left"/>
        <w:rPr>
          <w:sz w:val="24"/>
        </w:rPr>
      </w:pPr>
      <w:r>
        <w:rPr>
          <w:sz w:val="24"/>
        </w:rPr>
        <w:t>motivācijas trūkums gūt lielākus</w:t>
      </w:r>
      <w:r>
        <w:rPr>
          <w:spacing w:val="1"/>
          <w:sz w:val="24"/>
        </w:rPr>
        <w:t> </w:t>
      </w:r>
      <w:r>
        <w:rPr>
          <w:sz w:val="24"/>
        </w:rPr>
        <w:t>ienākumus,</w:t>
      </w:r>
    </w:p>
    <w:p>
      <w:pPr>
        <w:pStyle w:val="ListParagraph"/>
        <w:numPr>
          <w:ilvl w:val="0"/>
          <w:numId w:val="6"/>
        </w:numPr>
        <w:tabs>
          <w:tab w:pos="1340" w:val="left" w:leader="none"/>
        </w:tabs>
        <w:spacing w:line="240" w:lineRule="auto" w:before="0" w:after="0"/>
        <w:ind w:left="1340" w:right="0" w:hanging="360"/>
        <w:jc w:val="left"/>
        <w:rPr>
          <w:sz w:val="24"/>
        </w:rPr>
      </w:pPr>
      <w:r>
        <w:rPr>
          <w:sz w:val="24"/>
        </w:rPr>
        <w:t>saistību dzēšanas plāna termiņš un kreditoriem maksājamā</w:t>
      </w:r>
      <w:r>
        <w:rPr>
          <w:spacing w:val="-6"/>
          <w:sz w:val="24"/>
        </w:rPr>
        <w:t> </w:t>
      </w:r>
      <w:r>
        <w:rPr>
          <w:sz w:val="24"/>
        </w:rPr>
        <w:t>summa,</w:t>
      </w:r>
    </w:p>
    <w:p>
      <w:pPr>
        <w:pStyle w:val="ListParagraph"/>
        <w:numPr>
          <w:ilvl w:val="0"/>
          <w:numId w:val="6"/>
        </w:numPr>
        <w:tabs>
          <w:tab w:pos="1340" w:val="left" w:leader="none"/>
        </w:tabs>
        <w:spacing w:line="240" w:lineRule="auto" w:before="0" w:after="0"/>
        <w:ind w:left="1340" w:right="0" w:hanging="360"/>
        <w:jc w:val="left"/>
        <w:rPr>
          <w:sz w:val="24"/>
        </w:rPr>
      </w:pPr>
      <w:r>
        <w:rPr>
          <w:sz w:val="24"/>
        </w:rPr>
        <w:t>neapdomīga vai pārmērīga saistību</w:t>
      </w:r>
      <w:r>
        <w:rPr>
          <w:spacing w:val="-6"/>
          <w:sz w:val="24"/>
        </w:rPr>
        <w:t> </w:t>
      </w:r>
      <w:r>
        <w:rPr>
          <w:sz w:val="24"/>
        </w:rPr>
        <w:t>uzņemšanās,</w:t>
      </w:r>
    </w:p>
    <w:p>
      <w:pPr>
        <w:pStyle w:val="ListParagraph"/>
        <w:numPr>
          <w:ilvl w:val="0"/>
          <w:numId w:val="6"/>
        </w:numPr>
        <w:tabs>
          <w:tab w:pos="1340" w:val="left" w:leader="none"/>
        </w:tabs>
        <w:spacing w:line="240" w:lineRule="auto" w:before="0" w:after="0"/>
        <w:ind w:left="1340" w:right="406" w:hanging="360"/>
        <w:jc w:val="left"/>
        <w:rPr>
          <w:sz w:val="24"/>
        </w:rPr>
      </w:pPr>
      <w:r>
        <w:rPr>
          <w:sz w:val="24"/>
        </w:rPr>
        <w:t>parādnieka negodprātība plašākā nozīmē (mantas slēpšana vai nobēdzināšana, nepatiesas informācijas sniegšana</w:t>
      </w:r>
      <w:r>
        <w:rPr>
          <w:spacing w:val="-1"/>
          <w:sz w:val="24"/>
        </w:rPr>
        <w:t> </w:t>
      </w:r>
      <w:r>
        <w:rPr>
          <w:sz w:val="24"/>
        </w:rPr>
        <w:t>u.c.),</w:t>
      </w:r>
    </w:p>
    <w:p>
      <w:pPr>
        <w:pStyle w:val="ListParagraph"/>
        <w:numPr>
          <w:ilvl w:val="0"/>
          <w:numId w:val="6"/>
        </w:numPr>
        <w:tabs>
          <w:tab w:pos="1340" w:val="left" w:leader="none"/>
        </w:tabs>
        <w:spacing w:line="240" w:lineRule="auto" w:before="0" w:after="0"/>
        <w:ind w:left="1340" w:right="404" w:hanging="360"/>
        <w:jc w:val="left"/>
        <w:rPr>
          <w:sz w:val="24"/>
        </w:rPr>
      </w:pPr>
      <w:r>
        <w:rPr>
          <w:sz w:val="24"/>
        </w:rPr>
        <w:t>būtiski samazinājies uzsākto maksātnespējas procesu skaits 2018.gadā NINA (</w:t>
      </w:r>
      <w:r>
        <w:rPr>
          <w:i/>
          <w:sz w:val="24"/>
        </w:rPr>
        <w:t>no- </w:t>
      </w:r>
      <w:r>
        <w:rPr>
          <w:i/>
          <w:sz w:val="24"/>
        </w:rPr>
        <w:t>income no-asset</w:t>
      </w:r>
      <w:r>
        <w:rPr>
          <w:sz w:val="24"/>
        </w:rPr>
        <w:t>) procedūras</w:t>
      </w:r>
      <w:r>
        <w:rPr>
          <w:spacing w:val="-6"/>
          <w:sz w:val="24"/>
        </w:rPr>
        <w:t> </w:t>
      </w:r>
      <w:r>
        <w:rPr>
          <w:sz w:val="24"/>
        </w:rPr>
        <w:t>ieviešana,</w:t>
      </w:r>
    </w:p>
    <w:p>
      <w:pPr>
        <w:pStyle w:val="ListParagraph"/>
        <w:numPr>
          <w:ilvl w:val="0"/>
          <w:numId w:val="6"/>
        </w:numPr>
        <w:tabs>
          <w:tab w:pos="1340" w:val="left" w:leader="none"/>
        </w:tabs>
        <w:spacing w:line="240" w:lineRule="auto" w:before="0" w:after="0"/>
        <w:ind w:left="1340" w:right="0" w:hanging="360"/>
        <w:jc w:val="left"/>
        <w:rPr>
          <w:sz w:val="24"/>
        </w:rPr>
      </w:pPr>
      <w:r>
        <w:rPr>
          <w:sz w:val="24"/>
        </w:rPr>
        <w:t>novēloti uzsākti maksātnespējas</w:t>
      </w:r>
      <w:r>
        <w:rPr>
          <w:spacing w:val="-4"/>
          <w:sz w:val="24"/>
        </w:rPr>
        <w:t> </w:t>
      </w:r>
      <w:r>
        <w:rPr>
          <w:sz w:val="24"/>
        </w:rPr>
        <w:t>procesi,</w:t>
      </w:r>
    </w:p>
    <w:p>
      <w:pPr>
        <w:pStyle w:val="ListParagraph"/>
        <w:numPr>
          <w:ilvl w:val="0"/>
          <w:numId w:val="6"/>
        </w:numPr>
        <w:tabs>
          <w:tab w:pos="1340" w:val="left" w:leader="none"/>
        </w:tabs>
        <w:spacing w:line="240" w:lineRule="auto" w:before="0" w:after="0"/>
        <w:ind w:left="1340" w:right="0" w:hanging="360"/>
        <w:jc w:val="left"/>
        <w:rPr>
          <w:sz w:val="24"/>
        </w:rPr>
      </w:pPr>
      <w:r>
        <w:rPr>
          <w:sz w:val="24"/>
        </w:rPr>
        <w:t>maksātnespējas procesa</w:t>
      </w:r>
      <w:r>
        <w:rPr>
          <w:spacing w:val="1"/>
          <w:sz w:val="24"/>
        </w:rPr>
        <w:t> </w:t>
      </w:r>
      <w:r>
        <w:rPr>
          <w:sz w:val="24"/>
        </w:rPr>
        <w:t>pieejamība,</w:t>
      </w:r>
    </w:p>
    <w:p>
      <w:pPr>
        <w:pStyle w:val="ListParagraph"/>
        <w:numPr>
          <w:ilvl w:val="0"/>
          <w:numId w:val="6"/>
        </w:numPr>
        <w:tabs>
          <w:tab w:pos="1340" w:val="left" w:leader="none"/>
        </w:tabs>
        <w:spacing w:line="240" w:lineRule="auto" w:before="0" w:after="0"/>
        <w:ind w:left="1340" w:right="405" w:hanging="360"/>
        <w:jc w:val="left"/>
        <w:rPr>
          <w:sz w:val="24"/>
        </w:rPr>
      </w:pPr>
      <w:r>
        <w:rPr>
          <w:sz w:val="24"/>
        </w:rPr>
        <w:t>dažāda izpratne par procesā iesaistīto personu – kreditoru, maksātnespējas procesa administratoru un tiesnešu lomu un uzdevumiem,</w:t>
      </w:r>
    </w:p>
    <w:p>
      <w:pPr>
        <w:pStyle w:val="ListParagraph"/>
        <w:numPr>
          <w:ilvl w:val="0"/>
          <w:numId w:val="6"/>
        </w:numPr>
        <w:tabs>
          <w:tab w:pos="1340" w:val="left" w:leader="none"/>
        </w:tabs>
        <w:spacing w:line="240" w:lineRule="auto" w:before="0" w:after="0"/>
        <w:ind w:left="1340" w:right="0" w:hanging="360"/>
        <w:jc w:val="left"/>
        <w:rPr>
          <w:sz w:val="24"/>
        </w:rPr>
      </w:pPr>
      <w:r>
        <w:rPr>
          <w:sz w:val="24"/>
        </w:rPr>
        <w:t>vienotas tiesu prakses</w:t>
      </w:r>
      <w:r>
        <w:rPr>
          <w:spacing w:val="-1"/>
          <w:sz w:val="24"/>
        </w:rPr>
        <w:t> </w:t>
      </w:r>
      <w:r>
        <w:rPr>
          <w:sz w:val="24"/>
        </w:rPr>
        <w:t>trūkums.</w:t>
      </w:r>
    </w:p>
    <w:p>
      <w:pPr>
        <w:pStyle w:val="BodyText"/>
        <w:jc w:val="left"/>
      </w:pPr>
    </w:p>
    <w:p>
      <w:pPr>
        <w:spacing w:before="0"/>
        <w:ind w:left="620" w:right="404" w:firstLine="720"/>
        <w:jc w:val="both"/>
        <w:rPr>
          <w:sz w:val="24"/>
        </w:rPr>
      </w:pPr>
      <w:r>
        <w:rPr>
          <w:b/>
          <w:i/>
          <w:sz w:val="24"/>
        </w:rPr>
        <w:t>Pētījuma VII. nodaļā </w:t>
      </w:r>
      <w:r>
        <w:rPr>
          <w:sz w:val="24"/>
        </w:rPr>
        <w:t>ir norādīts sniegto priekšlikumu apkopojums, sniedzot īsu</w:t>
      </w:r>
      <w:r>
        <w:rPr>
          <w:spacing w:val="-31"/>
          <w:sz w:val="24"/>
        </w:rPr>
        <w:t> </w:t>
      </w:r>
      <w:r>
        <w:rPr>
          <w:sz w:val="24"/>
        </w:rPr>
        <w:t>to pamatojumu.</w:t>
      </w:r>
    </w:p>
    <w:p>
      <w:pPr>
        <w:pStyle w:val="BodyText"/>
        <w:jc w:val="left"/>
        <w:rPr>
          <w:sz w:val="20"/>
        </w:rPr>
      </w:pPr>
    </w:p>
    <w:p>
      <w:pPr>
        <w:pStyle w:val="BodyText"/>
        <w:spacing w:before="7"/>
        <w:jc w:val="left"/>
        <w:rPr>
          <w:sz w:val="20"/>
        </w:rPr>
      </w:pPr>
    </w:p>
    <w:p>
      <w:pPr>
        <w:spacing w:before="90"/>
        <w:ind w:left="620" w:right="0" w:firstLine="0"/>
        <w:jc w:val="left"/>
        <w:rPr>
          <w:b/>
          <w:i/>
          <w:sz w:val="24"/>
        </w:rPr>
      </w:pPr>
      <w:r>
        <w:rPr>
          <w:b/>
          <w:i/>
          <w:spacing w:val="-147"/>
          <w:sz w:val="24"/>
          <w:u w:val="thick"/>
        </w:rPr>
        <w:t>P</w:t>
      </w:r>
      <w:r>
        <w:rPr>
          <w:b/>
          <w:i/>
          <w:spacing w:val="89"/>
          <w:sz w:val="24"/>
        </w:rPr>
        <w:t> </w:t>
      </w:r>
      <w:r>
        <w:rPr>
          <w:b/>
          <w:i/>
          <w:sz w:val="24"/>
          <w:u w:val="thick"/>
        </w:rPr>
        <w:t>ateicība</w:t>
      </w:r>
    </w:p>
    <w:p>
      <w:pPr>
        <w:pStyle w:val="BodyText"/>
        <w:spacing w:before="8"/>
        <w:jc w:val="left"/>
        <w:rPr>
          <w:b/>
          <w:i/>
          <w:sz w:val="15"/>
        </w:rPr>
      </w:pPr>
    </w:p>
    <w:p>
      <w:pPr>
        <w:pStyle w:val="BodyText"/>
        <w:spacing w:before="90"/>
        <w:ind w:left="620" w:right="401" w:firstLine="360"/>
      </w:pPr>
      <w:r>
        <w:rPr/>
        <w:t>Izsakām sirsnīgu pateicību Tieslietu ministrijai un Tiesu administrācijai par sniegto atbalstu analizējamo tiesu nolēmumu atlasē, respondentiem - par veltīto laiku anketu aizpildīšanai un vērtīgajiem priekšlikumiem, un nozares pārstāvjiem - par izvērstajām atbildēm un motivētajiem ierosinājumiem.</w:t>
      </w:r>
    </w:p>
    <w:p>
      <w:pPr>
        <w:spacing w:after="0"/>
        <w:sectPr>
          <w:pgSz w:w="11910" w:h="16840"/>
          <w:pgMar w:header="0" w:footer="1055" w:top="1340" w:bottom="1240" w:left="1180" w:right="1040"/>
        </w:sectPr>
      </w:pPr>
    </w:p>
    <w:p>
      <w:pPr>
        <w:pStyle w:val="Heading2"/>
        <w:numPr>
          <w:ilvl w:val="1"/>
          <w:numId w:val="6"/>
        </w:numPr>
        <w:tabs>
          <w:tab w:pos="4300" w:val="left" w:leader="none"/>
        </w:tabs>
        <w:spacing w:line="322" w:lineRule="exact" w:before="59" w:after="0"/>
        <w:ind w:left="4299" w:right="0" w:hanging="277"/>
        <w:jc w:val="left"/>
      </w:pPr>
      <w:r>
        <w:rPr>
          <w:color w:val="4472C3"/>
        </w:rPr>
        <w:t>NODAĻA</w:t>
      </w:r>
    </w:p>
    <w:p>
      <w:pPr>
        <w:spacing w:before="0"/>
        <w:ind w:left="2057" w:right="0" w:firstLine="0"/>
        <w:jc w:val="left"/>
        <w:rPr>
          <w:b/>
          <w:sz w:val="28"/>
        </w:rPr>
      </w:pPr>
      <w:r>
        <w:rPr>
          <w:b/>
          <w:color w:val="4472C3"/>
          <w:sz w:val="28"/>
        </w:rPr>
        <w:t>TIESU PRAKSES ANALĪZES REZULTĀTI</w:t>
      </w:r>
    </w:p>
    <w:p>
      <w:pPr>
        <w:pStyle w:val="BodyText"/>
        <w:jc w:val="left"/>
        <w:rPr>
          <w:b/>
          <w:sz w:val="30"/>
        </w:rPr>
      </w:pPr>
    </w:p>
    <w:p>
      <w:pPr>
        <w:pStyle w:val="ListParagraph"/>
        <w:numPr>
          <w:ilvl w:val="0"/>
          <w:numId w:val="7"/>
        </w:numPr>
        <w:tabs>
          <w:tab w:pos="1700" w:val="left" w:leader="none"/>
        </w:tabs>
        <w:spacing w:line="242" w:lineRule="auto" w:before="252" w:after="0"/>
        <w:ind w:left="2825" w:right="1489" w:hanging="1486"/>
        <w:jc w:val="left"/>
        <w:rPr>
          <w:b/>
          <w:sz w:val="28"/>
        </w:rPr>
      </w:pPr>
      <w:r>
        <w:rPr>
          <w:b/>
          <w:sz w:val="28"/>
        </w:rPr>
        <w:t>Tiesu nolēmumi, ar kuriem noraidīts fiziskās personas maksātnespējas procesa</w:t>
      </w:r>
      <w:r>
        <w:rPr>
          <w:b/>
          <w:spacing w:val="-1"/>
          <w:sz w:val="28"/>
        </w:rPr>
        <w:t> </w:t>
      </w:r>
      <w:r>
        <w:rPr>
          <w:b/>
          <w:sz w:val="28"/>
        </w:rPr>
        <w:t>pieteikums</w:t>
      </w:r>
    </w:p>
    <w:p>
      <w:pPr>
        <w:pStyle w:val="BodyText"/>
        <w:jc w:val="left"/>
        <w:rPr>
          <w:b/>
          <w:sz w:val="30"/>
        </w:rPr>
      </w:pPr>
    </w:p>
    <w:p>
      <w:pPr>
        <w:pStyle w:val="Heading4"/>
        <w:numPr>
          <w:ilvl w:val="1"/>
          <w:numId w:val="8"/>
        </w:numPr>
        <w:tabs>
          <w:tab w:pos="1041" w:val="left" w:leader="none"/>
        </w:tabs>
        <w:spacing w:line="240" w:lineRule="auto" w:before="201" w:after="0"/>
        <w:ind w:left="1040" w:right="0" w:hanging="421"/>
        <w:jc w:val="left"/>
        <w:rPr>
          <w:i/>
        </w:rPr>
      </w:pPr>
      <w:bookmarkStart w:name="_TOC_250076" w:id="2"/>
      <w:r>
        <w:rPr>
          <w:i/>
        </w:rPr>
        <w:t>Periods no 2010.gada 1.novembra līdz 2015.gada</w:t>
      </w:r>
      <w:r>
        <w:rPr>
          <w:i/>
          <w:spacing w:val="-1"/>
        </w:rPr>
        <w:t> </w:t>
      </w:r>
      <w:bookmarkEnd w:id="2"/>
      <w:r>
        <w:rPr>
          <w:i/>
        </w:rPr>
        <w:t>28.februārim</w:t>
      </w:r>
    </w:p>
    <w:p>
      <w:pPr>
        <w:pStyle w:val="BodyText"/>
        <w:spacing w:before="7"/>
        <w:jc w:val="left"/>
        <w:rPr>
          <w:b/>
          <w:i/>
          <w:sz w:val="23"/>
        </w:rPr>
      </w:pPr>
    </w:p>
    <w:p>
      <w:pPr>
        <w:pStyle w:val="BodyText"/>
        <w:ind w:left="260" w:right="398" w:firstLine="360"/>
        <w:jc w:val="left"/>
      </w:pPr>
      <w:r>
        <w:rPr/>
        <w:t>Minētajā periodā analizējamajos tiesu nolēmumos ir konstatēti šādi maksātnespējas pieteikuma noraidīšanas un maksātnespējas procesa nepasludināšanas pamati:</w:t>
      </w:r>
    </w:p>
    <w:p>
      <w:pPr>
        <w:pStyle w:val="BodyText"/>
        <w:spacing w:before="2"/>
        <w:jc w:val="left"/>
      </w:pPr>
    </w:p>
    <w:p>
      <w:pPr>
        <w:pStyle w:val="ListParagraph"/>
        <w:numPr>
          <w:ilvl w:val="0"/>
          <w:numId w:val="9"/>
        </w:numPr>
        <w:tabs>
          <w:tab w:pos="980" w:val="left" w:leader="none"/>
        </w:tabs>
        <w:spacing w:line="237" w:lineRule="auto" w:before="0" w:after="0"/>
        <w:ind w:left="980" w:right="761" w:hanging="360"/>
        <w:jc w:val="both"/>
        <w:rPr>
          <w:sz w:val="16"/>
        </w:rPr>
      </w:pPr>
      <w:r>
        <w:rPr>
          <w:sz w:val="24"/>
        </w:rPr>
        <w:t>Pieteicējs pēdējo sešu mēnešu laikā </w:t>
      </w:r>
      <w:r>
        <w:rPr>
          <w:b/>
          <w:sz w:val="24"/>
        </w:rPr>
        <w:t>nav bijis Latvijas Republikas nodokļu maksātājs </w:t>
      </w:r>
      <w:r>
        <w:rPr>
          <w:sz w:val="24"/>
        </w:rPr>
        <w:t>(</w:t>
      </w:r>
      <w:r>
        <w:rPr>
          <w:sz w:val="24"/>
          <w:u w:val="single"/>
        </w:rPr>
        <w:t>konstatēts vairāk nekā 20% analizēto spriedumu, ar kuriem noraidīts fiziskās personas maksātnespējas procesa pieteikums</w:t>
      </w:r>
      <w:r>
        <w:rPr>
          <w:sz w:val="24"/>
        </w:rPr>
        <w:t>). Piemēram, Balvu rajona tiesa 2014.gada 4.novembra spriedumā lietā Nr. C09048114 norādījusi, ka, tiesas ieskatā, pieteicējs nav LR nodokļu maksātājs, jo VID izziņa pierāda vien to, ka parādnieks</w:t>
      </w:r>
      <w:r>
        <w:rPr>
          <w:spacing w:val="-11"/>
          <w:sz w:val="24"/>
        </w:rPr>
        <w:t> </w:t>
      </w:r>
      <w:r>
        <w:rPr>
          <w:sz w:val="24"/>
        </w:rPr>
        <w:t>pēc</w:t>
      </w:r>
      <w:r>
        <w:rPr>
          <w:spacing w:val="-13"/>
          <w:sz w:val="24"/>
        </w:rPr>
        <w:t> </w:t>
      </w:r>
      <w:r>
        <w:rPr>
          <w:sz w:val="24"/>
        </w:rPr>
        <w:t>pilngadības</w:t>
      </w:r>
      <w:r>
        <w:rPr>
          <w:spacing w:val="-10"/>
          <w:sz w:val="24"/>
        </w:rPr>
        <w:t> </w:t>
      </w:r>
      <w:r>
        <w:rPr>
          <w:sz w:val="24"/>
        </w:rPr>
        <w:t>sasniegšanas</w:t>
      </w:r>
      <w:r>
        <w:rPr>
          <w:spacing w:val="-13"/>
          <w:sz w:val="24"/>
        </w:rPr>
        <w:t> </w:t>
      </w:r>
      <w:r>
        <w:rPr>
          <w:sz w:val="24"/>
        </w:rPr>
        <w:t>vispārējā</w:t>
      </w:r>
      <w:r>
        <w:rPr>
          <w:spacing w:val="-10"/>
          <w:sz w:val="24"/>
        </w:rPr>
        <w:t> </w:t>
      </w:r>
      <w:r>
        <w:rPr>
          <w:sz w:val="24"/>
        </w:rPr>
        <w:t>kārtībā</w:t>
      </w:r>
      <w:r>
        <w:rPr>
          <w:spacing w:val="-11"/>
          <w:sz w:val="24"/>
        </w:rPr>
        <w:t> </w:t>
      </w:r>
      <w:r>
        <w:rPr>
          <w:sz w:val="24"/>
        </w:rPr>
        <w:t>tika</w:t>
      </w:r>
      <w:r>
        <w:rPr>
          <w:spacing w:val="-10"/>
          <w:sz w:val="24"/>
        </w:rPr>
        <w:t> </w:t>
      </w:r>
      <w:r>
        <w:rPr>
          <w:sz w:val="24"/>
        </w:rPr>
        <w:t>reģistrēts</w:t>
      </w:r>
      <w:r>
        <w:rPr>
          <w:spacing w:val="-11"/>
          <w:sz w:val="24"/>
        </w:rPr>
        <w:t> </w:t>
      </w:r>
      <w:r>
        <w:rPr>
          <w:sz w:val="24"/>
        </w:rPr>
        <w:t>kā</w:t>
      </w:r>
      <w:r>
        <w:rPr>
          <w:spacing w:val="-10"/>
          <w:sz w:val="24"/>
        </w:rPr>
        <w:t> </w:t>
      </w:r>
      <w:r>
        <w:rPr>
          <w:sz w:val="24"/>
        </w:rPr>
        <w:t>nodokļu maksātājs, savukārt no VSAA izziņām secināms, ka nav veiktas valsts sociālās apdrošināšanas iemaksas, nav reģistrēti apdrošināšanas periodi.</w:t>
      </w:r>
      <w:r>
        <w:rPr>
          <w:position w:val="9"/>
          <w:sz w:val="16"/>
        </w:rPr>
        <w:t>1 </w:t>
      </w:r>
      <w:r>
        <w:rPr>
          <w:sz w:val="24"/>
        </w:rPr>
        <w:t>Savukārt</w:t>
      </w:r>
      <w:r>
        <w:rPr>
          <w:spacing w:val="-43"/>
          <w:sz w:val="24"/>
        </w:rPr>
        <w:t> </w:t>
      </w:r>
      <w:r>
        <w:rPr>
          <w:sz w:val="24"/>
        </w:rPr>
        <w:t>Jūrmalas pilsētas tiesa 2014.gada 2.oktobra spriedumā lietā Nr.C17146414 norādījusi, ka Maksātnespējas likumā, iekļaujot prasību fiziskajai personai sešus mēnešus </w:t>
      </w:r>
      <w:r>
        <w:rPr>
          <w:spacing w:val="-3"/>
          <w:sz w:val="24"/>
        </w:rPr>
        <w:t>pirms </w:t>
      </w:r>
      <w:r>
        <w:rPr>
          <w:sz w:val="24"/>
        </w:rPr>
        <w:t>maksātnespējas procesa pasludināšanas būt nodokļu maksātājam, likumdevējs nostiprina</w:t>
      </w:r>
      <w:r>
        <w:rPr>
          <w:spacing w:val="-6"/>
          <w:sz w:val="24"/>
        </w:rPr>
        <w:t> </w:t>
      </w:r>
      <w:r>
        <w:rPr>
          <w:sz w:val="24"/>
        </w:rPr>
        <w:t>gan</w:t>
      </w:r>
      <w:r>
        <w:rPr>
          <w:spacing w:val="-8"/>
          <w:sz w:val="24"/>
        </w:rPr>
        <w:t> </w:t>
      </w:r>
      <w:r>
        <w:rPr>
          <w:sz w:val="24"/>
        </w:rPr>
        <w:t>prasību</w:t>
      </w:r>
      <w:r>
        <w:rPr>
          <w:spacing w:val="-5"/>
          <w:sz w:val="24"/>
        </w:rPr>
        <w:t> </w:t>
      </w:r>
      <w:r>
        <w:rPr>
          <w:sz w:val="24"/>
        </w:rPr>
        <w:t>fiziskajai</w:t>
      </w:r>
      <w:r>
        <w:rPr>
          <w:spacing w:val="-6"/>
          <w:sz w:val="24"/>
        </w:rPr>
        <w:t> </w:t>
      </w:r>
      <w:r>
        <w:rPr>
          <w:sz w:val="24"/>
        </w:rPr>
        <w:t>personai,</w:t>
      </w:r>
      <w:r>
        <w:rPr>
          <w:spacing w:val="-5"/>
          <w:sz w:val="24"/>
        </w:rPr>
        <w:t> </w:t>
      </w:r>
      <w:r>
        <w:rPr>
          <w:sz w:val="24"/>
        </w:rPr>
        <w:t>kas</w:t>
      </w:r>
      <w:r>
        <w:rPr>
          <w:spacing w:val="-5"/>
          <w:sz w:val="24"/>
        </w:rPr>
        <w:t> </w:t>
      </w:r>
      <w:r>
        <w:rPr>
          <w:sz w:val="24"/>
        </w:rPr>
        <w:t>pretendē</w:t>
      </w:r>
      <w:r>
        <w:rPr>
          <w:spacing w:val="-6"/>
          <w:sz w:val="24"/>
        </w:rPr>
        <w:t> </w:t>
      </w:r>
      <w:r>
        <w:rPr>
          <w:sz w:val="24"/>
        </w:rPr>
        <w:t>uz</w:t>
      </w:r>
      <w:r>
        <w:rPr>
          <w:spacing w:val="-4"/>
          <w:sz w:val="24"/>
        </w:rPr>
        <w:t> </w:t>
      </w:r>
      <w:r>
        <w:rPr>
          <w:sz w:val="24"/>
        </w:rPr>
        <w:t>maksātnespējas</w:t>
      </w:r>
      <w:r>
        <w:rPr>
          <w:spacing w:val="-5"/>
          <w:sz w:val="24"/>
        </w:rPr>
        <w:t> </w:t>
      </w:r>
      <w:r>
        <w:rPr>
          <w:sz w:val="24"/>
        </w:rPr>
        <w:t>procesu, būt ekonomiski aktīvai un tādējādi spējīgai vismaz daļējā apmērā segt kreditoru prasījumus, gan priekšnoteikumu par fiziskās personas galveno interešu centra atrašanos Latvijas</w:t>
      </w:r>
      <w:r>
        <w:rPr>
          <w:spacing w:val="-2"/>
          <w:sz w:val="24"/>
        </w:rPr>
        <w:t> </w:t>
      </w:r>
      <w:r>
        <w:rPr>
          <w:sz w:val="24"/>
        </w:rPr>
        <w:t>Republikā.</w:t>
      </w:r>
      <w:r>
        <w:rPr>
          <w:position w:val="9"/>
          <w:sz w:val="16"/>
        </w:rPr>
        <w:t>2</w:t>
      </w:r>
    </w:p>
    <w:p>
      <w:pPr>
        <w:pStyle w:val="BodyText"/>
        <w:jc w:val="left"/>
        <w:rPr>
          <w:sz w:val="25"/>
        </w:rPr>
      </w:pPr>
    </w:p>
    <w:p>
      <w:pPr>
        <w:pStyle w:val="BodyText"/>
        <w:spacing w:line="237" w:lineRule="auto"/>
        <w:ind w:left="980" w:right="763"/>
        <w:rPr>
          <w:sz w:val="16"/>
        </w:rPr>
      </w:pPr>
      <w:r>
        <w:rPr/>
        <w:t>Vienlaikus jānorāda, ka </w:t>
      </w:r>
      <w:r>
        <w:rPr>
          <w:spacing w:val="-3"/>
        </w:rPr>
        <w:t>LR </w:t>
      </w:r>
      <w:r>
        <w:rPr/>
        <w:t>AT Senāts  2011.gada  23.novembra  lēmumā  </w:t>
      </w:r>
      <w:r>
        <w:rPr>
          <w:spacing w:val="-3"/>
        </w:rPr>
        <w:t>lietā </w:t>
      </w:r>
      <w:r>
        <w:rPr/>
        <w:t>Nr. SPC – 77/2011 ir atzinis, ka jēdziens “nodokļu maksātājs” nav saistāms ar faktiski</w:t>
      </w:r>
      <w:r>
        <w:rPr>
          <w:spacing w:val="-9"/>
        </w:rPr>
        <w:t> </w:t>
      </w:r>
      <w:r>
        <w:rPr/>
        <w:t>veiktiem</w:t>
      </w:r>
      <w:r>
        <w:rPr>
          <w:spacing w:val="-10"/>
        </w:rPr>
        <w:t> </w:t>
      </w:r>
      <w:r>
        <w:rPr/>
        <w:t>nodokļu</w:t>
      </w:r>
      <w:r>
        <w:rPr>
          <w:spacing w:val="-8"/>
        </w:rPr>
        <w:t> </w:t>
      </w:r>
      <w:r>
        <w:rPr/>
        <w:t>maksājumiem,</w:t>
      </w:r>
      <w:r>
        <w:rPr>
          <w:spacing w:val="-8"/>
        </w:rPr>
        <w:t> </w:t>
      </w:r>
      <w:r>
        <w:rPr/>
        <w:t>norādot,</w:t>
      </w:r>
      <w:r>
        <w:rPr>
          <w:spacing w:val="-8"/>
        </w:rPr>
        <w:t> </w:t>
      </w:r>
      <w:r>
        <w:rPr/>
        <w:t>ka</w:t>
      </w:r>
      <w:r>
        <w:rPr>
          <w:spacing w:val="-10"/>
        </w:rPr>
        <w:t> </w:t>
      </w:r>
      <w:r>
        <w:rPr/>
        <w:t>jēdziens</w:t>
      </w:r>
      <w:r>
        <w:rPr>
          <w:spacing w:val="-8"/>
        </w:rPr>
        <w:t> </w:t>
      </w:r>
      <w:r>
        <w:rPr/>
        <w:t>“Latvijas</w:t>
      </w:r>
      <w:r>
        <w:rPr>
          <w:spacing w:val="-10"/>
        </w:rPr>
        <w:t> </w:t>
      </w:r>
      <w:r>
        <w:rPr/>
        <w:t>Republikas nodokļu maksātājs” ir saistāms ar rezidenta statusu, nevis reālu nodokļu maksāšanas faktu.</w:t>
      </w:r>
      <w:r>
        <w:rPr>
          <w:position w:val="9"/>
          <w:sz w:val="16"/>
        </w:rPr>
        <w:t>3</w:t>
      </w:r>
    </w:p>
    <w:p>
      <w:pPr>
        <w:pStyle w:val="BodyText"/>
        <w:spacing w:before="5"/>
        <w:jc w:val="left"/>
        <w:rPr>
          <w:sz w:val="23"/>
        </w:rPr>
      </w:pPr>
    </w:p>
    <w:p>
      <w:pPr>
        <w:pStyle w:val="ListParagraph"/>
        <w:numPr>
          <w:ilvl w:val="0"/>
          <w:numId w:val="9"/>
        </w:numPr>
        <w:tabs>
          <w:tab w:pos="980" w:val="left" w:leader="none"/>
        </w:tabs>
        <w:spacing w:line="240" w:lineRule="auto" w:before="1" w:after="0"/>
        <w:ind w:left="980" w:right="762" w:hanging="360"/>
        <w:jc w:val="both"/>
        <w:rPr>
          <w:sz w:val="24"/>
        </w:rPr>
      </w:pPr>
      <w:r>
        <w:rPr>
          <w:sz w:val="24"/>
        </w:rPr>
        <w:t>Netiek konstatēta </w:t>
      </w:r>
      <w:r>
        <w:rPr>
          <w:b/>
          <w:sz w:val="24"/>
        </w:rPr>
        <w:t>Maksātnespējas likuma 129.panta pirmās daļas 1.punkta pazīme </w:t>
      </w:r>
      <w:r>
        <w:rPr>
          <w:sz w:val="24"/>
        </w:rPr>
        <w:t>– personai </w:t>
      </w:r>
      <w:r>
        <w:rPr>
          <w:b/>
          <w:sz w:val="24"/>
        </w:rPr>
        <w:t>nav iespēju nokārtot parādsaistības</w:t>
      </w:r>
      <w:r>
        <w:rPr>
          <w:sz w:val="24"/>
        </w:rPr>
        <w:t>, kurām iestājies izpildes termiņš, un parādsaistības kopā pārsniedz Maksātnespējas likumā noteikto minimālo apmēru, respektīvi, tiesa apšauba parādnieka nespēju nokārot saistības (</w:t>
      </w:r>
      <w:r>
        <w:rPr>
          <w:sz w:val="24"/>
          <w:u w:val="single"/>
        </w:rPr>
        <w:t>konstatēts 55% analizēto spriedumu, ar kuriem noraidīts fiziskās personas maksātnespējas procesa</w:t>
      </w:r>
      <w:r>
        <w:rPr>
          <w:spacing w:val="1"/>
          <w:sz w:val="24"/>
          <w:u w:val="single"/>
        </w:rPr>
        <w:t> </w:t>
      </w:r>
      <w:r>
        <w:rPr>
          <w:sz w:val="24"/>
          <w:u w:val="single"/>
        </w:rPr>
        <w:t>pieteikums</w:t>
      </w:r>
      <w:r>
        <w:rPr>
          <w:sz w:val="24"/>
        </w:rPr>
        <w:t>):</w:t>
      </w:r>
    </w:p>
    <w:p>
      <w:pPr>
        <w:pStyle w:val="ListParagraph"/>
        <w:numPr>
          <w:ilvl w:val="1"/>
          <w:numId w:val="9"/>
        </w:numPr>
        <w:tabs>
          <w:tab w:pos="1340" w:val="left" w:leader="none"/>
        </w:tabs>
        <w:spacing w:line="240" w:lineRule="auto" w:before="0" w:after="0"/>
        <w:ind w:left="1340" w:right="766" w:hanging="360"/>
        <w:jc w:val="both"/>
        <w:rPr>
          <w:sz w:val="24"/>
        </w:rPr>
      </w:pPr>
      <w:r>
        <w:rPr>
          <w:sz w:val="24"/>
        </w:rPr>
        <w:t>Lielākoties maksātnespējas procesa pieteikums ir noraidīts, jo </w:t>
      </w:r>
      <w:r>
        <w:rPr>
          <w:b/>
          <w:sz w:val="24"/>
        </w:rPr>
        <w:t>nav iesniegti pierādījumi par nespēju nokārtot</w:t>
      </w:r>
      <w:r>
        <w:rPr>
          <w:b/>
          <w:spacing w:val="1"/>
          <w:sz w:val="24"/>
        </w:rPr>
        <w:t> </w:t>
      </w:r>
      <w:r>
        <w:rPr>
          <w:b/>
          <w:sz w:val="24"/>
        </w:rPr>
        <w:t>parādsaistības</w:t>
      </w:r>
      <w:r>
        <w:rPr>
          <w:sz w:val="24"/>
        </w:rPr>
        <w:t>:</w:t>
      </w:r>
    </w:p>
    <w:p>
      <w:pPr>
        <w:pStyle w:val="BodyText"/>
        <w:ind w:left="1820" w:right="764" w:hanging="428"/>
      </w:pPr>
      <w:r>
        <w:rPr/>
        <w:t>aa) Nespēja nokārtot parādsaistības nevar būt prezumējama, paļaujoties vien uz pieteicēja apgalvojumu maksātnespējas procesa pieteikumā. Nespēja</w:t>
      </w:r>
    </w:p>
    <w:p>
      <w:pPr>
        <w:pStyle w:val="BodyText"/>
        <w:jc w:val="left"/>
        <w:rPr>
          <w:sz w:val="20"/>
        </w:rPr>
      </w:pPr>
    </w:p>
    <w:p>
      <w:pPr>
        <w:pStyle w:val="BodyText"/>
        <w:spacing w:before="8"/>
        <w:jc w:val="left"/>
        <w:rPr>
          <w:sz w:val="16"/>
        </w:rPr>
      </w:pPr>
      <w:r>
        <w:rPr/>
        <w:pict>
          <v:shape style="position:absolute;margin-left:72pt;margin-top:11.887917pt;width:144pt;height:.1pt;mso-position-horizontal-relative:page;mso-position-vertical-relative:paragraph;z-index:-251658240;mso-wrap-distance-left:0;mso-wrap-distance-right:0" coordorigin="1440,238" coordsize="2880,0" path="m1440,238l4320,238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1 </w:t>
      </w:r>
      <w:r>
        <w:rPr>
          <w:sz w:val="20"/>
        </w:rPr>
        <w:t>Balvu rajona tiesas 2014.gada 4.novembra nolēmums lietā Nr. C09048114</w:t>
      </w:r>
    </w:p>
    <w:p>
      <w:pPr>
        <w:spacing w:line="224" w:lineRule="exact" w:before="0"/>
        <w:ind w:left="260" w:right="0" w:firstLine="0"/>
        <w:jc w:val="left"/>
        <w:rPr>
          <w:sz w:val="20"/>
        </w:rPr>
      </w:pPr>
      <w:r>
        <w:rPr>
          <w:position w:val="7"/>
          <w:sz w:val="13"/>
        </w:rPr>
        <w:t>2 </w:t>
      </w:r>
      <w:r>
        <w:rPr>
          <w:sz w:val="20"/>
        </w:rPr>
        <w:t>Jūrmalas pilsētas tiesas 2014.gada 2.oktobra nolēmums lietā Nr. C17146414</w:t>
      </w:r>
    </w:p>
    <w:p>
      <w:pPr>
        <w:spacing w:line="275" w:lineRule="exact" w:before="0"/>
        <w:ind w:left="260" w:right="0" w:firstLine="0"/>
        <w:jc w:val="left"/>
        <w:rPr>
          <w:sz w:val="20"/>
        </w:rPr>
      </w:pPr>
      <w:r>
        <w:rPr>
          <w:position w:val="9"/>
          <w:sz w:val="16"/>
        </w:rPr>
        <w:t>3 </w:t>
      </w:r>
      <w:r>
        <w:rPr>
          <w:sz w:val="20"/>
        </w:rPr>
        <w:t>LR AT Senāta 2011.gada 23.novembra lēmums lietā Nr. SPC – 77/2011</w:t>
      </w:r>
    </w:p>
    <w:p>
      <w:pPr>
        <w:spacing w:after="0" w:line="275" w:lineRule="exact"/>
        <w:jc w:val="left"/>
        <w:rPr>
          <w:sz w:val="20"/>
        </w:rPr>
        <w:sectPr>
          <w:pgSz w:w="11910" w:h="16840"/>
          <w:pgMar w:header="0" w:footer="1055" w:top="1360" w:bottom="1240" w:left="1180" w:right="1040"/>
        </w:sectPr>
      </w:pPr>
    </w:p>
    <w:p>
      <w:pPr>
        <w:pStyle w:val="BodyText"/>
        <w:spacing w:line="228" w:lineRule="auto" w:before="84"/>
        <w:ind w:left="2180" w:right="404"/>
        <w:rPr>
          <w:sz w:val="16"/>
        </w:rPr>
      </w:pPr>
      <w:r>
        <w:rPr/>
        <w:t>nokārtot parādsaistības ir konstatējama, ņemot vērā pieteicēja norādītos apstākļus un iesniegtos pierādījumus,</w:t>
      </w:r>
      <w:r>
        <w:rPr>
          <w:position w:val="9"/>
          <w:sz w:val="16"/>
        </w:rPr>
        <w:t>4</w:t>
      </w:r>
    </w:p>
    <w:p>
      <w:pPr>
        <w:pStyle w:val="BodyText"/>
        <w:spacing w:before="2"/>
        <w:ind w:left="2180" w:right="403" w:hanging="428"/>
      </w:pPr>
      <w:r>
        <w:rPr/>
        <w:t>bb) Fakts pats par sevi, ka pieteicējai ir neizpildītas parādsaistības pret kreditoriem, kurām iestājies izpildes termiņš, neapliecina, ka pieteicējai ir iestājies arī maksātnespējas stāvoklis. Lai pasludinātu fiziskās personas maksātnespēju, tiesai jānovērtē ne tikai parādnieka parādsaistību esamība un apjoms, bet arī parādnieka faktiskais finansiālais stāvoklis un spēja izpildīt parādsaistības.</w:t>
      </w:r>
    </w:p>
    <w:p>
      <w:pPr>
        <w:spacing w:line="276" w:lineRule="exact" w:before="3"/>
        <w:ind w:left="2180" w:right="400" w:hanging="428"/>
        <w:jc w:val="both"/>
        <w:rPr>
          <w:i/>
          <w:sz w:val="24"/>
        </w:rPr>
      </w:pPr>
      <w:r>
        <w:rPr>
          <w:sz w:val="24"/>
        </w:rPr>
        <w:t>cc)</w:t>
      </w:r>
      <w:r>
        <w:rPr>
          <w:spacing w:val="11"/>
          <w:sz w:val="24"/>
        </w:rPr>
        <w:t> </w:t>
      </w:r>
      <w:r>
        <w:rPr>
          <w:sz w:val="24"/>
        </w:rPr>
        <w:t>Civilprocesa</w:t>
      </w:r>
      <w:r>
        <w:rPr>
          <w:spacing w:val="-12"/>
          <w:sz w:val="24"/>
        </w:rPr>
        <w:t> </w:t>
      </w:r>
      <w:r>
        <w:rPr>
          <w:sz w:val="24"/>
        </w:rPr>
        <w:t>likuma</w:t>
      </w:r>
      <w:r>
        <w:rPr>
          <w:spacing w:val="-12"/>
          <w:sz w:val="24"/>
        </w:rPr>
        <w:t> </w:t>
      </w:r>
      <w:r>
        <w:rPr>
          <w:sz w:val="24"/>
        </w:rPr>
        <w:t>komentāros</w:t>
      </w:r>
      <w:r>
        <w:rPr>
          <w:spacing w:val="-13"/>
          <w:sz w:val="24"/>
        </w:rPr>
        <w:t> </w:t>
      </w:r>
      <w:r>
        <w:rPr>
          <w:sz w:val="24"/>
        </w:rPr>
        <w:t>pie</w:t>
      </w:r>
      <w:r>
        <w:rPr>
          <w:spacing w:val="-13"/>
          <w:sz w:val="24"/>
        </w:rPr>
        <w:t> </w:t>
      </w:r>
      <w:r>
        <w:rPr>
          <w:sz w:val="24"/>
        </w:rPr>
        <w:t>363.</w:t>
      </w:r>
      <w:r>
        <w:rPr>
          <w:position w:val="9"/>
          <w:sz w:val="16"/>
        </w:rPr>
        <w:t>27</w:t>
      </w:r>
      <w:r>
        <w:rPr>
          <w:spacing w:val="6"/>
          <w:position w:val="9"/>
          <w:sz w:val="16"/>
        </w:rPr>
        <w:t> </w:t>
      </w:r>
      <w:r>
        <w:rPr>
          <w:sz w:val="24"/>
        </w:rPr>
        <w:t>panta</w:t>
      </w:r>
      <w:r>
        <w:rPr>
          <w:spacing w:val="-16"/>
          <w:sz w:val="24"/>
        </w:rPr>
        <w:t> </w:t>
      </w:r>
      <w:r>
        <w:rPr>
          <w:sz w:val="24"/>
        </w:rPr>
        <w:t>norādīts,</w:t>
      </w:r>
      <w:r>
        <w:rPr>
          <w:spacing w:val="-13"/>
          <w:sz w:val="24"/>
        </w:rPr>
        <w:t> </w:t>
      </w:r>
      <w:r>
        <w:rPr>
          <w:sz w:val="24"/>
        </w:rPr>
        <w:t>ka</w:t>
      </w:r>
      <w:r>
        <w:rPr>
          <w:spacing w:val="-13"/>
          <w:sz w:val="24"/>
        </w:rPr>
        <w:t> </w:t>
      </w:r>
      <w:r>
        <w:rPr>
          <w:sz w:val="24"/>
        </w:rPr>
        <w:t>lai</w:t>
      </w:r>
      <w:r>
        <w:rPr>
          <w:spacing w:val="-12"/>
          <w:sz w:val="24"/>
        </w:rPr>
        <w:t> </w:t>
      </w:r>
      <w:r>
        <w:rPr>
          <w:sz w:val="24"/>
        </w:rPr>
        <w:t>konstatētu maksātnespējas pazīmi nepietiek ar to, ka parādniekam ir neizpildītas saistības likumā noteiktajā apmērā. No iesniegtajiem dokumentiem ir nepieciešams gūt pārliecību par to, ka parādnieks nav spējīgs saistības izpildīt, turklāt šī nespēja ir ilgstoša. (</w:t>
      </w:r>
      <w:r>
        <w:rPr>
          <w:i/>
          <w:sz w:val="24"/>
        </w:rPr>
        <w:t>Civilprocesa likuma komentāri. II </w:t>
      </w:r>
      <w:r>
        <w:rPr>
          <w:i/>
          <w:sz w:val="24"/>
        </w:rPr>
        <w:t>daļa.</w:t>
      </w:r>
      <w:r>
        <w:rPr>
          <w:i/>
          <w:spacing w:val="-6"/>
          <w:sz w:val="24"/>
        </w:rPr>
        <w:t> </w:t>
      </w:r>
      <w:r>
        <w:rPr>
          <w:i/>
          <w:sz w:val="24"/>
        </w:rPr>
        <w:t>Sagatavojis</w:t>
      </w:r>
      <w:r>
        <w:rPr>
          <w:i/>
          <w:spacing w:val="-4"/>
          <w:sz w:val="24"/>
        </w:rPr>
        <w:t> </w:t>
      </w:r>
      <w:r>
        <w:rPr>
          <w:i/>
          <w:sz w:val="24"/>
        </w:rPr>
        <w:t>autoru</w:t>
      </w:r>
      <w:r>
        <w:rPr>
          <w:i/>
          <w:spacing w:val="-9"/>
          <w:sz w:val="24"/>
        </w:rPr>
        <w:t> </w:t>
      </w:r>
      <w:r>
        <w:rPr>
          <w:i/>
          <w:sz w:val="24"/>
        </w:rPr>
        <w:t>kolektīvs</w:t>
      </w:r>
      <w:r>
        <w:rPr>
          <w:i/>
          <w:spacing w:val="-6"/>
          <w:sz w:val="24"/>
        </w:rPr>
        <w:t> </w:t>
      </w:r>
      <w:r>
        <w:rPr>
          <w:i/>
          <w:sz w:val="24"/>
        </w:rPr>
        <w:t>prof.</w:t>
      </w:r>
      <w:r>
        <w:rPr>
          <w:i/>
          <w:spacing w:val="-6"/>
          <w:sz w:val="24"/>
        </w:rPr>
        <w:t> </w:t>
      </w:r>
      <w:r>
        <w:rPr>
          <w:i/>
          <w:sz w:val="24"/>
        </w:rPr>
        <w:t>K.Torgāna</w:t>
      </w:r>
      <w:r>
        <w:rPr>
          <w:i/>
          <w:spacing w:val="-8"/>
          <w:sz w:val="24"/>
        </w:rPr>
        <w:t> </w:t>
      </w:r>
      <w:r>
        <w:rPr>
          <w:i/>
          <w:sz w:val="24"/>
        </w:rPr>
        <w:t>zinātniskajā</w:t>
      </w:r>
      <w:r>
        <w:rPr>
          <w:i/>
          <w:spacing w:val="-6"/>
          <w:sz w:val="24"/>
        </w:rPr>
        <w:t> </w:t>
      </w:r>
      <w:r>
        <w:rPr>
          <w:i/>
          <w:sz w:val="24"/>
        </w:rPr>
        <w:t>redakcijā.</w:t>
      </w:r>
    </w:p>
    <w:p>
      <w:pPr>
        <w:spacing w:line="273" w:lineRule="exact" w:before="0"/>
        <w:ind w:left="2180" w:right="0" w:firstLine="0"/>
        <w:jc w:val="both"/>
        <w:rPr>
          <w:sz w:val="16"/>
        </w:rPr>
      </w:pPr>
      <w:r>
        <w:rPr>
          <w:i/>
          <w:sz w:val="24"/>
        </w:rPr>
        <w:t>Tiesu namu aģentūra, 2012., 507.lpp.</w:t>
      </w:r>
      <w:r>
        <w:rPr>
          <w:sz w:val="24"/>
        </w:rPr>
        <w:t>).</w:t>
      </w:r>
      <w:r>
        <w:rPr>
          <w:position w:val="9"/>
          <w:sz w:val="16"/>
        </w:rPr>
        <w:t>5</w:t>
      </w:r>
    </w:p>
    <w:p>
      <w:pPr>
        <w:pStyle w:val="BodyText"/>
        <w:spacing w:line="237" w:lineRule="auto" w:before="2"/>
        <w:ind w:left="2180" w:right="404" w:hanging="428"/>
        <w:rPr>
          <w:sz w:val="16"/>
        </w:rPr>
      </w:pPr>
      <w:r>
        <w:rPr/>
        <w:t>dd) No lietā esošajiem pierādījumiem tiesai nav pamata konstatēt kādus objektīvus iemeslus, kāpēc pieteicējam, ņemot vērā pašreizējo ienākumu apmēru, nav iespējams pakāpeniski dzēst parādsaistības. Lietas materiāli apliecina,</w:t>
      </w:r>
      <w:r>
        <w:rPr>
          <w:spacing w:val="-12"/>
        </w:rPr>
        <w:t> </w:t>
      </w:r>
      <w:r>
        <w:rPr/>
        <w:t>ka</w:t>
      </w:r>
      <w:r>
        <w:rPr>
          <w:spacing w:val="-11"/>
        </w:rPr>
        <w:t> </w:t>
      </w:r>
      <w:r>
        <w:rPr/>
        <w:t>pieteicējam</w:t>
      </w:r>
      <w:r>
        <w:rPr>
          <w:spacing w:val="-11"/>
        </w:rPr>
        <w:t> </w:t>
      </w:r>
      <w:r>
        <w:rPr/>
        <w:t>bija</w:t>
      </w:r>
      <w:r>
        <w:rPr>
          <w:spacing w:val="-12"/>
        </w:rPr>
        <w:t> </w:t>
      </w:r>
      <w:r>
        <w:rPr/>
        <w:t>un</w:t>
      </w:r>
      <w:r>
        <w:rPr>
          <w:spacing w:val="-11"/>
        </w:rPr>
        <w:t> </w:t>
      </w:r>
      <w:r>
        <w:rPr/>
        <w:t>ir</w:t>
      </w:r>
      <w:r>
        <w:rPr>
          <w:spacing w:val="-11"/>
        </w:rPr>
        <w:t> </w:t>
      </w:r>
      <w:r>
        <w:rPr/>
        <w:t>regulāri,</w:t>
      </w:r>
      <w:r>
        <w:rPr>
          <w:spacing w:val="-11"/>
        </w:rPr>
        <w:t> </w:t>
      </w:r>
      <w:r>
        <w:rPr/>
        <w:t>stabili</w:t>
      </w:r>
      <w:r>
        <w:rPr>
          <w:spacing w:val="-12"/>
        </w:rPr>
        <w:t> </w:t>
      </w:r>
      <w:r>
        <w:rPr/>
        <w:t>un</w:t>
      </w:r>
      <w:r>
        <w:rPr>
          <w:spacing w:val="-11"/>
        </w:rPr>
        <w:t> </w:t>
      </w:r>
      <w:r>
        <w:rPr/>
        <w:t>pietiekami</w:t>
      </w:r>
      <w:r>
        <w:rPr>
          <w:spacing w:val="-11"/>
        </w:rPr>
        <w:t> </w:t>
      </w:r>
      <w:r>
        <w:rPr/>
        <w:t>ienākumi, kas</w:t>
      </w:r>
      <w:r>
        <w:rPr>
          <w:spacing w:val="-5"/>
        </w:rPr>
        <w:t> </w:t>
      </w:r>
      <w:r>
        <w:rPr/>
        <w:t>kopumā</w:t>
      </w:r>
      <w:r>
        <w:rPr>
          <w:spacing w:val="-5"/>
        </w:rPr>
        <w:t> </w:t>
      </w:r>
      <w:r>
        <w:rPr/>
        <w:t>liecina</w:t>
      </w:r>
      <w:r>
        <w:rPr>
          <w:spacing w:val="-5"/>
        </w:rPr>
        <w:t> </w:t>
      </w:r>
      <w:r>
        <w:rPr/>
        <w:t>par</w:t>
      </w:r>
      <w:r>
        <w:rPr>
          <w:spacing w:val="-8"/>
        </w:rPr>
        <w:t> </w:t>
      </w:r>
      <w:r>
        <w:rPr/>
        <w:t>to,</w:t>
      </w:r>
      <w:r>
        <w:rPr>
          <w:spacing w:val="-5"/>
        </w:rPr>
        <w:t> </w:t>
      </w:r>
      <w:r>
        <w:rPr/>
        <w:t>ka</w:t>
      </w:r>
      <w:r>
        <w:rPr>
          <w:spacing w:val="-7"/>
        </w:rPr>
        <w:t> </w:t>
      </w:r>
      <w:r>
        <w:rPr/>
        <w:t>pieteicējam</w:t>
      </w:r>
      <w:r>
        <w:rPr>
          <w:spacing w:val="-5"/>
        </w:rPr>
        <w:t> </w:t>
      </w:r>
      <w:r>
        <w:rPr/>
        <w:t>ir</w:t>
      </w:r>
      <w:r>
        <w:rPr>
          <w:spacing w:val="-5"/>
        </w:rPr>
        <w:t> </w:t>
      </w:r>
      <w:r>
        <w:rPr/>
        <w:t>iespējas</w:t>
      </w:r>
      <w:r>
        <w:rPr>
          <w:spacing w:val="-5"/>
        </w:rPr>
        <w:t> </w:t>
      </w:r>
      <w:r>
        <w:rPr/>
        <w:t>un</w:t>
      </w:r>
      <w:r>
        <w:rPr>
          <w:spacing w:val="-5"/>
        </w:rPr>
        <w:t> </w:t>
      </w:r>
      <w:r>
        <w:rPr/>
        <w:t>arī</w:t>
      </w:r>
      <w:r>
        <w:rPr>
          <w:spacing w:val="-7"/>
        </w:rPr>
        <w:t> </w:t>
      </w:r>
      <w:r>
        <w:rPr/>
        <w:t>pienākums</w:t>
      </w:r>
      <w:r>
        <w:rPr>
          <w:spacing w:val="-4"/>
        </w:rPr>
        <w:t> segt </w:t>
      </w:r>
      <w:r>
        <w:rPr/>
        <w:t>parādsaistības.</w:t>
      </w:r>
      <w:r>
        <w:rPr>
          <w:position w:val="9"/>
          <w:sz w:val="16"/>
        </w:rPr>
        <w:t>6</w:t>
      </w:r>
    </w:p>
    <w:p>
      <w:pPr>
        <w:pStyle w:val="BodyText"/>
        <w:spacing w:line="237" w:lineRule="auto" w:before="2"/>
        <w:ind w:left="2180" w:right="403" w:hanging="428"/>
      </w:pPr>
      <w:r>
        <w:rPr/>
        <w:t>ee) Ziņas, kas dotu pamatu konstatēt, ka pieteicēja mantiskais stāvoklis (ienākumi) ir samazinājušies no pieteicēja gribas neatkarīgu apstākļu dēļ tiesai nav iesniegti. Ievērojot norādīto tiesa uzskata, ka pieteicējs nav iesniedzis tiesai ziņas, kas dotu pamatu atzīt, ka pieteicēja mantiskais stāvoklis liedz viņam izpildīt saistības pret kreditoriem no viņa gribas neatkarīgu apstākļu dēļ</w:t>
      </w:r>
      <w:r>
        <w:rPr>
          <w:position w:val="9"/>
          <w:sz w:val="16"/>
        </w:rPr>
        <w:t>7</w:t>
      </w:r>
      <w:r>
        <w:rPr/>
        <w:t>.</w:t>
      </w:r>
    </w:p>
    <w:p>
      <w:pPr>
        <w:pStyle w:val="ListParagraph"/>
        <w:numPr>
          <w:ilvl w:val="1"/>
          <w:numId w:val="9"/>
        </w:numPr>
        <w:tabs>
          <w:tab w:pos="1700" w:val="left" w:leader="none"/>
        </w:tabs>
        <w:spacing w:line="240" w:lineRule="auto" w:before="0" w:after="0"/>
        <w:ind w:left="1700" w:right="406" w:hanging="360"/>
        <w:jc w:val="both"/>
        <w:rPr>
          <w:sz w:val="24"/>
        </w:rPr>
      </w:pPr>
      <w:r>
        <w:rPr>
          <w:sz w:val="24"/>
        </w:rPr>
        <w:t>Vairākkārt maksātnespējas procesa pieteikums ir noraidīts, jo </w:t>
      </w:r>
      <w:r>
        <w:rPr>
          <w:b/>
          <w:sz w:val="24"/>
        </w:rPr>
        <w:t>tiesa konstatē, ka parādnieks nevis nespēj, bet nevēlas pildīt</w:t>
      </w:r>
      <w:r>
        <w:rPr>
          <w:b/>
          <w:spacing w:val="-6"/>
          <w:sz w:val="24"/>
        </w:rPr>
        <w:t> </w:t>
      </w:r>
      <w:r>
        <w:rPr>
          <w:b/>
          <w:sz w:val="24"/>
        </w:rPr>
        <w:t>saistības</w:t>
      </w:r>
      <w:r>
        <w:rPr>
          <w:sz w:val="24"/>
        </w:rPr>
        <w:t>:</w:t>
      </w:r>
    </w:p>
    <w:p>
      <w:pPr>
        <w:pStyle w:val="BodyText"/>
        <w:spacing w:line="237" w:lineRule="auto" w:before="1"/>
        <w:ind w:left="2180" w:right="400" w:hanging="428"/>
        <w:rPr>
          <w:sz w:val="16"/>
        </w:rPr>
      </w:pPr>
      <w:r>
        <w:rPr/>
        <w:t>aa) Tiesa atzinusi par nepierādītu faktu, ka parādnieks </w:t>
      </w:r>
      <w:r>
        <w:rPr>
          <w:b/>
        </w:rPr>
        <w:t>nonācis finansiālās grūtībās pēc saistību uzņemšanās</w:t>
      </w:r>
      <w:r>
        <w:rPr/>
        <w:t>. Piemēram, Jūrmalas pilsētas tiesa 2014.gada 12.decembra spriedumā lietā Nr.C17168314 atzinusi, ka tiesai nav šaubu par to, ka, uzņemoties konkrētās saistības pret kreditoru, pieteicēja izvērtēja savu maksātspēju un iespējas izpildīt uzņemtās saistības, atzīstot, ka viņa spēs tās izpildīt. [..] Līdz ar to secināms, ka pieteicēja nav pierādījusi faktu, ka pēc saistību uzņemšanās viņa nonākusi finansiālās grūtībās, kas liegtu viņai nokārtot uzņemtās saistības, jo pieteicējas ienākumu apmērs saskaņā ar iesniegtajām izziņām nav mainījies, tas ir palicis līdzšinējais.</w:t>
      </w:r>
      <w:r>
        <w:rPr>
          <w:position w:val="9"/>
          <w:sz w:val="16"/>
        </w:rPr>
        <w:t>8</w:t>
      </w:r>
    </w:p>
    <w:p>
      <w:pPr>
        <w:spacing w:before="10"/>
        <w:ind w:left="2180" w:right="404" w:hanging="428"/>
        <w:jc w:val="both"/>
        <w:rPr>
          <w:sz w:val="24"/>
        </w:rPr>
      </w:pPr>
      <w:r>
        <w:rPr>
          <w:sz w:val="24"/>
        </w:rPr>
        <w:t>bb) Lietā </w:t>
      </w:r>
      <w:r>
        <w:rPr>
          <w:b/>
          <w:sz w:val="24"/>
        </w:rPr>
        <w:t>nav iesniegti pierādījumi pieteicēja izdevumu pieaugumam </w:t>
      </w:r>
      <w:r>
        <w:rPr>
          <w:sz w:val="24"/>
        </w:rPr>
        <w:t>(veselības problēmas, jaunas dzīvesvietas meklēšana utt.), kas pierādītu pieteicēja</w:t>
      </w:r>
      <w:r>
        <w:rPr>
          <w:spacing w:val="-7"/>
          <w:sz w:val="24"/>
        </w:rPr>
        <w:t> </w:t>
      </w:r>
      <w:r>
        <w:rPr>
          <w:sz w:val="24"/>
        </w:rPr>
        <w:t>nespēju</w:t>
      </w:r>
      <w:r>
        <w:rPr>
          <w:spacing w:val="-8"/>
          <w:sz w:val="24"/>
        </w:rPr>
        <w:t> </w:t>
      </w:r>
      <w:r>
        <w:rPr>
          <w:sz w:val="24"/>
        </w:rPr>
        <w:t>izpildīt</w:t>
      </w:r>
      <w:r>
        <w:rPr>
          <w:spacing w:val="-9"/>
          <w:sz w:val="24"/>
        </w:rPr>
        <w:t> </w:t>
      </w:r>
      <w:r>
        <w:rPr>
          <w:sz w:val="24"/>
        </w:rPr>
        <w:t>saistības.</w:t>
      </w:r>
      <w:r>
        <w:rPr>
          <w:spacing w:val="-8"/>
          <w:sz w:val="24"/>
        </w:rPr>
        <w:t> </w:t>
      </w:r>
      <w:r>
        <w:rPr>
          <w:sz w:val="24"/>
        </w:rPr>
        <w:t>Piemēram,</w:t>
      </w:r>
      <w:r>
        <w:rPr>
          <w:spacing w:val="-5"/>
          <w:sz w:val="24"/>
        </w:rPr>
        <w:t> </w:t>
      </w:r>
      <w:r>
        <w:rPr>
          <w:sz w:val="24"/>
        </w:rPr>
        <w:t>tiesa</w:t>
      </w:r>
      <w:r>
        <w:rPr>
          <w:spacing w:val="-11"/>
          <w:sz w:val="24"/>
        </w:rPr>
        <w:t> </w:t>
      </w:r>
      <w:r>
        <w:rPr>
          <w:sz w:val="24"/>
        </w:rPr>
        <w:t>konstatē,</w:t>
      </w:r>
      <w:r>
        <w:rPr>
          <w:spacing w:val="-10"/>
          <w:sz w:val="24"/>
        </w:rPr>
        <w:t> </w:t>
      </w:r>
      <w:r>
        <w:rPr>
          <w:sz w:val="24"/>
        </w:rPr>
        <w:t>ka</w:t>
      </w:r>
      <w:r>
        <w:rPr>
          <w:spacing w:val="-8"/>
          <w:sz w:val="24"/>
        </w:rPr>
        <w:t> </w:t>
      </w:r>
      <w:r>
        <w:rPr>
          <w:sz w:val="24"/>
        </w:rPr>
        <w:t>pieteicējs </w:t>
      </w:r>
      <w:r>
        <w:rPr>
          <w:b/>
          <w:sz w:val="24"/>
        </w:rPr>
        <w:t>vēlas izvairīties no savu saistību izpildes </w:t>
      </w:r>
      <w:r>
        <w:rPr>
          <w:sz w:val="24"/>
        </w:rPr>
        <w:t>un nav uzskatāms </w:t>
      </w:r>
      <w:r>
        <w:rPr>
          <w:spacing w:val="-4"/>
          <w:sz w:val="24"/>
        </w:rPr>
        <w:t>par </w:t>
      </w:r>
      <w:r>
        <w:rPr>
          <w:sz w:val="24"/>
        </w:rPr>
        <w:t>godprātīgu finansiālās grūtībās nonākušu parādnieku: “Konstatējot, ka pieteicējam ir regulāri, stabili, pietiekami ienākumi, kas kopumā</w:t>
      </w:r>
      <w:r>
        <w:rPr>
          <w:spacing w:val="25"/>
          <w:sz w:val="24"/>
        </w:rPr>
        <w:t> </w:t>
      </w:r>
      <w:r>
        <w:rPr>
          <w:sz w:val="24"/>
        </w:rPr>
        <w:t>liecina</w:t>
      </w:r>
    </w:p>
    <w:p>
      <w:pPr>
        <w:pStyle w:val="BodyText"/>
        <w:spacing w:before="8"/>
        <w:jc w:val="left"/>
        <w:rPr>
          <w:sz w:val="20"/>
        </w:rPr>
      </w:pPr>
      <w:r>
        <w:rPr/>
        <w:pict>
          <v:shape style="position:absolute;margin-left:90pt;margin-top:14.181925pt;width:144pt;height:.1pt;mso-position-horizontal-relative:page;mso-position-vertical-relative:paragraph;z-index:-251657216;mso-wrap-distance-left:0;mso-wrap-distance-right:0" coordorigin="1800,284" coordsize="2880,0" path="m1800,284l4680,284e" filled="false" stroked="true" strokeweight=".599991pt" strokecolor="#000000">
            <v:path arrowok="t"/>
            <v:stroke dashstyle="solid"/>
            <w10:wrap type="topAndBottom"/>
          </v:shape>
        </w:pict>
      </w:r>
    </w:p>
    <w:p>
      <w:pPr>
        <w:spacing w:line="231" w:lineRule="exact" w:before="70"/>
        <w:ind w:left="620" w:right="0" w:firstLine="0"/>
        <w:jc w:val="left"/>
        <w:rPr>
          <w:sz w:val="20"/>
        </w:rPr>
      </w:pPr>
      <w:r>
        <w:rPr>
          <w:position w:val="7"/>
          <w:sz w:val="13"/>
        </w:rPr>
        <w:t>4 </w:t>
      </w:r>
      <w:r>
        <w:rPr>
          <w:sz w:val="20"/>
        </w:rPr>
        <w:t>Jūrmalas pilsētas tiesas 2014.gada 1.decembra nolēmums lietā Nr. C17163614</w:t>
      </w:r>
    </w:p>
    <w:p>
      <w:pPr>
        <w:spacing w:line="229" w:lineRule="exact" w:before="0"/>
        <w:ind w:left="620" w:right="0" w:firstLine="0"/>
        <w:jc w:val="left"/>
        <w:rPr>
          <w:sz w:val="20"/>
        </w:rPr>
      </w:pPr>
      <w:r>
        <w:rPr>
          <w:position w:val="7"/>
          <w:sz w:val="13"/>
        </w:rPr>
        <w:t>5 </w:t>
      </w:r>
      <w:r>
        <w:rPr>
          <w:sz w:val="20"/>
        </w:rPr>
        <w:t>Rīgas pilsētas Latgales priekšpilsētas tiesas 2015.gada 6.janvāra nolēmums lietā Nr. C29775314</w:t>
      </w:r>
    </w:p>
    <w:p>
      <w:pPr>
        <w:spacing w:line="230" w:lineRule="exact" w:before="0"/>
        <w:ind w:left="620" w:right="0" w:firstLine="0"/>
        <w:jc w:val="left"/>
        <w:rPr>
          <w:sz w:val="20"/>
        </w:rPr>
      </w:pPr>
      <w:r>
        <w:rPr>
          <w:position w:val="7"/>
          <w:sz w:val="13"/>
        </w:rPr>
        <w:t>6 </w:t>
      </w:r>
      <w:r>
        <w:rPr>
          <w:sz w:val="20"/>
        </w:rPr>
        <w:t>Jūrmalas pilsētas tiesas 2015.gada 13.februāra nolēmums lietā Nr. C17076815</w:t>
      </w:r>
    </w:p>
    <w:p>
      <w:pPr>
        <w:spacing w:line="230" w:lineRule="exact" w:before="0"/>
        <w:ind w:left="620" w:right="0" w:firstLine="0"/>
        <w:jc w:val="left"/>
        <w:rPr>
          <w:sz w:val="20"/>
        </w:rPr>
      </w:pPr>
      <w:r>
        <w:rPr>
          <w:position w:val="7"/>
          <w:sz w:val="13"/>
        </w:rPr>
        <w:t>7 </w:t>
      </w:r>
      <w:r>
        <w:rPr>
          <w:sz w:val="20"/>
        </w:rPr>
        <w:t>Rīgas pilsētas Kurzemes rajona tiesas 2014.gada 23.septembra nolēmums lietā Nr. C28368914</w:t>
      </w:r>
    </w:p>
    <w:p>
      <w:pPr>
        <w:spacing w:line="233" w:lineRule="exact" w:before="0"/>
        <w:ind w:left="620" w:right="0" w:firstLine="0"/>
        <w:jc w:val="left"/>
        <w:rPr>
          <w:sz w:val="20"/>
        </w:rPr>
      </w:pPr>
      <w:r>
        <w:rPr>
          <w:position w:val="7"/>
          <w:sz w:val="13"/>
        </w:rPr>
        <w:t>8 </w:t>
      </w:r>
      <w:r>
        <w:rPr>
          <w:sz w:val="20"/>
        </w:rPr>
        <w:t>Jūrmalas pilsētas tiesas 2014.gada 12.decembra nolēmums lietā Nr. C17168314</w:t>
      </w:r>
    </w:p>
    <w:p>
      <w:pPr>
        <w:spacing w:after="0" w:line="233" w:lineRule="exact"/>
        <w:jc w:val="left"/>
        <w:rPr>
          <w:sz w:val="20"/>
        </w:rPr>
        <w:sectPr>
          <w:pgSz w:w="11910" w:h="16840"/>
          <w:pgMar w:header="0" w:footer="1055" w:top="1340" w:bottom="1240" w:left="1180" w:right="1040"/>
        </w:sectPr>
      </w:pPr>
    </w:p>
    <w:p>
      <w:pPr>
        <w:pStyle w:val="BodyText"/>
        <w:spacing w:line="237" w:lineRule="auto" w:before="75"/>
        <w:ind w:left="1820" w:right="761"/>
      </w:pPr>
      <w:r>
        <w:rPr/>
        <w:t>par to, ka pieteicējam ir iespējas un arī pienākums segt vai samazināt parādsaistības,</w:t>
      </w:r>
      <w:r>
        <w:rPr>
          <w:spacing w:val="-11"/>
        </w:rPr>
        <w:t> </w:t>
      </w:r>
      <w:r>
        <w:rPr/>
        <w:t>nepasludinot</w:t>
      </w:r>
      <w:r>
        <w:rPr>
          <w:spacing w:val="-11"/>
        </w:rPr>
        <w:t> </w:t>
      </w:r>
      <w:r>
        <w:rPr/>
        <w:t>pieteicēja</w:t>
      </w:r>
      <w:r>
        <w:rPr>
          <w:spacing w:val="-10"/>
        </w:rPr>
        <w:t> </w:t>
      </w:r>
      <w:r>
        <w:rPr/>
        <w:t>maksātnespēju,</w:t>
      </w:r>
      <w:r>
        <w:rPr>
          <w:spacing w:val="-11"/>
        </w:rPr>
        <w:t> </w:t>
      </w:r>
      <w:r>
        <w:rPr/>
        <w:t>tiesa</w:t>
      </w:r>
      <w:r>
        <w:rPr>
          <w:spacing w:val="-9"/>
        </w:rPr>
        <w:t> </w:t>
      </w:r>
      <w:r>
        <w:rPr/>
        <w:t>apšauba</w:t>
      </w:r>
      <w:r>
        <w:rPr>
          <w:spacing w:val="-10"/>
        </w:rPr>
        <w:t> </w:t>
      </w:r>
      <w:r>
        <w:rPr/>
        <w:t>faktu, ka pieteicējs būtu godprātīgs finansiālās grūtībās nonācis parādnieks,</w:t>
      </w:r>
      <w:r>
        <w:rPr>
          <w:spacing w:val="-22"/>
        </w:rPr>
        <w:t> </w:t>
      </w:r>
      <w:r>
        <w:rPr/>
        <w:t>kura mantiskais stāvoklis liedz viņam izpildīt uzņemtās saistības, un atzīst, ka šāda pieteicēja rīcība drīzāk liecina par vēlmi izvairīties no savu saistību izpildes”</w:t>
      </w:r>
      <w:r>
        <w:rPr>
          <w:position w:val="9"/>
          <w:sz w:val="16"/>
        </w:rPr>
        <w:t>9</w:t>
      </w:r>
      <w:r>
        <w:rPr/>
        <w:t>.</w:t>
      </w:r>
    </w:p>
    <w:p>
      <w:pPr>
        <w:pStyle w:val="ListParagraph"/>
        <w:numPr>
          <w:ilvl w:val="1"/>
          <w:numId w:val="9"/>
        </w:numPr>
        <w:tabs>
          <w:tab w:pos="1340" w:val="left" w:leader="none"/>
        </w:tabs>
        <w:spacing w:line="235" w:lineRule="auto" w:before="4" w:after="0"/>
        <w:ind w:left="1340" w:right="762" w:hanging="360"/>
        <w:jc w:val="both"/>
        <w:rPr>
          <w:sz w:val="16"/>
        </w:rPr>
      </w:pPr>
      <w:r>
        <w:rPr>
          <w:sz w:val="24"/>
        </w:rPr>
        <w:t>Tiesa maksātnespējas procesa pieteikumu noraidījusi, jo parādnieks </w:t>
      </w:r>
      <w:r>
        <w:rPr>
          <w:b/>
          <w:sz w:val="24"/>
        </w:rPr>
        <w:t>pats apzināti pasliktinājis savu finansiālo stāvokli </w:t>
      </w:r>
      <w:r>
        <w:rPr>
          <w:sz w:val="24"/>
        </w:rPr>
        <w:t>un radījis sev finansiālas grūtības, uzņemoties jaunas saistības, pastāvot neizpildītām un </w:t>
      </w:r>
      <w:r>
        <w:rPr>
          <w:spacing w:val="-3"/>
          <w:sz w:val="24"/>
        </w:rPr>
        <w:t>nepildot </w:t>
      </w:r>
      <w:r>
        <w:rPr>
          <w:sz w:val="24"/>
        </w:rPr>
        <w:t>iepriekšējās.</w:t>
      </w:r>
      <w:r>
        <w:rPr>
          <w:position w:val="9"/>
          <w:sz w:val="16"/>
        </w:rPr>
        <w:t>10</w:t>
      </w:r>
    </w:p>
    <w:p>
      <w:pPr>
        <w:pStyle w:val="BodyText"/>
        <w:spacing w:before="2"/>
        <w:jc w:val="left"/>
      </w:pPr>
    </w:p>
    <w:p>
      <w:pPr>
        <w:pStyle w:val="BodyText"/>
        <w:spacing w:before="1"/>
        <w:ind w:left="1340" w:right="762"/>
      </w:pPr>
      <w:r>
        <w:rPr/>
        <w:t>Tādējādi secināms, ka Maksātnespējas likuma piemērošanas pirmajos gados fiziskās personas maksātnespējas procesa pieteikums lielākoties tika noraidīts, vērtējot parādnieka iespējamo negodprātību caur maksātnespējas procesa pazīmes prizmu. Jāteic, ka arī Augstākās tiesas Senāts sākotnēji šādu pieeju atzina par pareizu, taču vēlāk norādīja, ka Maksātnespējas likuma 129.panta pirmajā daļā noteikto maksātnespējas pazīmju konstatējums ir īstenojams formāli, nevērtējot parādnieka rīcību labas ticības principa griezumā (piemēram, nevērtējot saistību rašanās iemeslus).</w:t>
      </w:r>
    </w:p>
    <w:p>
      <w:pPr>
        <w:pStyle w:val="BodyText"/>
        <w:jc w:val="left"/>
      </w:pPr>
    </w:p>
    <w:p>
      <w:pPr>
        <w:pStyle w:val="BodyText"/>
        <w:ind w:left="1340" w:right="761"/>
      </w:pPr>
      <w:r>
        <w:rPr/>
        <w:t>Un proti, </w:t>
      </w:r>
      <w:r>
        <w:rPr>
          <w:spacing w:val="-3"/>
        </w:rPr>
        <w:t>LR </w:t>
      </w:r>
      <w:r>
        <w:rPr/>
        <w:t>AT Senāts 2012.gada 3.septembra spriedumā lietā Nr. SPC – 37/2012 atzina, ka tiesai ir pienākums pārbaudīt maksātnespējas procesa pazīmes</w:t>
      </w:r>
      <w:r>
        <w:rPr>
          <w:spacing w:val="-9"/>
        </w:rPr>
        <w:t> </w:t>
      </w:r>
      <w:r>
        <w:rPr/>
        <w:t>esamību,</w:t>
      </w:r>
      <w:r>
        <w:rPr>
          <w:spacing w:val="-9"/>
        </w:rPr>
        <w:t> </w:t>
      </w:r>
      <w:r>
        <w:rPr/>
        <w:t>tai</w:t>
      </w:r>
      <w:r>
        <w:rPr>
          <w:spacing w:val="-9"/>
        </w:rPr>
        <w:t> </w:t>
      </w:r>
      <w:r>
        <w:rPr/>
        <w:t>skaitā</w:t>
      </w:r>
      <w:r>
        <w:rPr>
          <w:spacing w:val="-9"/>
        </w:rPr>
        <w:t> </w:t>
      </w:r>
      <w:r>
        <w:rPr/>
        <w:t>pieteicēja</w:t>
      </w:r>
      <w:r>
        <w:rPr>
          <w:spacing w:val="-9"/>
        </w:rPr>
        <w:t> </w:t>
      </w:r>
      <w:r>
        <w:rPr/>
        <w:t>nespēju</w:t>
      </w:r>
      <w:r>
        <w:rPr>
          <w:spacing w:val="-9"/>
        </w:rPr>
        <w:t> </w:t>
      </w:r>
      <w:r>
        <w:rPr/>
        <w:t>nokārtot</w:t>
      </w:r>
      <w:r>
        <w:rPr>
          <w:spacing w:val="-6"/>
        </w:rPr>
        <w:t> </w:t>
      </w:r>
      <w:r>
        <w:rPr/>
        <w:t>parādsaistības.</w:t>
      </w:r>
      <w:r>
        <w:rPr>
          <w:spacing w:val="-9"/>
        </w:rPr>
        <w:t> </w:t>
      </w:r>
      <w:r>
        <w:rPr/>
        <w:t>Minētajā lietā</w:t>
      </w:r>
      <w:r>
        <w:rPr>
          <w:spacing w:val="-11"/>
        </w:rPr>
        <w:t> </w:t>
      </w:r>
      <w:r>
        <w:rPr/>
        <w:t>Cēsu</w:t>
      </w:r>
      <w:r>
        <w:rPr>
          <w:spacing w:val="-11"/>
        </w:rPr>
        <w:t> </w:t>
      </w:r>
      <w:r>
        <w:rPr/>
        <w:t>rajona</w:t>
      </w:r>
      <w:r>
        <w:rPr>
          <w:spacing w:val="-11"/>
        </w:rPr>
        <w:t> </w:t>
      </w:r>
      <w:r>
        <w:rPr/>
        <w:t>tiesa</w:t>
      </w:r>
      <w:r>
        <w:rPr>
          <w:spacing w:val="-11"/>
        </w:rPr>
        <w:t> </w:t>
      </w:r>
      <w:r>
        <w:rPr/>
        <w:t>bija</w:t>
      </w:r>
      <w:r>
        <w:rPr>
          <w:spacing w:val="-11"/>
        </w:rPr>
        <w:t> </w:t>
      </w:r>
      <w:r>
        <w:rPr/>
        <w:t>noraidījusi</w:t>
      </w:r>
      <w:r>
        <w:rPr>
          <w:spacing w:val="-11"/>
        </w:rPr>
        <w:t> </w:t>
      </w:r>
      <w:r>
        <w:rPr/>
        <w:t>pieteicēja</w:t>
      </w:r>
      <w:r>
        <w:rPr>
          <w:spacing w:val="-11"/>
        </w:rPr>
        <w:t> </w:t>
      </w:r>
      <w:r>
        <w:rPr/>
        <w:t>maksātnespējas</w:t>
      </w:r>
      <w:r>
        <w:rPr>
          <w:spacing w:val="-11"/>
        </w:rPr>
        <w:t> </w:t>
      </w:r>
      <w:r>
        <w:rPr/>
        <w:t>pieteikumu</w:t>
      </w:r>
      <w:r>
        <w:rPr>
          <w:spacing w:val="-9"/>
        </w:rPr>
        <w:t> </w:t>
      </w:r>
      <w:r>
        <w:rPr/>
        <w:t>(no lietā esošajiem pierādījumiem tiesa konstatējusi, ka pieteicēja ienākumi nav būtiski samazinājušies, un nav pierādīts, ka pieteicējam nebija iespējams</w:t>
      </w:r>
      <w:r>
        <w:rPr>
          <w:spacing w:val="-22"/>
        </w:rPr>
        <w:t> </w:t>
      </w:r>
      <w:r>
        <w:rPr/>
        <w:t>kārtot parādsaistības pret kreditoru), savukārt Ogres rajona tiesa identisku</w:t>
      </w:r>
      <w:r>
        <w:rPr>
          <w:spacing w:val="-34"/>
        </w:rPr>
        <w:t> </w:t>
      </w:r>
      <w:r>
        <w:rPr/>
        <w:t>pieteikumu apmierināja un pasludināja pieteicēja maksātnespējas procesu. </w:t>
      </w:r>
      <w:r>
        <w:rPr>
          <w:spacing w:val="-3"/>
        </w:rPr>
        <w:t>LR </w:t>
      </w:r>
      <w:r>
        <w:rPr/>
        <w:t>AT Senāts nolēma atcelt Ogres rajona tiesas spriedumu un nodot lietu jaunai izskatīšanai, norādot, ka tiesai ir pienākums pārbaudīt maksātnespējas procesa pazīmes esamību.</w:t>
      </w:r>
    </w:p>
    <w:p>
      <w:pPr>
        <w:pStyle w:val="BodyText"/>
        <w:jc w:val="left"/>
      </w:pPr>
    </w:p>
    <w:p>
      <w:pPr>
        <w:pStyle w:val="BodyText"/>
        <w:ind w:left="1340" w:right="762"/>
      </w:pPr>
      <w:r>
        <w:rPr/>
        <w:t>Savukārt </w:t>
      </w:r>
      <w:r>
        <w:rPr>
          <w:spacing w:val="-3"/>
        </w:rPr>
        <w:t>LR </w:t>
      </w:r>
      <w:r>
        <w:rPr/>
        <w:t>AT Senāta 2013.gada 4.decembra spriedumā lietā </w:t>
      </w:r>
      <w:r>
        <w:rPr>
          <w:spacing w:val="-3"/>
        </w:rPr>
        <w:t>SPC-49/2013 </w:t>
      </w:r>
      <w:r>
        <w:rPr/>
        <w:t>atzīts pretējais, norādot, ka tiesai jāaprobežojas ar formālu Maksātnespējas likuma 129.panta pirmajā daļā noteikto maksātnespējas pazīmju konstatējumu, nevērtējot parādsaistību rašanās iemeslus. Spriedumā norādīts, ka Maksātnespējas likuma 129.panta pirmās daļas 1.punktā paredzētās maksātnespējas pazīmes konstatēšanai nav nepieciešams pievērsties parādsaistību</w:t>
      </w:r>
      <w:r>
        <w:rPr>
          <w:spacing w:val="-21"/>
        </w:rPr>
        <w:t> </w:t>
      </w:r>
      <w:r>
        <w:rPr/>
        <w:t>rašanās</w:t>
      </w:r>
      <w:r>
        <w:rPr>
          <w:spacing w:val="-22"/>
        </w:rPr>
        <w:t> </w:t>
      </w:r>
      <w:r>
        <w:rPr/>
        <w:t>iemeslu</w:t>
      </w:r>
      <w:r>
        <w:rPr>
          <w:spacing w:val="-20"/>
        </w:rPr>
        <w:t> </w:t>
      </w:r>
      <w:r>
        <w:rPr/>
        <w:t>analīzei</w:t>
      </w:r>
      <w:r>
        <w:rPr>
          <w:spacing w:val="-24"/>
        </w:rPr>
        <w:t> </w:t>
      </w:r>
      <w:r>
        <w:rPr/>
        <w:t>un</w:t>
      </w:r>
      <w:r>
        <w:rPr>
          <w:spacing w:val="-23"/>
        </w:rPr>
        <w:t> </w:t>
      </w:r>
      <w:r>
        <w:rPr/>
        <w:t>izvērtējumam,</w:t>
      </w:r>
      <w:r>
        <w:rPr>
          <w:spacing w:val="-22"/>
        </w:rPr>
        <w:t> </w:t>
      </w:r>
      <w:r>
        <w:rPr/>
        <w:t>bet</w:t>
      </w:r>
      <w:r>
        <w:rPr>
          <w:spacing w:val="-25"/>
        </w:rPr>
        <w:t> </w:t>
      </w:r>
      <w:r>
        <w:rPr/>
        <w:t>atliek</w:t>
      </w:r>
      <w:r>
        <w:rPr>
          <w:spacing w:val="-22"/>
        </w:rPr>
        <w:t> </w:t>
      </w:r>
      <w:r>
        <w:rPr/>
        <w:t>vien</w:t>
      </w:r>
      <w:r>
        <w:rPr>
          <w:spacing w:val="-23"/>
        </w:rPr>
        <w:t> </w:t>
      </w:r>
      <w:r>
        <w:rPr/>
        <w:t>pārbaudīt vai</w:t>
      </w:r>
      <w:r>
        <w:rPr>
          <w:spacing w:val="-5"/>
        </w:rPr>
        <w:t> </w:t>
      </w:r>
      <w:r>
        <w:rPr/>
        <w:t>uz</w:t>
      </w:r>
      <w:r>
        <w:rPr>
          <w:spacing w:val="-6"/>
        </w:rPr>
        <w:t> </w:t>
      </w:r>
      <w:r>
        <w:rPr/>
        <w:t>pieteikuma</w:t>
      </w:r>
      <w:r>
        <w:rPr>
          <w:spacing w:val="-8"/>
        </w:rPr>
        <w:t> </w:t>
      </w:r>
      <w:r>
        <w:rPr/>
        <w:t>iesniegšanas</w:t>
      </w:r>
      <w:r>
        <w:rPr>
          <w:spacing w:val="-6"/>
        </w:rPr>
        <w:t> </w:t>
      </w:r>
      <w:r>
        <w:rPr/>
        <w:t>brīdi</w:t>
      </w:r>
      <w:r>
        <w:rPr>
          <w:spacing w:val="-3"/>
        </w:rPr>
        <w:t> </w:t>
      </w:r>
      <w:r>
        <w:rPr/>
        <w:t>fiziskajai</w:t>
      </w:r>
      <w:r>
        <w:rPr>
          <w:spacing w:val="-4"/>
        </w:rPr>
        <w:t> </w:t>
      </w:r>
      <w:r>
        <w:rPr/>
        <w:t>personai</w:t>
      </w:r>
      <w:r>
        <w:rPr>
          <w:spacing w:val="-8"/>
        </w:rPr>
        <w:t> </w:t>
      </w:r>
      <w:r>
        <w:rPr/>
        <w:t>ir</w:t>
      </w:r>
      <w:r>
        <w:rPr>
          <w:spacing w:val="-5"/>
        </w:rPr>
        <w:t> </w:t>
      </w:r>
      <w:r>
        <w:rPr/>
        <w:t>parādsaistības</w:t>
      </w:r>
      <w:r>
        <w:rPr>
          <w:spacing w:val="-4"/>
        </w:rPr>
        <w:t> </w:t>
      </w:r>
      <w:r>
        <w:rPr/>
        <w:t>virs</w:t>
      </w:r>
      <w:r>
        <w:rPr>
          <w:spacing w:val="-5"/>
        </w:rPr>
        <w:t> </w:t>
      </w:r>
      <w:r>
        <w:rPr>
          <w:spacing w:val="-3"/>
        </w:rPr>
        <w:t>Ls </w:t>
      </w:r>
      <w:r>
        <w:rPr/>
        <w:t>5000, kurām iestājies izpildes termiņš, un vai persona tās spēj nokārtot. Senāts uzskata, ka tiesas konstatētajiem apstākļiem attiecībā uz parāda rašanās iemesliem (pienākumu nepildīšana pēc labas ticības (Civillikuma 1.pants) un nepamatots saistību izpildes nokavējums), kas noveduši pie saistību apmēra palielināšanās un visu saistību izpildes termiņa iestāšanās, konkrētajā</w:t>
      </w:r>
      <w:r>
        <w:rPr>
          <w:spacing w:val="-35"/>
        </w:rPr>
        <w:t> </w:t>
      </w:r>
      <w:r>
        <w:rPr/>
        <w:t>gadījumā nav būtiskas nozīmes. Maksātnespējas likums, kura 152.pants kā</w:t>
      </w:r>
      <w:r>
        <w:rPr>
          <w:spacing w:val="-34"/>
        </w:rPr>
        <w:t> </w:t>
      </w:r>
      <w:r>
        <w:rPr/>
        <w:t>ierobežojumu fiziskās</w:t>
      </w:r>
      <w:r>
        <w:rPr>
          <w:spacing w:val="17"/>
        </w:rPr>
        <w:t> </w:t>
      </w:r>
      <w:r>
        <w:rPr/>
        <w:t>personas</w:t>
      </w:r>
      <w:r>
        <w:rPr>
          <w:spacing w:val="18"/>
        </w:rPr>
        <w:t> </w:t>
      </w:r>
      <w:r>
        <w:rPr/>
        <w:t>maksātnespējas</w:t>
      </w:r>
      <w:r>
        <w:rPr>
          <w:spacing w:val="18"/>
        </w:rPr>
        <w:t> </w:t>
      </w:r>
      <w:r>
        <w:rPr/>
        <w:t>procesa</w:t>
      </w:r>
      <w:r>
        <w:rPr>
          <w:spacing w:val="18"/>
        </w:rPr>
        <w:t> </w:t>
      </w:r>
      <w:r>
        <w:rPr/>
        <w:t>piemērošanai</w:t>
      </w:r>
      <w:r>
        <w:rPr>
          <w:spacing w:val="16"/>
        </w:rPr>
        <w:t> </w:t>
      </w:r>
      <w:r>
        <w:rPr/>
        <w:t>paredzēja</w:t>
      </w:r>
      <w:r>
        <w:rPr>
          <w:spacing w:val="18"/>
        </w:rPr>
        <w:t> </w:t>
      </w:r>
      <w:r>
        <w:rPr/>
        <w:t>apstākli,</w:t>
      </w:r>
      <w:r>
        <w:rPr>
          <w:spacing w:val="18"/>
        </w:rPr>
        <w:t> </w:t>
      </w:r>
      <w:r>
        <w:rPr/>
        <w:t>ka</w:t>
      </w:r>
    </w:p>
    <w:p>
      <w:pPr>
        <w:pStyle w:val="BodyText"/>
        <w:jc w:val="left"/>
        <w:rPr>
          <w:sz w:val="20"/>
        </w:rPr>
      </w:pPr>
    </w:p>
    <w:p>
      <w:pPr>
        <w:pStyle w:val="BodyText"/>
        <w:spacing w:before="7"/>
        <w:jc w:val="left"/>
        <w:rPr>
          <w:sz w:val="12"/>
        </w:rPr>
      </w:pPr>
      <w:r>
        <w:rPr/>
        <w:pict>
          <v:shape style="position:absolute;margin-left:72pt;margin-top:9.516634pt;width:144pt;height:.1pt;mso-position-horizontal-relative:page;mso-position-vertical-relative:paragraph;z-index:-251656192;mso-wrap-distance-left:0;mso-wrap-distance-right:0" coordorigin="1440,190" coordsize="2880,0" path="m1440,190l4320,190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9 </w:t>
      </w:r>
      <w:r>
        <w:rPr>
          <w:sz w:val="20"/>
        </w:rPr>
        <w:t>Jūrmalas pilsētas tiesas 2014.gada 1.decembra nolēmums lietā Nr. C17163614</w:t>
      </w:r>
    </w:p>
    <w:p>
      <w:pPr>
        <w:spacing w:line="233" w:lineRule="exact" w:before="0"/>
        <w:ind w:left="260" w:right="0" w:firstLine="0"/>
        <w:jc w:val="left"/>
        <w:rPr>
          <w:sz w:val="20"/>
        </w:rPr>
      </w:pPr>
      <w:r>
        <w:rPr>
          <w:position w:val="7"/>
          <w:sz w:val="13"/>
        </w:rPr>
        <w:t>10 </w:t>
      </w:r>
      <w:r>
        <w:rPr>
          <w:sz w:val="20"/>
        </w:rPr>
        <w:t>Rīgas pilsētas Latgales priekšpilsētas tiesas 2015.gada 6.janvāra nolēmums lietā Nr. C29775314</w:t>
      </w:r>
    </w:p>
    <w:p>
      <w:pPr>
        <w:spacing w:after="0" w:line="233" w:lineRule="exact"/>
        <w:jc w:val="left"/>
        <w:rPr>
          <w:sz w:val="20"/>
        </w:rPr>
        <w:sectPr>
          <w:pgSz w:w="11910" w:h="16840"/>
          <w:pgMar w:header="0" w:footer="1055" w:top="1340" w:bottom="1240" w:left="1180" w:right="1040"/>
        </w:sectPr>
      </w:pPr>
    </w:p>
    <w:p>
      <w:pPr>
        <w:pStyle w:val="BodyText"/>
        <w:spacing w:line="237" w:lineRule="auto" w:before="75"/>
        <w:ind w:left="1700" w:right="402"/>
        <w:rPr>
          <w:sz w:val="16"/>
        </w:rPr>
      </w:pPr>
      <w:r>
        <w:rPr/>
        <w:t>maksātnespējas cēlonis ir šīs personas nodoms vai rupja neuzmanība pēdējo triju</w:t>
      </w:r>
      <w:r>
        <w:rPr>
          <w:spacing w:val="-11"/>
        </w:rPr>
        <w:t> </w:t>
      </w:r>
      <w:r>
        <w:rPr/>
        <w:t>gadu</w:t>
      </w:r>
      <w:r>
        <w:rPr>
          <w:spacing w:val="-10"/>
        </w:rPr>
        <w:t> </w:t>
      </w:r>
      <w:r>
        <w:rPr/>
        <w:t>laikā</w:t>
      </w:r>
      <w:r>
        <w:rPr>
          <w:spacing w:val="-10"/>
        </w:rPr>
        <w:t> </w:t>
      </w:r>
      <w:r>
        <w:rPr/>
        <w:t>pirms</w:t>
      </w:r>
      <w:r>
        <w:rPr>
          <w:spacing w:val="-11"/>
        </w:rPr>
        <w:t> </w:t>
      </w:r>
      <w:r>
        <w:rPr/>
        <w:t>maksātnespējas</w:t>
      </w:r>
      <w:r>
        <w:rPr>
          <w:spacing w:val="-10"/>
        </w:rPr>
        <w:t> </w:t>
      </w:r>
      <w:r>
        <w:rPr/>
        <w:t>procesa</w:t>
      </w:r>
      <w:r>
        <w:rPr>
          <w:spacing w:val="-10"/>
        </w:rPr>
        <w:t> </w:t>
      </w:r>
      <w:r>
        <w:rPr/>
        <w:t>lietas</w:t>
      </w:r>
      <w:r>
        <w:rPr>
          <w:spacing w:val="-11"/>
        </w:rPr>
        <w:t> </w:t>
      </w:r>
      <w:r>
        <w:rPr/>
        <w:t>ierosināšanas</w:t>
      </w:r>
      <w:r>
        <w:rPr>
          <w:spacing w:val="-10"/>
        </w:rPr>
        <w:t> </w:t>
      </w:r>
      <w:r>
        <w:rPr/>
        <w:t>dienas,</w:t>
      </w:r>
      <w:r>
        <w:rPr>
          <w:spacing w:val="-10"/>
        </w:rPr>
        <w:t> </w:t>
      </w:r>
      <w:r>
        <w:rPr/>
        <w:t>spēku zaudēja 2010.gada 1.novembrī. Šobrīd spēkā esošais Maksātnespējas likums tādu ierobežojumu vairs neparedz un līdz ar to, kā tas izriet arī no protestā norādītā, tiesai jāaprobežojas ar formālu Maksātnespējas likuma 129.panta pirmajā daļā noteikto maksātnespējas pazīmju</w:t>
      </w:r>
      <w:r>
        <w:rPr>
          <w:spacing w:val="-2"/>
        </w:rPr>
        <w:t> </w:t>
      </w:r>
      <w:r>
        <w:rPr/>
        <w:t>konstatējumu.</w:t>
      </w:r>
      <w:r>
        <w:rPr>
          <w:position w:val="9"/>
          <w:sz w:val="16"/>
        </w:rPr>
        <w:t>11</w:t>
      </w:r>
    </w:p>
    <w:p>
      <w:pPr>
        <w:pStyle w:val="BodyText"/>
        <w:spacing w:before="11"/>
        <w:jc w:val="left"/>
        <w:rPr>
          <w:sz w:val="23"/>
        </w:rPr>
      </w:pPr>
    </w:p>
    <w:p>
      <w:pPr>
        <w:pStyle w:val="ListParagraph"/>
        <w:numPr>
          <w:ilvl w:val="0"/>
          <w:numId w:val="9"/>
        </w:numPr>
        <w:tabs>
          <w:tab w:pos="1340" w:val="left" w:leader="none"/>
        </w:tabs>
        <w:spacing w:line="240" w:lineRule="auto" w:before="0" w:after="0"/>
        <w:ind w:left="1340" w:right="401" w:hanging="360"/>
        <w:jc w:val="both"/>
        <w:rPr>
          <w:sz w:val="24"/>
        </w:rPr>
      </w:pPr>
      <w:r>
        <w:rPr>
          <w:sz w:val="24"/>
        </w:rPr>
        <w:t>Netiek konstatēta Maksātnespējas likuma 129.panta pazīme – personai nav iespēju nokārtot parādsaistības, kurām </w:t>
      </w:r>
      <w:r>
        <w:rPr>
          <w:b/>
          <w:sz w:val="24"/>
        </w:rPr>
        <w:t>iestājies izpildes termiņš</w:t>
      </w:r>
      <w:r>
        <w:rPr>
          <w:sz w:val="24"/>
        </w:rPr>
        <w:t>, un parādsaistības kopā pārsniedz Maksātnespējas likumā noteikto minimālo apmēru, respektīvi, tiesa apšauba vai nekonstatē neizpildītu saistību esamību (</w:t>
      </w:r>
      <w:r>
        <w:rPr>
          <w:sz w:val="24"/>
          <w:u w:val="single"/>
        </w:rPr>
        <w:t>konstatēts vairāk kā </w:t>
      </w:r>
      <w:r>
        <w:rPr>
          <w:spacing w:val="-4"/>
          <w:sz w:val="24"/>
          <w:u w:val="single"/>
        </w:rPr>
        <w:t>35% </w:t>
      </w:r>
      <w:r>
        <w:rPr>
          <w:sz w:val="24"/>
          <w:u w:val="single"/>
        </w:rPr>
        <w:t>analizēto spriedumu, ar kuriem noraidīts fiziskās personas maksātnespējas procesa pieteikums</w:t>
      </w:r>
      <w:r>
        <w:rPr>
          <w:sz w:val="24"/>
        </w:rPr>
        <w:t>):</w:t>
      </w:r>
    </w:p>
    <w:p>
      <w:pPr>
        <w:pStyle w:val="ListParagraph"/>
        <w:numPr>
          <w:ilvl w:val="1"/>
          <w:numId w:val="9"/>
        </w:numPr>
        <w:tabs>
          <w:tab w:pos="1753" w:val="left" w:leader="none"/>
        </w:tabs>
        <w:spacing w:line="237" w:lineRule="auto" w:before="3" w:after="0"/>
        <w:ind w:left="1752" w:right="403" w:hanging="425"/>
        <w:jc w:val="both"/>
        <w:rPr>
          <w:sz w:val="16"/>
        </w:rPr>
      </w:pPr>
      <w:r>
        <w:rPr>
          <w:sz w:val="24"/>
        </w:rPr>
        <w:t>Tiesa maksātnespējas procesa pieteikumu noraidījusi, jo pieteicējas iesniegts </w:t>
      </w:r>
      <w:r>
        <w:rPr>
          <w:b/>
          <w:sz w:val="24"/>
        </w:rPr>
        <w:t>prasības pieteikuma noraksts nepierāda, ka iestājies saistības </w:t>
      </w:r>
      <w:r>
        <w:rPr>
          <w:b/>
          <w:spacing w:val="-3"/>
          <w:sz w:val="24"/>
        </w:rPr>
        <w:t>izpildes </w:t>
      </w:r>
      <w:r>
        <w:rPr>
          <w:b/>
          <w:sz w:val="24"/>
        </w:rPr>
        <w:t>termiņš</w:t>
      </w:r>
      <w:r>
        <w:rPr>
          <w:sz w:val="24"/>
        </w:rPr>
        <w:t>.   Piemēram,    Rīgas    pilsētas    Kurzemes    rajona    tiesa 2014.gada 23.septembra spriedumā lietā Nr. C28368914 konstatējusi, </w:t>
      </w:r>
      <w:r>
        <w:rPr>
          <w:spacing w:val="-6"/>
          <w:sz w:val="24"/>
        </w:rPr>
        <w:t>ka </w:t>
      </w:r>
      <w:r>
        <w:rPr>
          <w:sz w:val="24"/>
        </w:rPr>
        <w:t>ieteikumam</w:t>
      </w:r>
      <w:r>
        <w:rPr>
          <w:spacing w:val="-9"/>
          <w:sz w:val="24"/>
        </w:rPr>
        <w:t> </w:t>
      </w:r>
      <w:r>
        <w:rPr>
          <w:sz w:val="24"/>
        </w:rPr>
        <w:t>pievienotais</w:t>
      </w:r>
      <w:r>
        <w:rPr>
          <w:spacing w:val="-3"/>
          <w:sz w:val="24"/>
        </w:rPr>
        <w:t> </w:t>
      </w:r>
      <w:r>
        <w:rPr>
          <w:sz w:val="24"/>
        </w:rPr>
        <w:t>prasības</w:t>
      </w:r>
      <w:r>
        <w:rPr>
          <w:spacing w:val="-10"/>
          <w:sz w:val="24"/>
        </w:rPr>
        <w:t> </w:t>
      </w:r>
      <w:r>
        <w:rPr>
          <w:sz w:val="24"/>
        </w:rPr>
        <w:t>pieteikuma</w:t>
      </w:r>
      <w:r>
        <w:rPr>
          <w:spacing w:val="-6"/>
          <w:sz w:val="24"/>
        </w:rPr>
        <w:t> </w:t>
      </w:r>
      <w:r>
        <w:rPr>
          <w:sz w:val="24"/>
        </w:rPr>
        <w:t>noraksts</w:t>
      </w:r>
      <w:r>
        <w:rPr>
          <w:spacing w:val="-8"/>
          <w:sz w:val="24"/>
        </w:rPr>
        <w:t> </w:t>
      </w:r>
      <w:r>
        <w:rPr>
          <w:sz w:val="24"/>
        </w:rPr>
        <w:t>apstiprina</w:t>
      </w:r>
      <w:r>
        <w:rPr>
          <w:spacing w:val="-8"/>
          <w:sz w:val="24"/>
        </w:rPr>
        <w:t> </w:t>
      </w:r>
      <w:r>
        <w:rPr>
          <w:sz w:val="24"/>
        </w:rPr>
        <w:t>tikai</w:t>
      </w:r>
      <w:r>
        <w:rPr>
          <w:spacing w:val="-8"/>
          <w:sz w:val="24"/>
        </w:rPr>
        <w:t> </w:t>
      </w:r>
      <w:r>
        <w:rPr>
          <w:sz w:val="24"/>
        </w:rPr>
        <w:t>faktu,</w:t>
      </w:r>
      <w:r>
        <w:rPr>
          <w:spacing w:val="-8"/>
          <w:sz w:val="24"/>
        </w:rPr>
        <w:t> </w:t>
      </w:r>
      <w:r>
        <w:rPr>
          <w:sz w:val="24"/>
        </w:rPr>
        <w:t>ka pret</w:t>
      </w:r>
      <w:r>
        <w:rPr>
          <w:spacing w:val="-11"/>
          <w:sz w:val="24"/>
        </w:rPr>
        <w:t> </w:t>
      </w:r>
      <w:r>
        <w:rPr>
          <w:sz w:val="24"/>
        </w:rPr>
        <w:t>pieteicēju</w:t>
      </w:r>
      <w:r>
        <w:rPr>
          <w:spacing w:val="-8"/>
          <w:sz w:val="24"/>
        </w:rPr>
        <w:t> </w:t>
      </w:r>
      <w:r>
        <w:rPr>
          <w:sz w:val="24"/>
        </w:rPr>
        <w:t>celta</w:t>
      </w:r>
      <w:r>
        <w:rPr>
          <w:spacing w:val="-7"/>
          <w:sz w:val="24"/>
        </w:rPr>
        <w:t> </w:t>
      </w:r>
      <w:r>
        <w:rPr>
          <w:sz w:val="24"/>
        </w:rPr>
        <w:t>prasība</w:t>
      </w:r>
      <w:r>
        <w:rPr>
          <w:spacing w:val="-8"/>
          <w:sz w:val="24"/>
        </w:rPr>
        <w:t> </w:t>
      </w:r>
      <w:r>
        <w:rPr>
          <w:sz w:val="24"/>
        </w:rPr>
        <w:t>par</w:t>
      </w:r>
      <w:r>
        <w:rPr>
          <w:spacing w:val="-11"/>
          <w:sz w:val="24"/>
        </w:rPr>
        <w:t> </w:t>
      </w:r>
      <w:r>
        <w:rPr>
          <w:sz w:val="24"/>
        </w:rPr>
        <w:t>parāda</w:t>
      </w:r>
      <w:r>
        <w:rPr>
          <w:spacing w:val="-10"/>
          <w:sz w:val="24"/>
        </w:rPr>
        <w:t> </w:t>
      </w:r>
      <w:r>
        <w:rPr>
          <w:sz w:val="24"/>
        </w:rPr>
        <w:t>piedziņu.</w:t>
      </w:r>
      <w:r>
        <w:rPr>
          <w:spacing w:val="-9"/>
          <w:sz w:val="24"/>
        </w:rPr>
        <w:t> </w:t>
      </w:r>
      <w:r>
        <w:rPr>
          <w:sz w:val="24"/>
        </w:rPr>
        <w:t>Pieteicējs</w:t>
      </w:r>
      <w:r>
        <w:rPr>
          <w:spacing w:val="-8"/>
          <w:sz w:val="24"/>
        </w:rPr>
        <w:t> </w:t>
      </w:r>
      <w:r>
        <w:rPr>
          <w:sz w:val="24"/>
        </w:rPr>
        <w:t>nav</w:t>
      </w:r>
      <w:r>
        <w:rPr>
          <w:spacing w:val="-9"/>
          <w:sz w:val="24"/>
        </w:rPr>
        <w:t> </w:t>
      </w:r>
      <w:r>
        <w:rPr>
          <w:sz w:val="24"/>
        </w:rPr>
        <w:t>iesniedzis</w:t>
      </w:r>
      <w:r>
        <w:rPr>
          <w:spacing w:val="-8"/>
          <w:sz w:val="24"/>
        </w:rPr>
        <w:t> </w:t>
      </w:r>
      <w:r>
        <w:rPr>
          <w:sz w:val="24"/>
        </w:rPr>
        <w:t>tiesai ziņas, kas apstiprinātu, ka civillietā ir taisīts nolēmums, kas stājies spēkā un kādā apmērā prasība apmierināta. Tādējādi tiesai nav iesniegti dokumenti, kas apstiprinātu, ka pieteicēja parādsaistībām pret attiecīgo kreditoru ir iestājies izpildes termiņš un to apmērs atbilst pieteikumā</w:t>
      </w:r>
      <w:r>
        <w:rPr>
          <w:spacing w:val="-2"/>
          <w:sz w:val="24"/>
        </w:rPr>
        <w:t> </w:t>
      </w:r>
      <w:r>
        <w:rPr>
          <w:sz w:val="24"/>
        </w:rPr>
        <w:t>norādītajam.</w:t>
      </w:r>
      <w:r>
        <w:rPr>
          <w:position w:val="9"/>
          <w:sz w:val="16"/>
        </w:rPr>
        <w:t>12</w:t>
      </w:r>
    </w:p>
    <w:p>
      <w:pPr>
        <w:pStyle w:val="ListParagraph"/>
        <w:numPr>
          <w:ilvl w:val="1"/>
          <w:numId w:val="9"/>
        </w:numPr>
        <w:tabs>
          <w:tab w:pos="1753" w:val="left" w:leader="none"/>
        </w:tabs>
        <w:spacing w:line="232" w:lineRule="auto" w:before="17" w:after="0"/>
        <w:ind w:left="1752" w:right="405" w:hanging="425"/>
        <w:jc w:val="both"/>
        <w:rPr>
          <w:sz w:val="16"/>
        </w:rPr>
      </w:pPr>
      <w:r>
        <w:rPr>
          <w:sz w:val="24"/>
        </w:rPr>
        <w:t>Maksātnespējas procesa pieteikums noraidīts, jo </w:t>
      </w:r>
      <w:r>
        <w:rPr>
          <w:b/>
          <w:sz w:val="24"/>
        </w:rPr>
        <w:t>Latvijas Banku kredītu reģistra pārskats </w:t>
      </w:r>
      <w:r>
        <w:rPr>
          <w:sz w:val="24"/>
        </w:rPr>
        <w:t>apliecina pieteicējas spēkā esošās saistības, bet nenorāda uz saistību apmēru, kurām iestājies izpildes</w:t>
      </w:r>
      <w:r>
        <w:rPr>
          <w:spacing w:val="-3"/>
          <w:sz w:val="24"/>
        </w:rPr>
        <w:t> </w:t>
      </w:r>
      <w:r>
        <w:rPr>
          <w:sz w:val="24"/>
        </w:rPr>
        <w:t>termiņš.</w:t>
      </w:r>
      <w:r>
        <w:rPr>
          <w:position w:val="9"/>
          <w:sz w:val="16"/>
        </w:rPr>
        <w:t>13</w:t>
      </w:r>
    </w:p>
    <w:p>
      <w:pPr>
        <w:pStyle w:val="ListParagraph"/>
        <w:numPr>
          <w:ilvl w:val="1"/>
          <w:numId w:val="9"/>
        </w:numPr>
        <w:tabs>
          <w:tab w:pos="1753" w:val="left" w:leader="none"/>
        </w:tabs>
        <w:spacing w:line="240" w:lineRule="auto" w:before="2" w:after="0"/>
        <w:ind w:left="1752" w:right="0" w:hanging="426"/>
        <w:jc w:val="both"/>
        <w:rPr>
          <w:sz w:val="24"/>
        </w:rPr>
      </w:pPr>
      <w:r>
        <w:rPr>
          <w:sz w:val="24"/>
        </w:rPr>
        <w:t>Maksātnespējas procesa pieteikums noraidīts, jo pieteicējs nav</w:t>
      </w:r>
      <w:r>
        <w:rPr>
          <w:spacing w:val="23"/>
          <w:sz w:val="24"/>
        </w:rPr>
        <w:t> </w:t>
      </w:r>
      <w:r>
        <w:rPr>
          <w:sz w:val="24"/>
        </w:rPr>
        <w:t>pierādījis</w:t>
      </w:r>
    </w:p>
    <w:p>
      <w:pPr>
        <w:spacing w:before="0"/>
        <w:ind w:left="1752" w:right="0" w:firstLine="0"/>
        <w:jc w:val="both"/>
        <w:rPr>
          <w:sz w:val="24"/>
        </w:rPr>
      </w:pPr>
      <w:r>
        <w:rPr>
          <w:b/>
          <w:sz w:val="24"/>
        </w:rPr>
        <w:t>galvojuma saistību iestāšanās termiņu</w:t>
      </w:r>
      <w:r>
        <w:rPr>
          <w:sz w:val="24"/>
        </w:rPr>
        <w:t>:</w:t>
      </w:r>
    </w:p>
    <w:p>
      <w:pPr>
        <w:pStyle w:val="BodyText"/>
        <w:spacing w:line="232" w:lineRule="auto" w:before="7"/>
        <w:ind w:left="2180" w:right="404" w:hanging="428"/>
      </w:pPr>
      <w:r>
        <w:rPr/>
        <w:t>aa) Galvenajam parādniekam pasludināts maksātnespējas process un saistību dzēšanas procedūra nepierāda to, ka pieteicēja kā galvinieka saistībām ir iestājies izpildes termiņš</w:t>
      </w:r>
      <w:r>
        <w:rPr>
          <w:position w:val="9"/>
          <w:sz w:val="16"/>
        </w:rPr>
        <w:t>14</w:t>
      </w:r>
      <w:r>
        <w:rPr/>
        <w:t>.</w:t>
      </w:r>
    </w:p>
    <w:p>
      <w:pPr>
        <w:pStyle w:val="BodyText"/>
        <w:spacing w:line="232" w:lineRule="auto" w:before="10"/>
        <w:ind w:left="2180" w:right="405" w:hanging="428"/>
      </w:pPr>
      <w:r>
        <w:rPr/>
        <w:t>bb) Nav pierādījumu lietā, ka galvenais parādnieks, otrs galvinieks</w:t>
      </w:r>
      <w:r>
        <w:rPr>
          <w:spacing w:val="30"/>
        </w:rPr>
        <w:t> </w:t>
      </w:r>
      <w:r>
        <w:rPr/>
        <w:t>nevar izpildīt</w:t>
      </w:r>
      <w:r>
        <w:rPr>
          <w:spacing w:val="-11"/>
        </w:rPr>
        <w:t> </w:t>
      </w:r>
      <w:r>
        <w:rPr/>
        <w:t>saistības</w:t>
      </w:r>
      <w:r>
        <w:rPr>
          <w:spacing w:val="-10"/>
        </w:rPr>
        <w:t> </w:t>
      </w:r>
      <w:r>
        <w:rPr/>
        <w:t>vai</w:t>
      </w:r>
      <w:r>
        <w:rPr>
          <w:spacing w:val="-10"/>
        </w:rPr>
        <w:t> </w:t>
      </w:r>
      <w:r>
        <w:rPr/>
        <w:t>ka</w:t>
      </w:r>
      <w:r>
        <w:rPr>
          <w:spacing w:val="-12"/>
        </w:rPr>
        <w:t> </w:t>
      </w:r>
      <w:r>
        <w:rPr/>
        <w:t>saistības</w:t>
      </w:r>
      <w:r>
        <w:rPr>
          <w:spacing w:val="-10"/>
        </w:rPr>
        <w:t> </w:t>
      </w:r>
      <w:r>
        <w:rPr/>
        <w:t>nedzēsīsies</w:t>
      </w:r>
      <w:r>
        <w:rPr>
          <w:spacing w:val="-10"/>
        </w:rPr>
        <w:t> </w:t>
      </w:r>
      <w:r>
        <w:rPr/>
        <w:t>ieķīlātās</w:t>
      </w:r>
      <w:r>
        <w:rPr>
          <w:spacing w:val="-12"/>
        </w:rPr>
        <w:t> </w:t>
      </w:r>
      <w:r>
        <w:rPr/>
        <w:t>mantas</w:t>
      </w:r>
      <w:r>
        <w:rPr>
          <w:spacing w:val="-8"/>
        </w:rPr>
        <w:t> </w:t>
      </w:r>
      <w:r>
        <w:rPr/>
        <w:t>atsavināšanas rezultātā</w:t>
      </w:r>
      <w:r>
        <w:rPr>
          <w:position w:val="9"/>
          <w:sz w:val="16"/>
        </w:rPr>
        <w:t>15</w:t>
      </w:r>
      <w:r>
        <w:rPr/>
        <w:t>.</w:t>
      </w:r>
    </w:p>
    <w:p>
      <w:pPr>
        <w:pStyle w:val="BodyText"/>
        <w:spacing w:before="2"/>
        <w:jc w:val="left"/>
      </w:pPr>
    </w:p>
    <w:p>
      <w:pPr>
        <w:pStyle w:val="ListParagraph"/>
        <w:numPr>
          <w:ilvl w:val="0"/>
          <w:numId w:val="9"/>
        </w:numPr>
        <w:tabs>
          <w:tab w:pos="1340" w:val="left" w:leader="none"/>
        </w:tabs>
        <w:spacing w:line="240" w:lineRule="auto" w:before="1" w:after="0"/>
        <w:ind w:left="1340" w:right="402" w:hanging="360"/>
        <w:jc w:val="both"/>
        <w:rPr>
          <w:sz w:val="24"/>
        </w:rPr>
      </w:pPr>
      <w:r>
        <w:rPr>
          <w:sz w:val="24"/>
        </w:rPr>
        <w:t>Netiek konstatēta Maksātnespējas likuma 129.panta pazīme – personai nav iespēju nokārtot parādsaistības, kurām iestājies izpildes termiņš, un parādsaistības kopā </w:t>
      </w:r>
      <w:r>
        <w:rPr>
          <w:b/>
          <w:sz w:val="24"/>
        </w:rPr>
        <w:t>pārsniedz Maksātnespējas likumā noteikto minimālo apmēru, </w:t>
      </w:r>
      <w:r>
        <w:rPr>
          <w:sz w:val="24"/>
        </w:rPr>
        <w:t>respektīvi, apšauba vai nekonstatē to, ka parādnieka neizpildīto saistību apmērs pārsniedz likumā noteikto slieksni (</w:t>
      </w:r>
      <w:r>
        <w:rPr>
          <w:sz w:val="24"/>
          <w:u w:val="single"/>
        </w:rPr>
        <w:t>konstatēts vairāk kā 30% maksātnespējas procesa lietās par nepasludināšanu</w:t>
      </w:r>
      <w:r>
        <w:rPr>
          <w:sz w:val="24"/>
        </w:rPr>
        <w:t>). Pamatā tie ir spriedumi, attiecībā uz pieteikumiem, ko snieguši</w:t>
      </w:r>
      <w:r>
        <w:rPr>
          <w:spacing w:val="1"/>
          <w:sz w:val="24"/>
        </w:rPr>
        <w:t> </w:t>
      </w:r>
      <w:r>
        <w:rPr>
          <w:sz w:val="24"/>
        </w:rPr>
        <w:t>galvinieki:</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spacing w:before="236"/>
        <w:ind w:left="620" w:right="0" w:firstLine="0"/>
        <w:jc w:val="left"/>
        <w:rPr>
          <w:sz w:val="20"/>
        </w:rPr>
      </w:pPr>
      <w:r>
        <w:rPr>
          <w:position w:val="9"/>
          <w:sz w:val="16"/>
        </w:rPr>
        <w:t>11 </w:t>
      </w:r>
      <w:r>
        <w:rPr>
          <w:sz w:val="20"/>
        </w:rPr>
        <w:t>LR AT Senāta 2013.gada 4.decembra spriedums lietā SPC-49/2013</w:t>
      </w:r>
    </w:p>
    <w:p>
      <w:pPr>
        <w:spacing w:line="233" w:lineRule="exact" w:before="5"/>
        <w:ind w:left="620" w:right="0" w:firstLine="0"/>
        <w:jc w:val="left"/>
        <w:rPr>
          <w:sz w:val="20"/>
        </w:rPr>
      </w:pPr>
      <w:r>
        <w:rPr>
          <w:position w:val="7"/>
          <w:sz w:val="13"/>
        </w:rPr>
        <w:t>12 </w:t>
      </w:r>
      <w:r>
        <w:rPr>
          <w:sz w:val="20"/>
        </w:rPr>
        <w:t>Rīgas pilsētas Kurzemes rajona tiesas 2014.gada 23.septembra nolēmums lietā Nr. C28368914</w:t>
      </w:r>
    </w:p>
    <w:p>
      <w:pPr>
        <w:spacing w:line="230" w:lineRule="exact" w:before="0"/>
        <w:ind w:left="620" w:right="0" w:firstLine="0"/>
        <w:jc w:val="left"/>
        <w:rPr>
          <w:sz w:val="20"/>
        </w:rPr>
      </w:pPr>
      <w:r>
        <w:rPr>
          <w:position w:val="7"/>
          <w:sz w:val="13"/>
        </w:rPr>
        <w:t>13 </w:t>
      </w:r>
      <w:r>
        <w:rPr>
          <w:sz w:val="20"/>
        </w:rPr>
        <w:t>Rīgas pilsētas Vidzemes priekšpilsētas tiesas 2014.gada 15.septembra nolēmums lietā Nr. C30532514</w:t>
      </w:r>
    </w:p>
    <w:p>
      <w:pPr>
        <w:spacing w:line="230" w:lineRule="exact" w:before="0"/>
        <w:ind w:left="620" w:right="0" w:firstLine="0"/>
        <w:jc w:val="left"/>
        <w:rPr>
          <w:sz w:val="20"/>
        </w:rPr>
      </w:pPr>
      <w:r>
        <w:rPr>
          <w:position w:val="7"/>
          <w:sz w:val="13"/>
        </w:rPr>
        <w:t>14 </w:t>
      </w:r>
      <w:r>
        <w:rPr>
          <w:sz w:val="20"/>
        </w:rPr>
        <w:t>Rīgas pilsētas Latgales priekšpilsētas tiesas 2014.gada 27.oktrobra nolēmums lietā Nr. C29714014</w:t>
      </w:r>
    </w:p>
    <w:p>
      <w:pPr>
        <w:spacing w:line="233" w:lineRule="exact" w:before="0"/>
        <w:ind w:left="620" w:right="0" w:firstLine="0"/>
        <w:jc w:val="left"/>
        <w:rPr>
          <w:sz w:val="20"/>
        </w:rPr>
      </w:pPr>
      <w:r>
        <w:rPr>
          <w:position w:val="7"/>
          <w:sz w:val="13"/>
        </w:rPr>
        <w:t>15 </w:t>
      </w:r>
      <w:r>
        <w:rPr>
          <w:sz w:val="20"/>
        </w:rPr>
        <w:t>Rīgas pilsētas Kurzemes rajona tiesas 2015.gada 11.februāra nolēmums lietā Nr. C28207215</w:t>
      </w:r>
    </w:p>
    <w:p>
      <w:pPr>
        <w:spacing w:after="0" w:line="233" w:lineRule="exact"/>
        <w:jc w:val="left"/>
        <w:rPr>
          <w:sz w:val="20"/>
        </w:rPr>
        <w:sectPr>
          <w:footerReference w:type="default" r:id="rId7"/>
          <w:footerReference w:type="even" r:id="rId8"/>
          <w:pgSz w:w="11910" w:h="16840"/>
          <w:pgMar w:footer="1165" w:header="0" w:top="1340" w:bottom="1360" w:left="1180" w:right="1040"/>
        </w:sectPr>
      </w:pPr>
    </w:p>
    <w:p>
      <w:pPr>
        <w:pStyle w:val="ListParagraph"/>
        <w:numPr>
          <w:ilvl w:val="0"/>
          <w:numId w:val="10"/>
        </w:numPr>
        <w:tabs>
          <w:tab w:pos="1340" w:val="left" w:leader="none"/>
        </w:tabs>
        <w:spacing w:line="232" w:lineRule="auto" w:before="80" w:after="0"/>
        <w:ind w:left="1340" w:right="763" w:hanging="372"/>
        <w:jc w:val="both"/>
        <w:rPr>
          <w:sz w:val="16"/>
        </w:rPr>
      </w:pPr>
      <w:r>
        <w:rPr>
          <w:sz w:val="24"/>
        </w:rPr>
        <w:t>Tiesai nav pamata atzīt pieteicējas parādsaistības pret noteikto </w:t>
      </w:r>
      <w:r>
        <w:rPr>
          <w:spacing w:val="-3"/>
          <w:sz w:val="24"/>
        </w:rPr>
        <w:t>kreditoru </w:t>
      </w:r>
      <w:r>
        <w:rPr>
          <w:sz w:val="24"/>
        </w:rPr>
        <w:t>pieteikumā norādītajā apmērā, jo lietā nav pierādījumu, kādā apmērā galvenā parādnieka saistību dzēšanas plānā ir norādītas saistības, kas tiks</w:t>
      </w:r>
      <w:r>
        <w:rPr>
          <w:spacing w:val="-11"/>
          <w:sz w:val="24"/>
        </w:rPr>
        <w:t> </w:t>
      </w:r>
      <w:r>
        <w:rPr>
          <w:sz w:val="24"/>
        </w:rPr>
        <w:t>dzēstas.</w:t>
      </w:r>
      <w:r>
        <w:rPr>
          <w:position w:val="9"/>
          <w:sz w:val="16"/>
        </w:rPr>
        <w:t>16</w:t>
      </w:r>
    </w:p>
    <w:p>
      <w:pPr>
        <w:pStyle w:val="ListParagraph"/>
        <w:numPr>
          <w:ilvl w:val="0"/>
          <w:numId w:val="10"/>
        </w:numPr>
        <w:tabs>
          <w:tab w:pos="1340" w:val="left" w:leader="none"/>
        </w:tabs>
        <w:spacing w:line="237" w:lineRule="auto" w:before="5" w:after="0"/>
        <w:ind w:left="1340" w:right="762" w:hanging="372"/>
        <w:jc w:val="both"/>
        <w:rPr>
          <w:sz w:val="16"/>
        </w:rPr>
      </w:pPr>
      <w:r>
        <w:rPr>
          <w:sz w:val="24"/>
        </w:rPr>
        <w:t>Pastāvot apstākļiem, ka Pieteicējs nav iesniedzis tiesai ziņas, kas apstiprinātu, ka kreditors ir pieprasījis no kredīta līguma izrietošo saistību izpildi no pieteicēja, nevis no galvenā parādnieka, un ka tiesā nav iesniegti pierādījumi, ka galvenais parādnieks nav izpildījis saistības vai nevar izpildīt saistības,</w:t>
      </w:r>
      <w:r>
        <w:rPr>
          <w:spacing w:val="-24"/>
          <w:sz w:val="24"/>
        </w:rPr>
        <w:t> </w:t>
      </w:r>
      <w:r>
        <w:rPr>
          <w:sz w:val="24"/>
        </w:rPr>
        <w:t>tiesa atzīst, ka pieteicējs nav iesniedzis tiesai dokumentus, kas apstiprinātu pietiekamu neizpildīto saistību</w:t>
      </w:r>
      <w:r>
        <w:rPr>
          <w:spacing w:val="-1"/>
          <w:sz w:val="24"/>
        </w:rPr>
        <w:t> </w:t>
      </w:r>
      <w:r>
        <w:rPr>
          <w:sz w:val="24"/>
        </w:rPr>
        <w:t>apmēru.</w:t>
      </w:r>
      <w:r>
        <w:rPr>
          <w:position w:val="9"/>
          <w:sz w:val="16"/>
        </w:rPr>
        <w:t>17</w:t>
      </w:r>
    </w:p>
    <w:p>
      <w:pPr>
        <w:pStyle w:val="BodyText"/>
        <w:spacing w:before="6"/>
        <w:jc w:val="left"/>
      </w:pPr>
    </w:p>
    <w:p>
      <w:pPr>
        <w:pStyle w:val="ListParagraph"/>
        <w:numPr>
          <w:ilvl w:val="0"/>
          <w:numId w:val="9"/>
        </w:numPr>
        <w:tabs>
          <w:tab w:pos="980" w:val="left" w:leader="none"/>
        </w:tabs>
        <w:spacing w:line="237" w:lineRule="auto" w:before="0" w:after="0"/>
        <w:ind w:left="980" w:right="762" w:hanging="360"/>
        <w:jc w:val="both"/>
        <w:rPr>
          <w:sz w:val="16"/>
        </w:rPr>
      </w:pPr>
      <w:r>
        <w:rPr>
          <w:b/>
          <w:sz w:val="24"/>
        </w:rPr>
        <w:t>Konstatēts Maksātnespējas likuma 130.panta pirmajā daļā noteiktais ierobežojums </w:t>
      </w:r>
      <w:r>
        <w:rPr>
          <w:sz w:val="24"/>
        </w:rPr>
        <w:t>– persona pēdējo triju gadu laikā pirms fiziskās personas maksātnespējas</w:t>
      </w:r>
      <w:r>
        <w:rPr>
          <w:spacing w:val="-15"/>
          <w:sz w:val="24"/>
        </w:rPr>
        <w:t> </w:t>
      </w:r>
      <w:r>
        <w:rPr>
          <w:sz w:val="24"/>
        </w:rPr>
        <w:t>procesa</w:t>
      </w:r>
      <w:r>
        <w:rPr>
          <w:spacing w:val="-14"/>
          <w:sz w:val="24"/>
        </w:rPr>
        <w:t> </w:t>
      </w:r>
      <w:r>
        <w:rPr>
          <w:sz w:val="24"/>
        </w:rPr>
        <w:t>pasludināšanas</w:t>
      </w:r>
      <w:r>
        <w:rPr>
          <w:spacing w:val="-14"/>
          <w:sz w:val="24"/>
        </w:rPr>
        <w:t> </w:t>
      </w:r>
      <w:r>
        <w:rPr>
          <w:sz w:val="24"/>
        </w:rPr>
        <w:t>ir</w:t>
      </w:r>
      <w:r>
        <w:rPr>
          <w:spacing w:val="-14"/>
          <w:sz w:val="24"/>
        </w:rPr>
        <w:t> </w:t>
      </w:r>
      <w:r>
        <w:rPr>
          <w:sz w:val="24"/>
        </w:rPr>
        <w:t>sniegusi</w:t>
      </w:r>
      <w:r>
        <w:rPr>
          <w:spacing w:val="-15"/>
          <w:sz w:val="24"/>
        </w:rPr>
        <w:t> </w:t>
      </w:r>
      <w:r>
        <w:rPr>
          <w:b/>
          <w:sz w:val="24"/>
        </w:rPr>
        <w:t>apzināti</w:t>
      </w:r>
      <w:r>
        <w:rPr>
          <w:b/>
          <w:spacing w:val="-16"/>
          <w:sz w:val="24"/>
        </w:rPr>
        <w:t> </w:t>
      </w:r>
      <w:r>
        <w:rPr>
          <w:b/>
          <w:sz w:val="24"/>
        </w:rPr>
        <w:t>nepatiesu</w:t>
      </w:r>
      <w:r>
        <w:rPr>
          <w:b/>
          <w:spacing w:val="-17"/>
          <w:sz w:val="24"/>
        </w:rPr>
        <w:t> </w:t>
      </w:r>
      <w:r>
        <w:rPr>
          <w:b/>
          <w:sz w:val="24"/>
        </w:rPr>
        <w:t>informāciju saviem kreditoriem</w:t>
      </w:r>
      <w:r>
        <w:rPr>
          <w:sz w:val="24"/>
        </w:rPr>
        <w:t>. Piemēram, Jūrmalas pilsētas tiesa 2015.gada 22.janvāra spriedumā lietā Nr. C17070915 norādījusi, ka ar spēkā stājušos spriedumu </w:t>
      </w:r>
      <w:r>
        <w:rPr>
          <w:spacing w:val="-6"/>
          <w:sz w:val="24"/>
        </w:rPr>
        <w:t>no </w:t>
      </w:r>
      <w:r>
        <w:rPr>
          <w:sz w:val="24"/>
        </w:rPr>
        <w:t>pieteicēja kā maksātnespējīgas SIA parādnieka pārstāvja piedzīti prettiesiskas darbības rezultātā nodarīti zaudējumi par labu maksātnespējīgai sabiedrībai. Tiesa pievienojas</w:t>
      </w:r>
      <w:r>
        <w:rPr>
          <w:spacing w:val="-13"/>
          <w:sz w:val="24"/>
        </w:rPr>
        <w:t> </w:t>
      </w:r>
      <w:r>
        <w:rPr>
          <w:sz w:val="24"/>
        </w:rPr>
        <w:t>SIA</w:t>
      </w:r>
      <w:r>
        <w:rPr>
          <w:spacing w:val="-11"/>
          <w:sz w:val="24"/>
        </w:rPr>
        <w:t> </w:t>
      </w:r>
      <w:r>
        <w:rPr>
          <w:sz w:val="24"/>
        </w:rPr>
        <w:t>maksātnespējas</w:t>
      </w:r>
      <w:r>
        <w:rPr>
          <w:spacing w:val="-10"/>
          <w:sz w:val="24"/>
        </w:rPr>
        <w:t> </w:t>
      </w:r>
      <w:r>
        <w:rPr>
          <w:sz w:val="24"/>
        </w:rPr>
        <w:t>procesa</w:t>
      </w:r>
      <w:r>
        <w:rPr>
          <w:spacing w:val="-11"/>
          <w:sz w:val="24"/>
        </w:rPr>
        <w:t> </w:t>
      </w:r>
      <w:r>
        <w:rPr>
          <w:sz w:val="24"/>
        </w:rPr>
        <w:t>administratora</w:t>
      </w:r>
      <w:r>
        <w:rPr>
          <w:spacing w:val="-13"/>
          <w:sz w:val="24"/>
        </w:rPr>
        <w:t> </w:t>
      </w:r>
      <w:r>
        <w:rPr>
          <w:sz w:val="24"/>
        </w:rPr>
        <w:t>iebildumos</w:t>
      </w:r>
      <w:r>
        <w:rPr>
          <w:spacing w:val="-11"/>
          <w:sz w:val="24"/>
        </w:rPr>
        <w:t> </w:t>
      </w:r>
      <w:r>
        <w:rPr>
          <w:sz w:val="24"/>
        </w:rPr>
        <w:t>norādītajam,</w:t>
      </w:r>
      <w:r>
        <w:rPr>
          <w:spacing w:val="-10"/>
          <w:sz w:val="24"/>
        </w:rPr>
        <w:t> </w:t>
      </w:r>
      <w:r>
        <w:rPr>
          <w:sz w:val="24"/>
        </w:rPr>
        <w:t>ka apgabaltiesa savā spriedumā ir atzinusi par nepamatotiem pieteicēja apelācijas sūdzībā minētos argumentus, faktiski atzīstot, ka pieteicējs sniedzis tiesai un administratoram (kreditoram) nepatiesu informāciju par naudas līdzekļu izlietojumu.</w:t>
      </w:r>
      <w:r>
        <w:rPr>
          <w:position w:val="9"/>
          <w:sz w:val="16"/>
        </w:rPr>
        <w:t>18</w:t>
      </w:r>
    </w:p>
    <w:p>
      <w:pPr>
        <w:pStyle w:val="BodyText"/>
        <w:spacing w:before="7"/>
        <w:jc w:val="left"/>
        <w:rPr>
          <w:sz w:val="25"/>
        </w:rPr>
      </w:pPr>
    </w:p>
    <w:p>
      <w:pPr>
        <w:pStyle w:val="ListParagraph"/>
        <w:numPr>
          <w:ilvl w:val="0"/>
          <w:numId w:val="9"/>
        </w:numPr>
        <w:tabs>
          <w:tab w:pos="980" w:val="left" w:leader="none"/>
        </w:tabs>
        <w:spacing w:line="237" w:lineRule="auto" w:before="0" w:after="0"/>
        <w:ind w:left="980" w:right="759" w:hanging="360"/>
        <w:jc w:val="both"/>
        <w:rPr>
          <w:sz w:val="16"/>
        </w:rPr>
      </w:pPr>
      <w:r>
        <w:rPr>
          <w:b/>
          <w:sz w:val="24"/>
        </w:rPr>
        <w:t>Konstatēts Maksātnespējas likuma 130.panta ceturtajā daļā noteiktais ierobežojums </w:t>
      </w:r>
      <w:r>
        <w:rPr>
          <w:sz w:val="24"/>
        </w:rPr>
        <w:t>– personai pēdējo piecu gadu laikā pirms fiziskās personas maksātnespējas procesa pasludināšanas vai fiziskās personas maksātnespējas procesa</w:t>
      </w:r>
      <w:r>
        <w:rPr>
          <w:spacing w:val="-12"/>
          <w:sz w:val="24"/>
        </w:rPr>
        <w:t> </w:t>
      </w:r>
      <w:r>
        <w:rPr>
          <w:sz w:val="24"/>
        </w:rPr>
        <w:t>laikā</w:t>
      </w:r>
      <w:r>
        <w:rPr>
          <w:spacing w:val="-11"/>
          <w:sz w:val="24"/>
        </w:rPr>
        <w:t> </w:t>
      </w:r>
      <w:r>
        <w:rPr>
          <w:sz w:val="24"/>
        </w:rPr>
        <w:t>ir</w:t>
      </w:r>
      <w:r>
        <w:rPr>
          <w:spacing w:val="-11"/>
          <w:sz w:val="24"/>
        </w:rPr>
        <w:t> </w:t>
      </w:r>
      <w:r>
        <w:rPr>
          <w:sz w:val="24"/>
        </w:rPr>
        <w:t>stājies</w:t>
      </w:r>
      <w:r>
        <w:rPr>
          <w:spacing w:val="-11"/>
          <w:sz w:val="24"/>
        </w:rPr>
        <w:t> </w:t>
      </w:r>
      <w:r>
        <w:rPr>
          <w:sz w:val="24"/>
        </w:rPr>
        <w:t>spēkā</w:t>
      </w:r>
      <w:r>
        <w:rPr>
          <w:spacing w:val="-11"/>
          <w:sz w:val="24"/>
        </w:rPr>
        <w:t> </w:t>
      </w:r>
      <w:r>
        <w:rPr>
          <w:sz w:val="24"/>
        </w:rPr>
        <w:t>kompetentas</w:t>
      </w:r>
      <w:r>
        <w:rPr>
          <w:spacing w:val="-14"/>
          <w:sz w:val="24"/>
        </w:rPr>
        <w:t> </w:t>
      </w:r>
      <w:r>
        <w:rPr>
          <w:sz w:val="24"/>
        </w:rPr>
        <w:t>institūcijas</w:t>
      </w:r>
      <w:r>
        <w:rPr>
          <w:spacing w:val="-11"/>
          <w:sz w:val="24"/>
        </w:rPr>
        <w:t> </w:t>
      </w:r>
      <w:r>
        <w:rPr>
          <w:b/>
          <w:sz w:val="24"/>
        </w:rPr>
        <w:t>nolēmums</w:t>
      </w:r>
      <w:r>
        <w:rPr>
          <w:b/>
          <w:spacing w:val="-11"/>
          <w:sz w:val="24"/>
        </w:rPr>
        <w:t> </w:t>
      </w:r>
      <w:r>
        <w:rPr>
          <w:b/>
          <w:sz w:val="24"/>
        </w:rPr>
        <w:t>kriminālprocesā, ar kuru konstatēts, ka parādnieks ir izvairījies no nodokļu samaksas</w:t>
      </w:r>
      <w:r>
        <w:rPr>
          <w:sz w:val="24"/>
        </w:rPr>
        <w:t>. Piemēram, ar Rīgas pilsētas Vidzemes priekšpilsētas tiesas 2015.gada 27.februāra nolēmumu lietā Nr.C30318815 maksātnespējas procesa pieteikums noraidīts, jo</w:t>
      </w:r>
      <w:r>
        <w:rPr>
          <w:spacing w:val="-29"/>
          <w:sz w:val="24"/>
        </w:rPr>
        <w:t> </w:t>
      </w:r>
      <w:r>
        <w:rPr>
          <w:sz w:val="24"/>
        </w:rPr>
        <w:t>no lietai pievienotā sprieduma redzams, ka pieteicējs atzīts par vainīgu un sodīts pēc Krimināllikuma 221.panta pirmās daļas, par to, ka nelikumīgi uzglabāja un pārvietoja tabakas izstrādājumus, kā rezultātā radīts būtisks kaitējums – nesamaksāts akcīzes nodoklis par tabakas izstrādājumiem </w:t>
      </w:r>
      <w:r>
        <w:rPr>
          <w:spacing w:val="-3"/>
          <w:sz w:val="24"/>
        </w:rPr>
        <w:t>Ls </w:t>
      </w:r>
      <w:r>
        <w:rPr>
          <w:sz w:val="24"/>
        </w:rPr>
        <w:t>24038,44 apmērā, un atzīst par vainīgu pēc Krimināllikuma 212.panta otrās daļas par to, ka nelikumīgi pārvietoja (pārvadāja) un uzglabāja alkoholiskos dzērienus lielā apmērā - nesamaksāts akcīzes nodoklis par alkoholiskajiem dzērieniem </w:t>
      </w:r>
      <w:r>
        <w:rPr>
          <w:spacing w:val="-3"/>
          <w:sz w:val="24"/>
        </w:rPr>
        <w:t>Ls </w:t>
      </w:r>
      <w:r>
        <w:rPr>
          <w:sz w:val="24"/>
        </w:rPr>
        <w:t>644,12</w:t>
      </w:r>
      <w:r>
        <w:rPr>
          <w:spacing w:val="-4"/>
          <w:sz w:val="24"/>
        </w:rPr>
        <w:t> </w:t>
      </w:r>
      <w:r>
        <w:rPr>
          <w:sz w:val="24"/>
        </w:rPr>
        <w:t>apmērā.</w:t>
      </w:r>
      <w:r>
        <w:rPr>
          <w:position w:val="9"/>
          <w:sz w:val="16"/>
        </w:rPr>
        <w:t>19</w:t>
      </w:r>
    </w:p>
    <w:p>
      <w:pPr>
        <w:pStyle w:val="BodyText"/>
        <w:jc w:val="left"/>
        <w:rPr>
          <w:sz w:val="28"/>
        </w:rPr>
      </w:pPr>
    </w:p>
    <w:p>
      <w:pPr>
        <w:pStyle w:val="Heading4"/>
        <w:numPr>
          <w:ilvl w:val="1"/>
          <w:numId w:val="8"/>
        </w:numPr>
        <w:tabs>
          <w:tab w:pos="982" w:val="left" w:leader="none"/>
        </w:tabs>
        <w:spacing w:line="240" w:lineRule="auto" w:before="251" w:after="0"/>
        <w:ind w:left="981" w:right="0" w:hanging="362"/>
        <w:jc w:val="left"/>
        <w:rPr>
          <w:i/>
        </w:rPr>
      </w:pPr>
      <w:bookmarkStart w:name="_TOC_250075" w:id="3"/>
      <w:r>
        <w:rPr>
          <w:i/>
        </w:rPr>
        <w:t>Periods no 2015.gada</w:t>
      </w:r>
      <w:r>
        <w:rPr>
          <w:i/>
          <w:spacing w:val="-1"/>
        </w:rPr>
        <w:t> </w:t>
      </w:r>
      <w:bookmarkEnd w:id="3"/>
      <w:r>
        <w:rPr>
          <w:i/>
        </w:rPr>
        <w:t>1.marta</w:t>
      </w:r>
    </w:p>
    <w:p>
      <w:pPr>
        <w:pStyle w:val="BodyText"/>
        <w:spacing w:before="7"/>
        <w:jc w:val="left"/>
        <w:rPr>
          <w:b/>
          <w:i/>
          <w:sz w:val="23"/>
        </w:rPr>
      </w:pPr>
    </w:p>
    <w:p>
      <w:pPr>
        <w:pStyle w:val="BodyText"/>
        <w:ind w:left="260" w:right="398" w:firstLine="360"/>
        <w:jc w:val="left"/>
      </w:pPr>
      <w:r>
        <w:rPr/>
        <w:t>Minētajā periodā analizējamajos tiesu nolēmumos ir konstatēti šādi maksātnespējas pieteikuma noraidīšanas un maksātnespējas procesa nepasludināšanas pamati:</w:t>
      </w:r>
    </w:p>
    <w:p>
      <w:pPr>
        <w:pStyle w:val="BodyText"/>
        <w:jc w:val="left"/>
      </w:pPr>
    </w:p>
    <w:p>
      <w:pPr>
        <w:pStyle w:val="ListParagraph"/>
        <w:numPr>
          <w:ilvl w:val="0"/>
          <w:numId w:val="11"/>
        </w:numPr>
        <w:tabs>
          <w:tab w:pos="980" w:val="left" w:leader="none"/>
        </w:tabs>
        <w:spacing w:line="240" w:lineRule="auto" w:before="0" w:after="0"/>
        <w:ind w:left="980" w:right="765" w:hanging="360"/>
        <w:jc w:val="both"/>
        <w:rPr>
          <w:sz w:val="24"/>
        </w:rPr>
      </w:pPr>
      <w:r>
        <w:rPr>
          <w:sz w:val="24"/>
        </w:rPr>
        <w:t>Maksātnespējas procesa pieteikums noraidīts, jo pieteicējs pēdējo sešu </w:t>
      </w:r>
      <w:r>
        <w:rPr>
          <w:spacing w:val="-4"/>
          <w:sz w:val="24"/>
        </w:rPr>
        <w:t>mēnešu </w:t>
      </w:r>
      <w:r>
        <w:rPr>
          <w:sz w:val="24"/>
        </w:rPr>
        <w:t>laikā </w:t>
      </w:r>
      <w:r>
        <w:rPr>
          <w:b/>
          <w:sz w:val="24"/>
        </w:rPr>
        <w:t>nav bijis Latvijas Republikas nodokļu</w:t>
      </w:r>
      <w:r>
        <w:rPr>
          <w:b/>
          <w:spacing w:val="-4"/>
          <w:sz w:val="24"/>
        </w:rPr>
        <w:t> </w:t>
      </w:r>
      <w:r>
        <w:rPr>
          <w:b/>
          <w:sz w:val="24"/>
        </w:rPr>
        <w:t>maksātājs</w:t>
      </w:r>
      <w:r>
        <w:rPr>
          <w:sz w:val="24"/>
        </w:rPr>
        <w:t>:</w:t>
      </w:r>
    </w:p>
    <w:p>
      <w:pPr>
        <w:pStyle w:val="BodyText"/>
        <w:spacing w:before="6"/>
        <w:jc w:val="left"/>
        <w:rPr>
          <w:sz w:val="16"/>
        </w:rPr>
      </w:pPr>
      <w:r>
        <w:rPr/>
        <w:pict>
          <v:shape style="position:absolute;margin-left:72pt;margin-top:11.767919pt;width:144pt;height:.1pt;mso-position-horizontal-relative:page;mso-position-vertical-relative:paragraph;z-index:-251655168;mso-wrap-distance-left:0;mso-wrap-distance-right:0" coordorigin="1440,235" coordsize="2880,0" path="m1440,235l4320,235e" filled="false" stroked="true" strokeweight=".599991pt" strokecolor="#000000">
            <v:path arrowok="t"/>
            <v:stroke dashstyle="solid"/>
            <w10:wrap type="topAndBottom"/>
          </v:shape>
        </w:pict>
      </w:r>
    </w:p>
    <w:p>
      <w:pPr>
        <w:spacing w:line="235" w:lineRule="auto" w:before="73"/>
        <w:ind w:left="260" w:right="1704" w:firstLine="0"/>
        <w:jc w:val="both"/>
        <w:rPr>
          <w:sz w:val="20"/>
        </w:rPr>
      </w:pPr>
      <w:r>
        <w:rPr>
          <w:position w:val="7"/>
          <w:sz w:val="13"/>
        </w:rPr>
        <w:t>16 </w:t>
      </w:r>
      <w:r>
        <w:rPr>
          <w:sz w:val="20"/>
        </w:rPr>
        <w:t>Rīgas pilsētas Kurzemes rajona tiesas 2014.gada 10.decembra nolēmums lietā Nr. C28416214 </w:t>
      </w:r>
      <w:r>
        <w:rPr>
          <w:position w:val="7"/>
          <w:sz w:val="13"/>
        </w:rPr>
        <w:t>17 </w:t>
      </w:r>
      <w:r>
        <w:rPr>
          <w:sz w:val="20"/>
        </w:rPr>
        <w:t>Rīgas pilsētas Kurzemes rajona tiesas 2014.gada 12.decembra nolēmums lietā Nr. C28419514 </w:t>
      </w:r>
      <w:r>
        <w:rPr>
          <w:position w:val="7"/>
          <w:sz w:val="13"/>
        </w:rPr>
        <w:t>18 </w:t>
      </w:r>
      <w:r>
        <w:rPr>
          <w:sz w:val="20"/>
        </w:rPr>
        <w:t>Jūrmalas pilsētas tiesas 2015.gada 22.janvāra nolēmums lietā Nr. C17070915</w:t>
      </w:r>
    </w:p>
    <w:p>
      <w:pPr>
        <w:spacing w:line="232" w:lineRule="exact" w:before="0"/>
        <w:ind w:left="260" w:right="0" w:firstLine="0"/>
        <w:jc w:val="both"/>
        <w:rPr>
          <w:sz w:val="20"/>
        </w:rPr>
      </w:pPr>
      <w:r>
        <w:rPr>
          <w:position w:val="7"/>
          <w:sz w:val="13"/>
        </w:rPr>
        <w:t>19 </w:t>
      </w:r>
      <w:r>
        <w:rPr>
          <w:sz w:val="20"/>
        </w:rPr>
        <w:t>Rīgas pilsētas Vidzemes priekšpilsētas tiesas 2015.gada 27.feruāra nolēmums lietā Nr. C30318815</w:t>
      </w:r>
    </w:p>
    <w:p>
      <w:pPr>
        <w:spacing w:after="0" w:line="232" w:lineRule="exact"/>
        <w:jc w:val="both"/>
        <w:rPr>
          <w:sz w:val="20"/>
        </w:rPr>
        <w:sectPr>
          <w:pgSz w:w="11910" w:h="16840"/>
          <w:pgMar w:header="0" w:footer="1055" w:top="1340" w:bottom="1240" w:left="1180" w:right="1040"/>
        </w:sectPr>
      </w:pPr>
    </w:p>
    <w:p>
      <w:pPr>
        <w:pStyle w:val="Heading3"/>
        <w:numPr>
          <w:ilvl w:val="1"/>
          <w:numId w:val="11"/>
        </w:numPr>
        <w:tabs>
          <w:tab w:pos="1753" w:val="left" w:leader="none"/>
        </w:tabs>
        <w:spacing w:line="279" w:lineRule="exact" w:before="73" w:after="0"/>
        <w:ind w:left="1752" w:right="0" w:hanging="426"/>
        <w:jc w:val="both"/>
        <w:rPr>
          <w:sz w:val="16"/>
        </w:rPr>
      </w:pPr>
      <w:r>
        <w:rPr/>
        <w:pict>
          <v:line style="position:absolute;mso-position-horizontal-relative:page;mso-position-vertical-relative:paragraph;z-index:251663360" from="146.640015pt,17.038776pt" to="379.08002pt,17.038776pt" stroked="true" strokeweight="1.199999pt" strokecolor="#000000">
            <v:stroke dashstyle="solid"/>
            <w10:wrap type="none"/>
          </v:line>
        </w:pict>
      </w:r>
      <w:r>
        <w:rPr/>
        <w:t>Pieteicējs nav maksājis iekšzemes</w:t>
      </w:r>
      <w:r>
        <w:rPr>
          <w:spacing w:val="-2"/>
        </w:rPr>
        <w:t> </w:t>
      </w:r>
      <w:r>
        <w:rPr/>
        <w:t>nodokļus.</w:t>
      </w:r>
      <w:r>
        <w:rPr>
          <w:position w:val="8"/>
          <w:sz w:val="16"/>
        </w:rPr>
        <w:t>20</w:t>
      </w:r>
    </w:p>
    <w:p>
      <w:pPr>
        <w:pStyle w:val="ListParagraph"/>
        <w:numPr>
          <w:ilvl w:val="1"/>
          <w:numId w:val="11"/>
        </w:numPr>
        <w:tabs>
          <w:tab w:pos="1753" w:val="left" w:leader="none"/>
        </w:tabs>
        <w:spacing w:line="237" w:lineRule="auto" w:before="0" w:after="0"/>
        <w:ind w:left="1752" w:right="404" w:hanging="425"/>
        <w:jc w:val="both"/>
        <w:rPr>
          <w:sz w:val="16"/>
        </w:rPr>
      </w:pPr>
      <w:r>
        <w:rPr/>
        <w:pict>
          <v:line style="position:absolute;mso-position-horizontal-relative:page;mso-position-vertical-relative:paragraph;z-index:-262693888" from="285.480011pt,40.611126pt" to="522.960029pt,40.611126pt" stroked="true" strokeweight="1.200005pt" strokecolor="#000000">
            <v:stroke dashstyle="solid"/>
            <w10:wrap type="none"/>
          </v:line>
        </w:pict>
      </w:r>
      <w:r>
        <w:rPr>
          <w:sz w:val="24"/>
        </w:rPr>
        <w:t>Apgabaltiesa,</w:t>
      </w:r>
      <w:r>
        <w:rPr>
          <w:spacing w:val="-13"/>
          <w:sz w:val="24"/>
        </w:rPr>
        <w:t> </w:t>
      </w:r>
      <w:r>
        <w:rPr>
          <w:sz w:val="24"/>
        </w:rPr>
        <w:t>interpretējot</w:t>
      </w:r>
      <w:r>
        <w:rPr>
          <w:spacing w:val="-11"/>
          <w:sz w:val="24"/>
        </w:rPr>
        <w:t> </w:t>
      </w:r>
      <w:r>
        <w:rPr>
          <w:sz w:val="24"/>
        </w:rPr>
        <w:t>sistēmiski</w:t>
      </w:r>
      <w:r>
        <w:rPr>
          <w:spacing w:val="-9"/>
          <w:sz w:val="24"/>
        </w:rPr>
        <w:t> </w:t>
      </w:r>
      <w:r>
        <w:rPr>
          <w:sz w:val="24"/>
        </w:rPr>
        <w:t>Maksātnespējas</w:t>
      </w:r>
      <w:r>
        <w:rPr>
          <w:spacing w:val="-13"/>
          <w:sz w:val="24"/>
        </w:rPr>
        <w:t> </w:t>
      </w:r>
      <w:r>
        <w:rPr>
          <w:sz w:val="24"/>
        </w:rPr>
        <w:t>likuma</w:t>
      </w:r>
      <w:r>
        <w:rPr>
          <w:spacing w:val="-11"/>
          <w:sz w:val="24"/>
        </w:rPr>
        <w:t> </w:t>
      </w:r>
      <w:r>
        <w:rPr>
          <w:sz w:val="24"/>
        </w:rPr>
        <w:t>127.panta</w:t>
      </w:r>
      <w:r>
        <w:rPr>
          <w:spacing w:val="-11"/>
          <w:sz w:val="24"/>
        </w:rPr>
        <w:t> </w:t>
      </w:r>
      <w:r>
        <w:rPr>
          <w:sz w:val="24"/>
        </w:rPr>
        <w:t>pirmās daļas kritērijus ar likuma “Par nodokļiem un nodevām” 14.panta otrās daļas 1.un 2.punktu, konstatē, ka “</w:t>
      </w:r>
      <w:r>
        <w:rPr>
          <w:b/>
          <w:sz w:val="24"/>
        </w:rPr>
        <w:t>lai atzītu personu par maksātnespējas procesa</w:t>
      </w:r>
      <w:r>
        <w:rPr>
          <w:b/>
          <w:sz w:val="24"/>
          <w:u w:val="thick"/>
        </w:rPr>
        <w:t> </w:t>
      </w:r>
      <w:r>
        <w:rPr>
          <w:b/>
          <w:spacing w:val="-94"/>
          <w:sz w:val="24"/>
          <w:u w:val="thick"/>
        </w:rPr>
        <w:t>s</w:t>
      </w:r>
      <w:r>
        <w:rPr>
          <w:b/>
          <w:spacing w:val="36"/>
          <w:sz w:val="24"/>
        </w:rPr>
        <w:t> </w:t>
      </w:r>
      <w:r>
        <w:rPr>
          <w:b/>
          <w:sz w:val="24"/>
          <w:u w:val="thick"/>
        </w:rPr>
        <w:t>ubjektu, pietiek konstatēt, ka personai ir rezidenta statuss</w:t>
      </w:r>
      <w:r>
        <w:rPr>
          <w:b/>
          <w:sz w:val="24"/>
        </w:rPr>
        <w:t> </w:t>
      </w:r>
      <w:r>
        <w:rPr>
          <w:sz w:val="24"/>
        </w:rPr>
        <w:t>atbilstoši likuma „Par nodokļiem un nodevām” 14.panta otrās daļas</w:t>
      </w:r>
      <w:r>
        <w:rPr>
          <w:spacing w:val="-6"/>
          <w:sz w:val="24"/>
        </w:rPr>
        <w:t> </w:t>
      </w:r>
      <w:r>
        <w:rPr>
          <w:sz w:val="24"/>
        </w:rPr>
        <w:t>1.punktam”.</w:t>
      </w:r>
      <w:r>
        <w:rPr>
          <w:position w:val="9"/>
          <w:sz w:val="16"/>
        </w:rPr>
        <w:t>21</w:t>
      </w:r>
    </w:p>
    <w:p>
      <w:pPr>
        <w:pStyle w:val="BodyText"/>
        <w:spacing w:before="7"/>
        <w:jc w:val="left"/>
        <w:rPr>
          <w:sz w:val="23"/>
        </w:rPr>
      </w:pPr>
    </w:p>
    <w:p>
      <w:pPr>
        <w:pStyle w:val="ListParagraph"/>
        <w:numPr>
          <w:ilvl w:val="0"/>
          <w:numId w:val="11"/>
        </w:numPr>
        <w:tabs>
          <w:tab w:pos="1340" w:val="left" w:leader="none"/>
        </w:tabs>
        <w:spacing w:line="240" w:lineRule="auto" w:before="0" w:after="0"/>
        <w:ind w:left="1340" w:right="401" w:hanging="360"/>
        <w:jc w:val="both"/>
        <w:rPr>
          <w:sz w:val="24"/>
        </w:rPr>
      </w:pPr>
      <w:r>
        <w:rPr>
          <w:sz w:val="24"/>
        </w:rPr>
        <w:t>Maksātnespējas procesa pieteikums noraidīts, jo </w:t>
      </w:r>
      <w:r>
        <w:rPr>
          <w:b/>
          <w:sz w:val="24"/>
        </w:rPr>
        <w:t>nav pabeigts individuālā komersanta maksātnespējas</w:t>
      </w:r>
      <w:r>
        <w:rPr>
          <w:b/>
          <w:spacing w:val="1"/>
          <w:sz w:val="24"/>
        </w:rPr>
        <w:t> </w:t>
      </w:r>
      <w:r>
        <w:rPr>
          <w:b/>
          <w:sz w:val="24"/>
        </w:rPr>
        <w:t>process</w:t>
      </w:r>
      <w:r>
        <w:rPr>
          <w:sz w:val="24"/>
        </w:rPr>
        <w:t>:</w:t>
      </w:r>
    </w:p>
    <w:p>
      <w:pPr>
        <w:pStyle w:val="ListParagraph"/>
        <w:numPr>
          <w:ilvl w:val="1"/>
          <w:numId w:val="11"/>
        </w:numPr>
        <w:tabs>
          <w:tab w:pos="1753" w:val="left" w:leader="none"/>
        </w:tabs>
        <w:spacing w:line="235" w:lineRule="auto" w:before="5" w:after="0"/>
        <w:ind w:left="1752" w:right="405" w:hanging="425"/>
        <w:jc w:val="both"/>
        <w:rPr>
          <w:sz w:val="16"/>
        </w:rPr>
      </w:pPr>
      <w:r>
        <w:rPr>
          <w:sz w:val="24"/>
        </w:rPr>
        <w:t>Likumdevējs maksātnespējas regulācijā kā hronoloģiski prioritāru ir noteicis tieši fiziskās personas – individuālā komersanta komerciālo statusu, kamdēļ vispirms ir jāiziet komersanta maksātnespējas process, un tikai </w:t>
      </w:r>
      <w:r>
        <w:rPr>
          <w:sz w:val="24"/>
          <w:u w:val="single"/>
        </w:rPr>
        <w:t>pēc tā pabeigšanas</w:t>
      </w:r>
      <w:r>
        <w:rPr>
          <w:sz w:val="24"/>
        </w:rPr>
        <w:t> ir iespējams uzsākt fiziskās personas maksātnespējas</w:t>
      </w:r>
      <w:r>
        <w:rPr>
          <w:spacing w:val="-9"/>
          <w:sz w:val="24"/>
        </w:rPr>
        <w:t> </w:t>
      </w:r>
      <w:r>
        <w:rPr>
          <w:sz w:val="24"/>
        </w:rPr>
        <w:t>procesu.</w:t>
      </w:r>
      <w:r>
        <w:rPr>
          <w:position w:val="9"/>
          <w:sz w:val="16"/>
        </w:rPr>
        <w:t>22</w:t>
      </w:r>
    </w:p>
    <w:p>
      <w:pPr>
        <w:pStyle w:val="ListParagraph"/>
        <w:numPr>
          <w:ilvl w:val="1"/>
          <w:numId w:val="11"/>
        </w:numPr>
        <w:tabs>
          <w:tab w:pos="1753" w:val="left" w:leader="none"/>
        </w:tabs>
        <w:spacing w:line="237" w:lineRule="auto" w:before="5" w:after="0"/>
        <w:ind w:left="1752" w:right="402" w:hanging="425"/>
        <w:jc w:val="both"/>
        <w:rPr>
          <w:sz w:val="16"/>
        </w:rPr>
      </w:pPr>
      <w:r>
        <w:rPr>
          <w:sz w:val="24"/>
        </w:rPr>
        <w:t>Lai gan pieteicējs nav reģistrēts kā individuālais komersants, atbilstoši spriedumam, ar kuru pieteicēja iepriekš veikti darījumi ar nekustamajiem īpašumiem atzīti par saimniecisku darbību, pamatojoties uz veiktu fiziskās personas auditu, tiesa konstatē, ka pieteicējs veicis saimniecisko </w:t>
      </w:r>
      <w:r>
        <w:rPr>
          <w:spacing w:val="-3"/>
          <w:sz w:val="24"/>
        </w:rPr>
        <w:t>darbību </w:t>
      </w:r>
      <w:r>
        <w:rPr>
          <w:sz w:val="24"/>
        </w:rPr>
        <w:t>faktiski kā individuālais komersants. Tiesas ieskatā, tā kā parāds radies, veicot saimniecisko darbību, fiziskās personas maksātnespējas process pieteicējam atbilstoši Maksātnespējas likuma 127.panta trešajai daļai nav</w:t>
      </w:r>
      <w:r>
        <w:rPr>
          <w:spacing w:val="-6"/>
          <w:sz w:val="24"/>
        </w:rPr>
        <w:t> </w:t>
      </w:r>
      <w:r>
        <w:rPr>
          <w:sz w:val="24"/>
        </w:rPr>
        <w:t>piemērojams.</w:t>
      </w:r>
      <w:r>
        <w:rPr>
          <w:position w:val="9"/>
          <w:sz w:val="16"/>
        </w:rPr>
        <w:t>23</w:t>
      </w:r>
    </w:p>
    <w:p>
      <w:pPr>
        <w:pStyle w:val="BodyText"/>
        <w:spacing w:before="1"/>
        <w:jc w:val="left"/>
      </w:pPr>
    </w:p>
    <w:p>
      <w:pPr>
        <w:pStyle w:val="ListParagraph"/>
        <w:numPr>
          <w:ilvl w:val="0"/>
          <w:numId w:val="11"/>
        </w:numPr>
        <w:tabs>
          <w:tab w:pos="1340" w:val="left" w:leader="none"/>
        </w:tabs>
        <w:spacing w:line="240" w:lineRule="auto" w:before="1" w:after="0"/>
        <w:ind w:left="1340" w:right="403" w:hanging="360"/>
        <w:jc w:val="both"/>
        <w:rPr>
          <w:sz w:val="24"/>
        </w:rPr>
      </w:pPr>
      <w:r>
        <w:rPr>
          <w:sz w:val="24"/>
        </w:rPr>
        <w:t>Maksātnespējas procesa pieteikums noraidīts, jo netiek konstatēta Maksātnespējas likuma 129.panta pirmās daļas 1.punktā pazīme – personai </w:t>
      </w:r>
      <w:r>
        <w:rPr>
          <w:b/>
          <w:sz w:val="24"/>
        </w:rPr>
        <w:t>nav iespēju nokārtot parādsaistības</w:t>
      </w:r>
      <w:r>
        <w:rPr>
          <w:sz w:val="24"/>
        </w:rPr>
        <w:t>, kurām iestājies izpildes termiņš, un parādsaistības kopā pārsniedz Maksātnespējas likumā noteikto minimālo apmēru (respektīvi, tiesas ieskatā, parādnieks nevis nespēj, bet nevēlas pildīt</w:t>
      </w:r>
      <w:r>
        <w:rPr>
          <w:spacing w:val="4"/>
          <w:sz w:val="24"/>
        </w:rPr>
        <w:t> </w:t>
      </w:r>
      <w:r>
        <w:rPr>
          <w:sz w:val="24"/>
        </w:rPr>
        <w:t>saistības):</w:t>
      </w:r>
    </w:p>
    <w:p>
      <w:pPr>
        <w:pStyle w:val="ListParagraph"/>
        <w:numPr>
          <w:ilvl w:val="1"/>
          <w:numId w:val="11"/>
        </w:numPr>
        <w:tabs>
          <w:tab w:pos="1753" w:val="left" w:leader="none"/>
        </w:tabs>
        <w:spacing w:line="240" w:lineRule="auto" w:before="0" w:after="0"/>
        <w:ind w:left="1340" w:right="406" w:hanging="12"/>
        <w:jc w:val="both"/>
        <w:rPr>
          <w:sz w:val="24"/>
        </w:rPr>
      </w:pPr>
      <w:r>
        <w:rPr>
          <w:sz w:val="24"/>
          <w:u w:val="single"/>
        </w:rPr>
        <w:t>Pirmās instances tiesas spriedumos norādītie argumenti pazīmes nekonstatēšanai</w:t>
      </w:r>
      <w:r>
        <w:rPr>
          <w:sz w:val="24"/>
        </w:rPr>
        <w:t>:</w:t>
      </w:r>
    </w:p>
    <w:p>
      <w:pPr>
        <w:pStyle w:val="BodyText"/>
        <w:ind w:left="2321" w:right="401" w:hanging="569"/>
      </w:pPr>
      <w:r>
        <w:rPr/>
        <w:t>aa) Aizņemoties, pieteicējs apzinājās gan savu ienākumu dinamiku, gan apjomu, nav norādīti arī sevišķi apstākļi dēļ kuriem pieteicējam, būtiski palielinoties viņa ienākumiem, vēl būtu nepieciešams aizņemties naudas līdzekļus.</w:t>
      </w:r>
    </w:p>
    <w:p>
      <w:pPr>
        <w:pStyle w:val="BodyText"/>
        <w:ind w:left="2321" w:right="406" w:hanging="569"/>
      </w:pPr>
      <w:r>
        <w:rPr/>
        <w:t>bb) Pieteicējs saistības uzņēmās apzinoties savus ikmēneša ienākumus, tātad saprotot, ka spēs tās izpildīt.</w:t>
      </w:r>
    </w:p>
    <w:p>
      <w:pPr>
        <w:pStyle w:val="BodyText"/>
        <w:ind w:left="2321" w:right="403" w:hanging="569"/>
      </w:pPr>
      <w:r>
        <w:rPr/>
        <w:t>cc) Pieteikumam nav pievienoti pierādījumi, ka pieteicējs būtu sācis to atmaksu, būtu daļēji sedzis šos parādus, kas tiesas ieskatā neliecina par pieteicēja godprātīgu attieksmi pret uzņemtajām saistībām.</w:t>
      </w:r>
    </w:p>
    <w:p>
      <w:pPr>
        <w:pStyle w:val="BodyText"/>
        <w:ind w:left="2321" w:right="401" w:hanging="569"/>
      </w:pPr>
      <w:r>
        <w:rPr/>
        <w:t>dd) Pamatojoties uz minētajiem konstatētajiem faktiem par parādnieka ienākumiem, tiesai ir saprātīgas šaubas par to, ka pieteicējs būtu godprātīgs finansiālās grūtībās nonācis parādnieks, kura mantiskais stāvoklis liegs viņam izpildīt uzņemtās saistības. Šāda pieteicēja rīcība liecina par vēlmi izvairīties no savu saistību izpildes un tā neatbilst Maksātnespējas likuma 6.panta 8.punktā noteiktajam maksātnespējas procesa vispārējam labticības principam, kas nosaka, ka procesā iesaistītajām personām savas tiesības jāizmanto un pienākumi jāpilda labā ticībā.</w:t>
      </w:r>
    </w:p>
    <w:p>
      <w:pPr>
        <w:pStyle w:val="BodyText"/>
        <w:spacing w:before="6"/>
        <w:jc w:val="left"/>
        <w:rPr>
          <w:sz w:val="16"/>
        </w:rPr>
      </w:pPr>
      <w:r>
        <w:rPr/>
        <w:pict>
          <v:shape style="position:absolute;margin-left:90pt;margin-top:11.765508pt;width:144pt;height:.1pt;mso-position-horizontal-relative:page;mso-position-vertical-relative:paragraph;z-index:-251654144;mso-wrap-distance-left:0;mso-wrap-distance-right:0" coordorigin="1800,235" coordsize="2880,0" path="m1800,235l4680,235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20 </w:t>
      </w:r>
      <w:r>
        <w:rPr>
          <w:sz w:val="20"/>
        </w:rPr>
        <w:t>Jūrmalas pilsētas tiesas 2015.gada 28.oktobra nolēmums lietā Nr. C17155114</w:t>
      </w:r>
    </w:p>
    <w:p>
      <w:pPr>
        <w:spacing w:line="230" w:lineRule="exact" w:before="0"/>
        <w:ind w:left="620" w:right="0" w:firstLine="0"/>
        <w:jc w:val="left"/>
        <w:rPr>
          <w:sz w:val="20"/>
        </w:rPr>
      </w:pPr>
      <w:r>
        <w:rPr>
          <w:position w:val="7"/>
          <w:sz w:val="13"/>
        </w:rPr>
        <w:t>21 </w:t>
      </w:r>
      <w:r>
        <w:rPr>
          <w:sz w:val="20"/>
        </w:rPr>
        <w:t>Rīgas apgabaltiesas Civillietu tiesu kolēģijas 2015.gada 12.novembra nolēmums lietā Nr. C17123515</w:t>
      </w:r>
    </w:p>
    <w:p>
      <w:pPr>
        <w:spacing w:line="230" w:lineRule="exact" w:before="0"/>
        <w:ind w:left="620" w:right="0" w:firstLine="0"/>
        <w:jc w:val="left"/>
        <w:rPr>
          <w:sz w:val="20"/>
        </w:rPr>
      </w:pPr>
      <w:r>
        <w:rPr>
          <w:position w:val="7"/>
          <w:sz w:val="13"/>
        </w:rPr>
        <w:t>22 </w:t>
      </w:r>
      <w:r>
        <w:rPr>
          <w:sz w:val="20"/>
        </w:rPr>
        <w:t>Kuldīgas rajona tiesas 2018.gada 3.jūnija nolēmums lietā Nr. C19050715</w:t>
      </w:r>
    </w:p>
    <w:p>
      <w:pPr>
        <w:spacing w:line="233" w:lineRule="exact" w:before="0"/>
        <w:ind w:left="620" w:right="0" w:firstLine="0"/>
        <w:jc w:val="left"/>
        <w:rPr>
          <w:sz w:val="20"/>
        </w:rPr>
      </w:pPr>
      <w:r>
        <w:rPr>
          <w:position w:val="7"/>
          <w:sz w:val="13"/>
        </w:rPr>
        <w:t>23 </w:t>
      </w:r>
      <w:r>
        <w:rPr>
          <w:sz w:val="20"/>
        </w:rPr>
        <w:t>Jūrmalas pilsētas tiesas 2017.gada 27.decembra nolēmums lietā Nr. C33651717</w:t>
      </w:r>
    </w:p>
    <w:p>
      <w:pPr>
        <w:spacing w:after="0" w:line="233" w:lineRule="exact"/>
        <w:jc w:val="left"/>
        <w:rPr>
          <w:sz w:val="20"/>
        </w:rPr>
        <w:sectPr>
          <w:footerReference w:type="default" r:id="rId9"/>
          <w:footerReference w:type="even" r:id="rId10"/>
          <w:pgSz w:w="11910" w:h="16840"/>
          <w:pgMar w:footer="1055" w:header="0" w:top="1340" w:bottom="1240" w:left="1180" w:right="1040"/>
        </w:sectPr>
      </w:pPr>
    </w:p>
    <w:p>
      <w:pPr>
        <w:pStyle w:val="BodyText"/>
        <w:spacing w:before="73"/>
        <w:ind w:left="1961" w:right="765" w:hanging="569"/>
      </w:pPr>
      <w:r>
        <w:rPr/>
        <w:t>ee) pieteicēja rīcību tiesa vērtē kā par nevēlēšanos nokārtot savas parādsaistības, nevis kā pieteicēja nonākšanu finansiālās grūtībās objektīvu iemeslu dēļ.</w:t>
      </w:r>
    </w:p>
    <w:p>
      <w:pPr>
        <w:pStyle w:val="BodyText"/>
        <w:spacing w:line="237" w:lineRule="auto" w:before="3"/>
        <w:ind w:left="1961" w:right="762" w:hanging="569"/>
        <w:rPr>
          <w:sz w:val="16"/>
        </w:rPr>
      </w:pPr>
      <w:r>
        <w:rPr/>
        <w:t>ff) Fiziskās personas maksātnespējas procesa regulējums aizsargā kreditoru intereses, vienlaikus nodrošinot iespēju parādniekam atrisināt savu saistību izpildes problēmas, kurām ir ilglaicīgs raksturs un kuras nav radušās parādnieka vieglprātīgas attieksmes vai prettiesiskas rīcības dēļ. Bez tam fiziskās personas maksātnespējas procesa galvenais mērķis nevar būt tikai izvairīšanās no parāda saistību izpildes (sk. K. Ābelis. Fiziskās personas maksātnespējas procesa jaunais regulējums. “Jurista vārds” 14.09.2010., Nr.37, 25.lpp.) .</w:t>
      </w:r>
      <w:r>
        <w:rPr>
          <w:position w:val="9"/>
          <w:sz w:val="16"/>
        </w:rPr>
        <w:t>24</w:t>
      </w:r>
    </w:p>
    <w:p>
      <w:pPr>
        <w:pStyle w:val="BodyText"/>
        <w:spacing w:line="237" w:lineRule="auto" w:before="7"/>
        <w:ind w:left="1961" w:right="761" w:hanging="569"/>
        <w:rPr>
          <w:sz w:val="16"/>
        </w:rPr>
      </w:pPr>
      <w:r>
        <w:rPr/>
        <w:t>gg) Viens no mērķiem ieviešot ierobežojumus maksātnespējas procesa piemērošanai ir saglabāt līdzsvaru starp parādnieka atbrīvošanu no pārmērīgām saistībām un saistību kārtošanas disciplīnu civiltiesiskajā apgrozībā, lai stimulētu fiziskās personas saprātīgi uzņemties saistības, pārāk nepaļauties uz viegli pieejamu saistību dzēšanu finansiālo grūtību gadījumā (sk. Autoru kolektīvs prof. K.Torgāna zinātniskajā redakcijā, Civilprocesa likuma komentāri II daļa (29.-60.1 nodaļa), Rīga, Tiesu namu aģentūra, 2012, 508.lpp.). Tiesa secina, ka pieteicēja nevēlēšanās kārtot savas uzņemtās saistības nevar būt par tiesisku pamatu viņa atbrīvošanai no tām.</w:t>
      </w:r>
      <w:r>
        <w:rPr>
          <w:position w:val="9"/>
          <w:sz w:val="16"/>
        </w:rPr>
        <w:t>25</w:t>
      </w:r>
    </w:p>
    <w:p>
      <w:pPr>
        <w:pStyle w:val="BodyText"/>
        <w:spacing w:line="237" w:lineRule="auto" w:before="12"/>
        <w:ind w:left="1961" w:right="763" w:hanging="569"/>
        <w:rPr>
          <w:sz w:val="16"/>
        </w:rPr>
      </w:pPr>
      <w:r>
        <w:rPr/>
        <w:t>hh) Tā kā tiesai nav iesniegti pierādījumi pieteicēja ienākumiem tieši par  laika periodu no 2015.gada līdz 2018.gadam, kas būtu pamats konstatēt galveno maksātnespējas procesa pazīmi, tas ir nespēju nokārtot saistības objektīvu apstākļu dēļ, rada aizdomas, ka parādnieks, iespējams, maksātnespējas procesu vēlējās izmantot</w:t>
      </w:r>
      <w:r>
        <w:rPr>
          <w:spacing w:val="1"/>
        </w:rPr>
        <w:t> </w:t>
      </w:r>
      <w:r>
        <w:rPr/>
        <w:t>negodprātīgi.</w:t>
      </w:r>
      <w:r>
        <w:rPr>
          <w:position w:val="9"/>
          <w:sz w:val="16"/>
        </w:rPr>
        <w:t>26</w:t>
      </w:r>
    </w:p>
    <w:p>
      <w:pPr>
        <w:pStyle w:val="BodyText"/>
        <w:spacing w:line="237" w:lineRule="auto"/>
        <w:ind w:left="1961" w:right="762" w:hanging="569"/>
        <w:rPr>
          <w:sz w:val="16"/>
        </w:rPr>
      </w:pPr>
      <w:r>
        <w:rPr/>
        <w:t>ii) Ja pieteicējs pieteikumā norāda, ka viņam ir finansiālas grūtības, jo nerealizējās biznesa idejas sakarā ar to, ka Krievijā ir nestabila ekonomiskā situācija, tad tiesa atzīst, ka šie argumenti ir vispārīgi un deklaratīvi, līdz ar ko, tā secina, ka pieteicējs pats, pasliktinājis savu materiālo stāvokli, noslēgdams 8 aizdevuma līgumus dažu dienu laikā.</w:t>
      </w:r>
      <w:r>
        <w:rPr>
          <w:position w:val="9"/>
          <w:sz w:val="16"/>
        </w:rPr>
        <w:t>27</w:t>
      </w:r>
    </w:p>
    <w:p>
      <w:pPr>
        <w:spacing w:line="237" w:lineRule="auto" w:before="0"/>
        <w:ind w:left="1961" w:right="762" w:hanging="569"/>
        <w:jc w:val="both"/>
        <w:rPr>
          <w:sz w:val="24"/>
        </w:rPr>
      </w:pPr>
      <w:r>
        <w:rPr>
          <w:sz w:val="24"/>
        </w:rPr>
        <w:t>jj) Tiesas ieskatā par cēloni nespējai izpildīt saistības pret kreditoriem nevar atzīst prasītāja norādītos ģimenes apstākļus – sievas uzturēšanu un bērna piedzimšanu. Šādi apstākļi prasa papildus līdzekļus un palielina izdevumus,</w:t>
      </w:r>
      <w:r>
        <w:rPr>
          <w:spacing w:val="-6"/>
          <w:sz w:val="24"/>
        </w:rPr>
        <w:t> </w:t>
      </w:r>
      <w:r>
        <w:rPr>
          <w:sz w:val="24"/>
        </w:rPr>
        <w:t>bet</w:t>
      </w:r>
      <w:r>
        <w:rPr>
          <w:spacing w:val="-6"/>
          <w:sz w:val="24"/>
        </w:rPr>
        <w:t> </w:t>
      </w:r>
      <w:r>
        <w:rPr>
          <w:sz w:val="24"/>
        </w:rPr>
        <w:t>nekādā</w:t>
      </w:r>
      <w:r>
        <w:rPr>
          <w:spacing w:val="-5"/>
          <w:sz w:val="24"/>
        </w:rPr>
        <w:t> </w:t>
      </w:r>
      <w:r>
        <w:rPr>
          <w:sz w:val="24"/>
        </w:rPr>
        <w:t>veidā</w:t>
      </w:r>
      <w:r>
        <w:rPr>
          <w:spacing w:val="-6"/>
          <w:sz w:val="24"/>
        </w:rPr>
        <w:t> </w:t>
      </w:r>
      <w:r>
        <w:rPr>
          <w:sz w:val="24"/>
        </w:rPr>
        <w:t>nav</w:t>
      </w:r>
      <w:r>
        <w:rPr>
          <w:spacing w:val="-6"/>
          <w:sz w:val="24"/>
        </w:rPr>
        <w:t> </w:t>
      </w:r>
      <w:r>
        <w:rPr>
          <w:sz w:val="24"/>
        </w:rPr>
        <w:t>ietekmējuši</w:t>
      </w:r>
      <w:r>
        <w:rPr>
          <w:spacing w:val="-5"/>
          <w:sz w:val="24"/>
        </w:rPr>
        <w:t> </w:t>
      </w:r>
      <w:r>
        <w:rPr>
          <w:sz w:val="24"/>
        </w:rPr>
        <w:t>parādnieka</w:t>
      </w:r>
      <w:r>
        <w:rPr>
          <w:spacing w:val="-6"/>
          <w:sz w:val="24"/>
        </w:rPr>
        <w:t> </w:t>
      </w:r>
      <w:r>
        <w:rPr>
          <w:sz w:val="24"/>
        </w:rPr>
        <w:t>ienākumus,</w:t>
      </w:r>
      <w:r>
        <w:rPr>
          <w:spacing w:val="-5"/>
          <w:sz w:val="24"/>
        </w:rPr>
        <w:t> </w:t>
      </w:r>
      <w:r>
        <w:rPr>
          <w:sz w:val="24"/>
        </w:rPr>
        <w:t>kas iepriekš norādītajā periodā ir tikai palielinājušies</w:t>
      </w:r>
      <w:r>
        <w:rPr>
          <w:position w:val="9"/>
          <w:sz w:val="16"/>
        </w:rPr>
        <w:t>28 </w:t>
      </w:r>
      <w:r>
        <w:rPr>
          <w:sz w:val="24"/>
        </w:rPr>
        <w:t>(</w:t>
      </w:r>
      <w:r>
        <w:rPr>
          <w:i/>
          <w:sz w:val="24"/>
        </w:rPr>
        <w:t>ar </w:t>
      </w:r>
      <w:r>
        <w:rPr>
          <w:i/>
          <w:spacing w:val="-3"/>
          <w:sz w:val="24"/>
        </w:rPr>
        <w:t>apelācijas </w:t>
      </w:r>
      <w:r>
        <w:rPr>
          <w:i/>
          <w:sz w:val="24"/>
        </w:rPr>
        <w:t>instances spriedumu pieteicēja maksātnespējas process pasludināts, apelācijas instances tiesas spriedumā iekļauos argumentus skatīt pētījuma 1.2. sadaļas 3.punkta b apakšpunkta aa un bb</w:t>
      </w:r>
      <w:r>
        <w:rPr>
          <w:i/>
          <w:spacing w:val="-2"/>
          <w:sz w:val="24"/>
        </w:rPr>
        <w:t> </w:t>
      </w:r>
      <w:r>
        <w:rPr>
          <w:i/>
          <w:sz w:val="24"/>
        </w:rPr>
        <w:t>apakšpunktos)</w:t>
      </w:r>
      <w:r>
        <w:rPr>
          <w:sz w:val="24"/>
        </w:rPr>
        <w:t>.</w:t>
      </w:r>
    </w:p>
    <w:p>
      <w:pPr>
        <w:pStyle w:val="BodyText"/>
        <w:spacing w:before="2"/>
        <w:ind w:left="1961" w:right="762" w:hanging="569"/>
      </w:pPr>
      <w:r>
        <w:rPr/>
        <w:t>kk) Tiesa secina, ka aizņemoties, parādnieks apzinājās gan savu ienākumu, gan aizņēmumu apjomu, un, aizņemoties jau vismaz pēdējos četrus piecus kredītus, apzinājās, ka nevarēs nolīgtās saistības izpildīt, tādējādi apzināti</w:t>
      </w:r>
      <w:r>
        <w:rPr>
          <w:spacing w:val="-7"/>
        </w:rPr>
        <w:t> </w:t>
      </w:r>
      <w:r>
        <w:rPr/>
        <w:t>pašam</w:t>
      </w:r>
      <w:r>
        <w:rPr>
          <w:spacing w:val="-10"/>
        </w:rPr>
        <w:t> </w:t>
      </w:r>
      <w:r>
        <w:rPr/>
        <w:t>sevi</w:t>
      </w:r>
      <w:r>
        <w:rPr>
          <w:spacing w:val="-9"/>
        </w:rPr>
        <w:t> </w:t>
      </w:r>
      <w:r>
        <w:rPr/>
        <w:t>novedot</w:t>
      </w:r>
      <w:r>
        <w:rPr>
          <w:spacing w:val="-9"/>
        </w:rPr>
        <w:t> </w:t>
      </w:r>
      <w:r>
        <w:rPr/>
        <w:t>līdz</w:t>
      </w:r>
      <w:r>
        <w:rPr>
          <w:spacing w:val="-8"/>
        </w:rPr>
        <w:t> </w:t>
      </w:r>
      <w:r>
        <w:rPr/>
        <w:t>situācijai,</w:t>
      </w:r>
      <w:r>
        <w:rPr>
          <w:spacing w:val="-9"/>
        </w:rPr>
        <w:t> </w:t>
      </w:r>
      <w:r>
        <w:rPr/>
        <w:t>kad</w:t>
      </w:r>
      <w:r>
        <w:rPr>
          <w:spacing w:val="-10"/>
        </w:rPr>
        <w:t> </w:t>
      </w:r>
      <w:r>
        <w:rPr/>
        <w:t>vienīgais</w:t>
      </w:r>
      <w:r>
        <w:rPr>
          <w:spacing w:val="-6"/>
        </w:rPr>
        <w:t> </w:t>
      </w:r>
      <w:r>
        <w:rPr/>
        <w:t>risinājums</w:t>
      </w:r>
      <w:r>
        <w:rPr>
          <w:spacing w:val="-10"/>
        </w:rPr>
        <w:t> </w:t>
      </w:r>
      <w:r>
        <w:rPr/>
        <w:t>šķiet lielākās daļas saistību dzēšana, izmantojot maksātnespējas procedūru. Pamatojoties</w:t>
      </w:r>
      <w:r>
        <w:rPr>
          <w:spacing w:val="25"/>
        </w:rPr>
        <w:t> </w:t>
      </w:r>
      <w:r>
        <w:rPr/>
        <w:t>uz</w:t>
      </w:r>
      <w:r>
        <w:rPr>
          <w:spacing w:val="26"/>
        </w:rPr>
        <w:t> </w:t>
      </w:r>
      <w:r>
        <w:rPr/>
        <w:t>minētajiem</w:t>
      </w:r>
      <w:r>
        <w:rPr>
          <w:spacing w:val="23"/>
        </w:rPr>
        <w:t> </w:t>
      </w:r>
      <w:r>
        <w:rPr/>
        <w:t>konstatētajiem</w:t>
      </w:r>
      <w:r>
        <w:rPr>
          <w:spacing w:val="26"/>
        </w:rPr>
        <w:t> </w:t>
      </w:r>
      <w:r>
        <w:rPr/>
        <w:t>faktiem,</w:t>
      </w:r>
      <w:r>
        <w:rPr>
          <w:spacing w:val="25"/>
        </w:rPr>
        <w:t> </w:t>
      </w:r>
      <w:r>
        <w:rPr/>
        <w:t>tiesai</w:t>
      </w:r>
      <w:r>
        <w:rPr>
          <w:spacing w:val="25"/>
        </w:rPr>
        <w:t> </w:t>
      </w:r>
      <w:r>
        <w:rPr/>
        <w:t>ir</w:t>
      </w:r>
      <w:r>
        <w:rPr>
          <w:spacing w:val="26"/>
        </w:rPr>
        <w:t> </w:t>
      </w:r>
      <w:r>
        <w:rPr/>
        <w:t>saprātīgas</w:t>
      </w:r>
    </w:p>
    <w:p>
      <w:pPr>
        <w:pStyle w:val="BodyText"/>
        <w:spacing w:before="8"/>
        <w:jc w:val="left"/>
        <w:rPr>
          <w:sz w:val="20"/>
        </w:rPr>
      </w:pPr>
      <w:r>
        <w:rPr/>
        <w:pict>
          <v:shape style="position:absolute;margin-left:72pt;margin-top:14.162148pt;width:144pt;height:.1pt;mso-position-horizontal-relative:page;mso-position-vertical-relative:paragraph;z-index:-251651072;mso-wrap-distance-left:0;mso-wrap-distance-right:0" coordorigin="1440,283" coordsize="2880,0" path="m1440,283l4320,283e" filled="false" stroked="true" strokeweight=".599991pt" strokecolor="#000000">
            <v:path arrowok="t"/>
            <v:stroke dashstyle="solid"/>
            <w10:wrap type="topAndBottom"/>
          </v:shape>
        </w:pict>
      </w:r>
    </w:p>
    <w:p>
      <w:pPr>
        <w:spacing w:line="231" w:lineRule="exact" w:before="70"/>
        <w:ind w:left="260" w:right="0" w:firstLine="0"/>
        <w:jc w:val="left"/>
        <w:rPr>
          <w:sz w:val="20"/>
        </w:rPr>
      </w:pPr>
      <w:r>
        <w:rPr>
          <w:position w:val="7"/>
          <w:sz w:val="13"/>
        </w:rPr>
        <w:t>24  </w:t>
      </w:r>
      <w:r>
        <w:rPr>
          <w:sz w:val="20"/>
        </w:rPr>
        <w:t>Saldus rajona tiesas 2018.gada 12.janvāra nolēmums lietā Nr.</w:t>
      </w:r>
      <w:r>
        <w:rPr>
          <w:spacing w:val="-28"/>
          <w:sz w:val="20"/>
        </w:rPr>
        <w:t> </w:t>
      </w:r>
      <w:r>
        <w:rPr>
          <w:sz w:val="20"/>
        </w:rPr>
        <w:t>C34022218</w:t>
      </w:r>
    </w:p>
    <w:p>
      <w:pPr>
        <w:spacing w:line="229" w:lineRule="exact" w:before="0"/>
        <w:ind w:left="260" w:right="0" w:firstLine="0"/>
        <w:jc w:val="left"/>
        <w:rPr>
          <w:sz w:val="20"/>
        </w:rPr>
      </w:pPr>
      <w:r>
        <w:rPr>
          <w:position w:val="7"/>
          <w:sz w:val="13"/>
        </w:rPr>
        <w:t>25  </w:t>
      </w:r>
      <w:r>
        <w:rPr>
          <w:sz w:val="20"/>
        </w:rPr>
        <w:t>Saldus rajona tiesas 2018.gada 12.janvāra nolēmums lietā Nr.</w:t>
      </w:r>
      <w:r>
        <w:rPr>
          <w:spacing w:val="-28"/>
          <w:sz w:val="20"/>
        </w:rPr>
        <w:t> </w:t>
      </w:r>
      <w:r>
        <w:rPr>
          <w:sz w:val="20"/>
        </w:rPr>
        <w:t>C34022218</w:t>
      </w:r>
    </w:p>
    <w:p>
      <w:pPr>
        <w:spacing w:line="230" w:lineRule="exact" w:before="0"/>
        <w:ind w:left="260" w:right="0" w:firstLine="0"/>
        <w:jc w:val="left"/>
        <w:rPr>
          <w:sz w:val="20"/>
        </w:rPr>
      </w:pPr>
      <w:r>
        <w:rPr>
          <w:position w:val="7"/>
          <w:sz w:val="13"/>
        </w:rPr>
        <w:t>26 </w:t>
      </w:r>
      <w:r>
        <w:rPr>
          <w:sz w:val="20"/>
        </w:rPr>
        <w:t>Zemgales rajona tiesas 2018.gada 20.septembra nolēmums lietā Nr. C-4461-18/27</w:t>
      </w:r>
    </w:p>
    <w:p>
      <w:pPr>
        <w:spacing w:line="230" w:lineRule="exact" w:before="0"/>
        <w:ind w:left="260" w:right="0" w:firstLine="0"/>
        <w:jc w:val="left"/>
        <w:rPr>
          <w:sz w:val="20"/>
        </w:rPr>
      </w:pPr>
      <w:r>
        <w:rPr>
          <w:position w:val="7"/>
          <w:sz w:val="13"/>
        </w:rPr>
        <w:t>27 </w:t>
      </w:r>
      <w:r>
        <w:rPr>
          <w:sz w:val="20"/>
        </w:rPr>
        <w:t>Rīgas pilsētas Latgales priekšpilsētas tiesas 2016.gada 27.jūnija nolēmums lietā Nr. C29510916</w:t>
      </w:r>
    </w:p>
    <w:p>
      <w:pPr>
        <w:spacing w:line="233" w:lineRule="exact" w:before="0"/>
        <w:ind w:left="260" w:right="0" w:firstLine="0"/>
        <w:jc w:val="left"/>
        <w:rPr>
          <w:sz w:val="20"/>
        </w:rPr>
      </w:pPr>
      <w:r>
        <w:rPr>
          <w:position w:val="7"/>
          <w:sz w:val="13"/>
        </w:rPr>
        <w:t>28 </w:t>
      </w:r>
      <w:r>
        <w:rPr>
          <w:sz w:val="20"/>
        </w:rPr>
        <w:t>Cēsu rajona tiesas 2018.gada 10.jūlija nolēmums lietā Nr. C71207218</w:t>
      </w:r>
    </w:p>
    <w:p>
      <w:pPr>
        <w:spacing w:after="0" w:line="233" w:lineRule="exact"/>
        <w:jc w:val="left"/>
        <w:rPr>
          <w:sz w:val="20"/>
        </w:rPr>
        <w:sectPr>
          <w:pgSz w:w="11910" w:h="16840"/>
          <w:pgMar w:header="0" w:footer="1055" w:top="1340" w:bottom="1240" w:left="1180" w:right="1040"/>
        </w:sectPr>
      </w:pPr>
    </w:p>
    <w:p>
      <w:pPr>
        <w:spacing w:line="237" w:lineRule="auto" w:before="75"/>
        <w:ind w:left="2321" w:right="403" w:firstLine="0"/>
        <w:jc w:val="both"/>
        <w:rPr>
          <w:sz w:val="24"/>
        </w:rPr>
      </w:pPr>
      <w:r>
        <w:rPr>
          <w:sz w:val="24"/>
        </w:rPr>
        <w:t>šaubas par to, ka parādnieks būtu godprātīgs finansiālās grūtībās</w:t>
      </w:r>
      <w:r>
        <w:rPr>
          <w:spacing w:val="-25"/>
          <w:sz w:val="24"/>
        </w:rPr>
        <w:t> </w:t>
      </w:r>
      <w:r>
        <w:rPr>
          <w:sz w:val="24"/>
        </w:rPr>
        <w:t>nonācis parādnieks, kura mantiskais stāvoklis liedz viņam izpildīt uzņemtās saistības</w:t>
      </w:r>
      <w:r>
        <w:rPr>
          <w:position w:val="9"/>
          <w:sz w:val="16"/>
        </w:rPr>
        <w:t>29 </w:t>
      </w:r>
      <w:r>
        <w:rPr>
          <w:sz w:val="24"/>
        </w:rPr>
        <w:t>(</w:t>
      </w:r>
      <w:r>
        <w:rPr>
          <w:i/>
          <w:sz w:val="24"/>
        </w:rPr>
        <w:t>ar apelācijas instances spriedumu pieteicēja maksātnespējas </w:t>
      </w:r>
      <w:r>
        <w:rPr>
          <w:i/>
          <w:sz w:val="24"/>
        </w:rPr>
        <w:t>process pasludināts, apelācijas instances tiesas spriedumā iekļauos argumentus skatīt pētījuma 1.2. sadaļas 3.punkta b apakšpunkta aa un bb</w:t>
      </w:r>
      <w:r>
        <w:rPr>
          <w:i/>
          <w:spacing w:val="-1"/>
          <w:sz w:val="24"/>
        </w:rPr>
        <w:t> </w:t>
      </w:r>
      <w:r>
        <w:rPr>
          <w:i/>
          <w:sz w:val="24"/>
        </w:rPr>
        <w:t>apakšpunktos)</w:t>
      </w:r>
      <w:r>
        <w:rPr>
          <w:sz w:val="24"/>
        </w:rPr>
        <w:t>.</w:t>
      </w:r>
    </w:p>
    <w:p>
      <w:pPr>
        <w:spacing w:line="237" w:lineRule="auto" w:before="2"/>
        <w:ind w:left="2321" w:right="402" w:hanging="569"/>
        <w:jc w:val="both"/>
        <w:rPr>
          <w:sz w:val="24"/>
        </w:rPr>
      </w:pPr>
      <w:r>
        <w:rPr>
          <w:sz w:val="24"/>
        </w:rPr>
        <w:t>ll) Tiesa secina, ka konkrētajā gadījumā parādnieka apzināti negodprātīgā pārmērīgu saistību uzņemšanās un nevēlēšanās kārtot savas uzņemtās saistības nevar būt par tiesisku pamatu viņa atbrīvošanai no tām </w:t>
      </w:r>
      <w:r>
        <w:rPr>
          <w:position w:val="9"/>
          <w:sz w:val="16"/>
        </w:rPr>
        <w:t>30 </w:t>
      </w:r>
      <w:r>
        <w:rPr>
          <w:sz w:val="24"/>
        </w:rPr>
        <w:t>(</w:t>
      </w:r>
      <w:r>
        <w:rPr>
          <w:i/>
          <w:sz w:val="24"/>
        </w:rPr>
        <w:t>ar </w:t>
      </w:r>
      <w:r>
        <w:rPr>
          <w:i/>
          <w:sz w:val="24"/>
        </w:rPr>
        <w:t>apelācijas instances spriedumu pieteicēja maksātnespējas process pasludināts, apelācijas instances tiesas spriedumā iekļauos argumentus skatīt pētījuma 1.2. sadaļas 3.punkta b apakšpunkta aa un bb apakšpunktos)</w:t>
      </w:r>
      <w:r>
        <w:rPr>
          <w:sz w:val="24"/>
        </w:rPr>
        <w:t>.</w:t>
      </w:r>
    </w:p>
    <w:p>
      <w:pPr>
        <w:pStyle w:val="BodyText"/>
        <w:spacing w:before="2"/>
        <w:ind w:left="2321" w:right="400" w:hanging="569"/>
      </w:pPr>
      <w:r>
        <w:rPr/>
        <w:t>mm) Par iemeslu parādnieka finansiālajām grūtībām ir paša parādnieka negodprātīga rīcība, jo, aizņemoties naudu no kreditoriem, parādnieks zināja</w:t>
      </w:r>
      <w:r>
        <w:rPr>
          <w:spacing w:val="-11"/>
        </w:rPr>
        <w:t> </w:t>
      </w:r>
      <w:r>
        <w:rPr/>
        <w:t>gan</w:t>
      </w:r>
      <w:r>
        <w:rPr>
          <w:spacing w:val="-13"/>
        </w:rPr>
        <w:t> </w:t>
      </w:r>
      <w:r>
        <w:rPr/>
        <w:t>savu</w:t>
      </w:r>
      <w:r>
        <w:rPr>
          <w:spacing w:val="-10"/>
        </w:rPr>
        <w:t> </w:t>
      </w:r>
      <w:r>
        <w:rPr/>
        <w:t>ienākumu,</w:t>
      </w:r>
      <w:r>
        <w:rPr>
          <w:spacing w:val="-11"/>
        </w:rPr>
        <w:t> </w:t>
      </w:r>
      <w:r>
        <w:rPr/>
        <w:t>gan</w:t>
      </w:r>
      <w:r>
        <w:rPr>
          <w:spacing w:val="-12"/>
        </w:rPr>
        <w:t> </w:t>
      </w:r>
      <w:r>
        <w:rPr/>
        <w:t>aizņēmumu</w:t>
      </w:r>
      <w:r>
        <w:rPr>
          <w:spacing w:val="-11"/>
        </w:rPr>
        <w:t> </w:t>
      </w:r>
      <w:r>
        <w:rPr/>
        <w:t>apjomu,</w:t>
      </w:r>
      <w:r>
        <w:rPr>
          <w:spacing w:val="-10"/>
        </w:rPr>
        <w:t> </w:t>
      </w:r>
      <w:r>
        <w:rPr/>
        <w:t>un,</w:t>
      </w:r>
      <w:r>
        <w:rPr>
          <w:spacing w:val="-11"/>
        </w:rPr>
        <w:t> </w:t>
      </w:r>
      <w:r>
        <w:rPr/>
        <w:t>nemitīgi</w:t>
      </w:r>
      <w:r>
        <w:rPr>
          <w:spacing w:val="-10"/>
        </w:rPr>
        <w:t> </w:t>
      </w:r>
      <w:r>
        <w:rPr/>
        <w:t>saņemot aizvien jaunus aizdevumus, viņam vajadzēja apzināties, ka nevarēs nolīgtās saistības izpildīt, tādējādi apzināti pašam sevi novedot līdz situācijai, kad vienīgais risinājums parādniekam šķiet saistību dzēšana, izmantojot maksātnespējas</w:t>
      </w:r>
      <w:r>
        <w:rPr>
          <w:spacing w:val="-2"/>
        </w:rPr>
        <w:t> </w:t>
      </w:r>
      <w:r>
        <w:rPr/>
        <w:t>procedūru.</w:t>
      </w:r>
    </w:p>
    <w:p>
      <w:pPr>
        <w:spacing w:line="240" w:lineRule="auto" w:before="0"/>
        <w:ind w:left="2321" w:right="402" w:hanging="569"/>
        <w:jc w:val="both"/>
        <w:rPr>
          <w:sz w:val="24"/>
        </w:rPr>
      </w:pPr>
      <w:r>
        <w:rPr>
          <w:sz w:val="24"/>
        </w:rPr>
        <w:t>nn) Apzinoties, ka minētā panta noteikumi neizslēdz bankrota procedūras piemērošanu parādniekam, tiesa tomēr uzskata, ka pie tik acīmredzamiem apstākļiem lietā, ko atzīst pats parādnieks, un kas liedz piemērot saistību dzēšanas procedūru, tiesai jau sākotnēji ir jāvadās arī no taisnīguma principa un procesuālās ekonomijas un efektivitātes principa un jānoraida parādnieka pieteikums par maksātnespējas</w:t>
      </w:r>
      <w:r>
        <w:rPr>
          <w:spacing w:val="-31"/>
          <w:sz w:val="24"/>
        </w:rPr>
        <w:t> </w:t>
      </w:r>
      <w:r>
        <w:rPr>
          <w:sz w:val="24"/>
        </w:rPr>
        <w:t>procesa pasludināšanu, izbeidzot maksātnespējas procesa lietu, jo konkrētajā gadījumā jau sākotnēji ir secināms, ka parādniekam šis process nevar beigties ar saistību dzēšanas procedūras piemērošanu un saistību dzēšanu</w:t>
      </w:r>
      <w:r>
        <w:rPr>
          <w:position w:val="9"/>
          <w:sz w:val="16"/>
        </w:rPr>
        <w:t>31 </w:t>
      </w:r>
      <w:r>
        <w:rPr>
          <w:sz w:val="24"/>
        </w:rPr>
        <w:t>(</w:t>
      </w:r>
      <w:r>
        <w:rPr>
          <w:i/>
          <w:sz w:val="24"/>
        </w:rPr>
        <w:t>ar apelācijas instances spriedumu pieteicēja maksātnespējas </w:t>
      </w:r>
      <w:r>
        <w:rPr>
          <w:i/>
          <w:sz w:val="24"/>
        </w:rPr>
        <w:t>process pasludināts, apelācijas instances tiesas spriedumā iekļauos argumentus skatīt pētījuma 1.2. sadaļas 3.punkta b apakšpunkta aa un bb</w:t>
      </w:r>
      <w:r>
        <w:rPr>
          <w:i/>
          <w:spacing w:val="-1"/>
          <w:sz w:val="24"/>
        </w:rPr>
        <w:t> </w:t>
      </w:r>
      <w:r>
        <w:rPr>
          <w:i/>
          <w:sz w:val="24"/>
        </w:rPr>
        <w:t>apakšpunktos)</w:t>
      </w:r>
      <w:r>
        <w:rPr>
          <w:sz w:val="24"/>
        </w:rPr>
        <w:t>.</w:t>
      </w:r>
    </w:p>
    <w:p>
      <w:pPr>
        <w:pStyle w:val="BodyText"/>
        <w:spacing w:line="261" w:lineRule="exact"/>
        <w:ind w:left="1752"/>
      </w:pPr>
      <w:r>
        <w:rPr/>
        <w:t>oo) Parādnieks, noslēdzot trešo aizdevuma līgumu otra auto iegādei pats sevi</w:t>
      </w:r>
    </w:p>
    <w:p>
      <w:pPr>
        <w:spacing w:line="237" w:lineRule="auto" w:before="2"/>
        <w:ind w:left="2321" w:right="402" w:firstLine="0"/>
        <w:jc w:val="both"/>
        <w:rPr>
          <w:sz w:val="24"/>
        </w:rPr>
      </w:pPr>
      <w:r>
        <w:rPr>
          <w:sz w:val="24"/>
        </w:rPr>
        <w:t>noveda</w:t>
      </w:r>
      <w:r>
        <w:rPr>
          <w:spacing w:val="-16"/>
          <w:sz w:val="24"/>
        </w:rPr>
        <w:t> </w:t>
      </w:r>
      <w:r>
        <w:rPr>
          <w:sz w:val="24"/>
        </w:rPr>
        <w:t>līdz</w:t>
      </w:r>
      <w:r>
        <w:rPr>
          <w:spacing w:val="-12"/>
          <w:sz w:val="24"/>
        </w:rPr>
        <w:t> </w:t>
      </w:r>
      <w:r>
        <w:rPr>
          <w:sz w:val="24"/>
        </w:rPr>
        <w:t>maksātnespējas</w:t>
      </w:r>
      <w:r>
        <w:rPr>
          <w:spacing w:val="-12"/>
          <w:sz w:val="24"/>
        </w:rPr>
        <w:t> </w:t>
      </w:r>
      <w:r>
        <w:rPr>
          <w:sz w:val="24"/>
        </w:rPr>
        <w:t>situācijai,</w:t>
      </w:r>
      <w:r>
        <w:rPr>
          <w:spacing w:val="-13"/>
          <w:sz w:val="24"/>
        </w:rPr>
        <w:t> </w:t>
      </w:r>
      <w:r>
        <w:rPr>
          <w:sz w:val="24"/>
        </w:rPr>
        <w:t>kam</w:t>
      </w:r>
      <w:r>
        <w:rPr>
          <w:spacing w:val="-13"/>
          <w:sz w:val="24"/>
        </w:rPr>
        <w:t> </w:t>
      </w:r>
      <w:r>
        <w:rPr>
          <w:sz w:val="24"/>
        </w:rPr>
        <w:t>sekoja</w:t>
      </w:r>
      <w:r>
        <w:rPr>
          <w:spacing w:val="-12"/>
          <w:sz w:val="24"/>
        </w:rPr>
        <w:t> </w:t>
      </w:r>
      <w:r>
        <w:rPr>
          <w:sz w:val="24"/>
        </w:rPr>
        <w:t>turpmāka</w:t>
      </w:r>
      <w:r>
        <w:rPr>
          <w:spacing w:val="-10"/>
          <w:sz w:val="24"/>
        </w:rPr>
        <w:t> </w:t>
      </w:r>
      <w:r>
        <w:rPr>
          <w:sz w:val="24"/>
        </w:rPr>
        <w:t>aizņemšanās pie „ātro kredītu” izsniedzējiem ar īsiem kredītu atdošanas termiņiem, tādējādi neatgriezeniski pasliktinot savu maksātspējas situāciju </w:t>
      </w:r>
      <w:r>
        <w:rPr>
          <w:position w:val="9"/>
          <w:sz w:val="16"/>
        </w:rPr>
        <w:t>32 </w:t>
      </w:r>
      <w:r>
        <w:rPr>
          <w:i/>
          <w:sz w:val="24"/>
        </w:rPr>
        <w:t>(ar </w:t>
      </w:r>
      <w:r>
        <w:rPr>
          <w:i/>
          <w:sz w:val="24"/>
        </w:rPr>
        <w:t>apelācijas instances spriedumu pieteicēja maksātnespējas process pasludināts, apelācijas instances tiesas spriedumā iekļauos argumentus skatīt pētījuma 1.2. sadaļas 3.punkta b apakšpunkta aa un </w:t>
      </w:r>
      <w:r>
        <w:rPr>
          <w:i/>
          <w:spacing w:val="-8"/>
          <w:sz w:val="24"/>
        </w:rPr>
        <w:t>bb </w:t>
      </w:r>
      <w:r>
        <w:rPr>
          <w:i/>
          <w:sz w:val="24"/>
        </w:rPr>
        <w:t>apakšpunktos)</w:t>
      </w:r>
      <w:r>
        <w:rPr>
          <w:sz w:val="24"/>
        </w:rPr>
        <w:t>.</w:t>
      </w:r>
    </w:p>
    <w:p>
      <w:pPr>
        <w:pStyle w:val="ListParagraph"/>
        <w:numPr>
          <w:ilvl w:val="1"/>
          <w:numId w:val="11"/>
        </w:numPr>
        <w:tabs>
          <w:tab w:pos="1340" w:val="left" w:leader="none"/>
        </w:tabs>
        <w:spacing w:line="240" w:lineRule="auto" w:before="2" w:after="0"/>
        <w:ind w:left="1752" w:right="403" w:hanging="773"/>
        <w:jc w:val="both"/>
        <w:rPr>
          <w:sz w:val="24"/>
        </w:rPr>
      </w:pPr>
      <w:r>
        <w:rPr>
          <w:sz w:val="24"/>
          <w:u w:val="single"/>
        </w:rPr>
        <w:t>Apelācijas instances tiesu spriedumos norādītie argumenti pazīmes konstatēšanai</w:t>
      </w:r>
      <w:r>
        <w:rPr>
          <w:sz w:val="24"/>
        </w:rPr>
        <w:t>: aa) Civillietu tiesas kolēģija atzīst, ka izvērtējot pieteikumu par</w:t>
      </w:r>
      <w:r>
        <w:rPr>
          <w:spacing w:val="-4"/>
          <w:sz w:val="24"/>
        </w:rPr>
        <w:t> </w:t>
      </w:r>
      <w:r>
        <w:rPr>
          <w:sz w:val="24"/>
        </w:rPr>
        <w:t>fiziskās</w:t>
      </w:r>
    </w:p>
    <w:p>
      <w:pPr>
        <w:pStyle w:val="BodyText"/>
        <w:ind w:left="2321" w:right="403"/>
      </w:pPr>
      <w:r>
        <w:rPr/>
        <w:t>personas maksātnespējas procesa pasludināšanu, tiesai jānoskaidro, vai persona ir maksātnespējas subjekts un jāpārbauda, vai saskaņā ar lietā esošajiem</w:t>
      </w:r>
      <w:r>
        <w:rPr>
          <w:spacing w:val="-10"/>
        </w:rPr>
        <w:t> </w:t>
      </w:r>
      <w:r>
        <w:rPr/>
        <w:t>pierādījumiem</w:t>
      </w:r>
      <w:r>
        <w:rPr>
          <w:spacing w:val="-10"/>
        </w:rPr>
        <w:t> </w:t>
      </w:r>
      <w:r>
        <w:rPr/>
        <w:t>pastāv</w:t>
      </w:r>
      <w:r>
        <w:rPr>
          <w:spacing w:val="-10"/>
        </w:rPr>
        <w:t> </w:t>
      </w:r>
      <w:r>
        <w:rPr/>
        <w:t>maksātnespējas</w:t>
      </w:r>
      <w:r>
        <w:rPr>
          <w:spacing w:val="-10"/>
        </w:rPr>
        <w:t> </w:t>
      </w:r>
      <w:r>
        <w:rPr/>
        <w:t>procesa</w:t>
      </w:r>
      <w:r>
        <w:rPr>
          <w:spacing w:val="-10"/>
        </w:rPr>
        <w:t> </w:t>
      </w:r>
      <w:r>
        <w:rPr/>
        <w:t>pazīme.</w:t>
      </w:r>
      <w:r>
        <w:rPr>
          <w:spacing w:val="-10"/>
        </w:rPr>
        <w:t> </w:t>
      </w:r>
      <w:r>
        <w:rPr/>
        <w:t>Turklāt</w:t>
      </w:r>
    </w:p>
    <w:p>
      <w:pPr>
        <w:pStyle w:val="BodyText"/>
        <w:spacing w:before="5"/>
        <w:jc w:val="left"/>
        <w:rPr>
          <w:sz w:val="21"/>
        </w:rPr>
      </w:pPr>
    </w:p>
    <w:p>
      <w:pPr>
        <w:spacing w:line="233" w:lineRule="exact" w:before="94"/>
        <w:ind w:left="620" w:right="0" w:firstLine="0"/>
        <w:jc w:val="left"/>
        <w:rPr>
          <w:sz w:val="20"/>
        </w:rPr>
      </w:pPr>
      <w:r>
        <w:rPr>
          <w:position w:val="7"/>
          <w:sz w:val="13"/>
        </w:rPr>
        <w:t>29  </w:t>
      </w:r>
      <w:r>
        <w:rPr>
          <w:sz w:val="20"/>
        </w:rPr>
        <w:t>Cēsu rajona tiesas 2018.gada 10.jūlija nolēmums lietā Nr.</w:t>
      </w:r>
      <w:r>
        <w:rPr>
          <w:spacing w:val="-25"/>
          <w:sz w:val="20"/>
        </w:rPr>
        <w:t> </w:t>
      </w:r>
      <w:r>
        <w:rPr>
          <w:sz w:val="20"/>
        </w:rPr>
        <w:t>C71207218</w:t>
      </w:r>
    </w:p>
    <w:p>
      <w:pPr>
        <w:spacing w:line="230" w:lineRule="exact" w:before="0"/>
        <w:ind w:left="620" w:right="0" w:firstLine="0"/>
        <w:jc w:val="left"/>
        <w:rPr>
          <w:sz w:val="20"/>
        </w:rPr>
      </w:pPr>
      <w:r>
        <w:rPr>
          <w:position w:val="7"/>
          <w:sz w:val="13"/>
        </w:rPr>
        <w:t>30  </w:t>
      </w:r>
      <w:r>
        <w:rPr>
          <w:sz w:val="20"/>
        </w:rPr>
        <w:t>Cēsu rajona tiesas 2018.gada 10.jūlija nolēmums lietā Nr.</w:t>
      </w:r>
      <w:r>
        <w:rPr>
          <w:spacing w:val="-25"/>
          <w:sz w:val="20"/>
        </w:rPr>
        <w:t> </w:t>
      </w:r>
      <w:r>
        <w:rPr>
          <w:sz w:val="20"/>
        </w:rPr>
        <w:t>C71207218</w:t>
      </w:r>
    </w:p>
    <w:p>
      <w:pPr>
        <w:spacing w:line="230" w:lineRule="exact" w:before="0"/>
        <w:ind w:left="620" w:right="0" w:firstLine="0"/>
        <w:jc w:val="left"/>
        <w:rPr>
          <w:sz w:val="20"/>
        </w:rPr>
      </w:pPr>
      <w:r>
        <w:rPr>
          <w:position w:val="7"/>
          <w:sz w:val="13"/>
        </w:rPr>
        <w:t>31  </w:t>
      </w:r>
      <w:r>
        <w:rPr>
          <w:sz w:val="20"/>
        </w:rPr>
        <w:t>Vidzemes rajona tiesas 2018.gada 18.jūlija nolēmums lietā Nr.</w:t>
      </w:r>
      <w:r>
        <w:rPr>
          <w:spacing w:val="-25"/>
          <w:sz w:val="20"/>
        </w:rPr>
        <w:t> </w:t>
      </w:r>
      <w:r>
        <w:rPr>
          <w:sz w:val="20"/>
        </w:rPr>
        <w:t>C71209818</w:t>
      </w:r>
    </w:p>
    <w:p>
      <w:pPr>
        <w:spacing w:line="233" w:lineRule="exact" w:before="0"/>
        <w:ind w:left="620" w:right="0" w:firstLine="0"/>
        <w:jc w:val="left"/>
        <w:rPr>
          <w:sz w:val="20"/>
        </w:rPr>
      </w:pPr>
      <w:r>
        <w:rPr>
          <w:position w:val="7"/>
          <w:sz w:val="13"/>
        </w:rPr>
        <w:t>32  </w:t>
      </w:r>
      <w:r>
        <w:rPr>
          <w:sz w:val="20"/>
        </w:rPr>
        <w:t>Vidzemes rajona tiesas 2018.gada 11.jūlija nolēmums lietā Nr.</w:t>
      </w:r>
      <w:r>
        <w:rPr>
          <w:spacing w:val="-25"/>
          <w:sz w:val="20"/>
        </w:rPr>
        <w:t> </w:t>
      </w:r>
      <w:r>
        <w:rPr>
          <w:sz w:val="20"/>
        </w:rPr>
        <w:t>C71207418</w:t>
      </w:r>
    </w:p>
    <w:p>
      <w:pPr>
        <w:spacing w:after="0" w:line="233" w:lineRule="exact"/>
        <w:jc w:val="left"/>
        <w:rPr>
          <w:sz w:val="20"/>
        </w:rPr>
        <w:sectPr>
          <w:footerReference w:type="default" r:id="rId11"/>
          <w:footerReference w:type="even" r:id="rId12"/>
          <w:pgSz w:w="11910" w:h="16840"/>
          <w:pgMar w:footer="1165" w:header="0" w:top="1340" w:bottom="1360" w:left="1180" w:right="1040"/>
          <w:pgNumType w:start="17"/>
        </w:sectPr>
      </w:pPr>
    </w:p>
    <w:p>
      <w:pPr>
        <w:pStyle w:val="BodyText"/>
        <w:spacing w:before="73"/>
        <w:ind w:left="1961" w:right="762"/>
      </w:pPr>
      <w:r>
        <w:rPr/>
        <w:t>Maksātnespējas likuma 129.panta pirmās daļas 1.punktā paredzētās maksātnespējas pazīmes konstatēšanai nepieciešams pārbaudīt tikai to, vai šai personai nav iespēju nokārtot parādsaistības, kurām iestājies izpildes termiņš, un parādsaistības kopā pārsniedz 5000 EUR.</w:t>
      </w:r>
    </w:p>
    <w:p>
      <w:pPr>
        <w:pStyle w:val="BodyText"/>
        <w:ind w:left="1961" w:right="761" w:hanging="569"/>
        <w:rPr>
          <w:sz w:val="16"/>
        </w:rPr>
      </w:pPr>
      <w:r>
        <w:rPr/>
        <w:t>bb) Saskaņā ar Maksātnespējas likuma 137.panta noteikumiem  administrators apzina parādnieka mantu un saistības, kā arī sniedz priekšlikumus, kā iegūt līdzekļus fiziskās personas maksātnespējas procesa izmaksu segšanai un kreditora prasījumu apmierināšanai. </w:t>
      </w:r>
      <w:r>
        <w:rPr>
          <w:spacing w:val="-6"/>
        </w:rPr>
        <w:t>Ja </w:t>
      </w:r>
      <w:r>
        <w:rPr/>
        <w:t>fiziskas personas maksātnespējas procesa gaitā, administratoram apzinot parādnieka mantas stāvokli, tiek konstatēts, ka pastāv maksātnespējas procesa piemērošanas ierobežojumi Maksātnespējas likuma 130., 142.panta izpratnē, maksātnespējas process ir pārtraucams likumā noteiktajā kārtībā. Arī gadījumos, kad parādnieks maksātnespējas procesa gaitā sniedzis nepatiesu informāciju par savu mantisko stāvokli un slēpis savus patiesos ienākumus, tas var radīt ierobežojumus saistību dzēšanas procedūras piemērošanai (Maksātnespējas likuma 153.pants). Tiesas kolēģija secina, ka minētie jautājumi par parādnieka mantas stāvokli un sniegtās informācijas patiesumu ir izvērtējami un lemjami procesa gaitā pēc maksātnespējas procesa</w:t>
      </w:r>
      <w:r>
        <w:rPr>
          <w:spacing w:val="-2"/>
        </w:rPr>
        <w:t> </w:t>
      </w:r>
      <w:r>
        <w:rPr/>
        <w:t>pasludināšanas.</w:t>
      </w:r>
      <w:r>
        <w:rPr>
          <w:position w:val="9"/>
          <w:sz w:val="16"/>
        </w:rPr>
        <w:t>33</w:t>
      </w:r>
    </w:p>
    <w:p>
      <w:pPr>
        <w:pStyle w:val="BodyText"/>
        <w:spacing w:line="261" w:lineRule="exact"/>
        <w:ind w:left="1392"/>
      </w:pPr>
      <w:r>
        <w:rPr/>
        <w:t>cc) Minētais izriet arī no atziņām, kas izteiktas Augstākās tiesas Senāta</w:t>
      </w:r>
    </w:p>
    <w:p>
      <w:pPr>
        <w:pStyle w:val="BodyText"/>
        <w:spacing w:line="237" w:lineRule="auto" w:before="3"/>
        <w:ind w:left="1961" w:right="761"/>
        <w:rPr>
          <w:i/>
          <w:sz w:val="16"/>
        </w:rPr>
      </w:pPr>
      <w:r>
        <w:rPr/>
        <w:t>2013.gada 4.decembra spriedumā lietā SPC-49/2013, proti, ka tiesai jāaprobežojas ar formālu Maksātnespējas likuma 129.panta pirmajā daļā 1.punktā noteiktas maksātnespējas pazīmes konstatēšanu, ka pie pieteikuma izlemšanas par maksātnespējas procesa pasludināšanu, nav nepieciešams pievērsties parādsaistību rašanās iemeslu analīzei un izvērtējumam. </w:t>
      </w:r>
      <w:r>
        <w:rPr>
          <w:i/>
          <w:position w:val="9"/>
          <w:sz w:val="16"/>
        </w:rPr>
        <w:t>34</w:t>
      </w:r>
    </w:p>
    <w:p>
      <w:pPr>
        <w:pStyle w:val="BodyText"/>
        <w:spacing w:line="237" w:lineRule="auto" w:before="1"/>
        <w:ind w:left="1961" w:right="762" w:hanging="569"/>
        <w:rPr>
          <w:sz w:val="16"/>
        </w:rPr>
      </w:pPr>
      <w:r>
        <w:rPr/>
        <w:t>dd) Tādejādi tiesas kolēģija uzskata, ka parādnieka godprātības vērtējums, slēdzot darījumus, saistību izpildē, tāpat arī par nepatiesas informācijas sniegšanu un patiesu ienākumu noslēpšanu ir izdarāms tālākā maksātnespējas procesa gaitā, kad gan administratoram, gan kreditoriem ir veicamas darbības attiecīgo apstākļu noskaidrošanā.</w:t>
      </w:r>
      <w:r>
        <w:rPr>
          <w:position w:val="9"/>
          <w:sz w:val="16"/>
        </w:rPr>
        <w:t>35</w:t>
      </w:r>
    </w:p>
    <w:p>
      <w:pPr>
        <w:pStyle w:val="BodyText"/>
        <w:spacing w:line="237" w:lineRule="auto"/>
        <w:ind w:left="1961" w:right="761" w:hanging="569"/>
        <w:rPr>
          <w:i/>
          <w:sz w:val="16"/>
        </w:rPr>
      </w:pPr>
      <w:r>
        <w:rPr/>
        <w:t>ee) Maksātnespējas likuma 130.pants, kurā norādīti fiziskās personas maksātnespējas</w:t>
      </w:r>
      <w:r>
        <w:rPr>
          <w:spacing w:val="-10"/>
        </w:rPr>
        <w:t> </w:t>
      </w:r>
      <w:r>
        <w:rPr/>
        <w:t>procesa</w:t>
      </w:r>
      <w:r>
        <w:rPr>
          <w:spacing w:val="-10"/>
        </w:rPr>
        <w:t> </w:t>
      </w:r>
      <w:r>
        <w:rPr/>
        <w:t>piemērošanas</w:t>
      </w:r>
      <w:r>
        <w:rPr>
          <w:spacing w:val="-10"/>
        </w:rPr>
        <w:t> </w:t>
      </w:r>
      <w:r>
        <w:rPr/>
        <w:t>ierobežojumi,</w:t>
      </w:r>
      <w:r>
        <w:rPr>
          <w:spacing w:val="-6"/>
        </w:rPr>
        <w:t> </w:t>
      </w:r>
      <w:r>
        <w:rPr/>
        <w:t>nesatur</w:t>
      </w:r>
      <w:r>
        <w:rPr>
          <w:spacing w:val="-10"/>
        </w:rPr>
        <w:t> </w:t>
      </w:r>
      <w:r>
        <w:rPr/>
        <w:t>tādu</w:t>
      </w:r>
      <w:r>
        <w:rPr>
          <w:spacing w:val="-7"/>
        </w:rPr>
        <w:t> </w:t>
      </w:r>
      <w:r>
        <w:rPr/>
        <w:t>norādi, kā tiesneša pamatotas šaubas par personas godaprātu vai </w:t>
      </w:r>
      <w:r>
        <w:rPr>
          <w:color w:val="414142"/>
        </w:rPr>
        <w:t>pieņēmumi </w:t>
      </w:r>
      <w:r>
        <w:rPr/>
        <w:t>par personas vēlmi izvairīties no savu saistību izpildes maksātnespējas procesa pasludināšanas</w:t>
      </w:r>
      <w:r>
        <w:rPr>
          <w:spacing w:val="-1"/>
        </w:rPr>
        <w:t> </w:t>
      </w:r>
      <w:r>
        <w:rPr/>
        <w:t>stadijā.</w:t>
      </w:r>
      <w:r>
        <w:rPr>
          <w:i/>
          <w:position w:val="9"/>
          <w:sz w:val="16"/>
        </w:rPr>
        <w:t>36</w:t>
      </w:r>
    </w:p>
    <w:p>
      <w:pPr>
        <w:pStyle w:val="BodyText"/>
        <w:spacing w:line="237" w:lineRule="auto"/>
        <w:ind w:left="1961" w:right="761" w:hanging="569"/>
        <w:rPr>
          <w:sz w:val="16"/>
        </w:rPr>
      </w:pPr>
      <w:r>
        <w:rPr/>
        <w:t>ff) Lietā, kur pirmās instances tiesa secinājusi, ka pieteicēja nav pierādījusi, ka viņai nav iespēju nokārtot parādsaistības, kurām ir iestājies izpildes termiņš, jo Pieteicēja saņem darba samaksu, no kuras atbilstoši</w:t>
      </w:r>
      <w:r>
        <w:rPr>
          <w:spacing w:val="-29"/>
        </w:rPr>
        <w:t> </w:t>
      </w:r>
      <w:r>
        <w:rPr/>
        <w:t>zvērināta tiesu izpildītāja rīkojumam tiek izdarīts ieturējums parāda dzēšanai saskaņā ar Civilprocesa likuma 594.panta pirmās daļas 3.punktu, apgabaltiesa secina, ka “Apstāklis, ka pret pieteicēju vērsta piedziņa izpildu lietvedības kārtībā, veicot nepietiekamus ieturējumus saistību segšanai, pats par sevi apliecina, ka pieteicējai nav iespēju saistības izpildīt”.</w:t>
      </w:r>
      <w:r>
        <w:rPr>
          <w:position w:val="9"/>
          <w:sz w:val="16"/>
        </w:rPr>
        <w:t>37</w:t>
      </w:r>
    </w:p>
    <w:p>
      <w:pPr>
        <w:pStyle w:val="BodyText"/>
        <w:jc w:val="left"/>
        <w:rPr>
          <w:sz w:val="26"/>
        </w:rPr>
      </w:pPr>
    </w:p>
    <w:p>
      <w:pPr>
        <w:spacing w:line="235" w:lineRule="auto" w:before="97"/>
        <w:ind w:left="260" w:right="763" w:firstLine="0"/>
        <w:jc w:val="both"/>
        <w:rPr>
          <w:sz w:val="20"/>
        </w:rPr>
      </w:pPr>
      <w:r>
        <w:rPr>
          <w:position w:val="7"/>
          <w:sz w:val="13"/>
        </w:rPr>
        <w:t>33</w:t>
      </w:r>
      <w:r>
        <w:rPr>
          <w:spacing w:val="9"/>
          <w:position w:val="7"/>
          <w:sz w:val="13"/>
        </w:rPr>
        <w:t> </w:t>
      </w:r>
      <w:r>
        <w:rPr>
          <w:sz w:val="20"/>
        </w:rPr>
        <w:t>Vidzemes</w:t>
      </w:r>
      <w:r>
        <w:rPr>
          <w:spacing w:val="-9"/>
          <w:sz w:val="20"/>
        </w:rPr>
        <w:t> </w:t>
      </w:r>
      <w:r>
        <w:rPr>
          <w:sz w:val="20"/>
        </w:rPr>
        <w:t>apgabaltiesas</w:t>
      </w:r>
      <w:r>
        <w:rPr>
          <w:spacing w:val="-9"/>
          <w:sz w:val="20"/>
        </w:rPr>
        <w:t> </w:t>
      </w:r>
      <w:r>
        <w:rPr>
          <w:sz w:val="20"/>
        </w:rPr>
        <w:t>Civillietu</w:t>
      </w:r>
      <w:r>
        <w:rPr>
          <w:spacing w:val="-10"/>
          <w:sz w:val="20"/>
        </w:rPr>
        <w:t> </w:t>
      </w:r>
      <w:r>
        <w:rPr>
          <w:sz w:val="20"/>
        </w:rPr>
        <w:t>tiesas</w:t>
      </w:r>
      <w:r>
        <w:rPr>
          <w:spacing w:val="-9"/>
          <w:sz w:val="20"/>
        </w:rPr>
        <w:t> </w:t>
      </w:r>
      <w:r>
        <w:rPr>
          <w:sz w:val="20"/>
        </w:rPr>
        <w:t>kolēģijas</w:t>
      </w:r>
      <w:r>
        <w:rPr>
          <w:spacing w:val="-9"/>
          <w:sz w:val="20"/>
        </w:rPr>
        <w:t> </w:t>
      </w:r>
      <w:r>
        <w:rPr>
          <w:sz w:val="20"/>
        </w:rPr>
        <w:t>2018.gada</w:t>
      </w:r>
      <w:r>
        <w:rPr>
          <w:spacing w:val="-11"/>
          <w:sz w:val="20"/>
        </w:rPr>
        <w:t> </w:t>
      </w:r>
      <w:r>
        <w:rPr>
          <w:sz w:val="20"/>
        </w:rPr>
        <w:t>14.septembra</w:t>
      </w:r>
      <w:r>
        <w:rPr>
          <w:spacing w:val="-8"/>
          <w:sz w:val="20"/>
        </w:rPr>
        <w:t> </w:t>
      </w:r>
      <w:r>
        <w:rPr>
          <w:sz w:val="20"/>
        </w:rPr>
        <w:t>nolēmums</w:t>
      </w:r>
      <w:r>
        <w:rPr>
          <w:spacing w:val="-10"/>
          <w:sz w:val="20"/>
        </w:rPr>
        <w:t> </w:t>
      </w:r>
      <w:r>
        <w:rPr>
          <w:sz w:val="20"/>
        </w:rPr>
        <w:t>lietā</w:t>
      </w:r>
      <w:r>
        <w:rPr>
          <w:spacing w:val="-8"/>
          <w:sz w:val="20"/>
        </w:rPr>
        <w:t> </w:t>
      </w:r>
      <w:r>
        <w:rPr>
          <w:sz w:val="20"/>
        </w:rPr>
        <w:t>Nr.</w:t>
      </w:r>
      <w:r>
        <w:rPr>
          <w:spacing w:val="-1"/>
          <w:sz w:val="20"/>
        </w:rPr>
        <w:t> </w:t>
      </w:r>
      <w:r>
        <w:rPr>
          <w:sz w:val="20"/>
        </w:rPr>
        <w:t>C71207218 </w:t>
      </w:r>
      <w:r>
        <w:rPr>
          <w:position w:val="7"/>
          <w:sz w:val="13"/>
        </w:rPr>
        <w:t>34</w:t>
      </w:r>
      <w:r>
        <w:rPr>
          <w:spacing w:val="9"/>
          <w:position w:val="7"/>
          <w:sz w:val="13"/>
        </w:rPr>
        <w:t> </w:t>
      </w:r>
      <w:r>
        <w:rPr>
          <w:sz w:val="20"/>
        </w:rPr>
        <w:t>Vidzemes</w:t>
      </w:r>
      <w:r>
        <w:rPr>
          <w:spacing w:val="-9"/>
          <w:sz w:val="20"/>
        </w:rPr>
        <w:t> </w:t>
      </w:r>
      <w:r>
        <w:rPr>
          <w:sz w:val="20"/>
        </w:rPr>
        <w:t>apgabaltiesas</w:t>
      </w:r>
      <w:r>
        <w:rPr>
          <w:spacing w:val="-7"/>
          <w:sz w:val="20"/>
        </w:rPr>
        <w:t> </w:t>
      </w:r>
      <w:r>
        <w:rPr>
          <w:sz w:val="20"/>
        </w:rPr>
        <w:t>Civillietu</w:t>
      </w:r>
      <w:r>
        <w:rPr>
          <w:spacing w:val="-10"/>
          <w:sz w:val="20"/>
        </w:rPr>
        <w:t> </w:t>
      </w:r>
      <w:r>
        <w:rPr>
          <w:sz w:val="20"/>
        </w:rPr>
        <w:t>tiesas</w:t>
      </w:r>
      <w:r>
        <w:rPr>
          <w:spacing w:val="-10"/>
          <w:sz w:val="20"/>
        </w:rPr>
        <w:t> </w:t>
      </w:r>
      <w:r>
        <w:rPr>
          <w:sz w:val="20"/>
        </w:rPr>
        <w:t>kolēģijas</w:t>
      </w:r>
      <w:r>
        <w:rPr>
          <w:spacing w:val="-9"/>
          <w:sz w:val="20"/>
        </w:rPr>
        <w:t> </w:t>
      </w:r>
      <w:r>
        <w:rPr>
          <w:sz w:val="20"/>
        </w:rPr>
        <w:t>2018.gada</w:t>
      </w:r>
      <w:r>
        <w:rPr>
          <w:spacing w:val="-10"/>
          <w:sz w:val="20"/>
        </w:rPr>
        <w:t> </w:t>
      </w:r>
      <w:r>
        <w:rPr>
          <w:sz w:val="20"/>
        </w:rPr>
        <w:t>14.septembra</w:t>
      </w:r>
      <w:r>
        <w:rPr>
          <w:spacing w:val="-8"/>
          <w:sz w:val="20"/>
        </w:rPr>
        <w:t> </w:t>
      </w:r>
      <w:r>
        <w:rPr>
          <w:sz w:val="20"/>
        </w:rPr>
        <w:t>nolēmums</w:t>
      </w:r>
      <w:r>
        <w:rPr>
          <w:spacing w:val="-7"/>
          <w:sz w:val="20"/>
        </w:rPr>
        <w:t> </w:t>
      </w:r>
      <w:r>
        <w:rPr>
          <w:sz w:val="20"/>
        </w:rPr>
        <w:t>lietā</w:t>
      </w:r>
      <w:r>
        <w:rPr>
          <w:spacing w:val="-4"/>
          <w:sz w:val="20"/>
        </w:rPr>
        <w:t> </w:t>
      </w:r>
      <w:r>
        <w:rPr>
          <w:sz w:val="20"/>
        </w:rPr>
        <w:t>Nr.</w:t>
      </w:r>
      <w:r>
        <w:rPr>
          <w:spacing w:val="-8"/>
          <w:sz w:val="20"/>
        </w:rPr>
        <w:t> </w:t>
      </w:r>
      <w:r>
        <w:rPr>
          <w:sz w:val="20"/>
        </w:rPr>
        <w:t>C71207418 </w:t>
      </w:r>
      <w:r>
        <w:rPr>
          <w:position w:val="7"/>
          <w:sz w:val="13"/>
        </w:rPr>
        <w:t>35 </w:t>
      </w:r>
      <w:r>
        <w:rPr>
          <w:sz w:val="20"/>
        </w:rPr>
        <w:t>Vidzemes apgabaltiesas Civillietu tiesas kolēģijas 2018.gada 14.septembra nolēmums lietā</w:t>
      </w:r>
      <w:r>
        <w:rPr>
          <w:spacing w:val="-28"/>
          <w:sz w:val="20"/>
        </w:rPr>
        <w:t> </w:t>
      </w:r>
      <w:r>
        <w:rPr>
          <w:sz w:val="20"/>
        </w:rPr>
        <w:t>Nr.C71209818 </w:t>
      </w:r>
      <w:r>
        <w:rPr>
          <w:position w:val="7"/>
          <w:sz w:val="13"/>
        </w:rPr>
        <w:t>36</w:t>
      </w:r>
      <w:r>
        <w:rPr>
          <w:spacing w:val="9"/>
          <w:position w:val="7"/>
          <w:sz w:val="13"/>
        </w:rPr>
        <w:t> </w:t>
      </w:r>
      <w:r>
        <w:rPr>
          <w:sz w:val="20"/>
        </w:rPr>
        <w:t>Vidzemes</w:t>
      </w:r>
      <w:r>
        <w:rPr>
          <w:spacing w:val="-9"/>
          <w:sz w:val="20"/>
        </w:rPr>
        <w:t> </w:t>
      </w:r>
      <w:r>
        <w:rPr>
          <w:sz w:val="20"/>
        </w:rPr>
        <w:t>apgabaltiesas</w:t>
      </w:r>
      <w:r>
        <w:rPr>
          <w:spacing w:val="-7"/>
          <w:sz w:val="20"/>
        </w:rPr>
        <w:t> </w:t>
      </w:r>
      <w:r>
        <w:rPr>
          <w:sz w:val="20"/>
        </w:rPr>
        <w:t>Civillietu</w:t>
      </w:r>
      <w:r>
        <w:rPr>
          <w:spacing w:val="-10"/>
          <w:sz w:val="20"/>
        </w:rPr>
        <w:t> </w:t>
      </w:r>
      <w:r>
        <w:rPr>
          <w:sz w:val="20"/>
        </w:rPr>
        <w:t>tiesas</w:t>
      </w:r>
      <w:r>
        <w:rPr>
          <w:spacing w:val="-10"/>
          <w:sz w:val="20"/>
        </w:rPr>
        <w:t> </w:t>
      </w:r>
      <w:r>
        <w:rPr>
          <w:sz w:val="20"/>
        </w:rPr>
        <w:t>kolēģijas</w:t>
      </w:r>
      <w:r>
        <w:rPr>
          <w:spacing w:val="-9"/>
          <w:sz w:val="20"/>
        </w:rPr>
        <w:t> </w:t>
      </w:r>
      <w:r>
        <w:rPr>
          <w:sz w:val="20"/>
        </w:rPr>
        <w:t>2018.gada</w:t>
      </w:r>
      <w:r>
        <w:rPr>
          <w:spacing w:val="-10"/>
          <w:sz w:val="20"/>
        </w:rPr>
        <w:t> </w:t>
      </w:r>
      <w:r>
        <w:rPr>
          <w:sz w:val="20"/>
        </w:rPr>
        <w:t>14.septembra</w:t>
      </w:r>
      <w:r>
        <w:rPr>
          <w:spacing w:val="-8"/>
          <w:sz w:val="20"/>
        </w:rPr>
        <w:t> </w:t>
      </w:r>
      <w:r>
        <w:rPr>
          <w:sz w:val="20"/>
        </w:rPr>
        <w:t>nolēmums</w:t>
      </w:r>
      <w:r>
        <w:rPr>
          <w:spacing w:val="-7"/>
          <w:sz w:val="20"/>
        </w:rPr>
        <w:t> </w:t>
      </w:r>
      <w:r>
        <w:rPr>
          <w:sz w:val="20"/>
        </w:rPr>
        <w:t>lietā</w:t>
      </w:r>
      <w:r>
        <w:rPr>
          <w:spacing w:val="-4"/>
          <w:sz w:val="20"/>
        </w:rPr>
        <w:t> </w:t>
      </w:r>
      <w:r>
        <w:rPr>
          <w:sz w:val="20"/>
        </w:rPr>
        <w:t>Nr.</w:t>
      </w:r>
      <w:r>
        <w:rPr>
          <w:spacing w:val="-8"/>
          <w:sz w:val="20"/>
        </w:rPr>
        <w:t> </w:t>
      </w:r>
      <w:r>
        <w:rPr>
          <w:sz w:val="20"/>
        </w:rPr>
        <w:t>C71207418 </w:t>
      </w:r>
      <w:r>
        <w:rPr>
          <w:position w:val="7"/>
          <w:sz w:val="13"/>
        </w:rPr>
        <w:t>37 </w:t>
      </w:r>
      <w:r>
        <w:rPr>
          <w:sz w:val="20"/>
        </w:rPr>
        <w:t>Rīgas apgabaltiesas Civillietu tiesas kolēģijas 2016.gada 24.februāra nolēmums lietā Nr.</w:t>
      </w:r>
      <w:r>
        <w:rPr>
          <w:spacing w:val="-28"/>
          <w:sz w:val="20"/>
        </w:rPr>
        <w:t> </w:t>
      </w:r>
      <w:r>
        <w:rPr>
          <w:sz w:val="20"/>
        </w:rPr>
        <w:t>C33596715</w:t>
      </w:r>
    </w:p>
    <w:p>
      <w:pPr>
        <w:spacing w:after="0" w:line="235" w:lineRule="auto"/>
        <w:jc w:val="both"/>
        <w:rPr>
          <w:sz w:val="20"/>
        </w:rPr>
        <w:sectPr>
          <w:pgSz w:w="11910" w:h="16840"/>
          <w:pgMar w:header="0" w:footer="1165" w:top="1340" w:bottom="1360" w:left="1180" w:right="1040"/>
        </w:sectPr>
      </w:pPr>
    </w:p>
    <w:p>
      <w:pPr>
        <w:pStyle w:val="ListParagraph"/>
        <w:numPr>
          <w:ilvl w:val="0"/>
          <w:numId w:val="11"/>
        </w:numPr>
        <w:tabs>
          <w:tab w:pos="1340" w:val="left" w:leader="none"/>
        </w:tabs>
        <w:spacing w:line="240" w:lineRule="auto" w:before="109" w:after="0"/>
        <w:ind w:left="1340" w:right="402" w:hanging="360"/>
        <w:jc w:val="both"/>
        <w:rPr>
          <w:sz w:val="24"/>
        </w:rPr>
      </w:pPr>
      <w:r>
        <w:rPr>
          <w:sz w:val="24"/>
        </w:rPr>
        <w:t>Maksātnespējas procesa pieteikums noraidīts, jo netiek konstatēta Maksātnespējas likuma 129.panta pirmās daļas 1.punkta pazīme – personai nav iespēju nokārtot parādsaistības,</w:t>
      </w:r>
      <w:r>
        <w:rPr>
          <w:spacing w:val="-6"/>
          <w:sz w:val="24"/>
        </w:rPr>
        <w:t> </w:t>
      </w:r>
      <w:r>
        <w:rPr>
          <w:sz w:val="24"/>
        </w:rPr>
        <w:t>kurām</w:t>
      </w:r>
      <w:r>
        <w:rPr>
          <w:spacing w:val="-7"/>
          <w:sz w:val="24"/>
        </w:rPr>
        <w:t> </w:t>
      </w:r>
      <w:r>
        <w:rPr>
          <w:b/>
          <w:sz w:val="24"/>
        </w:rPr>
        <w:t>iestājies</w:t>
      </w:r>
      <w:r>
        <w:rPr>
          <w:b/>
          <w:spacing w:val="-6"/>
          <w:sz w:val="24"/>
        </w:rPr>
        <w:t> </w:t>
      </w:r>
      <w:r>
        <w:rPr>
          <w:b/>
          <w:sz w:val="24"/>
        </w:rPr>
        <w:t>izpildes</w:t>
      </w:r>
      <w:r>
        <w:rPr>
          <w:b/>
          <w:spacing w:val="-7"/>
          <w:sz w:val="24"/>
        </w:rPr>
        <w:t> </w:t>
      </w:r>
      <w:r>
        <w:rPr>
          <w:b/>
          <w:sz w:val="24"/>
        </w:rPr>
        <w:t>termiņš</w:t>
      </w:r>
      <w:r>
        <w:rPr>
          <w:sz w:val="24"/>
        </w:rPr>
        <w:t>,</w:t>
      </w:r>
      <w:r>
        <w:rPr>
          <w:spacing w:val="-6"/>
          <w:sz w:val="24"/>
        </w:rPr>
        <w:t> </w:t>
      </w:r>
      <w:r>
        <w:rPr>
          <w:sz w:val="24"/>
        </w:rPr>
        <w:t>un</w:t>
      </w:r>
      <w:r>
        <w:rPr>
          <w:spacing w:val="-6"/>
          <w:sz w:val="24"/>
        </w:rPr>
        <w:t> </w:t>
      </w:r>
      <w:r>
        <w:rPr>
          <w:sz w:val="24"/>
        </w:rPr>
        <w:t>parādsaistības</w:t>
      </w:r>
      <w:r>
        <w:rPr>
          <w:spacing w:val="-8"/>
          <w:sz w:val="24"/>
        </w:rPr>
        <w:t> </w:t>
      </w:r>
      <w:r>
        <w:rPr>
          <w:sz w:val="24"/>
        </w:rPr>
        <w:t>kopā</w:t>
      </w:r>
      <w:r>
        <w:rPr>
          <w:spacing w:val="-6"/>
          <w:sz w:val="24"/>
        </w:rPr>
        <w:t> </w:t>
      </w:r>
      <w:r>
        <w:rPr>
          <w:b/>
          <w:sz w:val="24"/>
        </w:rPr>
        <w:t>pārsniedz Maksātnespējas likumā noteikto minimālo</w:t>
      </w:r>
      <w:r>
        <w:rPr>
          <w:b/>
          <w:spacing w:val="1"/>
          <w:sz w:val="24"/>
        </w:rPr>
        <w:t> </w:t>
      </w:r>
      <w:r>
        <w:rPr>
          <w:b/>
          <w:sz w:val="24"/>
        </w:rPr>
        <w:t>apmēru</w:t>
      </w:r>
      <w:r>
        <w:rPr>
          <w:sz w:val="24"/>
        </w:rPr>
        <w:t>:</w:t>
      </w:r>
    </w:p>
    <w:p>
      <w:pPr>
        <w:pStyle w:val="ListParagraph"/>
        <w:numPr>
          <w:ilvl w:val="1"/>
          <w:numId w:val="11"/>
        </w:numPr>
        <w:tabs>
          <w:tab w:pos="1753" w:val="left" w:leader="none"/>
        </w:tabs>
        <w:spacing w:line="240" w:lineRule="auto" w:before="0" w:after="0"/>
        <w:ind w:left="1752" w:right="402" w:hanging="425"/>
        <w:jc w:val="both"/>
        <w:rPr>
          <w:sz w:val="24"/>
        </w:rPr>
      </w:pPr>
      <w:r>
        <w:rPr>
          <w:sz w:val="24"/>
        </w:rPr>
        <w:t>Pieteicējas iesniegts </w:t>
      </w:r>
      <w:r>
        <w:rPr>
          <w:b/>
          <w:sz w:val="24"/>
        </w:rPr>
        <w:t>prasības pieteikuma noraksts nepierāda, ka iestājies saistības izpildes</w:t>
      </w:r>
      <w:r>
        <w:rPr>
          <w:b/>
          <w:spacing w:val="-1"/>
          <w:sz w:val="24"/>
        </w:rPr>
        <w:t> </w:t>
      </w:r>
      <w:r>
        <w:rPr>
          <w:b/>
          <w:sz w:val="24"/>
        </w:rPr>
        <w:t>termiņš</w:t>
      </w:r>
      <w:r>
        <w:rPr>
          <w:sz w:val="24"/>
        </w:rPr>
        <w:t>:</w:t>
      </w:r>
    </w:p>
    <w:p>
      <w:pPr>
        <w:pStyle w:val="BodyText"/>
        <w:spacing w:line="237" w:lineRule="auto" w:before="3"/>
        <w:ind w:left="2321" w:right="402" w:hanging="569"/>
        <w:rPr>
          <w:sz w:val="16"/>
        </w:rPr>
      </w:pPr>
      <w:r>
        <w:rPr/>
        <w:t>aa) Tiesai, izskatot maksātnespējas procesa pieteikumu, nav pamata pirms civillieta par parāda piedziņu no pieteicēja izskatīšanas pēc būtības un nolēmuma pieņemšanas minētajā civillietā, izdarīt secinājumus par pieteicēja parādsaistību pret kreditoru apmēru, jo minētos apstākļus ir tiesīga konstatēt tiesa, pēc būtības izskatot tiesā iesniegto prasību par parāda un procentu piedziņu no pieteicēja.</w:t>
      </w:r>
      <w:r>
        <w:rPr>
          <w:position w:val="9"/>
          <w:sz w:val="16"/>
        </w:rPr>
        <w:t>38</w:t>
      </w:r>
    </w:p>
    <w:p>
      <w:pPr>
        <w:pStyle w:val="BodyText"/>
        <w:spacing w:line="237" w:lineRule="auto" w:before="1"/>
        <w:ind w:left="2321" w:right="401" w:hanging="569"/>
        <w:rPr>
          <w:sz w:val="16"/>
        </w:rPr>
      </w:pPr>
      <w:r>
        <w:rPr/>
        <w:t>bb) Lietā, kur pirmās instances tiesa atzinusi, ka prasības pieteikums par parāda piedziņu ir pieteicējas subjektīvais viedoklis, kas nerada saistības un neuzliek samaksas pienākumu, un ka prasības pieteikums neapliecina pieteicējas parādsaistību apmēru un faktu, ka iestājies saistību izpildes termiņš, jo prasība nav izskatīta, izvērtējot tās pamatotību, apgabaltiesa secina, ka pirmās instances tiesa kļūdaini novērtējusi pierādījumus, kas saistīti ar pieteicēja parādsaistībām un ka prasības pieteikuma pamatā norādītie apstākļi norāda uz vienpusēju atkāpšanos no kredīta līguma un pieteicējas parāda apmēru.</w:t>
      </w:r>
      <w:r>
        <w:rPr>
          <w:position w:val="9"/>
          <w:sz w:val="16"/>
        </w:rPr>
        <w:t>39</w:t>
      </w:r>
    </w:p>
    <w:p>
      <w:pPr>
        <w:pStyle w:val="ListParagraph"/>
        <w:numPr>
          <w:ilvl w:val="1"/>
          <w:numId w:val="11"/>
        </w:numPr>
        <w:tabs>
          <w:tab w:pos="1753" w:val="left" w:leader="none"/>
        </w:tabs>
        <w:spacing w:line="237" w:lineRule="auto" w:before="10" w:after="0"/>
        <w:ind w:left="1752" w:right="403" w:hanging="425"/>
        <w:jc w:val="both"/>
        <w:rPr>
          <w:sz w:val="16"/>
        </w:rPr>
      </w:pPr>
      <w:r>
        <w:rPr>
          <w:b/>
          <w:sz w:val="24"/>
        </w:rPr>
        <w:t>Paziņojums par cesiju </w:t>
      </w:r>
      <w:r>
        <w:rPr>
          <w:sz w:val="24"/>
        </w:rPr>
        <w:t>nav atzīstams par objektīvu pierādījumu par saistību izpildes termiņa iestāšanos, un tas tikai liecina, ka uz konkrētu datumu cesionāram ir cedētas pieteicēja parādsaistības noteiktā apmērā, taču šāds paziņojums vēl pats par sevi nepadara saistību izpildes pienākumu par pilnībā neapstrīdamu.</w:t>
      </w:r>
      <w:r>
        <w:rPr>
          <w:position w:val="9"/>
          <w:sz w:val="16"/>
        </w:rPr>
        <w:t>40</w:t>
      </w:r>
    </w:p>
    <w:p>
      <w:pPr>
        <w:pStyle w:val="BodyText"/>
        <w:spacing w:before="10"/>
        <w:jc w:val="left"/>
        <w:rPr>
          <w:sz w:val="23"/>
        </w:rPr>
      </w:pPr>
    </w:p>
    <w:p>
      <w:pPr>
        <w:pStyle w:val="ListParagraph"/>
        <w:numPr>
          <w:ilvl w:val="0"/>
          <w:numId w:val="11"/>
        </w:numPr>
        <w:tabs>
          <w:tab w:pos="1340" w:val="left" w:leader="none"/>
        </w:tabs>
        <w:spacing w:line="237" w:lineRule="auto" w:before="0" w:after="0"/>
        <w:ind w:left="1340" w:right="402" w:hanging="360"/>
        <w:jc w:val="both"/>
        <w:rPr>
          <w:sz w:val="16"/>
        </w:rPr>
      </w:pPr>
      <w:r>
        <w:rPr>
          <w:sz w:val="24"/>
        </w:rPr>
        <w:t>Maksātnespējas procesa pieteikums noraidīts, jo Maksātnespējas </w:t>
      </w:r>
      <w:r>
        <w:rPr>
          <w:b/>
          <w:sz w:val="24"/>
        </w:rPr>
        <w:t>process tiek izmantots nolūkā izvairīties no obligāto nodokļu maksājumiem</w:t>
      </w:r>
      <w:r>
        <w:rPr>
          <w:sz w:val="24"/>
        </w:rPr>
        <w:t>. Piemēram, Jūrmalas pilsētas tiesa 2017.gada 27.decembra spriedumā lietā Nr. C33651717 norādījusi, ka lietā, kur pieteikumā norādītas parādsaistības pret VID,</w:t>
      </w:r>
      <w:r>
        <w:rPr>
          <w:spacing w:val="-28"/>
          <w:sz w:val="24"/>
        </w:rPr>
        <w:t> </w:t>
      </w:r>
      <w:r>
        <w:rPr>
          <w:sz w:val="24"/>
        </w:rPr>
        <w:t>pamatojoties uz</w:t>
      </w:r>
      <w:r>
        <w:rPr>
          <w:spacing w:val="-6"/>
          <w:sz w:val="24"/>
        </w:rPr>
        <w:t> </w:t>
      </w:r>
      <w:r>
        <w:rPr>
          <w:sz w:val="24"/>
        </w:rPr>
        <w:t>veiktu</w:t>
      </w:r>
      <w:r>
        <w:rPr>
          <w:spacing w:val="-8"/>
          <w:sz w:val="24"/>
        </w:rPr>
        <w:t> </w:t>
      </w:r>
      <w:r>
        <w:rPr>
          <w:sz w:val="24"/>
        </w:rPr>
        <w:t>fiziskās</w:t>
      </w:r>
      <w:r>
        <w:rPr>
          <w:spacing w:val="-7"/>
          <w:sz w:val="24"/>
        </w:rPr>
        <w:t> </w:t>
      </w:r>
      <w:r>
        <w:rPr>
          <w:sz w:val="24"/>
        </w:rPr>
        <w:t>personas</w:t>
      </w:r>
      <w:r>
        <w:rPr>
          <w:spacing w:val="-8"/>
          <w:sz w:val="24"/>
        </w:rPr>
        <w:t> </w:t>
      </w:r>
      <w:r>
        <w:rPr>
          <w:sz w:val="24"/>
        </w:rPr>
        <w:t>auditu</w:t>
      </w:r>
      <w:r>
        <w:rPr>
          <w:spacing w:val="-7"/>
          <w:sz w:val="24"/>
        </w:rPr>
        <w:t> </w:t>
      </w:r>
      <w:r>
        <w:rPr>
          <w:sz w:val="24"/>
        </w:rPr>
        <w:t>un</w:t>
      </w:r>
      <w:r>
        <w:rPr>
          <w:spacing w:val="-8"/>
          <w:sz w:val="24"/>
        </w:rPr>
        <w:t> </w:t>
      </w:r>
      <w:r>
        <w:rPr>
          <w:sz w:val="24"/>
        </w:rPr>
        <w:t>spēkā</w:t>
      </w:r>
      <w:r>
        <w:rPr>
          <w:spacing w:val="-9"/>
          <w:sz w:val="24"/>
        </w:rPr>
        <w:t> </w:t>
      </w:r>
      <w:r>
        <w:rPr>
          <w:sz w:val="24"/>
        </w:rPr>
        <w:t>stājušos</w:t>
      </w:r>
      <w:r>
        <w:rPr>
          <w:spacing w:val="-8"/>
          <w:sz w:val="24"/>
        </w:rPr>
        <w:t> </w:t>
      </w:r>
      <w:r>
        <w:rPr>
          <w:sz w:val="24"/>
        </w:rPr>
        <w:t>spriedumu</w:t>
      </w:r>
      <w:r>
        <w:rPr>
          <w:spacing w:val="-7"/>
          <w:sz w:val="24"/>
        </w:rPr>
        <w:t> </w:t>
      </w:r>
      <w:r>
        <w:rPr>
          <w:sz w:val="24"/>
        </w:rPr>
        <w:t>administratīvā</w:t>
      </w:r>
      <w:r>
        <w:rPr>
          <w:spacing w:val="-10"/>
          <w:sz w:val="24"/>
        </w:rPr>
        <w:t> </w:t>
      </w:r>
      <w:r>
        <w:rPr>
          <w:sz w:val="24"/>
        </w:rPr>
        <w:t>lietā, tiesas ieskatā nav pieļaujama fiziskās personas maksātnespējas procesa izmantošana nolūkā izvairīties no obligāto nodokļu maksājumiem, iedzīvojoties</w:t>
      </w:r>
      <w:r>
        <w:rPr>
          <w:spacing w:val="-22"/>
          <w:sz w:val="24"/>
        </w:rPr>
        <w:t> </w:t>
      </w:r>
      <w:r>
        <w:rPr>
          <w:sz w:val="24"/>
        </w:rPr>
        <w:t>uz valsts un līdz ar to pārējo nodokļu maksātāju</w:t>
      </w:r>
      <w:r>
        <w:rPr>
          <w:spacing w:val="-2"/>
          <w:sz w:val="24"/>
        </w:rPr>
        <w:t> </w:t>
      </w:r>
      <w:r>
        <w:rPr>
          <w:sz w:val="24"/>
        </w:rPr>
        <w:t>rēķina.</w:t>
      </w:r>
      <w:r>
        <w:rPr>
          <w:position w:val="9"/>
          <w:sz w:val="16"/>
        </w:rPr>
        <w:t>41</w:t>
      </w:r>
    </w:p>
    <w:p>
      <w:pPr>
        <w:pStyle w:val="BodyText"/>
        <w:spacing w:before="4"/>
        <w:jc w:val="left"/>
      </w:pPr>
    </w:p>
    <w:p>
      <w:pPr>
        <w:pStyle w:val="ListParagraph"/>
        <w:numPr>
          <w:ilvl w:val="0"/>
          <w:numId w:val="11"/>
        </w:numPr>
        <w:tabs>
          <w:tab w:pos="1328" w:val="left" w:leader="none"/>
        </w:tabs>
        <w:spacing w:line="240" w:lineRule="auto" w:before="1" w:after="0"/>
        <w:ind w:left="1327" w:right="401" w:hanging="281"/>
        <w:jc w:val="both"/>
        <w:rPr>
          <w:sz w:val="24"/>
        </w:rPr>
      </w:pPr>
      <w:r>
        <w:rPr>
          <w:sz w:val="24"/>
        </w:rPr>
        <w:t>Maksātnespējas procesa pieteikums noraidīts, jo tiesa atzīst, ka </w:t>
      </w:r>
      <w:r>
        <w:rPr>
          <w:b/>
          <w:sz w:val="24"/>
        </w:rPr>
        <w:t>aprēķinot saistību apmēru, kas ļauj konstatēt maksātnespējas pazīmes esamību, nav iekļaujama saistība, kuru nevar dzēst fiziskās personas maksātnespējas procesa ietvaros</w:t>
      </w:r>
      <w:r>
        <w:rPr>
          <w:sz w:val="24"/>
        </w:rPr>
        <w:t>. Piemēram,  Kurzemes  rajona  tiesa  ar   2018.gada   4.jūlija   spriedumu   lietā   Nr. C69256718 atzinusi, ka likumdevējs, uzliekot par pienākumu no neatļautās darbības radušos prasījumus segt pilnā apmērā, ir skaidri norādījis, ka uz šiem prasījumiem</w:t>
      </w:r>
      <w:r>
        <w:rPr>
          <w:spacing w:val="-6"/>
          <w:sz w:val="24"/>
        </w:rPr>
        <w:t> </w:t>
      </w:r>
      <w:r>
        <w:rPr>
          <w:sz w:val="24"/>
        </w:rPr>
        <w:t>fiziskās</w:t>
      </w:r>
      <w:r>
        <w:rPr>
          <w:spacing w:val="-8"/>
          <w:sz w:val="24"/>
        </w:rPr>
        <w:t> </w:t>
      </w:r>
      <w:r>
        <w:rPr>
          <w:sz w:val="24"/>
        </w:rPr>
        <w:t>personas</w:t>
      </w:r>
      <w:r>
        <w:rPr>
          <w:spacing w:val="-7"/>
          <w:sz w:val="24"/>
        </w:rPr>
        <w:t> </w:t>
      </w:r>
      <w:r>
        <w:rPr>
          <w:sz w:val="24"/>
        </w:rPr>
        <w:t>maksātnespējas</w:t>
      </w:r>
      <w:r>
        <w:rPr>
          <w:spacing w:val="-8"/>
          <w:sz w:val="24"/>
        </w:rPr>
        <w:t> </w:t>
      </w:r>
      <w:r>
        <w:rPr>
          <w:sz w:val="24"/>
        </w:rPr>
        <w:t>procesa</w:t>
      </w:r>
      <w:r>
        <w:rPr>
          <w:spacing w:val="-4"/>
          <w:sz w:val="24"/>
        </w:rPr>
        <w:t> </w:t>
      </w:r>
      <w:r>
        <w:rPr>
          <w:sz w:val="24"/>
        </w:rPr>
        <w:t>viens</w:t>
      </w:r>
      <w:r>
        <w:rPr>
          <w:spacing w:val="-6"/>
          <w:sz w:val="24"/>
        </w:rPr>
        <w:t> </w:t>
      </w:r>
      <w:r>
        <w:rPr>
          <w:sz w:val="24"/>
        </w:rPr>
        <w:t>no</w:t>
      </w:r>
      <w:r>
        <w:rPr>
          <w:spacing w:val="-3"/>
          <w:sz w:val="24"/>
        </w:rPr>
        <w:t> </w:t>
      </w:r>
      <w:r>
        <w:rPr>
          <w:sz w:val="24"/>
        </w:rPr>
        <w:t>mērķiem</w:t>
      </w:r>
      <w:r>
        <w:rPr>
          <w:spacing w:val="-6"/>
          <w:sz w:val="24"/>
        </w:rPr>
        <w:t> </w:t>
      </w:r>
      <w:r>
        <w:rPr>
          <w:sz w:val="24"/>
        </w:rPr>
        <w:t>–</w:t>
      </w:r>
      <w:r>
        <w:rPr>
          <w:spacing w:val="-3"/>
          <w:sz w:val="24"/>
        </w:rPr>
        <w:t> </w:t>
      </w:r>
      <w:r>
        <w:rPr>
          <w:sz w:val="24"/>
        </w:rPr>
        <w:t>saistību dzēšana – nav piemērojams, tādējādi atzīstot prasījumus, kas izriet no neatļautas darbības par tik būtiskiem (jo radušies nevis neveiksmīgu finansiālu darījumu,</w:t>
      </w:r>
      <w:r>
        <w:rPr>
          <w:spacing w:val="11"/>
          <w:sz w:val="24"/>
        </w:rPr>
        <w:t> </w:t>
      </w:r>
      <w:r>
        <w:rPr>
          <w:sz w:val="24"/>
        </w:rPr>
        <w:t>bet</w:t>
      </w:r>
    </w:p>
    <w:p>
      <w:pPr>
        <w:pStyle w:val="BodyText"/>
        <w:spacing w:before="4"/>
        <w:jc w:val="left"/>
        <w:rPr>
          <w:sz w:val="21"/>
        </w:rPr>
      </w:pPr>
    </w:p>
    <w:p>
      <w:pPr>
        <w:spacing w:line="233" w:lineRule="exact" w:before="94"/>
        <w:ind w:left="620" w:right="0" w:firstLine="0"/>
        <w:jc w:val="left"/>
        <w:rPr>
          <w:sz w:val="20"/>
        </w:rPr>
      </w:pPr>
      <w:r>
        <w:rPr>
          <w:position w:val="7"/>
          <w:sz w:val="13"/>
        </w:rPr>
        <w:t>38 </w:t>
      </w:r>
      <w:r>
        <w:rPr>
          <w:sz w:val="20"/>
        </w:rPr>
        <w:t>Rīgas pilsētas Vidzemes priekšpilsētas tiesas 2016.gada 27.jūnija nolēmums lietā Nr. C30618616</w:t>
      </w:r>
    </w:p>
    <w:p>
      <w:pPr>
        <w:spacing w:line="230" w:lineRule="exact" w:before="0"/>
        <w:ind w:left="620" w:right="0" w:firstLine="0"/>
        <w:jc w:val="left"/>
        <w:rPr>
          <w:sz w:val="20"/>
        </w:rPr>
      </w:pPr>
      <w:r>
        <w:rPr>
          <w:position w:val="7"/>
          <w:sz w:val="13"/>
        </w:rPr>
        <w:t>39 </w:t>
      </w:r>
      <w:r>
        <w:rPr>
          <w:sz w:val="20"/>
        </w:rPr>
        <w:t>Rīgas apgabaltiesas Civillietu tiesas kolēģijas 2015.gada 17.novembra nolēmums lietā Nr. C33517515</w:t>
      </w:r>
    </w:p>
    <w:p>
      <w:pPr>
        <w:spacing w:line="230" w:lineRule="exact" w:before="0"/>
        <w:ind w:left="620" w:right="0" w:firstLine="0"/>
        <w:jc w:val="left"/>
        <w:rPr>
          <w:sz w:val="20"/>
        </w:rPr>
      </w:pPr>
      <w:r>
        <w:rPr>
          <w:position w:val="7"/>
          <w:sz w:val="13"/>
        </w:rPr>
        <w:t>40 </w:t>
      </w:r>
      <w:r>
        <w:rPr>
          <w:sz w:val="20"/>
        </w:rPr>
        <w:t>Madonas rajona tiesas 2016.gada 15.februāra nolēmums lietā Nr. C23033816</w:t>
      </w:r>
    </w:p>
    <w:p>
      <w:pPr>
        <w:spacing w:line="233" w:lineRule="exact" w:before="0"/>
        <w:ind w:left="620" w:right="0" w:firstLine="0"/>
        <w:jc w:val="left"/>
        <w:rPr>
          <w:sz w:val="20"/>
        </w:rPr>
      </w:pPr>
      <w:r>
        <w:rPr>
          <w:position w:val="7"/>
          <w:sz w:val="13"/>
        </w:rPr>
        <w:t>41 </w:t>
      </w:r>
      <w:r>
        <w:rPr>
          <w:sz w:val="20"/>
        </w:rPr>
        <w:t>Jūrmalas pilsētas tiesas 2017.gada 27.decembra nolēmums lietā Nr. C33651717</w:t>
      </w:r>
    </w:p>
    <w:p>
      <w:pPr>
        <w:spacing w:after="0" w:line="233" w:lineRule="exact"/>
        <w:jc w:val="left"/>
        <w:rPr>
          <w:sz w:val="20"/>
        </w:rPr>
        <w:sectPr>
          <w:pgSz w:w="11910" w:h="16840"/>
          <w:pgMar w:header="0" w:footer="1165" w:top="1580" w:bottom="1360" w:left="1180" w:right="1040"/>
        </w:sectPr>
      </w:pPr>
    </w:p>
    <w:p>
      <w:pPr>
        <w:pStyle w:val="BodyText"/>
        <w:spacing w:line="235" w:lineRule="auto" w:before="78"/>
        <w:ind w:left="967" w:right="763"/>
        <w:rPr>
          <w:sz w:val="16"/>
        </w:rPr>
      </w:pPr>
      <w:r>
        <w:rPr/>
        <w:t>gan parādnieka izdarīta pārkāpuma rezultātā), ka tie nav dzēšami fiziskās personas maksātnespējas procesa ietvaros. Pie šādiem apstākļiem tiesa nedzēšamo saistību neietver pieteikumā norādāmo saistību apmērā un nekonstatē Maksātnespējas likuma 129.panta pirmās daļas 1.punktā paredzēto maksātnespējas pazīmi.</w:t>
      </w:r>
      <w:r>
        <w:rPr>
          <w:position w:val="9"/>
          <w:sz w:val="16"/>
        </w:rPr>
        <w:t>42</w:t>
      </w:r>
    </w:p>
    <w:p>
      <w:pPr>
        <w:pStyle w:val="BodyText"/>
        <w:jc w:val="left"/>
        <w:rPr>
          <w:sz w:val="28"/>
        </w:rPr>
      </w:pPr>
    </w:p>
    <w:p>
      <w:pPr>
        <w:pStyle w:val="Heading4"/>
        <w:numPr>
          <w:ilvl w:val="1"/>
          <w:numId w:val="8"/>
        </w:numPr>
        <w:tabs>
          <w:tab w:pos="1041" w:val="left" w:leader="none"/>
        </w:tabs>
        <w:spacing w:line="240" w:lineRule="auto" w:before="237" w:after="0"/>
        <w:ind w:left="980" w:right="763" w:hanging="360"/>
        <w:jc w:val="both"/>
      </w:pPr>
      <w:r>
        <w:rPr>
          <w:i/>
        </w:rPr>
        <w:t>LR Augstākās tiesas (Senāta) Civillietu departamenta nolēmumi, ar kuriem </w:t>
      </w:r>
      <w:r>
        <w:rPr/>
        <w:t>risināti jautājumi saistībā ar fiziskas personas maksātnespējas procesa pasludināšanu</w:t>
      </w:r>
    </w:p>
    <w:p>
      <w:pPr>
        <w:pStyle w:val="BodyText"/>
        <w:spacing w:before="9"/>
        <w:jc w:val="left"/>
        <w:rPr>
          <w:b/>
          <w:i/>
          <w:sz w:val="15"/>
        </w:rPr>
      </w:pPr>
    </w:p>
    <w:p>
      <w:pPr>
        <w:pStyle w:val="ListParagraph"/>
        <w:numPr>
          <w:ilvl w:val="0"/>
          <w:numId w:val="12"/>
        </w:numPr>
        <w:tabs>
          <w:tab w:pos="980" w:val="left" w:leader="none"/>
        </w:tabs>
        <w:spacing w:line="240" w:lineRule="auto" w:before="90" w:after="0"/>
        <w:ind w:left="980" w:right="0" w:hanging="360"/>
        <w:jc w:val="left"/>
        <w:rPr>
          <w:sz w:val="24"/>
        </w:rPr>
      </w:pPr>
      <w:r>
        <w:rPr>
          <w:b/>
          <w:sz w:val="24"/>
          <w:u w:val="thick"/>
        </w:rPr>
        <w:t>)</w:t>
      </w:r>
      <w:r>
        <w:rPr>
          <w:b/>
          <w:sz w:val="24"/>
        </w:rPr>
        <w:t> </w:t>
      </w:r>
      <w:r>
        <w:rPr>
          <w:b/>
          <w:spacing w:val="-174"/>
          <w:sz w:val="24"/>
          <w:u w:val="thick"/>
        </w:rPr>
        <w:t>N</w:t>
      </w:r>
      <w:r>
        <w:rPr>
          <w:b/>
          <w:spacing w:val="116"/>
          <w:sz w:val="24"/>
        </w:rPr>
        <w:t> </w:t>
      </w:r>
      <w:r>
        <w:rPr>
          <w:b/>
          <w:sz w:val="24"/>
          <w:u w:val="thick"/>
        </w:rPr>
        <w:t>odokļu maksātāja statuss</w:t>
      </w:r>
      <w:r>
        <w:rPr>
          <w:b/>
          <w:sz w:val="24"/>
        </w:rPr>
        <w:t> </w:t>
      </w:r>
      <w:r>
        <w:rPr>
          <w:sz w:val="24"/>
        </w:rPr>
        <w:t>pēdējo sešu mēnešu laikā pirms</w:t>
      </w:r>
      <w:r>
        <w:rPr>
          <w:spacing w:val="14"/>
          <w:sz w:val="24"/>
        </w:rPr>
        <w:t> </w:t>
      </w:r>
      <w:r>
        <w:rPr>
          <w:sz w:val="24"/>
        </w:rPr>
        <w:t>maksātnespējas</w:t>
      </w:r>
    </w:p>
    <w:p>
      <w:pPr>
        <w:pStyle w:val="BodyText"/>
        <w:ind w:left="980" w:right="763"/>
        <w:rPr>
          <w:sz w:val="16"/>
        </w:rPr>
      </w:pPr>
      <w:r>
        <w:rPr/>
        <w:t>procesa pasludināšanas - LR AT Senāts 2011.gada 23.novembra lēmumā lietā Nr. SPC – 77/2011 atzinis: “Kas attiecas uz Maksātnespējas likuma 127.pantā sniegto formulējumu, noskaidrojamais jautājums ir par rezidenta statusa esamību pieteicējai, nevis reāls nodokļu maksāšanas fakts, kas nozīmē, ka šī tiesību norma ir interpretējama sistēmiski ar likuma „Par nodokļiem un nodevām” 14.panta pirmās daļas 1.punktu un otro daļu. … Turklāt Ventspils tiesas tiesneša veiktais Maksātnespējas likuma 127.panta pirmās daļas tulkojums ir pretrunā Maksātnespējas likuma būtībai un mērķim - finansiālās grūtībās nonākuša parādnieka saistību izpildes, tostarp nodokļu samaksas saistības, veicināšana. Pretējā gadījumā tiktu nepamatoti ierobežots to personu loks, kas, nonākot finansiālās grūtībās un nespējot nokārot savas saistības, varētu pretendēt uz maksātnespējas procesa subjekta statusu un Maksātnespējas likumā paredzēto tiesisko instrumentu piemērošanu un izmantošanu.”</w:t>
      </w:r>
      <w:r>
        <w:rPr>
          <w:position w:val="9"/>
          <w:sz w:val="16"/>
        </w:rPr>
        <w:t>43</w:t>
      </w:r>
    </w:p>
    <w:p>
      <w:pPr>
        <w:pStyle w:val="BodyText"/>
        <w:spacing w:before="3"/>
        <w:jc w:val="left"/>
        <w:rPr>
          <w:sz w:val="15"/>
        </w:rPr>
      </w:pPr>
    </w:p>
    <w:p>
      <w:pPr>
        <w:pStyle w:val="ListParagraph"/>
        <w:numPr>
          <w:ilvl w:val="0"/>
          <w:numId w:val="12"/>
        </w:numPr>
        <w:tabs>
          <w:tab w:pos="887" w:val="left" w:leader="none"/>
        </w:tabs>
        <w:spacing w:line="240" w:lineRule="auto" w:before="90" w:after="0"/>
        <w:ind w:left="967" w:right="762" w:hanging="348"/>
        <w:jc w:val="both"/>
        <w:rPr>
          <w:sz w:val="16"/>
        </w:rPr>
      </w:pPr>
      <w:r>
        <w:rPr>
          <w:b/>
          <w:sz w:val="24"/>
          <w:u w:val="thick"/>
        </w:rPr>
        <w:t>) Maksātnespējas likuma normu par individuālo komersantu  nevar analoģiski </w:t>
      </w:r>
      <w:r>
        <w:rPr>
          <w:b/>
          <w:spacing w:val="-120"/>
          <w:sz w:val="24"/>
          <w:u w:val="thick"/>
        </w:rPr>
        <w:t>a</w:t>
      </w:r>
      <w:r>
        <w:rPr>
          <w:b/>
          <w:spacing w:val="73"/>
          <w:sz w:val="24"/>
        </w:rPr>
        <w:t> </w:t>
      </w:r>
      <w:r>
        <w:rPr>
          <w:b/>
          <w:sz w:val="24"/>
          <w:u w:val="thick"/>
        </w:rPr>
        <w:t>ttiecināt  uz  zemnieku  saimniecībām</w:t>
      </w:r>
      <w:r>
        <w:rPr>
          <w:b/>
          <w:sz w:val="24"/>
        </w:rPr>
        <w:t>  </w:t>
      </w:r>
      <w:r>
        <w:rPr>
          <w:sz w:val="24"/>
        </w:rPr>
        <w:t>(likuma   redakcijā,   kas bija spēkā  uz nolēmuma  sagatavošanas  brīdi)  -  LR  AT  Civillietu  departaments 2014.gada 30.maija spriedumā lietā Nr. SPC-19/2014 atzinis: “Analoģija tiesiskā nozīmē ir vienam vai vairākiem līdzīgiem  tiesiskiem sastāviem likumā domātā tiesiskā regulējuma (tiesisko seku) „pārnešana” uz likumā nenoregulētu, bet tiem līdzīgu tiesisko sastāvu. Šāda pārnešana pamatojas uz to, ka sakarā ar šo tiesisko sastāvu līdzību, tie abi atbilstoši taisnīguma principam jāizvērtē līdzīgi </w:t>
      </w:r>
      <w:r>
        <w:rPr>
          <w:i/>
          <w:sz w:val="24"/>
        </w:rPr>
        <w:t>(sk. Jānis </w:t>
      </w:r>
      <w:r>
        <w:rPr>
          <w:i/>
          <w:sz w:val="24"/>
        </w:rPr>
        <w:t>Neimanis. Ievads tiesībās, Rīga, 2004, 178.lpp.). … </w:t>
      </w:r>
      <w:r>
        <w:rPr>
          <w:sz w:val="24"/>
        </w:rPr>
        <w:t>Kā iepriekš jau norādīts, zemnieka saimniecības un individuālā komersanta tiesiskais statuss ir atšķirīgs un attiecīgi noregulēts likumā „Par individuālo (ģimenes) uzņēmumu un zemnieka vai zvejnieka saimniecību ” un Komerclikumā. Maksātnespējas likuma  127.panta trešajā  daļā  ietvertais tiesiskais regulējums attiecas  uz  individuālo  komersantu, proti,  fiziskās personas maksātnespējas process nav piemērojams individuālajam komersantam. Šī norma, Civillietu departamenta ieskatā, nevar tikt piemērota pēc analoģijas, kā to uzskata protesta iesniedzējs, jo tā nav attiecināma uz zemnieka saimniecības īpašnieku,   kurš   nav   Komerclikuma   subjekts,    proti, individuālais komersants. Ja likumdevējs būtu vēlējies šo tiesību normu attiecināt uz zemnieka saimniecības īpašnieku, Maksātnespējas likumā būtu ietverts atbilstošs tiesiskais regulējums.”</w:t>
      </w:r>
      <w:r>
        <w:rPr>
          <w:position w:val="9"/>
          <w:sz w:val="16"/>
        </w:rPr>
        <w:t>44</w:t>
      </w:r>
    </w:p>
    <w:p>
      <w:pPr>
        <w:pStyle w:val="BodyText"/>
        <w:jc w:val="left"/>
        <w:rPr>
          <w:sz w:val="20"/>
        </w:rPr>
      </w:pPr>
    </w:p>
    <w:p>
      <w:pPr>
        <w:pStyle w:val="BodyText"/>
        <w:jc w:val="left"/>
        <w:rPr>
          <w:sz w:val="20"/>
        </w:rPr>
      </w:pPr>
    </w:p>
    <w:p>
      <w:pPr>
        <w:pStyle w:val="BodyText"/>
        <w:spacing w:before="10"/>
        <w:jc w:val="left"/>
        <w:rPr>
          <w:sz w:val="18"/>
        </w:rPr>
      </w:pPr>
      <w:r>
        <w:rPr/>
        <w:pict>
          <v:shape style="position:absolute;margin-left:72pt;margin-top:13.099844pt;width:144pt;height:.1pt;mso-position-horizontal-relative:page;mso-position-vertical-relative:paragraph;z-index:-251650048;mso-wrap-distance-left:0;mso-wrap-distance-right:0" coordorigin="1440,262" coordsize="2880,0" path="m1440,262l4320,262e" filled="false" stroked="true" strokeweight=".600037pt" strokecolor="#000000">
            <v:path arrowok="t"/>
            <v:stroke dashstyle="solid"/>
            <w10:wrap type="topAndBottom"/>
          </v:shape>
        </w:pict>
      </w:r>
    </w:p>
    <w:p>
      <w:pPr>
        <w:spacing w:line="233" w:lineRule="exact" w:before="70"/>
        <w:ind w:left="260" w:right="0" w:firstLine="0"/>
        <w:jc w:val="left"/>
        <w:rPr>
          <w:sz w:val="20"/>
        </w:rPr>
      </w:pPr>
      <w:r>
        <w:rPr>
          <w:position w:val="7"/>
          <w:sz w:val="13"/>
        </w:rPr>
        <w:t>42 </w:t>
      </w:r>
      <w:r>
        <w:rPr>
          <w:sz w:val="20"/>
        </w:rPr>
        <w:t>Kurzemes rajona tiesas 2018.gada 4.jūlija nolēmums lietā Nr. C69256718</w:t>
      </w:r>
    </w:p>
    <w:p>
      <w:pPr>
        <w:spacing w:line="230" w:lineRule="exact" w:before="0"/>
        <w:ind w:left="260" w:right="0" w:firstLine="0"/>
        <w:jc w:val="left"/>
        <w:rPr>
          <w:sz w:val="20"/>
        </w:rPr>
      </w:pPr>
      <w:r>
        <w:rPr>
          <w:position w:val="7"/>
          <w:sz w:val="13"/>
        </w:rPr>
        <w:t>43 </w:t>
      </w:r>
      <w:r>
        <w:rPr>
          <w:sz w:val="20"/>
        </w:rPr>
        <w:t>LR AT Senāta 2011.gada 23.novembra lēmums lietā Nr. SPC – 77/2011</w:t>
      </w:r>
    </w:p>
    <w:p>
      <w:pPr>
        <w:spacing w:line="233" w:lineRule="exact" w:before="0"/>
        <w:ind w:left="260" w:right="0" w:firstLine="0"/>
        <w:jc w:val="left"/>
        <w:rPr>
          <w:sz w:val="20"/>
        </w:rPr>
      </w:pPr>
      <w:r>
        <w:rPr>
          <w:position w:val="7"/>
          <w:sz w:val="13"/>
        </w:rPr>
        <w:t>44 </w:t>
      </w:r>
      <w:r>
        <w:rPr>
          <w:sz w:val="20"/>
        </w:rPr>
        <w:t>LR AT Civillietu departamenta 2014.gada 30.maija spriedums lietā Nr. SPC-19/2014</w:t>
      </w:r>
    </w:p>
    <w:p>
      <w:pPr>
        <w:spacing w:after="0" w:line="233" w:lineRule="exact"/>
        <w:jc w:val="left"/>
        <w:rPr>
          <w:sz w:val="20"/>
        </w:rPr>
        <w:sectPr>
          <w:footerReference w:type="even" r:id="rId13"/>
          <w:footerReference w:type="default" r:id="rId14"/>
          <w:pgSz w:w="11910" w:h="16840"/>
          <w:pgMar w:footer="1055" w:header="0" w:top="1340" w:bottom="1240" w:left="1180" w:right="1040"/>
        </w:sectPr>
      </w:pPr>
    </w:p>
    <w:p>
      <w:pPr>
        <w:pStyle w:val="Heading3"/>
        <w:numPr>
          <w:ilvl w:val="0"/>
          <w:numId w:val="12"/>
        </w:numPr>
        <w:tabs>
          <w:tab w:pos="1328" w:val="left" w:leader="none"/>
        </w:tabs>
        <w:spacing w:line="240" w:lineRule="auto" w:before="78" w:after="0"/>
        <w:ind w:left="1328" w:right="0" w:hanging="348"/>
        <w:jc w:val="left"/>
      </w:pPr>
      <w:r>
        <w:rPr>
          <w:u w:val="thick"/>
        </w:rPr>
        <w:t>)</w:t>
      </w:r>
      <w:r>
        <w:rPr>
          <w:spacing w:val="27"/>
        </w:rPr>
        <w:t> </w:t>
      </w:r>
      <w:r>
        <w:rPr>
          <w:spacing w:val="-161"/>
          <w:u w:val="thick"/>
        </w:rPr>
        <w:t>T</w:t>
      </w:r>
      <w:r>
        <w:rPr>
          <w:spacing w:val="103"/>
        </w:rPr>
        <w:t> </w:t>
      </w:r>
      <w:r>
        <w:rPr>
          <w:u w:val="thick"/>
        </w:rPr>
        <w:t>iesai</w:t>
      </w:r>
      <w:r>
        <w:rPr>
          <w:spacing w:val="16"/>
          <w:u w:val="thick"/>
        </w:rPr>
        <w:t> </w:t>
      </w:r>
      <w:r>
        <w:rPr>
          <w:u w:val="thick"/>
        </w:rPr>
        <w:t>ir</w:t>
      </w:r>
      <w:r>
        <w:rPr>
          <w:spacing w:val="16"/>
          <w:u w:val="thick"/>
        </w:rPr>
        <w:t> </w:t>
      </w:r>
      <w:r>
        <w:rPr>
          <w:u w:val="thick"/>
        </w:rPr>
        <w:t>pienākums</w:t>
      </w:r>
      <w:r>
        <w:rPr>
          <w:spacing w:val="16"/>
          <w:u w:val="thick"/>
        </w:rPr>
        <w:t> </w:t>
      </w:r>
      <w:r>
        <w:rPr>
          <w:u w:val="thick"/>
        </w:rPr>
        <w:t>pārbaudīt</w:t>
      </w:r>
      <w:r>
        <w:rPr>
          <w:spacing w:val="15"/>
          <w:u w:val="thick"/>
        </w:rPr>
        <w:t> </w:t>
      </w:r>
      <w:r>
        <w:rPr>
          <w:u w:val="thick"/>
        </w:rPr>
        <w:t>maksātnespējas</w:t>
      </w:r>
      <w:r>
        <w:rPr>
          <w:spacing w:val="16"/>
          <w:u w:val="thick"/>
        </w:rPr>
        <w:t> </w:t>
      </w:r>
      <w:r>
        <w:rPr>
          <w:u w:val="thick"/>
        </w:rPr>
        <w:t>procesa</w:t>
      </w:r>
      <w:r>
        <w:rPr>
          <w:spacing w:val="16"/>
          <w:u w:val="thick"/>
        </w:rPr>
        <w:t> </w:t>
      </w:r>
      <w:r>
        <w:rPr>
          <w:u w:val="thick"/>
        </w:rPr>
        <w:t>pazīmes</w:t>
      </w:r>
      <w:r>
        <w:rPr>
          <w:spacing w:val="16"/>
          <w:u w:val="thick"/>
        </w:rPr>
        <w:t> </w:t>
      </w:r>
      <w:r>
        <w:rPr>
          <w:u w:val="thick"/>
        </w:rPr>
        <w:t>esamību,</w:t>
      </w:r>
      <w:r>
        <w:rPr>
          <w:spacing w:val="16"/>
          <w:u w:val="thick"/>
        </w:rPr>
        <w:t> </w:t>
      </w:r>
      <w:r>
        <w:rPr>
          <w:spacing w:val="-3"/>
          <w:u w:val="thick"/>
        </w:rPr>
        <w:t>tai</w:t>
      </w:r>
    </w:p>
    <w:p>
      <w:pPr>
        <w:pStyle w:val="BodyText"/>
        <w:ind w:left="1327" w:right="396"/>
        <w:rPr>
          <w:sz w:val="16"/>
        </w:rPr>
      </w:pPr>
      <w:r>
        <w:rPr>
          <w:b/>
          <w:spacing w:val="-94"/>
          <w:u w:val="thick"/>
        </w:rPr>
        <w:t>s</w:t>
      </w:r>
      <w:r>
        <w:rPr>
          <w:b/>
          <w:spacing w:val="37"/>
        </w:rPr>
        <w:t> </w:t>
      </w:r>
      <w:r>
        <w:rPr>
          <w:b/>
          <w:u w:val="thick"/>
        </w:rPr>
        <w:t>kaitā pieteicēja nespēju nokārtot parādsaistības</w:t>
      </w:r>
      <w:r>
        <w:rPr>
          <w:b/>
        </w:rPr>
        <w:t> - </w:t>
      </w:r>
      <w:r>
        <w:rPr>
          <w:spacing w:val="-3"/>
        </w:rPr>
        <w:t>LR </w:t>
      </w:r>
      <w:r>
        <w:rPr/>
        <w:t>AT Senāts  ar  2012.gada 3.septembra spriedumu lietā Nr. SPC – 37/2012 nolēma atcelt Ogres rajona tiesas spriedumu, ar kuru bija pasludināts pieteicēja fiziskās personas maksātnespējas process. Minētajā lietā Cēsu rajona tiesa bija noraidījusi pieteicēja maksātnespējas</w:t>
      </w:r>
      <w:r>
        <w:rPr>
          <w:spacing w:val="-9"/>
        </w:rPr>
        <w:t> </w:t>
      </w:r>
      <w:r>
        <w:rPr/>
        <w:t>pieteikumu</w:t>
      </w:r>
      <w:r>
        <w:rPr>
          <w:spacing w:val="-6"/>
        </w:rPr>
        <w:t> </w:t>
      </w:r>
      <w:r>
        <w:rPr/>
        <w:t>(no</w:t>
      </w:r>
      <w:r>
        <w:rPr>
          <w:spacing w:val="-9"/>
        </w:rPr>
        <w:t> </w:t>
      </w:r>
      <w:r>
        <w:rPr/>
        <w:t>lietā</w:t>
      </w:r>
      <w:r>
        <w:rPr>
          <w:spacing w:val="-9"/>
        </w:rPr>
        <w:t> </w:t>
      </w:r>
      <w:r>
        <w:rPr/>
        <w:t>esošajiem</w:t>
      </w:r>
      <w:r>
        <w:rPr>
          <w:spacing w:val="-9"/>
        </w:rPr>
        <w:t> </w:t>
      </w:r>
      <w:r>
        <w:rPr/>
        <w:t>pierādījumiem</w:t>
      </w:r>
      <w:r>
        <w:rPr>
          <w:spacing w:val="-8"/>
        </w:rPr>
        <w:t> </w:t>
      </w:r>
      <w:r>
        <w:rPr/>
        <w:t>tiesa</w:t>
      </w:r>
      <w:r>
        <w:rPr>
          <w:spacing w:val="-9"/>
        </w:rPr>
        <w:t> </w:t>
      </w:r>
      <w:r>
        <w:rPr/>
        <w:t>konstatējusi,</w:t>
      </w:r>
      <w:r>
        <w:rPr>
          <w:spacing w:val="-9"/>
        </w:rPr>
        <w:t> </w:t>
      </w:r>
      <w:r>
        <w:rPr/>
        <w:t>ka pieteicēja ienākumi nav būtiski samazinājušies, un nav pierādīts, ka pieteicējam nebija iespējams kārtot parādsaistības pret kreditoru), savukārt Ogres rajona tiesa identisku pieteikumu apmierināja un pasludināja pieteicēja maksātnespējas procesu. Senāts atzina, ka </w:t>
      </w:r>
      <w:r>
        <w:rPr>
          <w:spacing w:val="-6"/>
        </w:rPr>
        <w:t>tiesa, pasludinot </w:t>
      </w:r>
      <w:r>
        <w:rPr>
          <w:i/>
        </w:rPr>
        <w:t>Pers.A </w:t>
      </w:r>
      <w:r>
        <w:rPr>
          <w:spacing w:val="-7"/>
        </w:rPr>
        <w:t>maksātnespējas </w:t>
      </w:r>
      <w:r>
        <w:rPr>
          <w:spacing w:val="-6"/>
        </w:rPr>
        <w:t>procesu, </w:t>
      </w:r>
      <w:r>
        <w:rPr>
          <w:spacing w:val="-5"/>
        </w:rPr>
        <w:t>nav </w:t>
      </w:r>
      <w:r>
        <w:rPr>
          <w:spacing w:val="-7"/>
        </w:rPr>
        <w:t>noskaidrojusi</w:t>
      </w:r>
      <w:r>
        <w:rPr>
          <w:spacing w:val="-16"/>
        </w:rPr>
        <w:t> </w:t>
      </w:r>
      <w:r>
        <w:rPr>
          <w:spacing w:val="-4"/>
        </w:rPr>
        <w:t>un</w:t>
      </w:r>
      <w:r>
        <w:rPr>
          <w:spacing w:val="-19"/>
        </w:rPr>
        <w:t> </w:t>
      </w:r>
      <w:r>
        <w:rPr>
          <w:spacing w:val="-6"/>
        </w:rPr>
        <w:t>izvērtējusi</w:t>
      </w:r>
      <w:r>
        <w:rPr>
          <w:spacing w:val="-22"/>
        </w:rPr>
        <w:t> </w:t>
      </w:r>
      <w:r>
        <w:rPr>
          <w:spacing w:val="-5"/>
        </w:rPr>
        <w:t>likumā</w:t>
      </w:r>
      <w:r>
        <w:rPr>
          <w:spacing w:val="-20"/>
        </w:rPr>
        <w:t> </w:t>
      </w:r>
      <w:r>
        <w:rPr>
          <w:spacing w:val="-6"/>
        </w:rPr>
        <w:t>noteiktos</w:t>
      </w:r>
      <w:r>
        <w:rPr>
          <w:spacing w:val="-16"/>
        </w:rPr>
        <w:t> </w:t>
      </w:r>
      <w:r>
        <w:rPr>
          <w:spacing w:val="-6"/>
        </w:rPr>
        <w:t>apstākļus,</w:t>
      </w:r>
      <w:r>
        <w:rPr>
          <w:spacing w:val="-19"/>
        </w:rPr>
        <w:t> </w:t>
      </w:r>
      <w:r>
        <w:rPr>
          <w:spacing w:val="-6"/>
        </w:rPr>
        <w:t>kuriem</w:t>
      </w:r>
      <w:r>
        <w:rPr>
          <w:spacing w:val="-19"/>
        </w:rPr>
        <w:t> </w:t>
      </w:r>
      <w:r>
        <w:rPr>
          <w:spacing w:val="-3"/>
        </w:rPr>
        <w:t>ir</w:t>
      </w:r>
      <w:r>
        <w:rPr>
          <w:spacing w:val="-20"/>
        </w:rPr>
        <w:t> </w:t>
      </w:r>
      <w:r>
        <w:rPr>
          <w:spacing w:val="-6"/>
        </w:rPr>
        <w:t>būtiska</w:t>
      </w:r>
      <w:r>
        <w:rPr>
          <w:spacing w:val="-18"/>
        </w:rPr>
        <w:t> </w:t>
      </w:r>
      <w:r>
        <w:rPr>
          <w:spacing w:val="-6"/>
        </w:rPr>
        <w:t>nozīme</w:t>
      </w:r>
      <w:r>
        <w:rPr>
          <w:spacing w:val="-20"/>
        </w:rPr>
        <w:t> </w:t>
      </w:r>
      <w:r>
        <w:rPr>
          <w:spacing w:val="-6"/>
        </w:rPr>
        <w:t>tiesiska </w:t>
      </w:r>
      <w:r>
        <w:rPr>
          <w:spacing w:val="-4"/>
        </w:rPr>
        <w:t>un</w:t>
      </w:r>
      <w:r>
        <w:rPr>
          <w:spacing w:val="52"/>
        </w:rPr>
        <w:t> </w:t>
      </w:r>
      <w:r>
        <w:rPr>
          <w:spacing w:val="-6"/>
        </w:rPr>
        <w:t>pamatota sprieduma taisīšanā, </w:t>
      </w:r>
      <w:r>
        <w:rPr>
          <w:spacing w:val="-5"/>
        </w:rPr>
        <w:t>nav </w:t>
      </w:r>
      <w:r>
        <w:rPr>
          <w:spacing w:val="-6"/>
        </w:rPr>
        <w:t>ievērojusi Civilprocesa </w:t>
      </w:r>
      <w:r>
        <w:rPr>
          <w:spacing w:val="-5"/>
        </w:rPr>
        <w:t>likuma </w:t>
      </w:r>
      <w:r>
        <w:rPr>
          <w:spacing w:val="-6"/>
        </w:rPr>
        <w:t>97.panta noteikumus </w:t>
      </w:r>
      <w:r>
        <w:rPr>
          <w:spacing w:val="-4"/>
        </w:rPr>
        <w:t>par </w:t>
      </w:r>
      <w:r>
        <w:rPr>
          <w:spacing w:val="-6"/>
        </w:rPr>
        <w:t>pierādījumu vispusīgu, pilnīgu </w:t>
      </w:r>
      <w:r>
        <w:rPr>
          <w:spacing w:val="-3"/>
        </w:rPr>
        <w:t>un </w:t>
      </w:r>
      <w:r>
        <w:rPr>
          <w:spacing w:val="-7"/>
        </w:rPr>
        <w:t>objektīvu </w:t>
      </w:r>
      <w:r>
        <w:rPr>
          <w:spacing w:val="-6"/>
        </w:rPr>
        <w:t>pārbaudi, </w:t>
      </w:r>
      <w:r>
        <w:rPr>
          <w:spacing w:val="-5"/>
        </w:rPr>
        <w:t>līdz </w:t>
      </w:r>
      <w:r>
        <w:rPr>
          <w:spacing w:val="-3"/>
        </w:rPr>
        <w:t>ar to </w:t>
      </w:r>
      <w:r>
        <w:rPr>
          <w:spacing w:val="-6"/>
        </w:rPr>
        <w:t>tiesas spriedums neatbilst Civilprocesa </w:t>
      </w:r>
      <w:r>
        <w:rPr>
          <w:spacing w:val="-5"/>
        </w:rPr>
        <w:t>likuma </w:t>
      </w:r>
      <w:r>
        <w:rPr>
          <w:spacing w:val="-6"/>
        </w:rPr>
        <w:t>193.panta</w:t>
      </w:r>
      <w:r>
        <w:rPr>
          <w:spacing w:val="-43"/>
        </w:rPr>
        <w:t> </w:t>
      </w:r>
      <w:r>
        <w:rPr/>
        <w:t>prasībām.</w:t>
      </w:r>
      <w:r>
        <w:rPr>
          <w:position w:val="9"/>
          <w:sz w:val="16"/>
        </w:rPr>
        <w:t>45</w:t>
      </w:r>
    </w:p>
    <w:p>
      <w:pPr>
        <w:pStyle w:val="BodyText"/>
        <w:spacing w:before="10"/>
        <w:jc w:val="left"/>
        <w:rPr>
          <w:sz w:val="14"/>
        </w:rPr>
      </w:pPr>
    </w:p>
    <w:p>
      <w:pPr>
        <w:pStyle w:val="Heading3"/>
        <w:numPr>
          <w:ilvl w:val="0"/>
          <w:numId w:val="12"/>
        </w:numPr>
        <w:tabs>
          <w:tab w:pos="1328" w:val="left" w:leader="none"/>
        </w:tabs>
        <w:spacing w:line="240" w:lineRule="auto" w:before="90" w:after="0"/>
        <w:ind w:left="1328" w:right="0" w:hanging="348"/>
        <w:jc w:val="left"/>
      </w:pPr>
      <w:r>
        <w:rPr>
          <w:u w:val="thick"/>
        </w:rPr>
        <w:t>)</w:t>
      </w:r>
      <w:r>
        <w:rPr>
          <w:spacing w:val="26"/>
        </w:rPr>
        <w:t> </w:t>
      </w:r>
      <w:r>
        <w:rPr>
          <w:spacing w:val="-161"/>
          <w:u w:val="thick"/>
        </w:rPr>
        <w:t>T</w:t>
      </w:r>
      <w:r>
        <w:rPr>
          <w:spacing w:val="101"/>
        </w:rPr>
        <w:t> </w:t>
      </w:r>
      <w:r>
        <w:rPr>
          <w:u w:val="thick"/>
        </w:rPr>
        <w:t>iesai</w:t>
      </w:r>
      <w:r>
        <w:rPr>
          <w:spacing w:val="32"/>
          <w:u w:val="thick"/>
        </w:rPr>
        <w:t> </w:t>
      </w:r>
      <w:r>
        <w:rPr>
          <w:u w:val="thick"/>
        </w:rPr>
        <w:t>jāaprobežojas</w:t>
      </w:r>
      <w:r>
        <w:rPr>
          <w:spacing w:val="31"/>
          <w:u w:val="thick"/>
        </w:rPr>
        <w:t> </w:t>
      </w:r>
      <w:r>
        <w:rPr>
          <w:u w:val="thick"/>
        </w:rPr>
        <w:t>ar</w:t>
      </w:r>
      <w:r>
        <w:rPr>
          <w:spacing w:val="32"/>
          <w:u w:val="thick"/>
        </w:rPr>
        <w:t> </w:t>
      </w:r>
      <w:r>
        <w:rPr>
          <w:u w:val="thick"/>
        </w:rPr>
        <w:t>formālu</w:t>
      </w:r>
      <w:r>
        <w:rPr>
          <w:spacing w:val="35"/>
          <w:u w:val="thick"/>
        </w:rPr>
        <w:t> </w:t>
      </w:r>
      <w:r>
        <w:rPr>
          <w:u w:val="thick"/>
        </w:rPr>
        <w:t>Maksātnespējas</w:t>
      </w:r>
      <w:r>
        <w:rPr>
          <w:spacing w:val="32"/>
          <w:u w:val="thick"/>
        </w:rPr>
        <w:t> </w:t>
      </w:r>
      <w:r>
        <w:rPr>
          <w:u w:val="thick"/>
        </w:rPr>
        <w:t>likuma</w:t>
      </w:r>
      <w:r>
        <w:rPr>
          <w:spacing w:val="32"/>
          <w:u w:val="thick"/>
        </w:rPr>
        <w:t> </w:t>
      </w:r>
      <w:r>
        <w:rPr>
          <w:u w:val="thick"/>
        </w:rPr>
        <w:t>129.panta</w:t>
      </w:r>
      <w:r>
        <w:rPr>
          <w:spacing w:val="32"/>
          <w:u w:val="thick"/>
        </w:rPr>
        <w:t> </w:t>
      </w:r>
      <w:r>
        <w:rPr>
          <w:u w:val="thick"/>
        </w:rPr>
        <w:t>pirmajā</w:t>
      </w:r>
    </w:p>
    <w:p>
      <w:pPr>
        <w:pStyle w:val="BodyText"/>
        <w:ind w:left="1327" w:right="401"/>
        <w:rPr>
          <w:sz w:val="16"/>
        </w:rPr>
      </w:pPr>
      <w:r>
        <w:rPr>
          <w:b/>
          <w:spacing w:val="-134"/>
          <w:u w:val="thick"/>
        </w:rPr>
        <w:t>d</w:t>
      </w:r>
      <w:r>
        <w:rPr>
          <w:b/>
          <w:spacing w:val="73"/>
        </w:rPr>
        <w:t> </w:t>
      </w:r>
      <w:r>
        <w:rPr>
          <w:b/>
          <w:u w:val="thick"/>
        </w:rPr>
        <w:t>aļā</w:t>
      </w:r>
      <w:r>
        <w:rPr>
          <w:b/>
          <w:spacing w:val="-10"/>
          <w:u w:val="thick"/>
        </w:rPr>
        <w:t> </w:t>
      </w:r>
      <w:r>
        <w:rPr>
          <w:b/>
          <w:u w:val="thick"/>
        </w:rPr>
        <w:t>noteikto</w:t>
      </w:r>
      <w:r>
        <w:rPr>
          <w:b/>
          <w:spacing w:val="-11"/>
          <w:u w:val="thick"/>
        </w:rPr>
        <w:t> </w:t>
      </w:r>
      <w:r>
        <w:rPr>
          <w:b/>
          <w:u w:val="thick"/>
        </w:rPr>
        <w:t>maksātnespējas</w:t>
      </w:r>
      <w:r>
        <w:rPr>
          <w:b/>
          <w:spacing w:val="-11"/>
          <w:u w:val="thick"/>
        </w:rPr>
        <w:t> </w:t>
      </w:r>
      <w:r>
        <w:rPr>
          <w:b/>
          <w:u w:val="thick"/>
        </w:rPr>
        <w:t>pazīmju</w:t>
      </w:r>
      <w:r>
        <w:rPr>
          <w:b/>
          <w:spacing w:val="-12"/>
          <w:u w:val="thick"/>
        </w:rPr>
        <w:t> </w:t>
      </w:r>
      <w:r>
        <w:rPr>
          <w:b/>
          <w:u w:val="thick"/>
        </w:rPr>
        <w:t>konstatējumu,</w:t>
      </w:r>
      <w:r>
        <w:rPr>
          <w:b/>
          <w:spacing w:val="-9"/>
          <w:u w:val="thick"/>
        </w:rPr>
        <w:t> </w:t>
      </w:r>
      <w:r>
        <w:rPr>
          <w:b/>
          <w:u w:val="thick"/>
        </w:rPr>
        <w:t>nevērtējot</w:t>
      </w:r>
      <w:r>
        <w:rPr>
          <w:b/>
          <w:spacing w:val="-11"/>
          <w:u w:val="thick"/>
        </w:rPr>
        <w:t> </w:t>
      </w:r>
      <w:r>
        <w:rPr>
          <w:b/>
          <w:u w:val="thick"/>
        </w:rPr>
        <w:t>parādsaistību</w:t>
      </w:r>
      <w:r>
        <w:rPr>
          <w:b/>
        </w:rPr>
        <w:t> </w:t>
      </w:r>
      <w:r>
        <w:rPr>
          <w:b/>
          <w:spacing w:val="-107"/>
          <w:u w:val="thick"/>
        </w:rPr>
        <w:t>r</w:t>
      </w:r>
      <w:r>
        <w:rPr>
          <w:b/>
          <w:spacing w:val="49"/>
        </w:rPr>
        <w:t> </w:t>
      </w:r>
      <w:r>
        <w:rPr>
          <w:b/>
          <w:u w:val="thick"/>
        </w:rPr>
        <w:t>ašanās iemeslus</w:t>
      </w:r>
      <w:r>
        <w:rPr>
          <w:b/>
        </w:rPr>
        <w:t> - </w:t>
      </w:r>
      <w:r>
        <w:rPr>
          <w:spacing w:val="-3"/>
        </w:rPr>
        <w:t>LR </w:t>
      </w:r>
      <w:r>
        <w:rPr/>
        <w:t>AT Senāts 2013.gada 4.decembra spriedumā lietā SPC- </w:t>
      </w:r>
      <w:r>
        <w:rPr>
          <w:spacing w:val="-3"/>
        </w:rPr>
        <w:t>49/2013 atzina, </w:t>
      </w:r>
      <w:r>
        <w:rPr/>
        <w:t>ka Maksātnespējas likuma 129.panta pirmās daļas 1.punktā paredzētās maksātnespējas pazīmes konstatēšanai nav nepieciešams pievērsties parādsaistību</w:t>
      </w:r>
      <w:r>
        <w:rPr>
          <w:spacing w:val="-18"/>
        </w:rPr>
        <w:t> </w:t>
      </w:r>
      <w:r>
        <w:rPr/>
        <w:t>rašanās</w:t>
      </w:r>
      <w:r>
        <w:rPr>
          <w:spacing w:val="-21"/>
        </w:rPr>
        <w:t> </w:t>
      </w:r>
      <w:r>
        <w:rPr/>
        <w:t>iemeslu</w:t>
      </w:r>
      <w:r>
        <w:rPr>
          <w:spacing w:val="-17"/>
        </w:rPr>
        <w:t> </w:t>
      </w:r>
      <w:r>
        <w:rPr/>
        <w:t>analīzei</w:t>
      </w:r>
      <w:r>
        <w:rPr>
          <w:spacing w:val="-19"/>
        </w:rPr>
        <w:t> </w:t>
      </w:r>
      <w:r>
        <w:rPr/>
        <w:t>un</w:t>
      </w:r>
      <w:r>
        <w:rPr>
          <w:spacing w:val="-19"/>
        </w:rPr>
        <w:t> </w:t>
      </w:r>
      <w:r>
        <w:rPr/>
        <w:t>izvērtējumam,</w:t>
      </w:r>
      <w:r>
        <w:rPr>
          <w:spacing w:val="-18"/>
        </w:rPr>
        <w:t> </w:t>
      </w:r>
      <w:r>
        <w:rPr/>
        <w:t>bet</w:t>
      </w:r>
      <w:r>
        <w:rPr>
          <w:spacing w:val="-17"/>
        </w:rPr>
        <w:t> </w:t>
      </w:r>
      <w:r>
        <w:rPr/>
        <w:t>atliek</w:t>
      </w:r>
      <w:r>
        <w:rPr>
          <w:spacing w:val="-19"/>
        </w:rPr>
        <w:t> </w:t>
      </w:r>
      <w:r>
        <w:rPr/>
        <w:t>vien</w:t>
      </w:r>
      <w:r>
        <w:rPr>
          <w:spacing w:val="-17"/>
        </w:rPr>
        <w:t> </w:t>
      </w:r>
      <w:r>
        <w:rPr/>
        <w:t>pārbaudīt</w:t>
      </w:r>
      <w:r>
        <w:rPr>
          <w:spacing w:val="-19"/>
        </w:rPr>
        <w:t> </w:t>
      </w:r>
      <w:r>
        <w:rPr/>
        <w:t>vai uz pieteikuma iesniegšanas brīdi fiziskajai personai ir parādsaistības virs </w:t>
      </w:r>
      <w:r>
        <w:rPr>
          <w:spacing w:val="-3"/>
        </w:rPr>
        <w:t>Ls </w:t>
      </w:r>
      <w:r>
        <w:rPr/>
        <w:t>5000, kurām</w:t>
      </w:r>
      <w:r>
        <w:rPr>
          <w:spacing w:val="-18"/>
        </w:rPr>
        <w:t> </w:t>
      </w:r>
      <w:r>
        <w:rPr/>
        <w:t>iestājies</w:t>
      </w:r>
      <w:r>
        <w:rPr>
          <w:spacing w:val="-20"/>
        </w:rPr>
        <w:t> </w:t>
      </w:r>
      <w:r>
        <w:rPr/>
        <w:t>izpildes</w:t>
      </w:r>
      <w:r>
        <w:rPr>
          <w:spacing w:val="-17"/>
        </w:rPr>
        <w:t> </w:t>
      </w:r>
      <w:r>
        <w:rPr/>
        <w:t>termiņš,</w:t>
      </w:r>
      <w:r>
        <w:rPr>
          <w:spacing w:val="-18"/>
        </w:rPr>
        <w:t> </w:t>
      </w:r>
      <w:r>
        <w:rPr/>
        <w:t>un</w:t>
      </w:r>
      <w:r>
        <w:rPr>
          <w:spacing w:val="-18"/>
        </w:rPr>
        <w:t> </w:t>
      </w:r>
      <w:r>
        <w:rPr/>
        <w:t>vai</w:t>
      </w:r>
      <w:r>
        <w:rPr>
          <w:spacing w:val="-17"/>
        </w:rPr>
        <w:t> </w:t>
      </w:r>
      <w:r>
        <w:rPr/>
        <w:t>persona</w:t>
      </w:r>
      <w:r>
        <w:rPr>
          <w:spacing w:val="-20"/>
        </w:rPr>
        <w:t> </w:t>
      </w:r>
      <w:r>
        <w:rPr/>
        <w:t>tās</w:t>
      </w:r>
      <w:r>
        <w:rPr>
          <w:spacing w:val="-15"/>
        </w:rPr>
        <w:t> </w:t>
      </w:r>
      <w:r>
        <w:rPr/>
        <w:t>spēj</w:t>
      </w:r>
      <w:r>
        <w:rPr>
          <w:spacing w:val="-19"/>
        </w:rPr>
        <w:t> </w:t>
      </w:r>
      <w:r>
        <w:rPr/>
        <w:t>nokārtot.</w:t>
      </w:r>
      <w:r>
        <w:rPr>
          <w:spacing w:val="-18"/>
        </w:rPr>
        <w:t> </w:t>
      </w:r>
      <w:r>
        <w:rPr/>
        <w:t>Senāts</w:t>
      </w:r>
      <w:r>
        <w:rPr>
          <w:spacing w:val="-17"/>
        </w:rPr>
        <w:t> </w:t>
      </w:r>
      <w:r>
        <w:rPr/>
        <w:t>arī</w:t>
      </w:r>
      <w:r>
        <w:rPr>
          <w:spacing w:val="-18"/>
        </w:rPr>
        <w:t> </w:t>
      </w:r>
      <w:r>
        <w:rPr/>
        <w:t>norādīja, ka tiesas konstatētajiem apstākļiem attiecībā uz parāda rašanās iemesliem (pienākumu nepildīšana pēc labas ticības (Civillikuma 1.pants) un nepamatots saistību izpildes nokavējums), kas noveduši pie saistību apmēra palielināšanās un visu</w:t>
      </w:r>
      <w:r>
        <w:rPr>
          <w:spacing w:val="-15"/>
        </w:rPr>
        <w:t> </w:t>
      </w:r>
      <w:r>
        <w:rPr/>
        <w:t>saistību</w:t>
      </w:r>
      <w:r>
        <w:rPr>
          <w:spacing w:val="-14"/>
        </w:rPr>
        <w:t> </w:t>
      </w:r>
      <w:r>
        <w:rPr/>
        <w:t>izpildes</w:t>
      </w:r>
      <w:r>
        <w:rPr>
          <w:spacing w:val="-15"/>
        </w:rPr>
        <w:t> </w:t>
      </w:r>
      <w:r>
        <w:rPr/>
        <w:t>termiņa</w:t>
      </w:r>
      <w:r>
        <w:rPr>
          <w:spacing w:val="-16"/>
        </w:rPr>
        <w:t> </w:t>
      </w:r>
      <w:r>
        <w:rPr/>
        <w:t>iestāšanās,</w:t>
      </w:r>
      <w:r>
        <w:rPr>
          <w:spacing w:val="-11"/>
        </w:rPr>
        <w:t> </w:t>
      </w:r>
      <w:r>
        <w:rPr/>
        <w:t>konkrētajā</w:t>
      </w:r>
      <w:r>
        <w:rPr>
          <w:spacing w:val="-15"/>
        </w:rPr>
        <w:t> </w:t>
      </w:r>
      <w:r>
        <w:rPr/>
        <w:t>gadījumā</w:t>
      </w:r>
      <w:r>
        <w:rPr>
          <w:spacing w:val="-12"/>
        </w:rPr>
        <w:t> </w:t>
      </w:r>
      <w:r>
        <w:rPr/>
        <w:t>nav</w:t>
      </w:r>
      <w:r>
        <w:rPr>
          <w:spacing w:val="-16"/>
        </w:rPr>
        <w:t> </w:t>
      </w:r>
      <w:r>
        <w:rPr/>
        <w:t>būtiskas</w:t>
      </w:r>
      <w:r>
        <w:rPr>
          <w:spacing w:val="-15"/>
        </w:rPr>
        <w:t> </w:t>
      </w:r>
      <w:r>
        <w:rPr/>
        <w:t>nozīmes. Maksātnespējas likums, kura 152.pants kā ierobežojumu fiziskās personas maksātnespējas</w:t>
      </w:r>
      <w:r>
        <w:rPr>
          <w:spacing w:val="-17"/>
        </w:rPr>
        <w:t> </w:t>
      </w:r>
      <w:r>
        <w:rPr/>
        <w:t>procesa</w:t>
      </w:r>
      <w:r>
        <w:rPr>
          <w:spacing w:val="-16"/>
        </w:rPr>
        <w:t> </w:t>
      </w:r>
      <w:r>
        <w:rPr/>
        <w:t>piemērošanai</w:t>
      </w:r>
      <w:r>
        <w:rPr>
          <w:spacing w:val="-18"/>
        </w:rPr>
        <w:t> </w:t>
      </w:r>
      <w:r>
        <w:rPr/>
        <w:t>paredzēja</w:t>
      </w:r>
      <w:r>
        <w:rPr>
          <w:spacing w:val="-14"/>
        </w:rPr>
        <w:t> </w:t>
      </w:r>
      <w:r>
        <w:rPr/>
        <w:t>apstākli,</w:t>
      </w:r>
      <w:r>
        <w:rPr>
          <w:spacing w:val="-16"/>
        </w:rPr>
        <w:t> </w:t>
      </w:r>
      <w:r>
        <w:rPr/>
        <w:t>ka</w:t>
      </w:r>
      <w:r>
        <w:rPr>
          <w:spacing w:val="-18"/>
        </w:rPr>
        <w:t> </w:t>
      </w:r>
      <w:r>
        <w:rPr/>
        <w:t>maksātnespējas</w:t>
      </w:r>
      <w:r>
        <w:rPr>
          <w:spacing w:val="-14"/>
        </w:rPr>
        <w:t> </w:t>
      </w:r>
      <w:r>
        <w:rPr/>
        <w:t>cēlonis ir šīs personas nodoms vai rupja neuzmanība pēdējo triju gadu laikā pirms maksātnespējas  procesa  lietas  ierosināšanas  dienas,   spēku   zaudēja   2010.gada 1.novembrī. Šobrīd spēkā esošais Maksātnespējas likums tādu ierobežojumu</w:t>
      </w:r>
      <w:r>
        <w:rPr>
          <w:spacing w:val="-12"/>
        </w:rPr>
        <w:t> </w:t>
      </w:r>
      <w:r>
        <w:rPr/>
        <w:t>vairs</w:t>
      </w:r>
      <w:r>
        <w:rPr>
          <w:spacing w:val="-12"/>
        </w:rPr>
        <w:t> </w:t>
      </w:r>
      <w:r>
        <w:rPr/>
        <w:t>neparedz</w:t>
      </w:r>
      <w:r>
        <w:rPr>
          <w:spacing w:val="-11"/>
        </w:rPr>
        <w:t> </w:t>
      </w:r>
      <w:r>
        <w:rPr/>
        <w:t>un</w:t>
      </w:r>
      <w:r>
        <w:rPr>
          <w:spacing w:val="-12"/>
        </w:rPr>
        <w:t> </w:t>
      </w:r>
      <w:r>
        <w:rPr/>
        <w:t>līdz</w:t>
      </w:r>
      <w:r>
        <w:rPr>
          <w:spacing w:val="-11"/>
        </w:rPr>
        <w:t> </w:t>
      </w:r>
      <w:r>
        <w:rPr/>
        <w:t>ar</w:t>
      </w:r>
      <w:r>
        <w:rPr>
          <w:spacing w:val="-15"/>
        </w:rPr>
        <w:t> </w:t>
      </w:r>
      <w:r>
        <w:rPr/>
        <w:t>to,</w:t>
      </w:r>
      <w:r>
        <w:rPr>
          <w:spacing w:val="-12"/>
        </w:rPr>
        <w:t> </w:t>
      </w:r>
      <w:r>
        <w:rPr/>
        <w:t>kā</w:t>
      </w:r>
      <w:r>
        <w:rPr>
          <w:spacing w:val="-14"/>
        </w:rPr>
        <w:t> </w:t>
      </w:r>
      <w:r>
        <w:rPr/>
        <w:t>tas</w:t>
      </w:r>
      <w:r>
        <w:rPr>
          <w:spacing w:val="-12"/>
        </w:rPr>
        <w:t> </w:t>
      </w:r>
      <w:r>
        <w:rPr/>
        <w:t>izriet</w:t>
      </w:r>
      <w:r>
        <w:rPr>
          <w:spacing w:val="-12"/>
        </w:rPr>
        <w:t> </w:t>
      </w:r>
      <w:r>
        <w:rPr/>
        <w:t>arī</w:t>
      </w:r>
      <w:r>
        <w:rPr>
          <w:spacing w:val="-14"/>
        </w:rPr>
        <w:t> </w:t>
      </w:r>
      <w:r>
        <w:rPr/>
        <w:t>no</w:t>
      </w:r>
      <w:r>
        <w:rPr>
          <w:spacing w:val="-12"/>
        </w:rPr>
        <w:t> </w:t>
      </w:r>
      <w:r>
        <w:rPr/>
        <w:t>protestā</w:t>
      </w:r>
      <w:r>
        <w:rPr>
          <w:spacing w:val="-12"/>
        </w:rPr>
        <w:t> </w:t>
      </w:r>
      <w:r>
        <w:rPr/>
        <w:t>norādītā,</w:t>
      </w:r>
      <w:r>
        <w:rPr>
          <w:spacing w:val="-12"/>
        </w:rPr>
        <w:t> </w:t>
      </w:r>
      <w:r>
        <w:rPr/>
        <w:t>tiesai jāaprobežojas ar formālu Maksātnespējas likuma 129.panta pirmajā daļā noteikto maksātnespējas pazīmju konstatējumu.</w:t>
      </w:r>
      <w:r>
        <w:rPr>
          <w:position w:val="9"/>
          <w:sz w:val="16"/>
        </w:rPr>
        <w:t>46</w:t>
      </w:r>
    </w:p>
    <w:p>
      <w:pPr>
        <w:pStyle w:val="BodyText"/>
        <w:spacing w:before="10"/>
        <w:jc w:val="left"/>
        <w:rPr>
          <w:sz w:val="14"/>
        </w:rPr>
      </w:pPr>
    </w:p>
    <w:p>
      <w:pPr>
        <w:spacing w:after="0"/>
        <w:jc w:val="left"/>
        <w:rPr>
          <w:sz w:val="14"/>
        </w:rPr>
        <w:sectPr>
          <w:pgSz w:w="11910" w:h="16840"/>
          <w:pgMar w:header="0" w:footer="1055" w:top="1340" w:bottom="1240" w:left="1180" w:right="1040"/>
        </w:sectPr>
      </w:pPr>
    </w:p>
    <w:p>
      <w:pPr>
        <w:pStyle w:val="Heading3"/>
        <w:spacing w:before="90"/>
        <w:ind w:left="0"/>
        <w:jc w:val="right"/>
      </w:pPr>
      <w:r>
        <w:rPr>
          <w:spacing w:val="-120"/>
          <w:u w:val="thick"/>
        </w:rPr>
        <w:t>5</w:t>
      </w:r>
      <w:r>
        <w:rPr>
          <w:spacing w:val="62"/>
        </w:rPr>
        <w:t> </w:t>
      </w:r>
      <w:r>
        <w:rPr>
          <w:u w:val="thick"/>
        </w:rPr>
        <w:t>)</w:t>
      </w:r>
    </w:p>
    <w:p>
      <w:pPr>
        <w:tabs>
          <w:tab w:pos="2006" w:val="left" w:leader="none"/>
          <w:tab w:pos="3099" w:val="left" w:leader="none"/>
          <w:tab w:pos="4013" w:val="left" w:leader="none"/>
          <w:tab w:pos="4383" w:val="left" w:leader="none"/>
          <w:tab w:pos="4978" w:val="left" w:leader="none"/>
          <w:tab w:pos="5586" w:val="left" w:leader="none"/>
          <w:tab w:pos="6782" w:val="left" w:leader="none"/>
        </w:tabs>
        <w:spacing w:line="235" w:lineRule="auto" w:before="95"/>
        <w:ind w:left="108" w:right="405" w:firstLine="0"/>
        <w:jc w:val="left"/>
        <w:rPr>
          <w:sz w:val="24"/>
        </w:rPr>
      </w:pPr>
      <w:r>
        <w:rPr/>
        <w:br w:type="column"/>
      </w:r>
      <w:r>
        <w:rPr>
          <w:b/>
          <w:spacing w:val="-174"/>
          <w:sz w:val="24"/>
          <w:u w:val="thick"/>
        </w:rPr>
        <w:t>N</w:t>
      </w:r>
      <w:r>
        <w:rPr>
          <w:b/>
          <w:spacing w:val="115"/>
          <w:sz w:val="24"/>
        </w:rPr>
        <w:t> </w:t>
      </w:r>
      <w:r>
        <w:rPr>
          <w:b/>
          <w:sz w:val="24"/>
          <w:u w:val="thick"/>
        </w:rPr>
        <w:t>av pieļaujama vienlaicīga fiziskās personas un individuālā komersanta</w:t>
      </w:r>
      <w:r>
        <w:rPr>
          <w:b/>
          <w:sz w:val="24"/>
        </w:rPr>
        <w:t> </w:t>
      </w:r>
      <w:r>
        <w:rPr>
          <w:b/>
          <w:spacing w:val="-200"/>
          <w:sz w:val="24"/>
          <w:u w:val="thick"/>
        </w:rPr>
        <w:t>m</w:t>
      </w:r>
      <w:r>
        <w:rPr>
          <w:b/>
          <w:spacing w:val="138"/>
          <w:sz w:val="24"/>
        </w:rPr>
        <w:t> </w:t>
      </w:r>
      <w:r>
        <w:rPr>
          <w:b/>
          <w:sz w:val="24"/>
          <w:u w:val="thick"/>
        </w:rPr>
        <w:t>aksātnespējas</w:t>
        <w:tab/>
        <w:t>procesu</w:t>
        <w:tab/>
        <w:t>norise</w:t>
        <w:tab/>
      </w:r>
      <w:r>
        <w:rPr>
          <w:b/>
          <w:sz w:val="24"/>
        </w:rPr>
        <w:t>-</w:t>
        <w:tab/>
      </w:r>
      <w:r>
        <w:rPr>
          <w:sz w:val="24"/>
        </w:rPr>
        <w:t>LR</w:t>
        <w:tab/>
        <w:t>AT</w:t>
        <w:tab/>
        <w:t>Civillietu</w:t>
        <w:tab/>
      </w:r>
      <w:r>
        <w:rPr>
          <w:spacing w:val="-3"/>
          <w:sz w:val="24"/>
        </w:rPr>
        <w:t>departaments</w:t>
      </w:r>
    </w:p>
    <w:p>
      <w:pPr>
        <w:spacing w:after="0" w:line="235" w:lineRule="auto"/>
        <w:jc w:val="left"/>
        <w:rPr>
          <w:sz w:val="24"/>
        </w:rPr>
        <w:sectPr>
          <w:type w:val="continuous"/>
          <w:pgSz w:w="11910" w:h="16840"/>
          <w:pgMar w:top="1580" w:bottom="280" w:left="1180" w:right="1040"/>
          <w:cols w:num="2" w:equalWidth="0">
            <w:col w:w="1180" w:space="40"/>
            <w:col w:w="8470"/>
          </w:cols>
        </w:sectPr>
      </w:pPr>
    </w:p>
    <w:p>
      <w:pPr>
        <w:pStyle w:val="BodyText"/>
        <w:spacing w:before="2"/>
        <w:ind w:left="1327" w:right="400"/>
      </w:pPr>
      <w:r>
        <w:rPr/>
        <w:t>2016.gada 20.maija spriedumā lietā SPC-11/2016 norādīja, ka fiziskās personas un juridiskās personas maksātnespējas procesi ir divi patstāvīgi tiesību institūti ar atšķirīgu regulējumu, kuru vienlaicīga norise attiecībā uz vienu un to pašu fizisko personu nav iespējama. Šajā ziņā nav nozīmes tam, ka individuālā komersanta gadījumā</w:t>
      </w:r>
      <w:r>
        <w:rPr>
          <w:spacing w:val="-7"/>
        </w:rPr>
        <w:t> </w:t>
      </w:r>
      <w:r>
        <w:rPr/>
        <w:t>atbilstoši</w:t>
      </w:r>
      <w:r>
        <w:rPr>
          <w:spacing w:val="-6"/>
        </w:rPr>
        <w:t> </w:t>
      </w:r>
      <w:r>
        <w:rPr/>
        <w:t>Komerclikuma</w:t>
      </w:r>
      <w:r>
        <w:rPr>
          <w:spacing w:val="-5"/>
        </w:rPr>
        <w:t> </w:t>
      </w:r>
      <w:r>
        <w:rPr/>
        <w:t>74.pantam</w:t>
      </w:r>
      <w:r>
        <w:rPr>
          <w:spacing w:val="-7"/>
        </w:rPr>
        <w:t> </w:t>
      </w:r>
      <w:r>
        <w:rPr/>
        <w:t>vienai</w:t>
      </w:r>
      <w:r>
        <w:rPr>
          <w:spacing w:val="-8"/>
        </w:rPr>
        <w:t> </w:t>
      </w:r>
      <w:r>
        <w:rPr/>
        <w:t>un</w:t>
      </w:r>
      <w:r>
        <w:rPr>
          <w:spacing w:val="-6"/>
        </w:rPr>
        <w:t> </w:t>
      </w:r>
      <w:r>
        <w:rPr/>
        <w:t>tai</w:t>
      </w:r>
      <w:r>
        <w:rPr>
          <w:spacing w:val="-6"/>
        </w:rPr>
        <w:t> </w:t>
      </w:r>
      <w:r>
        <w:rPr/>
        <w:t>pašai</w:t>
      </w:r>
      <w:r>
        <w:rPr>
          <w:spacing w:val="-7"/>
        </w:rPr>
        <w:t> </w:t>
      </w:r>
      <w:r>
        <w:rPr/>
        <w:t>fiziskajai</w:t>
      </w:r>
      <w:r>
        <w:rPr>
          <w:spacing w:val="-6"/>
        </w:rPr>
        <w:t> </w:t>
      </w:r>
      <w:r>
        <w:rPr/>
        <w:t>personai vienlaikus piemīt divi tiesiskie statusi – komerciālais kā speciālais komersanta statuss un vispārīgais privāttiesiskais statuss kā fiziskajai personai ārpus tās</w:t>
      </w:r>
      <w:r>
        <w:rPr>
          <w:spacing w:val="-43"/>
        </w:rPr>
        <w:t> </w:t>
      </w:r>
      <w:r>
        <w:rPr/>
        <w:t>veiktās komercdarbības. Turklāt likumdevējs maksātnespējas regulācijā kā hronoloģiski prioritāru</w:t>
      </w:r>
      <w:r>
        <w:rPr>
          <w:spacing w:val="25"/>
        </w:rPr>
        <w:t> </w:t>
      </w:r>
      <w:r>
        <w:rPr/>
        <w:t>ir</w:t>
      </w:r>
      <w:r>
        <w:rPr>
          <w:spacing w:val="29"/>
        </w:rPr>
        <w:t> </w:t>
      </w:r>
      <w:r>
        <w:rPr/>
        <w:t>noteicis</w:t>
      </w:r>
      <w:r>
        <w:rPr>
          <w:spacing w:val="27"/>
        </w:rPr>
        <w:t> </w:t>
      </w:r>
      <w:r>
        <w:rPr/>
        <w:t>tieši</w:t>
      </w:r>
      <w:r>
        <w:rPr>
          <w:spacing w:val="27"/>
        </w:rPr>
        <w:t> </w:t>
      </w:r>
      <w:r>
        <w:rPr/>
        <w:t>fiziskās</w:t>
      </w:r>
      <w:r>
        <w:rPr>
          <w:spacing w:val="25"/>
        </w:rPr>
        <w:t> </w:t>
      </w:r>
      <w:r>
        <w:rPr/>
        <w:t>personas</w:t>
      </w:r>
      <w:r>
        <w:rPr>
          <w:spacing w:val="25"/>
        </w:rPr>
        <w:t> </w:t>
      </w:r>
      <w:r>
        <w:rPr/>
        <w:t>–</w:t>
      </w:r>
      <w:r>
        <w:rPr>
          <w:spacing w:val="27"/>
        </w:rPr>
        <w:t> </w:t>
      </w:r>
      <w:r>
        <w:rPr/>
        <w:t>individuālā</w:t>
      </w:r>
      <w:r>
        <w:rPr>
          <w:spacing w:val="28"/>
        </w:rPr>
        <w:t> </w:t>
      </w:r>
      <w:r>
        <w:rPr/>
        <w:t>komersanta</w:t>
      </w:r>
      <w:r>
        <w:rPr>
          <w:spacing w:val="29"/>
        </w:rPr>
        <w:t> </w:t>
      </w:r>
      <w:r>
        <w:rPr/>
        <w:t>komerciālo</w:t>
      </w:r>
    </w:p>
    <w:p>
      <w:pPr>
        <w:pStyle w:val="BodyText"/>
        <w:jc w:val="left"/>
        <w:rPr>
          <w:sz w:val="20"/>
        </w:rPr>
      </w:pPr>
    </w:p>
    <w:p>
      <w:pPr>
        <w:pStyle w:val="BodyText"/>
        <w:spacing w:before="6"/>
        <w:jc w:val="left"/>
        <w:rPr>
          <w:sz w:val="12"/>
        </w:rPr>
      </w:pPr>
      <w:r>
        <w:rPr/>
        <w:pict>
          <v:shape style="position:absolute;margin-left:90pt;margin-top:9.485775pt;width:144pt;height:.1pt;mso-position-horizontal-relative:page;mso-position-vertical-relative:paragraph;z-index:-251649024;mso-wrap-distance-left:0;mso-wrap-distance-right:0" coordorigin="1800,190" coordsize="2880,0" path="m1800,190l4680,190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45 </w:t>
      </w:r>
      <w:r>
        <w:rPr>
          <w:sz w:val="20"/>
        </w:rPr>
        <w:t>LR AT Senāta 2012.gada 3.septembra spriedums lietā Nr. SPC – 37/2012</w:t>
      </w:r>
    </w:p>
    <w:p>
      <w:pPr>
        <w:spacing w:line="233" w:lineRule="exact" w:before="0"/>
        <w:ind w:left="620" w:right="0" w:firstLine="0"/>
        <w:jc w:val="left"/>
        <w:rPr>
          <w:sz w:val="20"/>
        </w:rPr>
      </w:pPr>
      <w:r>
        <w:rPr>
          <w:position w:val="7"/>
          <w:sz w:val="13"/>
        </w:rPr>
        <w:t>46 </w:t>
      </w:r>
      <w:r>
        <w:rPr>
          <w:sz w:val="20"/>
        </w:rPr>
        <w:t>LR AT Senāta 2013.gada 4.decembra spriedums lietā SPC-49/2013</w:t>
      </w:r>
    </w:p>
    <w:p>
      <w:pPr>
        <w:spacing w:after="0" w:line="233" w:lineRule="exact"/>
        <w:jc w:val="left"/>
        <w:rPr>
          <w:sz w:val="20"/>
        </w:rPr>
        <w:sectPr>
          <w:type w:val="continuous"/>
          <w:pgSz w:w="11910" w:h="16840"/>
          <w:pgMar w:top="1580" w:bottom="280" w:left="1180" w:right="1040"/>
        </w:sectPr>
      </w:pPr>
    </w:p>
    <w:p>
      <w:pPr>
        <w:pStyle w:val="BodyText"/>
        <w:spacing w:line="228" w:lineRule="auto" w:before="84"/>
        <w:ind w:left="967" w:right="635"/>
        <w:jc w:val="left"/>
        <w:rPr>
          <w:sz w:val="16"/>
        </w:rPr>
      </w:pPr>
      <w:r>
        <w:rPr/>
        <w:t>statusu, kamdēļ vispirms ir jāiziet komersanta maksātnespējas process, un tikai pēc tā pabeigšanas ir iespējams uzsākt fiziskās personas maksātnespējas procesu.</w:t>
      </w:r>
      <w:r>
        <w:rPr>
          <w:position w:val="9"/>
          <w:sz w:val="16"/>
        </w:rPr>
        <w:t>47</w:t>
      </w:r>
    </w:p>
    <w:p>
      <w:pPr>
        <w:pStyle w:val="BodyText"/>
        <w:spacing w:before="8"/>
        <w:jc w:val="left"/>
        <w:rPr>
          <w:sz w:val="16"/>
        </w:rPr>
      </w:pPr>
    </w:p>
    <w:p>
      <w:pPr>
        <w:pStyle w:val="Heading3"/>
        <w:numPr>
          <w:ilvl w:val="0"/>
          <w:numId w:val="13"/>
        </w:numPr>
        <w:tabs>
          <w:tab w:pos="968" w:val="left" w:leader="none"/>
        </w:tabs>
        <w:spacing w:line="240" w:lineRule="auto" w:before="90" w:after="0"/>
        <w:ind w:left="968" w:right="0" w:hanging="348"/>
        <w:jc w:val="left"/>
      </w:pPr>
      <w:r>
        <w:rPr>
          <w:u w:val="thick"/>
        </w:rPr>
        <w:t>)</w:t>
      </w:r>
      <w:r>
        <w:rPr>
          <w:spacing w:val="27"/>
        </w:rPr>
        <w:t> </w:t>
      </w:r>
      <w:r>
        <w:rPr>
          <w:spacing w:val="-227"/>
          <w:u w:val="thick"/>
        </w:rPr>
        <w:t>M</w:t>
      </w:r>
      <w:r>
        <w:rPr>
          <w:spacing w:val="169"/>
        </w:rPr>
        <w:t> </w:t>
      </w:r>
      <w:r>
        <w:rPr>
          <w:u w:val="thick"/>
        </w:rPr>
        <w:t>aksātnespējas</w:t>
      </w:r>
      <w:r>
        <w:rPr>
          <w:spacing w:val="26"/>
          <w:u w:val="thick"/>
        </w:rPr>
        <w:t> </w:t>
      </w:r>
      <w:r>
        <w:rPr>
          <w:u w:val="thick"/>
        </w:rPr>
        <w:t>process</w:t>
      </w:r>
      <w:r>
        <w:rPr>
          <w:spacing w:val="25"/>
          <w:u w:val="thick"/>
        </w:rPr>
        <w:t> </w:t>
      </w:r>
      <w:r>
        <w:rPr>
          <w:u w:val="thick"/>
        </w:rPr>
        <w:t>nav</w:t>
      </w:r>
      <w:r>
        <w:rPr>
          <w:spacing w:val="24"/>
          <w:u w:val="thick"/>
        </w:rPr>
        <w:t> </w:t>
      </w:r>
      <w:r>
        <w:rPr>
          <w:u w:val="thick"/>
        </w:rPr>
        <w:t>pasludināms,</w:t>
      </w:r>
      <w:r>
        <w:rPr>
          <w:spacing w:val="25"/>
          <w:u w:val="thick"/>
        </w:rPr>
        <w:t> </w:t>
      </w:r>
      <w:r>
        <w:rPr>
          <w:u w:val="thick"/>
        </w:rPr>
        <w:t>ja</w:t>
      </w:r>
      <w:r>
        <w:rPr>
          <w:spacing w:val="24"/>
          <w:u w:val="thick"/>
        </w:rPr>
        <w:t> </w:t>
      </w:r>
      <w:r>
        <w:rPr>
          <w:u w:val="thick"/>
        </w:rPr>
        <w:t>parādnieks</w:t>
      </w:r>
      <w:r>
        <w:rPr>
          <w:spacing w:val="24"/>
          <w:u w:val="thick"/>
        </w:rPr>
        <w:t> </w:t>
      </w:r>
      <w:r>
        <w:rPr>
          <w:u w:val="thick"/>
        </w:rPr>
        <w:t>pieteikumā</w:t>
      </w:r>
      <w:r>
        <w:rPr>
          <w:spacing w:val="25"/>
          <w:u w:val="thick"/>
        </w:rPr>
        <w:t> </w:t>
      </w:r>
      <w:r>
        <w:rPr>
          <w:u w:val="thick"/>
        </w:rPr>
        <w:t>norāda</w:t>
      </w:r>
    </w:p>
    <w:p>
      <w:pPr>
        <w:pStyle w:val="BodyText"/>
        <w:spacing w:line="237" w:lineRule="auto" w:before="3"/>
        <w:ind w:left="967" w:right="763"/>
        <w:rPr>
          <w:sz w:val="16"/>
        </w:rPr>
      </w:pPr>
      <w:r>
        <w:rPr>
          <w:b/>
          <w:spacing w:val="-80"/>
          <w:u w:val="thick"/>
        </w:rPr>
        <w:t>t</w:t>
      </w:r>
      <w:r>
        <w:rPr>
          <w:b/>
          <w:spacing w:val="18"/>
          <w:u w:val="thick"/>
        </w:rPr>
        <w:t> </w:t>
      </w:r>
      <w:r>
        <w:rPr>
          <w:b/>
          <w:u w:val="thick"/>
        </w:rPr>
        <w:t>ikai</w:t>
      </w:r>
      <w:r>
        <w:rPr>
          <w:b/>
          <w:spacing w:val="-8"/>
          <w:u w:val="thick"/>
        </w:rPr>
        <w:t> </w:t>
      </w:r>
      <w:r>
        <w:rPr>
          <w:b/>
          <w:u w:val="thick"/>
        </w:rPr>
        <w:t>tādas</w:t>
      </w:r>
      <w:r>
        <w:rPr>
          <w:b/>
          <w:spacing w:val="-10"/>
          <w:u w:val="thick"/>
        </w:rPr>
        <w:t> </w:t>
      </w:r>
      <w:r>
        <w:rPr>
          <w:b/>
          <w:u w:val="thick"/>
        </w:rPr>
        <w:t>saistības,</w:t>
      </w:r>
      <w:r>
        <w:rPr>
          <w:b/>
          <w:spacing w:val="-11"/>
          <w:u w:val="thick"/>
        </w:rPr>
        <w:t> </w:t>
      </w:r>
      <w:r>
        <w:rPr>
          <w:b/>
          <w:u w:val="thick"/>
        </w:rPr>
        <w:t>kuras</w:t>
      </w:r>
      <w:r>
        <w:rPr>
          <w:b/>
          <w:spacing w:val="-10"/>
          <w:u w:val="thick"/>
        </w:rPr>
        <w:t> </w:t>
      </w:r>
      <w:r>
        <w:rPr>
          <w:b/>
          <w:u w:val="thick"/>
        </w:rPr>
        <w:t>nevar</w:t>
      </w:r>
      <w:r>
        <w:rPr>
          <w:b/>
          <w:spacing w:val="-9"/>
          <w:u w:val="thick"/>
        </w:rPr>
        <w:t> </w:t>
      </w:r>
      <w:r>
        <w:rPr>
          <w:b/>
          <w:u w:val="thick"/>
        </w:rPr>
        <w:t>tikt</w:t>
      </w:r>
      <w:r>
        <w:rPr>
          <w:b/>
          <w:spacing w:val="-10"/>
          <w:u w:val="thick"/>
        </w:rPr>
        <w:t> </w:t>
      </w:r>
      <w:r>
        <w:rPr>
          <w:b/>
          <w:u w:val="thick"/>
        </w:rPr>
        <w:t>dzēstas</w:t>
      </w:r>
      <w:r>
        <w:rPr>
          <w:b/>
          <w:spacing w:val="-11"/>
          <w:u w:val="thick"/>
        </w:rPr>
        <w:t> </w:t>
      </w:r>
      <w:r>
        <w:rPr>
          <w:b/>
          <w:u w:val="thick"/>
        </w:rPr>
        <w:t>fiziskās</w:t>
      </w:r>
      <w:r>
        <w:rPr>
          <w:b/>
          <w:spacing w:val="-10"/>
          <w:u w:val="thick"/>
        </w:rPr>
        <w:t> </w:t>
      </w:r>
      <w:r>
        <w:rPr>
          <w:b/>
          <w:u w:val="thick"/>
        </w:rPr>
        <w:t>personas</w:t>
      </w:r>
      <w:r>
        <w:rPr>
          <w:b/>
          <w:spacing w:val="-8"/>
          <w:u w:val="thick"/>
        </w:rPr>
        <w:t> </w:t>
      </w:r>
      <w:r>
        <w:rPr>
          <w:b/>
          <w:u w:val="thick"/>
        </w:rPr>
        <w:t>maksātnespējas</w:t>
      </w:r>
      <w:r>
        <w:rPr>
          <w:b/>
        </w:rPr>
        <w:t> </w:t>
      </w:r>
      <w:r>
        <w:rPr>
          <w:b/>
          <w:spacing w:val="-134"/>
          <w:u w:val="thick"/>
        </w:rPr>
        <w:t>p</w:t>
      </w:r>
      <w:r>
        <w:rPr>
          <w:b/>
          <w:spacing w:val="77"/>
        </w:rPr>
        <w:t> </w:t>
      </w:r>
      <w:r>
        <w:rPr>
          <w:b/>
          <w:u w:val="thick"/>
        </w:rPr>
        <w:t>rocesā</w:t>
      </w:r>
      <w:r>
        <w:rPr>
          <w:b/>
        </w:rPr>
        <w:t> </w:t>
      </w:r>
      <w:r>
        <w:rPr/>
        <w:t>- </w:t>
      </w:r>
      <w:r>
        <w:rPr>
          <w:spacing w:val="-3"/>
        </w:rPr>
        <w:t>LR </w:t>
      </w:r>
      <w:r>
        <w:rPr/>
        <w:t>AT Civillietu departaments  2018.gada 15.marta  spriedumā  lietā Nr. SPC–5/2018 par pamatotu atzina protestā norādīto, ka gadījumā, ja fiziskās personas maksātnespējas procesa pieteikumā nav norādīta neviena saistība, no kuras</w:t>
      </w:r>
      <w:r>
        <w:rPr>
          <w:spacing w:val="-13"/>
        </w:rPr>
        <w:t> </w:t>
      </w:r>
      <w:r>
        <w:rPr/>
        <w:t>maksātnespējas</w:t>
      </w:r>
      <w:r>
        <w:rPr>
          <w:spacing w:val="-12"/>
        </w:rPr>
        <w:t> </w:t>
      </w:r>
      <w:r>
        <w:rPr/>
        <w:t>procesā</w:t>
      </w:r>
      <w:r>
        <w:rPr>
          <w:spacing w:val="-11"/>
        </w:rPr>
        <w:t> </w:t>
      </w:r>
      <w:r>
        <w:rPr/>
        <w:t>parādniece</w:t>
      </w:r>
      <w:r>
        <w:rPr>
          <w:spacing w:val="-10"/>
        </w:rPr>
        <w:t> </w:t>
      </w:r>
      <w:r>
        <w:rPr/>
        <w:t>varētu</w:t>
      </w:r>
      <w:r>
        <w:rPr>
          <w:spacing w:val="-10"/>
        </w:rPr>
        <w:t> </w:t>
      </w:r>
      <w:r>
        <w:rPr/>
        <w:t>tikt</w:t>
      </w:r>
      <w:r>
        <w:rPr>
          <w:spacing w:val="-11"/>
        </w:rPr>
        <w:t> </w:t>
      </w:r>
      <w:r>
        <w:rPr/>
        <w:t>atbrīvota</w:t>
      </w:r>
      <w:r>
        <w:rPr>
          <w:spacing w:val="-10"/>
        </w:rPr>
        <w:t> </w:t>
      </w:r>
      <w:r>
        <w:rPr/>
        <w:t>(konkrētajā</w:t>
      </w:r>
      <w:r>
        <w:rPr>
          <w:spacing w:val="-8"/>
        </w:rPr>
        <w:t> </w:t>
      </w:r>
      <w:r>
        <w:rPr/>
        <w:t>gadījumā maksātnespējas procesa pieteikumā kā vienīgā saistība norādīta saistība, kuras pamats ir pieteicēja krimināli sodāma rīcība), nav iespējams konstatēt Maksātnespējas likuma 129.panta pirmās daļas 1.punktā paredzēto maksātnespējas pazīmi.</w:t>
      </w:r>
      <w:r>
        <w:rPr>
          <w:position w:val="9"/>
          <w:sz w:val="16"/>
        </w:rPr>
        <w:t>48</w:t>
      </w:r>
    </w:p>
    <w:p>
      <w:pPr>
        <w:pStyle w:val="BodyText"/>
        <w:spacing w:before="9"/>
        <w:jc w:val="left"/>
        <w:rPr>
          <w:sz w:val="16"/>
        </w:rPr>
      </w:pPr>
    </w:p>
    <w:p>
      <w:pPr>
        <w:pStyle w:val="Heading3"/>
        <w:numPr>
          <w:ilvl w:val="0"/>
          <w:numId w:val="13"/>
        </w:numPr>
        <w:tabs>
          <w:tab w:pos="968" w:val="left" w:leader="none"/>
        </w:tabs>
        <w:spacing w:line="240" w:lineRule="auto" w:before="90" w:after="0"/>
        <w:ind w:left="968" w:right="0" w:hanging="348"/>
        <w:jc w:val="left"/>
      </w:pPr>
      <w:r>
        <w:rPr>
          <w:u w:val="thick"/>
        </w:rPr>
        <w:t>)</w:t>
      </w:r>
      <w:r>
        <w:rPr>
          <w:spacing w:val="-3"/>
        </w:rPr>
        <w:t> </w:t>
      </w:r>
      <w:r>
        <w:rPr>
          <w:spacing w:val="-227"/>
          <w:u w:val="thick"/>
        </w:rPr>
        <w:t>M</w:t>
      </w:r>
      <w:r>
        <w:rPr>
          <w:spacing w:val="167"/>
        </w:rPr>
        <w:t> </w:t>
      </w:r>
      <w:r>
        <w:rPr>
          <w:u w:val="thick"/>
        </w:rPr>
        <w:t>aksātnespējas process nav pasludināms, ja parādnieks vēršas tiesā sakarā ar</w:t>
      </w:r>
    </w:p>
    <w:p>
      <w:pPr>
        <w:pStyle w:val="BodyText"/>
        <w:ind w:left="967" w:right="760"/>
        <w:rPr>
          <w:sz w:val="16"/>
        </w:rPr>
      </w:pPr>
      <w:r>
        <w:rPr>
          <w:b/>
          <w:spacing w:val="-80"/>
          <w:u w:val="thick"/>
        </w:rPr>
        <w:t>t</w:t>
      </w:r>
      <w:r>
        <w:rPr>
          <w:b/>
          <w:spacing w:val="18"/>
          <w:u w:val="thick"/>
        </w:rPr>
        <w:t> </w:t>
      </w:r>
      <w:r>
        <w:rPr>
          <w:b/>
          <w:u w:val="thick"/>
        </w:rPr>
        <w:t>ām pašām saistībām, par kurām jau iepriekš ir izlemts, ka tās nav dzēšamas</w:t>
      </w:r>
      <w:r>
        <w:rPr>
          <w:b/>
        </w:rPr>
        <w:t> </w:t>
      </w:r>
      <w:r>
        <w:rPr>
          <w:b/>
          <w:spacing w:val="-134"/>
          <w:u w:val="thick"/>
        </w:rPr>
        <w:t>p</w:t>
      </w:r>
      <w:r>
        <w:rPr>
          <w:b/>
          <w:spacing w:val="76"/>
        </w:rPr>
        <w:t> </w:t>
      </w:r>
      <w:r>
        <w:rPr>
          <w:b/>
          <w:u w:val="thick"/>
        </w:rPr>
        <w:t>arādnieka negodprātīgas rīcības dēļ</w:t>
      </w:r>
      <w:r>
        <w:rPr>
          <w:b/>
        </w:rPr>
        <w:t> - </w:t>
      </w:r>
      <w:r>
        <w:rPr/>
        <w:t>LR AT Civillietu departamenta 2018.gada 26.janvāra lēmumā lietā Nr. SPC-2/2018 norādīts, ka fiziskās personas maksātnespējas process ir ieviests, lai godprātīgām fiziskām personām, kas ekonomisku vai sociālu apstākļu dēļ būs kļuvušas maksātnespējīgas, dotu „otro” iespēju uzsākt atbildīgu un maksātspējīgu saimniecisko darbību. Ievērojot to, ka fiziskās personas maksātnespējas procesa mērķis ir veicināt fiziskās personas maksātspējas atjaunošanu un vienlaikus pēc iespējas pilnīgāk apmierināt kreditoru prasījumus no parādnieka mantas, parādnieks var tikt atbrīvots no atlikušajām parādsaistībām tikai tad, ja tas godprātīgi pildījis Maksātnespējas likumā noteiktos pienākumus (</w:t>
      </w:r>
      <w:r>
        <w:rPr>
          <w:i/>
        </w:rPr>
        <w:t>sk. Satversmes tiesas 2016.gada 28.septembra sprieduma lietā </w:t>
      </w:r>
      <w:r>
        <w:rPr>
          <w:i/>
        </w:rPr>
        <w:t>Nr.2016-01-01 11.1. un 11.2.punktu</w:t>
      </w:r>
      <w:r>
        <w:rPr/>
        <w:t>). Ņemot vērā minēto, Civillietu departaments atzina, ka, lai arī nedz Maksātnespējas likumā, nedz Civilprocesa likumā tieši nav noteikts aizliegums vērsties tiesā ar atkārtotu maksātnespējas procesa pieteikumu par saistībām, par kurām tiesa jau ir lēmusi, nepiemērojot saistību dzēšanas procedūru, tas tomēr nenozīmē, ka parādnieks pieteikumu par maksātnespējas procesa ierosināšanu ir tiesīgs iesniegt atkārtoti, lai gan jautājuma izlemšanai būtiski faktiskie vai tiesiskie apstākļi nav mainījušies.</w:t>
      </w:r>
      <w:r>
        <w:rPr>
          <w:position w:val="9"/>
          <w:sz w:val="16"/>
        </w:rPr>
        <w:t>49</w:t>
      </w:r>
    </w:p>
    <w:p>
      <w:pPr>
        <w:pStyle w:val="BodyText"/>
        <w:spacing w:before="3"/>
        <w:jc w:val="left"/>
        <w:rPr>
          <w:sz w:val="22"/>
        </w:rPr>
      </w:pPr>
    </w:p>
    <w:p>
      <w:pPr>
        <w:pStyle w:val="BodyText"/>
        <w:spacing w:before="1"/>
        <w:ind w:left="967" w:right="763"/>
      </w:pPr>
      <w:r>
        <w:rPr>
          <w:i/>
        </w:rPr>
        <w:t>Piebilde</w:t>
      </w:r>
      <w:r>
        <w:rPr/>
        <w:t>:</w:t>
      </w:r>
      <w:r>
        <w:rPr>
          <w:spacing w:val="-7"/>
        </w:rPr>
        <w:t> </w:t>
      </w:r>
      <w:r>
        <w:rPr/>
        <w:t>Ar</w:t>
      </w:r>
      <w:r>
        <w:rPr>
          <w:spacing w:val="-6"/>
        </w:rPr>
        <w:t> </w:t>
      </w:r>
      <w:r>
        <w:rPr/>
        <w:t>2018.gada</w:t>
      </w:r>
      <w:r>
        <w:rPr>
          <w:spacing w:val="-7"/>
        </w:rPr>
        <w:t> </w:t>
      </w:r>
      <w:r>
        <w:rPr/>
        <w:t>31.maija</w:t>
      </w:r>
      <w:r>
        <w:rPr>
          <w:spacing w:val="-6"/>
        </w:rPr>
        <w:t> </w:t>
      </w:r>
      <w:r>
        <w:rPr/>
        <w:t>grozījumiem</w:t>
      </w:r>
      <w:r>
        <w:rPr>
          <w:spacing w:val="-7"/>
        </w:rPr>
        <w:t> </w:t>
      </w:r>
      <w:r>
        <w:rPr/>
        <w:t>Maksātnespējas</w:t>
      </w:r>
      <w:r>
        <w:rPr>
          <w:spacing w:val="-6"/>
        </w:rPr>
        <w:t> </w:t>
      </w:r>
      <w:r>
        <w:rPr/>
        <w:t>likumā</w:t>
      </w:r>
      <w:r>
        <w:rPr>
          <w:spacing w:val="-7"/>
        </w:rPr>
        <w:t> </w:t>
      </w:r>
      <w:r>
        <w:rPr/>
        <w:t>(stājās</w:t>
      </w:r>
      <w:r>
        <w:rPr>
          <w:spacing w:val="-6"/>
        </w:rPr>
        <w:t> </w:t>
      </w:r>
      <w:r>
        <w:rPr/>
        <w:t>spēkā 2018.gada 1.jūlijā) Maksātnespējas likuma 130.pants papildināts ar 5.punktu, atbilstoši kuram fiziskās personas maksātnespējas process nav piemērojams vai pārtraucams personai, kurai pēdējā gada laikā pirms fiziskās personas maksātnespējas</w:t>
      </w:r>
      <w:r>
        <w:rPr>
          <w:spacing w:val="-13"/>
        </w:rPr>
        <w:t> </w:t>
      </w:r>
      <w:r>
        <w:rPr/>
        <w:t>procesa</w:t>
      </w:r>
      <w:r>
        <w:rPr>
          <w:spacing w:val="-16"/>
        </w:rPr>
        <w:t> </w:t>
      </w:r>
      <w:r>
        <w:rPr/>
        <w:t>pasludināšanas</w:t>
      </w:r>
      <w:r>
        <w:rPr>
          <w:spacing w:val="-16"/>
        </w:rPr>
        <w:t> </w:t>
      </w:r>
      <w:r>
        <w:rPr/>
        <w:t>ir</w:t>
      </w:r>
      <w:r>
        <w:rPr>
          <w:spacing w:val="-14"/>
        </w:rPr>
        <w:t> </w:t>
      </w:r>
      <w:r>
        <w:rPr/>
        <w:t>izbeigts</w:t>
      </w:r>
      <w:r>
        <w:rPr>
          <w:spacing w:val="-13"/>
        </w:rPr>
        <w:t> </w:t>
      </w:r>
      <w:r>
        <w:rPr/>
        <w:t>fiziskās</w:t>
      </w:r>
      <w:r>
        <w:rPr>
          <w:spacing w:val="-17"/>
        </w:rPr>
        <w:t> </w:t>
      </w:r>
      <w:r>
        <w:rPr/>
        <w:t>personas</w:t>
      </w:r>
      <w:r>
        <w:rPr>
          <w:spacing w:val="-18"/>
        </w:rPr>
        <w:t> </w:t>
      </w:r>
      <w:r>
        <w:rPr/>
        <w:t>maksātnespējas process, nedzēšot saistības. Attiecīgi atbilstoši minētajiem grozījumiem</w:t>
      </w:r>
      <w:r>
        <w:rPr>
          <w:spacing w:val="-25"/>
        </w:rPr>
        <w:t> </w:t>
      </w:r>
      <w:r>
        <w:rPr/>
        <w:t>parādnieks jau pēc viena gada var vērsties tiesā ar atkārtotu maksātnespējas procesa pieteikumu, ja iepriekš uzsāktais fiziskās personas maksātnespējas process ir izbeigts, nedzēšot</w:t>
      </w:r>
      <w:r>
        <w:rPr>
          <w:spacing w:val="-1"/>
        </w:rPr>
        <w:t> </w:t>
      </w:r>
      <w:r>
        <w:rPr/>
        <w:t>saistības.</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6"/>
        <w:jc w:val="left"/>
        <w:rPr>
          <w:sz w:val="21"/>
        </w:rPr>
      </w:pPr>
    </w:p>
    <w:p>
      <w:pPr>
        <w:spacing w:line="233" w:lineRule="exact" w:before="1"/>
        <w:ind w:left="260" w:right="0" w:firstLine="0"/>
        <w:jc w:val="left"/>
        <w:rPr>
          <w:sz w:val="20"/>
        </w:rPr>
      </w:pPr>
      <w:r>
        <w:rPr>
          <w:position w:val="7"/>
          <w:sz w:val="13"/>
        </w:rPr>
        <w:t>47 </w:t>
      </w:r>
      <w:r>
        <w:rPr>
          <w:sz w:val="20"/>
        </w:rPr>
        <w:t>LR AT Civillietu departamenta 2016.gada 20.maija spriedums lietā SPC-11/2016</w:t>
      </w:r>
    </w:p>
    <w:p>
      <w:pPr>
        <w:spacing w:line="230" w:lineRule="exact" w:before="0"/>
        <w:ind w:left="260" w:right="0" w:firstLine="0"/>
        <w:jc w:val="left"/>
        <w:rPr>
          <w:sz w:val="20"/>
        </w:rPr>
      </w:pPr>
      <w:r>
        <w:rPr>
          <w:position w:val="7"/>
          <w:sz w:val="13"/>
        </w:rPr>
        <w:t>48 </w:t>
      </w:r>
      <w:r>
        <w:rPr>
          <w:sz w:val="20"/>
        </w:rPr>
        <w:t>LR AT Civillietu departamenta 2018.gada 15.marta spriedums lietā Nr. SPC–5/2018</w:t>
      </w:r>
    </w:p>
    <w:p>
      <w:pPr>
        <w:spacing w:line="233" w:lineRule="exact" w:before="0"/>
        <w:ind w:left="260" w:right="0" w:firstLine="0"/>
        <w:jc w:val="left"/>
        <w:rPr>
          <w:sz w:val="20"/>
        </w:rPr>
      </w:pPr>
      <w:r>
        <w:rPr>
          <w:position w:val="7"/>
          <w:sz w:val="13"/>
        </w:rPr>
        <w:t>49 </w:t>
      </w:r>
      <w:r>
        <w:rPr>
          <w:sz w:val="20"/>
        </w:rPr>
        <w:t>LR AT Civillietu departamenta 2018.gada 26.janvāra lēmums lietā Nr. SPC-2/2018</w:t>
      </w:r>
    </w:p>
    <w:p>
      <w:pPr>
        <w:spacing w:after="0" w:line="233" w:lineRule="exact"/>
        <w:jc w:val="left"/>
        <w:rPr>
          <w:sz w:val="20"/>
        </w:rPr>
        <w:sectPr>
          <w:footerReference w:type="even" r:id="rId15"/>
          <w:footerReference w:type="default" r:id="rId16"/>
          <w:pgSz w:w="11910" w:h="16840"/>
          <w:pgMar w:footer="1165" w:header="0" w:top="1340" w:bottom="1360" w:left="1180" w:right="1040"/>
        </w:sectPr>
      </w:pPr>
    </w:p>
    <w:p>
      <w:pPr>
        <w:pStyle w:val="Heading4"/>
        <w:numPr>
          <w:ilvl w:val="1"/>
          <w:numId w:val="8"/>
        </w:numPr>
        <w:tabs>
          <w:tab w:pos="1342" w:val="left" w:leader="none"/>
        </w:tabs>
        <w:spacing w:line="240" w:lineRule="auto" w:before="78" w:after="0"/>
        <w:ind w:left="1341" w:right="0" w:hanging="362"/>
        <w:jc w:val="left"/>
        <w:rPr>
          <w:i/>
        </w:rPr>
      </w:pPr>
      <w:bookmarkStart w:name="_TOC_250074" w:id="4"/>
      <w:r>
        <w:rPr>
          <w:i/>
        </w:rPr>
        <w:t>Identificētie</w:t>
      </w:r>
      <w:r>
        <w:rPr>
          <w:i/>
          <w:spacing w:val="-4"/>
        </w:rPr>
        <w:t> </w:t>
      </w:r>
      <w:bookmarkEnd w:id="4"/>
      <w:r>
        <w:rPr>
          <w:i/>
        </w:rPr>
        <w:t>problēmjautājumi</w:t>
      </w:r>
    </w:p>
    <w:p>
      <w:pPr>
        <w:pStyle w:val="BodyText"/>
        <w:spacing w:before="9"/>
        <w:jc w:val="left"/>
        <w:rPr>
          <w:b/>
          <w:i/>
          <w:sz w:val="23"/>
        </w:rPr>
      </w:pPr>
    </w:p>
    <w:p>
      <w:pPr>
        <w:pStyle w:val="ListParagraph"/>
        <w:numPr>
          <w:ilvl w:val="0"/>
          <w:numId w:val="14"/>
        </w:numPr>
        <w:tabs>
          <w:tab w:pos="1340" w:val="left" w:leader="none"/>
        </w:tabs>
        <w:spacing w:line="237" w:lineRule="auto" w:before="0" w:after="0"/>
        <w:ind w:left="1340" w:right="401" w:hanging="360"/>
        <w:jc w:val="both"/>
        <w:rPr>
          <w:sz w:val="16"/>
        </w:rPr>
      </w:pPr>
      <w:r>
        <w:rPr>
          <w:sz w:val="24"/>
        </w:rPr>
        <w:t>Nereti tiesas pieņem pieteicējiem nelabvēlīgus lēmumus (tai skaitā uz pieņēmumu un šaubu pamata), nelūdzot novērst trūkumus pieteikumos un nepieprasot pieteicējam iesniegt papildus ziņas un pierādījumus. Piemēram, Rīgas pilsētas Latgales priekšpilsētas tiesa 2016.gada 27.jūnija spriedumā lietā Nr. C29510916 atzinusi, ka Civilprocesa likuma 93.panta ceturtā daļa dod tiesai tiesības parādīt iniciatīvu apstākļos, kad no lietas materiāliem izriet vajadzība pieprasīt papildu pierādījumus, taču minēto likuma normu nevar traktēt kā tiesas pienākumu</w:t>
      </w:r>
      <w:r>
        <w:rPr>
          <w:spacing w:val="-18"/>
          <w:sz w:val="24"/>
        </w:rPr>
        <w:t> </w:t>
      </w:r>
      <w:r>
        <w:rPr>
          <w:sz w:val="24"/>
        </w:rPr>
        <w:t>paziņot pieteicējam, kādi vēl pierādījumi būtu iesniedzami, lai pieteikums varētu tikt apmierināts.</w:t>
      </w:r>
      <w:r>
        <w:rPr>
          <w:position w:val="9"/>
          <w:sz w:val="16"/>
        </w:rPr>
        <w:t>50</w:t>
      </w:r>
    </w:p>
    <w:p>
      <w:pPr>
        <w:pStyle w:val="BodyText"/>
        <w:spacing w:before="7"/>
        <w:jc w:val="left"/>
      </w:pPr>
    </w:p>
    <w:p>
      <w:pPr>
        <w:pStyle w:val="BodyText"/>
        <w:spacing w:before="1"/>
        <w:ind w:left="1340" w:right="401"/>
        <w:rPr>
          <w:sz w:val="16"/>
        </w:rPr>
      </w:pPr>
      <w:r>
        <w:rPr/>
        <w:t>Līdz ar to aktuāls ir jautājums par tiesas kompetenci kopumā. Vienlaikus atzīmējams, ka Augstākās tiesas Senāts 2011.gada 9.novembra spriedumā lietā Nr.SPC71/2011 norādīja: “sevišķās tiesāšanas kārtībā izskatāmās lietas tiek sagatavotas iztiesāšanai un izskatītas atbilstoši Civilprocesa likuma 20. un 21.nodaļas</w:t>
      </w:r>
      <w:r>
        <w:rPr>
          <w:spacing w:val="-13"/>
        </w:rPr>
        <w:t> </w:t>
      </w:r>
      <w:r>
        <w:rPr/>
        <w:t>noteikumiem</w:t>
      </w:r>
      <w:r>
        <w:rPr>
          <w:spacing w:val="-10"/>
        </w:rPr>
        <w:t> </w:t>
      </w:r>
      <w:r>
        <w:rPr/>
        <w:t>(sk.</w:t>
      </w:r>
      <w:r>
        <w:rPr>
          <w:spacing w:val="-11"/>
        </w:rPr>
        <w:t> </w:t>
      </w:r>
      <w:r>
        <w:rPr/>
        <w:t>Civilprocesa</w:t>
      </w:r>
      <w:r>
        <w:rPr>
          <w:spacing w:val="-12"/>
        </w:rPr>
        <w:t> </w:t>
      </w:r>
      <w:r>
        <w:rPr/>
        <w:t>likuma</w:t>
      </w:r>
      <w:r>
        <w:rPr>
          <w:spacing w:val="-11"/>
        </w:rPr>
        <w:t> </w:t>
      </w:r>
      <w:r>
        <w:rPr/>
        <w:t>256.pantu).</w:t>
      </w:r>
      <w:r>
        <w:rPr>
          <w:spacing w:val="-10"/>
        </w:rPr>
        <w:t> </w:t>
      </w:r>
      <w:r>
        <w:rPr/>
        <w:t>Taču,</w:t>
      </w:r>
      <w:r>
        <w:rPr>
          <w:spacing w:val="-10"/>
        </w:rPr>
        <w:t> </w:t>
      </w:r>
      <w:r>
        <w:rPr/>
        <w:t>ievērojot</w:t>
      </w:r>
      <w:r>
        <w:rPr>
          <w:spacing w:val="-11"/>
        </w:rPr>
        <w:t> </w:t>
      </w:r>
      <w:r>
        <w:rPr/>
        <w:t>to,</w:t>
      </w:r>
      <w:r>
        <w:rPr>
          <w:spacing w:val="-10"/>
        </w:rPr>
        <w:t> </w:t>
      </w:r>
      <w:r>
        <w:rPr/>
        <w:t>ka šajās lietās nav atbildētāja (sk. Civilprocesa likuma 253.panta pirmo daļu) un līdz ar to nerealizējas civillietu izskatīšanā noteiktais sacīkstes princips, tiesai ir lielāka iniciatīva, pieprasot, pārbaudot un objektīvi izvērtējot pierādījumus (sk. Civilprocesa likuma komentāri. Trešais papildinātais izdevums. Autoru kolektīvs. Prof.</w:t>
      </w:r>
      <w:r>
        <w:rPr>
          <w:spacing w:val="-11"/>
        </w:rPr>
        <w:t> </w:t>
      </w:r>
      <w:r>
        <w:rPr/>
        <w:t>K.Torgāna</w:t>
      </w:r>
      <w:r>
        <w:rPr>
          <w:spacing w:val="-10"/>
        </w:rPr>
        <w:t> </w:t>
      </w:r>
      <w:r>
        <w:rPr/>
        <w:t>vispārīgā</w:t>
      </w:r>
      <w:r>
        <w:rPr>
          <w:spacing w:val="-13"/>
        </w:rPr>
        <w:t> </w:t>
      </w:r>
      <w:r>
        <w:rPr/>
        <w:t>zinātniskā</w:t>
      </w:r>
      <w:r>
        <w:rPr>
          <w:spacing w:val="-10"/>
        </w:rPr>
        <w:t> </w:t>
      </w:r>
      <w:r>
        <w:rPr/>
        <w:t>redakcijā.</w:t>
      </w:r>
      <w:r>
        <w:rPr>
          <w:spacing w:val="-10"/>
        </w:rPr>
        <w:t> </w:t>
      </w:r>
      <w:r>
        <w:rPr/>
        <w:t>–</w:t>
      </w:r>
      <w:r>
        <w:rPr>
          <w:spacing w:val="-9"/>
        </w:rPr>
        <w:t> </w:t>
      </w:r>
      <w:r>
        <w:rPr/>
        <w:t>Rīga:</w:t>
      </w:r>
      <w:r>
        <w:rPr>
          <w:spacing w:val="-10"/>
        </w:rPr>
        <w:t> </w:t>
      </w:r>
      <w:r>
        <w:rPr/>
        <w:t>Tiesu</w:t>
      </w:r>
      <w:r>
        <w:rPr>
          <w:spacing w:val="-11"/>
        </w:rPr>
        <w:t> </w:t>
      </w:r>
      <w:r>
        <w:rPr/>
        <w:t>namu</w:t>
      </w:r>
      <w:r>
        <w:rPr>
          <w:spacing w:val="-10"/>
        </w:rPr>
        <w:t> </w:t>
      </w:r>
      <w:r>
        <w:rPr/>
        <w:t>aģentūra,</w:t>
      </w:r>
      <w:r>
        <w:rPr>
          <w:spacing w:val="-10"/>
        </w:rPr>
        <w:t> </w:t>
      </w:r>
      <w:r>
        <w:rPr/>
        <w:t>2006, 406.lpp., kā arī sal. A.Gobzems Tiesai jāizvērtē visas maksātnespējas procesa pazīmes. Jurista vārds Nr.9 (604), 2010.gada 2.marts, </w:t>
      </w:r>
      <w:hyperlink r:id="rId17">
        <w:r>
          <w:rPr>
            <w:color w:val="0562C1"/>
            <w:u w:val="single" w:color="0562C1"/>
          </w:rPr>
          <w:t>http://www.juristavards.lv/?menu=doc&amp;id=205764</w:t>
        </w:r>
        <w:r>
          <w:rPr/>
          <w:t>).</w:t>
        </w:r>
      </w:hyperlink>
      <w:r>
        <w:rPr/>
        <w:t> Tādejādi ņemot vērā, ka lietas</w:t>
      </w:r>
      <w:r>
        <w:rPr>
          <w:spacing w:val="-11"/>
        </w:rPr>
        <w:t> </w:t>
      </w:r>
      <w:r>
        <w:rPr/>
        <w:t>par</w:t>
      </w:r>
      <w:r>
        <w:rPr>
          <w:spacing w:val="-12"/>
        </w:rPr>
        <w:t> </w:t>
      </w:r>
      <w:r>
        <w:rPr/>
        <w:t>tiesiskās</w:t>
      </w:r>
      <w:r>
        <w:rPr>
          <w:spacing w:val="-10"/>
        </w:rPr>
        <w:t> </w:t>
      </w:r>
      <w:r>
        <w:rPr/>
        <w:t>aizsardzības</w:t>
      </w:r>
      <w:r>
        <w:rPr>
          <w:spacing w:val="-11"/>
        </w:rPr>
        <w:t> </w:t>
      </w:r>
      <w:r>
        <w:rPr/>
        <w:t>procesu</w:t>
      </w:r>
      <w:r>
        <w:rPr>
          <w:spacing w:val="-10"/>
        </w:rPr>
        <w:t> </w:t>
      </w:r>
      <w:r>
        <w:rPr/>
        <w:t>un</w:t>
      </w:r>
      <w:r>
        <w:rPr>
          <w:spacing w:val="-10"/>
        </w:rPr>
        <w:t> </w:t>
      </w:r>
      <w:r>
        <w:rPr/>
        <w:t>maksātnespējas</w:t>
      </w:r>
      <w:r>
        <w:rPr>
          <w:spacing w:val="-13"/>
        </w:rPr>
        <w:t> </w:t>
      </w:r>
      <w:r>
        <w:rPr/>
        <w:t>procesu</w:t>
      </w:r>
      <w:r>
        <w:rPr>
          <w:spacing w:val="-10"/>
        </w:rPr>
        <w:t> </w:t>
      </w:r>
      <w:r>
        <w:rPr/>
        <w:t>izskata</w:t>
      </w:r>
      <w:r>
        <w:rPr>
          <w:spacing w:val="-10"/>
        </w:rPr>
        <w:t> </w:t>
      </w:r>
      <w:r>
        <w:rPr/>
        <w:t>sevišķās tiesāšanas kārtībā (sk. Civilprocesa likuma 251.panta 11.punktu), Senāts uzskata, ka uz šīs kategorijas lietām attiecināmi iepriekš minētie nosacījumi, cita starpā, tiesas pienākums lietas ietvaros noskaidrot objektīvo patiesību neatkarīgi no tā, </w:t>
      </w:r>
      <w:r>
        <w:rPr>
          <w:spacing w:val="-4"/>
        </w:rPr>
        <w:t>vai </w:t>
      </w:r>
      <w:r>
        <w:rPr/>
        <w:t>procesa</w:t>
      </w:r>
      <w:r>
        <w:rPr>
          <w:spacing w:val="-11"/>
        </w:rPr>
        <w:t> </w:t>
      </w:r>
      <w:r>
        <w:rPr/>
        <w:t>dalībnieki</w:t>
      </w:r>
      <w:r>
        <w:rPr>
          <w:spacing w:val="-10"/>
        </w:rPr>
        <w:t> </w:t>
      </w:r>
      <w:r>
        <w:rPr/>
        <w:t>ir</w:t>
      </w:r>
      <w:r>
        <w:rPr>
          <w:spacing w:val="-10"/>
        </w:rPr>
        <w:t> </w:t>
      </w:r>
      <w:r>
        <w:rPr/>
        <w:t>vai</w:t>
      </w:r>
      <w:r>
        <w:rPr>
          <w:spacing w:val="-10"/>
        </w:rPr>
        <w:t> </w:t>
      </w:r>
      <w:r>
        <w:rPr/>
        <w:t>nav</w:t>
      </w:r>
      <w:r>
        <w:rPr>
          <w:spacing w:val="-12"/>
        </w:rPr>
        <w:t> </w:t>
      </w:r>
      <w:r>
        <w:rPr/>
        <w:t>tiesu</w:t>
      </w:r>
      <w:r>
        <w:rPr>
          <w:spacing w:val="-11"/>
        </w:rPr>
        <w:t> </w:t>
      </w:r>
      <w:r>
        <w:rPr/>
        <w:t>informējuši</w:t>
      </w:r>
      <w:r>
        <w:rPr>
          <w:spacing w:val="-10"/>
        </w:rPr>
        <w:t> </w:t>
      </w:r>
      <w:r>
        <w:rPr/>
        <w:t>par</w:t>
      </w:r>
      <w:r>
        <w:rPr>
          <w:spacing w:val="-10"/>
        </w:rPr>
        <w:t> </w:t>
      </w:r>
      <w:r>
        <w:rPr/>
        <w:t>visiem</w:t>
      </w:r>
      <w:r>
        <w:rPr>
          <w:spacing w:val="-10"/>
        </w:rPr>
        <w:t> </w:t>
      </w:r>
      <w:r>
        <w:rPr/>
        <w:t>lietas</w:t>
      </w:r>
      <w:r>
        <w:rPr>
          <w:spacing w:val="-10"/>
        </w:rPr>
        <w:t> </w:t>
      </w:r>
      <w:r>
        <w:rPr/>
        <w:t>pareizai</w:t>
      </w:r>
      <w:r>
        <w:rPr>
          <w:spacing w:val="-10"/>
        </w:rPr>
        <w:t> </w:t>
      </w:r>
      <w:r>
        <w:rPr/>
        <w:t>izspriešanai būtiskiem</w:t>
      </w:r>
      <w:r>
        <w:rPr>
          <w:spacing w:val="-2"/>
        </w:rPr>
        <w:t> </w:t>
      </w:r>
      <w:r>
        <w:rPr/>
        <w:t>apstākļiem.”</w:t>
      </w:r>
      <w:r>
        <w:rPr>
          <w:position w:val="9"/>
          <w:sz w:val="16"/>
        </w:rPr>
        <w:t>51</w:t>
      </w:r>
    </w:p>
    <w:p>
      <w:pPr>
        <w:pStyle w:val="BodyText"/>
        <w:spacing w:before="8"/>
        <w:jc w:val="left"/>
        <w:rPr>
          <w:sz w:val="22"/>
        </w:rPr>
      </w:pPr>
    </w:p>
    <w:p>
      <w:pPr>
        <w:pStyle w:val="ListParagraph"/>
        <w:numPr>
          <w:ilvl w:val="0"/>
          <w:numId w:val="14"/>
        </w:numPr>
        <w:tabs>
          <w:tab w:pos="1340" w:val="left" w:leader="none"/>
        </w:tabs>
        <w:spacing w:line="240" w:lineRule="auto" w:before="0" w:after="0"/>
        <w:ind w:left="1340" w:right="401" w:hanging="360"/>
        <w:jc w:val="both"/>
        <w:rPr>
          <w:sz w:val="24"/>
        </w:rPr>
      </w:pPr>
      <w:r>
        <w:rPr>
          <w:sz w:val="24"/>
        </w:rPr>
        <w:t>Ļoti</w:t>
      </w:r>
      <w:r>
        <w:rPr>
          <w:spacing w:val="-16"/>
          <w:sz w:val="24"/>
        </w:rPr>
        <w:t> </w:t>
      </w:r>
      <w:r>
        <w:rPr>
          <w:sz w:val="24"/>
        </w:rPr>
        <w:t>dažāda,</w:t>
      </w:r>
      <w:r>
        <w:rPr>
          <w:spacing w:val="-16"/>
          <w:sz w:val="24"/>
        </w:rPr>
        <w:t> </w:t>
      </w:r>
      <w:r>
        <w:rPr>
          <w:sz w:val="24"/>
        </w:rPr>
        <w:t>neviennozīmīga</w:t>
      </w:r>
      <w:r>
        <w:rPr>
          <w:spacing w:val="-16"/>
          <w:sz w:val="24"/>
        </w:rPr>
        <w:t> </w:t>
      </w:r>
      <w:r>
        <w:rPr>
          <w:sz w:val="24"/>
        </w:rPr>
        <w:t>un</w:t>
      </w:r>
      <w:r>
        <w:rPr>
          <w:spacing w:val="-16"/>
          <w:sz w:val="24"/>
        </w:rPr>
        <w:t> </w:t>
      </w:r>
      <w:r>
        <w:rPr>
          <w:sz w:val="24"/>
        </w:rPr>
        <w:t>neparedzama</w:t>
      </w:r>
      <w:r>
        <w:rPr>
          <w:spacing w:val="-16"/>
          <w:sz w:val="24"/>
        </w:rPr>
        <w:t> </w:t>
      </w:r>
      <w:r>
        <w:rPr>
          <w:sz w:val="24"/>
        </w:rPr>
        <w:t>interpretācija</w:t>
      </w:r>
      <w:r>
        <w:rPr>
          <w:spacing w:val="-14"/>
          <w:sz w:val="24"/>
        </w:rPr>
        <w:t> </w:t>
      </w:r>
      <w:r>
        <w:rPr>
          <w:sz w:val="24"/>
        </w:rPr>
        <w:t>Maksātnespējas</w:t>
      </w:r>
      <w:r>
        <w:rPr>
          <w:spacing w:val="-16"/>
          <w:sz w:val="24"/>
        </w:rPr>
        <w:t> </w:t>
      </w:r>
      <w:r>
        <w:rPr>
          <w:sz w:val="24"/>
        </w:rPr>
        <w:t>likuma 129.panta pirmās daļas 1.punktā pazīmei par personas iespējām / nespēju nokārtot parādsaistības  un  godprātīgumu.  No  vienas  puses,   LR   AT   Senāts  2013.gada 4.decembra spriedumā lietā </w:t>
      </w:r>
      <w:r>
        <w:rPr>
          <w:spacing w:val="-3"/>
          <w:sz w:val="24"/>
        </w:rPr>
        <w:t>SPC-49/2013 atzina, </w:t>
      </w:r>
      <w:r>
        <w:rPr>
          <w:sz w:val="24"/>
        </w:rPr>
        <w:t>ka tiesai jāaprobežojas ar formālu Maksātnespējas likuma 129.panta pirmajā daļā noteikto</w:t>
      </w:r>
      <w:r>
        <w:rPr>
          <w:spacing w:val="-33"/>
          <w:sz w:val="24"/>
        </w:rPr>
        <w:t> </w:t>
      </w:r>
      <w:r>
        <w:rPr>
          <w:sz w:val="24"/>
        </w:rPr>
        <w:t>maksātnespējas pazīmju konstatējumu, nevērtējot parādnieka rīcību labas ticības </w:t>
      </w:r>
      <w:r>
        <w:rPr>
          <w:spacing w:val="-3"/>
          <w:sz w:val="24"/>
        </w:rPr>
        <w:t>principa </w:t>
      </w:r>
      <w:r>
        <w:rPr>
          <w:sz w:val="24"/>
        </w:rPr>
        <w:t>(godprātības) šķautnē. No otras puses, pēdējos gados saistībā ar viegli pieejamiem “ātrajiem” kredītiem ir aktualizējies jautājums par parādnieku godprātību, iesniedzot fiziskās personas maksātnespējas procesa pieteikumu. Tā, piemēram, 2018.gadā</w:t>
      </w:r>
      <w:r>
        <w:rPr>
          <w:spacing w:val="-7"/>
          <w:sz w:val="24"/>
        </w:rPr>
        <w:t> </w:t>
      </w:r>
      <w:r>
        <w:rPr>
          <w:sz w:val="24"/>
        </w:rPr>
        <w:t>samērā</w:t>
      </w:r>
      <w:r>
        <w:rPr>
          <w:spacing w:val="-6"/>
          <w:sz w:val="24"/>
        </w:rPr>
        <w:t> </w:t>
      </w:r>
      <w:r>
        <w:rPr>
          <w:sz w:val="24"/>
        </w:rPr>
        <w:t>bieži</w:t>
      </w:r>
      <w:r>
        <w:rPr>
          <w:spacing w:val="-4"/>
          <w:sz w:val="24"/>
        </w:rPr>
        <w:t> </w:t>
      </w:r>
      <w:r>
        <w:rPr>
          <w:sz w:val="24"/>
        </w:rPr>
        <w:t>ir</w:t>
      </w:r>
      <w:r>
        <w:rPr>
          <w:spacing w:val="-7"/>
          <w:sz w:val="24"/>
        </w:rPr>
        <w:t> </w:t>
      </w:r>
      <w:r>
        <w:rPr>
          <w:sz w:val="24"/>
        </w:rPr>
        <w:t>tikuši</w:t>
      </w:r>
      <w:r>
        <w:rPr>
          <w:spacing w:val="-4"/>
          <w:sz w:val="24"/>
        </w:rPr>
        <w:t> </w:t>
      </w:r>
      <w:r>
        <w:rPr>
          <w:sz w:val="24"/>
        </w:rPr>
        <w:t>noraidīti</w:t>
      </w:r>
      <w:r>
        <w:rPr>
          <w:spacing w:val="-4"/>
          <w:sz w:val="24"/>
        </w:rPr>
        <w:t> </w:t>
      </w:r>
      <w:r>
        <w:rPr>
          <w:sz w:val="24"/>
        </w:rPr>
        <w:t>fiziskās</w:t>
      </w:r>
      <w:r>
        <w:rPr>
          <w:spacing w:val="-5"/>
          <w:sz w:val="24"/>
        </w:rPr>
        <w:t> </w:t>
      </w:r>
      <w:r>
        <w:rPr>
          <w:sz w:val="24"/>
        </w:rPr>
        <w:t>personas</w:t>
      </w:r>
      <w:r>
        <w:rPr>
          <w:spacing w:val="-4"/>
          <w:sz w:val="24"/>
        </w:rPr>
        <w:t> </w:t>
      </w:r>
      <w:r>
        <w:rPr>
          <w:sz w:val="24"/>
        </w:rPr>
        <w:t>maksātnespējas</w:t>
      </w:r>
      <w:r>
        <w:rPr>
          <w:spacing w:val="-4"/>
          <w:sz w:val="24"/>
        </w:rPr>
        <w:t> </w:t>
      </w:r>
      <w:r>
        <w:rPr>
          <w:sz w:val="24"/>
        </w:rPr>
        <w:t>procesa pieteikumi,</w:t>
      </w:r>
      <w:r>
        <w:rPr>
          <w:spacing w:val="-13"/>
          <w:sz w:val="24"/>
        </w:rPr>
        <w:t> </w:t>
      </w:r>
      <w:r>
        <w:rPr>
          <w:sz w:val="24"/>
        </w:rPr>
        <w:t>tiesai</w:t>
      </w:r>
      <w:r>
        <w:rPr>
          <w:spacing w:val="-13"/>
          <w:sz w:val="24"/>
        </w:rPr>
        <w:t> </w:t>
      </w:r>
      <w:r>
        <w:rPr>
          <w:sz w:val="24"/>
        </w:rPr>
        <w:t>secinot,</w:t>
      </w:r>
      <w:r>
        <w:rPr>
          <w:spacing w:val="-8"/>
          <w:sz w:val="24"/>
        </w:rPr>
        <w:t> </w:t>
      </w:r>
      <w:r>
        <w:rPr>
          <w:sz w:val="24"/>
        </w:rPr>
        <w:t>ka</w:t>
      </w:r>
      <w:r>
        <w:rPr>
          <w:spacing w:val="-16"/>
          <w:sz w:val="24"/>
        </w:rPr>
        <w:t> </w:t>
      </w:r>
      <w:r>
        <w:rPr>
          <w:sz w:val="24"/>
        </w:rPr>
        <w:t>parādnieks</w:t>
      </w:r>
      <w:r>
        <w:rPr>
          <w:spacing w:val="-12"/>
          <w:sz w:val="24"/>
        </w:rPr>
        <w:t> </w:t>
      </w:r>
      <w:r>
        <w:rPr>
          <w:sz w:val="24"/>
        </w:rPr>
        <w:t>nevis</w:t>
      </w:r>
      <w:r>
        <w:rPr>
          <w:spacing w:val="-11"/>
          <w:sz w:val="24"/>
        </w:rPr>
        <w:t> </w:t>
      </w:r>
      <w:r>
        <w:rPr>
          <w:sz w:val="24"/>
        </w:rPr>
        <w:t>nespēj,</w:t>
      </w:r>
      <w:r>
        <w:rPr>
          <w:spacing w:val="-12"/>
          <w:sz w:val="24"/>
        </w:rPr>
        <w:t> </w:t>
      </w:r>
      <w:r>
        <w:rPr>
          <w:sz w:val="24"/>
        </w:rPr>
        <w:t>bet</w:t>
      </w:r>
      <w:r>
        <w:rPr>
          <w:spacing w:val="-13"/>
          <w:sz w:val="24"/>
        </w:rPr>
        <w:t> </w:t>
      </w:r>
      <w:r>
        <w:rPr>
          <w:sz w:val="24"/>
        </w:rPr>
        <w:t>nevēlas</w:t>
      </w:r>
      <w:r>
        <w:rPr>
          <w:spacing w:val="-12"/>
          <w:sz w:val="24"/>
        </w:rPr>
        <w:t> </w:t>
      </w:r>
      <w:r>
        <w:rPr>
          <w:sz w:val="24"/>
        </w:rPr>
        <w:t>pildīt</w:t>
      </w:r>
      <w:r>
        <w:rPr>
          <w:spacing w:val="-11"/>
          <w:sz w:val="24"/>
        </w:rPr>
        <w:t> </w:t>
      </w:r>
      <w:r>
        <w:rPr>
          <w:sz w:val="24"/>
        </w:rPr>
        <w:t>saistības</w:t>
      </w:r>
      <w:r>
        <w:rPr>
          <w:spacing w:val="-15"/>
          <w:sz w:val="24"/>
        </w:rPr>
        <w:t> </w:t>
      </w:r>
      <w:r>
        <w:rPr>
          <w:sz w:val="24"/>
        </w:rPr>
        <w:t>vai arī pārlieku vieglprātīgi ir uzņēmies</w:t>
      </w:r>
      <w:r>
        <w:rPr>
          <w:spacing w:val="-3"/>
          <w:sz w:val="24"/>
        </w:rPr>
        <w:t> </w:t>
      </w:r>
      <w:r>
        <w:rPr>
          <w:sz w:val="24"/>
        </w:rPr>
        <w:t>saistības.</w:t>
      </w:r>
    </w:p>
    <w:p>
      <w:pPr>
        <w:pStyle w:val="BodyText"/>
        <w:jc w:val="left"/>
      </w:pPr>
    </w:p>
    <w:p>
      <w:pPr>
        <w:pStyle w:val="ListParagraph"/>
        <w:numPr>
          <w:ilvl w:val="0"/>
          <w:numId w:val="14"/>
        </w:numPr>
        <w:tabs>
          <w:tab w:pos="1340" w:val="left" w:leader="none"/>
        </w:tabs>
        <w:spacing w:line="240" w:lineRule="auto" w:before="0" w:after="0"/>
        <w:ind w:left="1340" w:right="402" w:hanging="360"/>
        <w:jc w:val="both"/>
        <w:rPr>
          <w:sz w:val="24"/>
        </w:rPr>
      </w:pPr>
      <w:r>
        <w:rPr>
          <w:sz w:val="24"/>
        </w:rPr>
        <w:t>Saistību izpildes termiņa iestāšanās noteikšanas problemātika attiecībā uz galvojuma</w:t>
      </w:r>
      <w:r>
        <w:rPr>
          <w:spacing w:val="22"/>
          <w:sz w:val="24"/>
        </w:rPr>
        <w:t> </w:t>
      </w:r>
      <w:r>
        <w:rPr>
          <w:sz w:val="24"/>
        </w:rPr>
        <w:t>saistībām,</w:t>
      </w:r>
      <w:r>
        <w:rPr>
          <w:spacing w:val="23"/>
          <w:sz w:val="24"/>
        </w:rPr>
        <w:t> </w:t>
      </w:r>
      <w:r>
        <w:rPr>
          <w:sz w:val="24"/>
        </w:rPr>
        <w:t>prasības</w:t>
      </w:r>
      <w:r>
        <w:rPr>
          <w:spacing w:val="19"/>
          <w:sz w:val="24"/>
        </w:rPr>
        <w:t> </w:t>
      </w:r>
      <w:r>
        <w:rPr>
          <w:sz w:val="24"/>
        </w:rPr>
        <w:t>pieteikumu</w:t>
      </w:r>
      <w:r>
        <w:rPr>
          <w:spacing w:val="23"/>
          <w:sz w:val="24"/>
        </w:rPr>
        <w:t> </w:t>
      </w:r>
      <w:r>
        <w:rPr>
          <w:sz w:val="24"/>
        </w:rPr>
        <w:t>norakstiem,</w:t>
      </w:r>
      <w:r>
        <w:rPr>
          <w:spacing w:val="22"/>
          <w:sz w:val="24"/>
        </w:rPr>
        <w:t> </w:t>
      </w:r>
      <w:r>
        <w:rPr>
          <w:sz w:val="24"/>
        </w:rPr>
        <w:t>citiem</w:t>
      </w:r>
      <w:r>
        <w:rPr>
          <w:spacing w:val="21"/>
          <w:sz w:val="24"/>
        </w:rPr>
        <w:t> </w:t>
      </w:r>
      <w:r>
        <w:rPr>
          <w:sz w:val="24"/>
        </w:rPr>
        <w:t>no</w:t>
      </w:r>
      <w:r>
        <w:rPr>
          <w:spacing w:val="23"/>
          <w:sz w:val="24"/>
        </w:rPr>
        <w:t> </w:t>
      </w:r>
      <w:r>
        <w:rPr>
          <w:sz w:val="24"/>
        </w:rPr>
        <w:t>kreditoriem</w:t>
      </w:r>
    </w:p>
    <w:p>
      <w:pPr>
        <w:pStyle w:val="BodyText"/>
        <w:jc w:val="left"/>
        <w:rPr>
          <w:sz w:val="20"/>
        </w:rPr>
      </w:pPr>
    </w:p>
    <w:p>
      <w:pPr>
        <w:pStyle w:val="BodyText"/>
        <w:spacing w:before="5"/>
        <w:jc w:val="left"/>
        <w:rPr>
          <w:sz w:val="17"/>
        </w:rPr>
      </w:pPr>
    </w:p>
    <w:p>
      <w:pPr>
        <w:spacing w:line="233" w:lineRule="exact" w:before="94"/>
        <w:ind w:left="620" w:right="0" w:firstLine="0"/>
        <w:jc w:val="left"/>
        <w:rPr>
          <w:sz w:val="20"/>
        </w:rPr>
      </w:pPr>
      <w:r>
        <w:rPr>
          <w:position w:val="7"/>
          <w:sz w:val="13"/>
        </w:rPr>
        <w:t>50 </w:t>
      </w:r>
      <w:r>
        <w:rPr>
          <w:sz w:val="20"/>
        </w:rPr>
        <w:t>Rīgas pilsētas Latgales priekšpilsētas tiesas 2016.gada 27.jūnija nolēmums lietā Nr. C29510916</w:t>
      </w:r>
    </w:p>
    <w:p>
      <w:pPr>
        <w:spacing w:line="233" w:lineRule="exact" w:before="0"/>
        <w:ind w:left="620" w:right="0" w:firstLine="0"/>
        <w:jc w:val="left"/>
        <w:rPr>
          <w:sz w:val="20"/>
        </w:rPr>
      </w:pPr>
      <w:r>
        <w:rPr>
          <w:position w:val="7"/>
          <w:sz w:val="13"/>
        </w:rPr>
        <w:t>51 </w:t>
      </w:r>
      <w:r>
        <w:rPr>
          <w:sz w:val="20"/>
        </w:rPr>
        <w:t>Rīgas pilsētas Vidzemes priekšpilsētas tiesas 2015.gada 20.novembra nolēmums lietā Nr. C30647715</w:t>
      </w:r>
    </w:p>
    <w:p>
      <w:pPr>
        <w:spacing w:after="0" w:line="233" w:lineRule="exact"/>
        <w:jc w:val="left"/>
        <w:rPr>
          <w:sz w:val="20"/>
        </w:rPr>
        <w:sectPr>
          <w:pgSz w:w="11910" w:h="16840"/>
          <w:pgMar w:header="0" w:footer="1165" w:top="1340" w:bottom="1360" w:left="1180" w:right="1040"/>
        </w:sectPr>
      </w:pPr>
    </w:p>
    <w:p>
      <w:pPr>
        <w:pStyle w:val="BodyText"/>
        <w:spacing w:before="73"/>
        <w:ind w:left="980" w:right="761"/>
      </w:pPr>
      <w:r>
        <w:rPr/>
        <w:t>saņemtiem parādu apliecinošiem dokumentiem un Latvijas Bankas izsniegtu pārskatu par pieteicēja saistībām u.c. (pieteicēji nepietiekoši pierāda, tiesas interpretē dažādi). Iespējams, nepieciešama vadlīniju izstrāde parādnieku</w:t>
      </w:r>
      <w:r>
        <w:rPr>
          <w:spacing w:val="-19"/>
        </w:rPr>
        <w:t> </w:t>
      </w:r>
      <w:r>
        <w:rPr/>
        <w:t>izpratnes veicināšanai</w:t>
      </w:r>
      <w:r>
        <w:rPr>
          <w:spacing w:val="-17"/>
        </w:rPr>
        <w:t> </w:t>
      </w:r>
      <w:r>
        <w:rPr/>
        <w:t>par</w:t>
      </w:r>
      <w:r>
        <w:rPr>
          <w:spacing w:val="-15"/>
        </w:rPr>
        <w:t> </w:t>
      </w:r>
      <w:r>
        <w:rPr/>
        <w:t>maksātnespējas</w:t>
      </w:r>
      <w:r>
        <w:rPr>
          <w:spacing w:val="-14"/>
        </w:rPr>
        <w:t> </w:t>
      </w:r>
      <w:r>
        <w:rPr/>
        <w:t>procesu</w:t>
      </w:r>
      <w:r>
        <w:rPr>
          <w:spacing w:val="-15"/>
        </w:rPr>
        <w:t> </w:t>
      </w:r>
      <w:r>
        <w:rPr/>
        <w:t>un</w:t>
      </w:r>
      <w:r>
        <w:rPr>
          <w:spacing w:val="-14"/>
        </w:rPr>
        <w:t> </w:t>
      </w:r>
      <w:r>
        <w:rPr/>
        <w:t>minimālajām</w:t>
      </w:r>
      <w:r>
        <w:rPr>
          <w:spacing w:val="-15"/>
        </w:rPr>
        <w:t> </w:t>
      </w:r>
      <w:r>
        <w:rPr/>
        <w:t>prasībām</w:t>
      </w:r>
      <w:r>
        <w:rPr>
          <w:spacing w:val="-14"/>
        </w:rPr>
        <w:t> </w:t>
      </w:r>
      <w:r>
        <w:rPr/>
        <w:t>maksātnespējas procesa pieteikuma un tam pievienoto pierādījumu saturam un</w:t>
      </w:r>
      <w:r>
        <w:rPr>
          <w:spacing w:val="-2"/>
        </w:rPr>
        <w:t> </w:t>
      </w:r>
      <w:r>
        <w:rPr/>
        <w:t>noformējum.</w:t>
      </w:r>
    </w:p>
    <w:p>
      <w:pPr>
        <w:pStyle w:val="BodyText"/>
        <w:spacing w:before="2"/>
        <w:jc w:val="left"/>
      </w:pPr>
    </w:p>
    <w:p>
      <w:pPr>
        <w:pStyle w:val="ListParagraph"/>
        <w:numPr>
          <w:ilvl w:val="0"/>
          <w:numId w:val="14"/>
        </w:numPr>
        <w:tabs>
          <w:tab w:pos="980" w:val="left" w:leader="none"/>
        </w:tabs>
        <w:spacing w:line="237" w:lineRule="auto" w:before="1" w:after="0"/>
        <w:ind w:left="980" w:right="760" w:hanging="360"/>
        <w:jc w:val="both"/>
        <w:rPr>
          <w:sz w:val="16"/>
        </w:rPr>
      </w:pPr>
      <w:r>
        <w:rPr>
          <w:sz w:val="24"/>
        </w:rPr>
        <w:t>Pieteicējs nevar atsaukt maksātnespējas pieteikumu, kā rezultātā gadījumā, ja pieteicējai tomēr rodas iespēja vienoties ar kreditoriem par saistību izpildi bez maksātnespējas procesa vai tml., tiesa pieteikumu skata pēc būtības. Piemēram, neskatoties uz pieteicējas tiesai iesniegto lūgumu noņemt no izskatīšanas lietu, jo trešo personu starpā noris sarunas par prasījuma tiesību cesijas iespējamību, tiesa secina, ka pieteikums ir izskatāms pēc būtības un izlemjams, vai parādniecei ir vērojama maksātnespējas procesa pazīme. Tiesa papildus norāda, ka atbilstoši Civilprocesa likuma 363.</w:t>
      </w:r>
      <w:r>
        <w:rPr>
          <w:position w:val="9"/>
          <w:sz w:val="16"/>
        </w:rPr>
        <w:t>21 </w:t>
      </w:r>
      <w:r>
        <w:rPr>
          <w:sz w:val="24"/>
        </w:rPr>
        <w:t>un 363.</w:t>
      </w:r>
      <w:r>
        <w:rPr>
          <w:position w:val="9"/>
          <w:sz w:val="16"/>
        </w:rPr>
        <w:t>8 </w:t>
      </w:r>
      <w:r>
        <w:rPr>
          <w:sz w:val="24"/>
        </w:rPr>
        <w:t>panta otrajā daļā noteiktajam, parādnieks nav tiesīgs atsaukt maksātnespējas procesa pieteikumu. Vienlaikus tiesa atzīst, </w:t>
      </w:r>
      <w:r>
        <w:rPr>
          <w:spacing w:val="-6"/>
          <w:sz w:val="24"/>
        </w:rPr>
        <w:t>ka </w:t>
      </w:r>
      <w:r>
        <w:rPr>
          <w:sz w:val="24"/>
        </w:rPr>
        <w:t>pastāv šaubas, vai parādniecei patiesi ir maksātnespējas problēmas. Parādniece atkārtotais</w:t>
      </w:r>
      <w:r>
        <w:rPr>
          <w:spacing w:val="-5"/>
          <w:sz w:val="24"/>
        </w:rPr>
        <w:t> </w:t>
      </w:r>
      <w:r>
        <w:rPr>
          <w:sz w:val="24"/>
        </w:rPr>
        <w:t>lūgums</w:t>
      </w:r>
      <w:r>
        <w:rPr>
          <w:spacing w:val="-6"/>
          <w:sz w:val="24"/>
        </w:rPr>
        <w:t> </w:t>
      </w:r>
      <w:r>
        <w:rPr>
          <w:sz w:val="24"/>
        </w:rPr>
        <w:t>noņemt</w:t>
      </w:r>
      <w:r>
        <w:rPr>
          <w:spacing w:val="-4"/>
          <w:sz w:val="24"/>
        </w:rPr>
        <w:t> </w:t>
      </w:r>
      <w:r>
        <w:rPr>
          <w:sz w:val="24"/>
        </w:rPr>
        <w:t>no</w:t>
      </w:r>
      <w:r>
        <w:rPr>
          <w:spacing w:val="-6"/>
          <w:sz w:val="24"/>
        </w:rPr>
        <w:t> </w:t>
      </w:r>
      <w:r>
        <w:rPr>
          <w:sz w:val="24"/>
        </w:rPr>
        <w:t>izskatīšanas</w:t>
      </w:r>
      <w:r>
        <w:rPr>
          <w:spacing w:val="-8"/>
          <w:sz w:val="24"/>
        </w:rPr>
        <w:t> </w:t>
      </w:r>
      <w:r>
        <w:rPr>
          <w:sz w:val="24"/>
        </w:rPr>
        <w:t>viņas</w:t>
      </w:r>
      <w:r>
        <w:rPr>
          <w:spacing w:val="-6"/>
          <w:sz w:val="24"/>
        </w:rPr>
        <w:t> </w:t>
      </w:r>
      <w:r>
        <w:rPr>
          <w:sz w:val="24"/>
        </w:rPr>
        <w:t>pieteikumu</w:t>
      </w:r>
      <w:r>
        <w:rPr>
          <w:spacing w:val="-6"/>
          <w:sz w:val="24"/>
        </w:rPr>
        <w:t> </w:t>
      </w:r>
      <w:r>
        <w:rPr>
          <w:sz w:val="24"/>
        </w:rPr>
        <w:t>norāda,</w:t>
      </w:r>
      <w:r>
        <w:rPr>
          <w:spacing w:val="-6"/>
          <w:sz w:val="24"/>
        </w:rPr>
        <w:t> </w:t>
      </w:r>
      <w:r>
        <w:rPr>
          <w:sz w:val="24"/>
        </w:rPr>
        <w:t>ka</w:t>
      </w:r>
      <w:r>
        <w:rPr>
          <w:spacing w:val="-6"/>
          <w:sz w:val="24"/>
        </w:rPr>
        <w:t> </w:t>
      </w:r>
      <w:r>
        <w:rPr>
          <w:sz w:val="24"/>
        </w:rPr>
        <w:t>parādniecei ir pietiekams finansiālais stāvoklis, lai varētu izpildīt savas uzņemtās</w:t>
      </w:r>
      <w:r>
        <w:rPr>
          <w:spacing w:val="-5"/>
          <w:sz w:val="24"/>
        </w:rPr>
        <w:t> </w:t>
      </w:r>
      <w:r>
        <w:rPr>
          <w:sz w:val="24"/>
        </w:rPr>
        <w:t>saistības.</w:t>
      </w:r>
      <w:r>
        <w:rPr>
          <w:position w:val="9"/>
          <w:sz w:val="16"/>
        </w:rPr>
        <w:t>52</w:t>
      </w:r>
    </w:p>
    <w:p>
      <w:pPr>
        <w:pStyle w:val="BodyText"/>
        <w:jc w:val="left"/>
      </w:pPr>
    </w:p>
    <w:p>
      <w:pPr>
        <w:pStyle w:val="ListParagraph"/>
        <w:numPr>
          <w:ilvl w:val="0"/>
          <w:numId w:val="14"/>
        </w:numPr>
        <w:tabs>
          <w:tab w:pos="980" w:val="left" w:leader="none"/>
        </w:tabs>
        <w:spacing w:line="240" w:lineRule="auto" w:before="0" w:after="0"/>
        <w:ind w:left="980" w:right="764" w:hanging="360"/>
        <w:jc w:val="both"/>
        <w:rPr>
          <w:sz w:val="24"/>
        </w:rPr>
      </w:pPr>
      <w:r>
        <w:rPr>
          <w:sz w:val="24"/>
        </w:rPr>
        <w:t>Padomes regulas Nr.1346/2000 noteikumu piemērošana attiecībā uz pieteicējiem, kas ir ārvalsts pilsoņi un kur visi kreditori atrodas</w:t>
      </w:r>
      <w:r>
        <w:rPr>
          <w:spacing w:val="-1"/>
          <w:sz w:val="24"/>
        </w:rPr>
        <w:t> </w:t>
      </w:r>
      <w:r>
        <w:rPr>
          <w:sz w:val="24"/>
        </w:rPr>
        <w:t>ārvalstīs.</w:t>
      </w:r>
    </w:p>
    <w:p>
      <w:pPr>
        <w:pStyle w:val="BodyText"/>
        <w:jc w:val="left"/>
      </w:pPr>
    </w:p>
    <w:p>
      <w:pPr>
        <w:pStyle w:val="ListParagraph"/>
        <w:numPr>
          <w:ilvl w:val="0"/>
          <w:numId w:val="14"/>
        </w:numPr>
        <w:tabs>
          <w:tab w:pos="980" w:val="left" w:leader="none"/>
        </w:tabs>
        <w:spacing w:line="240" w:lineRule="auto" w:before="0" w:after="0"/>
        <w:ind w:left="980" w:right="761" w:hanging="360"/>
        <w:jc w:val="both"/>
        <w:rPr>
          <w:sz w:val="24"/>
        </w:rPr>
      </w:pPr>
      <w:r>
        <w:rPr>
          <w:sz w:val="24"/>
        </w:rPr>
        <w:t>Vai ārvalsts pilsoņiem, kam visi kreditori atrodas ārvalstīs, nav nepieciešams pienākums iesniegt pierādījumus par to, ka nepastāv Maksātnespējas likuma 130.pantā noteiktie ierobežojumi, piemēram, nav stājies spēkā kompetentas institūcijas nolēmums kriminālprocesā, ar kuru konstatēts, ka parādnieks ir izvairījies no nodokļu samaksas</w:t>
      </w:r>
      <w:r>
        <w:rPr>
          <w:spacing w:val="-4"/>
          <w:sz w:val="24"/>
        </w:rPr>
        <w:t> </w:t>
      </w:r>
      <w:r>
        <w:rPr>
          <w:sz w:val="24"/>
        </w:rPr>
        <w:t>u.c.</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8"/>
        <w:jc w:val="left"/>
        <w:rPr>
          <w:sz w:val="12"/>
        </w:rPr>
      </w:pPr>
      <w:r>
        <w:rPr/>
        <w:pict>
          <v:shape style="position:absolute;margin-left:72pt;margin-top:9.561624pt;width:144pt;height:.1pt;mso-position-horizontal-relative:page;mso-position-vertical-relative:paragraph;z-index:-251648000;mso-wrap-distance-left:0;mso-wrap-distance-right:0" coordorigin="1440,191" coordsize="2880,0" path="m1440,191l4320,191e" filled="false" stroked="true" strokeweight=".599991pt" strokecolor="#000000">
            <v:path arrowok="t"/>
            <v:stroke dashstyle="solid"/>
            <w10:wrap type="topAndBottom"/>
          </v:shape>
        </w:pict>
      </w:r>
    </w:p>
    <w:p>
      <w:pPr>
        <w:spacing w:before="70"/>
        <w:ind w:left="260" w:right="0" w:firstLine="0"/>
        <w:jc w:val="left"/>
        <w:rPr>
          <w:sz w:val="20"/>
        </w:rPr>
      </w:pPr>
      <w:r>
        <w:rPr>
          <w:position w:val="7"/>
          <w:sz w:val="13"/>
        </w:rPr>
        <w:t>52 </w:t>
      </w:r>
      <w:r>
        <w:rPr>
          <w:sz w:val="20"/>
        </w:rPr>
        <w:t>Rīgas rajona tiesas 2018.gada 10.septembra nolēmums lietā Nr. C-5099-18/1</w:t>
      </w:r>
    </w:p>
    <w:p>
      <w:pPr>
        <w:spacing w:after="0"/>
        <w:jc w:val="left"/>
        <w:rPr>
          <w:sz w:val="20"/>
        </w:rPr>
        <w:sectPr>
          <w:footerReference w:type="even" r:id="rId18"/>
          <w:footerReference w:type="default" r:id="rId19"/>
          <w:pgSz w:w="11910" w:h="16840"/>
          <w:pgMar w:footer="1055" w:header="0" w:top="1340" w:bottom="1240" w:left="1180" w:right="1040"/>
          <w:pgNumType w:start="24"/>
        </w:sectPr>
      </w:pPr>
    </w:p>
    <w:p>
      <w:pPr>
        <w:pStyle w:val="Heading2"/>
        <w:numPr>
          <w:ilvl w:val="0"/>
          <w:numId w:val="7"/>
        </w:numPr>
        <w:tabs>
          <w:tab w:pos="1499" w:val="left" w:leader="none"/>
        </w:tabs>
        <w:spacing w:line="240" w:lineRule="auto" w:before="59" w:after="0"/>
        <w:ind w:left="1364" w:right="431" w:hanging="226"/>
        <w:jc w:val="left"/>
      </w:pPr>
      <w:r>
        <w:rPr/>
        <w:t>Tiesu nolēmumi, ar kuriem maksātnespējas process izbeigts pēc bankrota procedūras pabeigšanas, nepiemērojot saistību</w:t>
      </w:r>
      <w:r>
        <w:rPr>
          <w:spacing w:val="-11"/>
        </w:rPr>
        <w:t> </w:t>
      </w:r>
      <w:r>
        <w:rPr/>
        <w:t>dzēšanas</w:t>
      </w:r>
    </w:p>
    <w:p>
      <w:pPr>
        <w:spacing w:line="321" w:lineRule="exact" w:before="0"/>
        <w:ind w:left="4678" w:right="0" w:firstLine="0"/>
        <w:jc w:val="left"/>
        <w:rPr>
          <w:b/>
          <w:sz w:val="28"/>
        </w:rPr>
      </w:pPr>
      <w:r>
        <w:rPr>
          <w:b/>
          <w:sz w:val="28"/>
        </w:rPr>
        <w:t>procedūru</w:t>
      </w:r>
    </w:p>
    <w:p>
      <w:pPr>
        <w:pStyle w:val="BodyText"/>
        <w:jc w:val="left"/>
        <w:rPr>
          <w:b/>
          <w:sz w:val="30"/>
        </w:rPr>
      </w:pPr>
    </w:p>
    <w:p>
      <w:pPr>
        <w:pStyle w:val="Heading4"/>
        <w:numPr>
          <w:ilvl w:val="1"/>
          <w:numId w:val="15"/>
        </w:numPr>
        <w:tabs>
          <w:tab w:pos="1342" w:val="left" w:leader="none"/>
        </w:tabs>
        <w:spacing w:line="240" w:lineRule="auto" w:before="206" w:after="0"/>
        <w:ind w:left="1341" w:right="0" w:hanging="362"/>
        <w:jc w:val="left"/>
        <w:rPr>
          <w:i/>
        </w:rPr>
      </w:pPr>
      <w:bookmarkStart w:name="_TOC_250073" w:id="5"/>
      <w:r>
        <w:rPr>
          <w:i/>
        </w:rPr>
        <w:t>Periods no 2010.gada 1.novembra līdz 2015.gada</w:t>
      </w:r>
      <w:r>
        <w:rPr>
          <w:i/>
          <w:spacing w:val="-1"/>
        </w:rPr>
        <w:t> </w:t>
      </w:r>
      <w:bookmarkEnd w:id="5"/>
      <w:r>
        <w:rPr>
          <w:i/>
        </w:rPr>
        <w:t>28.februārim</w:t>
      </w:r>
    </w:p>
    <w:p>
      <w:pPr>
        <w:pStyle w:val="BodyText"/>
        <w:spacing w:before="6"/>
        <w:jc w:val="left"/>
        <w:rPr>
          <w:b/>
          <w:i/>
          <w:sz w:val="23"/>
        </w:rPr>
      </w:pPr>
    </w:p>
    <w:p>
      <w:pPr>
        <w:pStyle w:val="BodyText"/>
        <w:ind w:left="980"/>
        <w:jc w:val="left"/>
      </w:pPr>
      <w:r>
        <w:rPr/>
        <w:t>Minētajā periodā analizējamajos tiesu nolēmumos ir konstatēti šādi apstākļi:</w:t>
      </w:r>
    </w:p>
    <w:p>
      <w:pPr>
        <w:pStyle w:val="BodyText"/>
        <w:jc w:val="left"/>
      </w:pPr>
    </w:p>
    <w:p>
      <w:pPr>
        <w:pStyle w:val="ListParagraph"/>
        <w:numPr>
          <w:ilvl w:val="0"/>
          <w:numId w:val="16"/>
        </w:numPr>
        <w:tabs>
          <w:tab w:pos="1340" w:val="left" w:leader="none"/>
        </w:tabs>
        <w:spacing w:line="240" w:lineRule="auto" w:before="0" w:after="0"/>
        <w:ind w:left="1340" w:right="403" w:hanging="360"/>
        <w:jc w:val="both"/>
        <w:rPr>
          <w:sz w:val="24"/>
        </w:rPr>
      </w:pPr>
      <w:r>
        <w:rPr>
          <w:sz w:val="24"/>
        </w:rPr>
        <w:t>1 no 25 analizētajiem tiesas lēmumiem rezolutīvajā daļā nav lemts par bankrota procedūras pabeigšanu vai izbeigšanu, vien nolemjot izbeigt fiziskas personas maksātnespējas procesu (jo parādnieks nepilda likumā noteiktos</w:t>
      </w:r>
      <w:r>
        <w:rPr>
          <w:spacing w:val="-7"/>
          <w:sz w:val="24"/>
        </w:rPr>
        <w:t> </w:t>
      </w:r>
      <w:r>
        <w:rPr>
          <w:sz w:val="24"/>
        </w:rPr>
        <w:t>pienākumus).</w:t>
      </w:r>
    </w:p>
    <w:p>
      <w:pPr>
        <w:pStyle w:val="ListParagraph"/>
        <w:numPr>
          <w:ilvl w:val="0"/>
          <w:numId w:val="16"/>
        </w:numPr>
        <w:tabs>
          <w:tab w:pos="1340" w:val="left" w:leader="none"/>
        </w:tabs>
        <w:spacing w:line="237" w:lineRule="auto" w:before="3" w:after="0"/>
        <w:ind w:left="1340" w:right="401" w:hanging="360"/>
        <w:jc w:val="both"/>
        <w:rPr>
          <w:sz w:val="16"/>
        </w:rPr>
      </w:pPr>
      <w:r>
        <w:rPr>
          <w:sz w:val="24"/>
        </w:rPr>
        <w:t>1 no 25 analizētajiem tiesas lēmumiem nolemts nepabeigt bankrota procedūru, jo parādnieks nepilda Maksātnespējas likumā noteiktos pienākumus. Proti, Rīgas rajona tiesa 2014.gada 31.janvāra nolēmumā lietā Nr.C33394611 norādīts, ka bankrota procedūras pabeigšanai nav pamata, jo parādniece ir guvusi ienākumus, no kuriem nav veikusi maksājumus Maksātnespējas likuma noteiktajā kārtībā - bankrota procedūra nav notikusi atbilstoši Maksātnespējas likuma</w:t>
      </w:r>
      <w:r>
        <w:rPr>
          <w:spacing w:val="-2"/>
          <w:sz w:val="24"/>
        </w:rPr>
        <w:t> </w:t>
      </w:r>
      <w:r>
        <w:rPr>
          <w:sz w:val="24"/>
        </w:rPr>
        <w:t>prasībām.</w:t>
      </w:r>
      <w:r>
        <w:rPr>
          <w:position w:val="9"/>
          <w:sz w:val="16"/>
        </w:rPr>
        <w:t>53</w:t>
      </w:r>
    </w:p>
    <w:p>
      <w:pPr>
        <w:pStyle w:val="ListParagraph"/>
        <w:numPr>
          <w:ilvl w:val="0"/>
          <w:numId w:val="16"/>
        </w:numPr>
        <w:tabs>
          <w:tab w:pos="1340" w:val="left" w:leader="none"/>
        </w:tabs>
        <w:spacing w:line="237" w:lineRule="auto" w:before="1" w:after="0"/>
        <w:ind w:left="1340" w:right="401" w:hanging="360"/>
        <w:jc w:val="both"/>
        <w:rPr>
          <w:sz w:val="24"/>
        </w:rPr>
      </w:pPr>
      <w:r>
        <w:rPr>
          <w:sz w:val="24"/>
        </w:rPr>
        <w:t>1 no 25 analizētajiem tiesas lēmumiem nolemts nepabeigt bankrota procedūru, jo konstatēti Maksātnespējas likuma 153.panta ierobežojumi. Proti, Cēsu rajona tiesa 2014.gada 3.janvāra nolēmumā lietā Nr.C11061513 konstatējusi, ka nav </w:t>
      </w:r>
      <w:r>
        <w:rPr>
          <w:spacing w:val="-3"/>
          <w:sz w:val="24"/>
        </w:rPr>
        <w:t>pamats </w:t>
      </w:r>
      <w:r>
        <w:rPr>
          <w:sz w:val="24"/>
        </w:rPr>
        <w:t>pabeigt bankrota procedūru, jo parādnieks nav pildījis savus pienākumus bankrota procedūras laikā. Savukārt, ja netiek pabeigta bankrota procedūra, jo nav izpildīti tajā noteiktie pienākumi, nav pamats arī veikt turpmākās maksātnespējas procesa procedūras, tajā skaitā saistību dzēšanas procedūru. Tādejādi tiesa konstatē, ka saistību dzēšanas procedūras piemērošana šajā maksātnespējas procesā nav piemērojama, jo nav iespējams pabeigt bankrota procedūru</w:t>
      </w:r>
      <w:r>
        <w:rPr>
          <w:position w:val="9"/>
          <w:sz w:val="16"/>
        </w:rPr>
        <w:t>54</w:t>
      </w:r>
      <w:r>
        <w:rPr>
          <w:sz w:val="24"/>
        </w:rPr>
        <w:t>. Vienlaikus lēmumā konstatēts Maksātnespējas likuma 153.panta 1.punktā noteiktais</w:t>
      </w:r>
      <w:r>
        <w:rPr>
          <w:spacing w:val="-3"/>
          <w:sz w:val="24"/>
        </w:rPr>
        <w:t> </w:t>
      </w:r>
      <w:r>
        <w:rPr>
          <w:sz w:val="24"/>
        </w:rPr>
        <w:t>ierobežojums.</w:t>
      </w:r>
    </w:p>
    <w:p>
      <w:pPr>
        <w:pStyle w:val="ListParagraph"/>
        <w:numPr>
          <w:ilvl w:val="0"/>
          <w:numId w:val="16"/>
        </w:numPr>
        <w:tabs>
          <w:tab w:pos="1340" w:val="left" w:leader="none"/>
        </w:tabs>
        <w:spacing w:line="240" w:lineRule="auto" w:before="10" w:after="0"/>
        <w:ind w:left="1340" w:right="405" w:hanging="360"/>
        <w:jc w:val="both"/>
        <w:rPr>
          <w:sz w:val="24"/>
        </w:rPr>
      </w:pPr>
      <w:r>
        <w:rPr>
          <w:sz w:val="24"/>
        </w:rPr>
        <w:t>22 no 25 analizētajiem tiesas lēmumiem nolemts pabeigt bankrota procedūru, nepiemērojot saistību dzēšanas</w:t>
      </w:r>
      <w:r>
        <w:rPr>
          <w:spacing w:val="-4"/>
          <w:sz w:val="24"/>
        </w:rPr>
        <w:t> </w:t>
      </w:r>
      <w:r>
        <w:rPr>
          <w:sz w:val="24"/>
        </w:rPr>
        <w:t>procedūru.</w:t>
      </w:r>
    </w:p>
    <w:p>
      <w:pPr>
        <w:pStyle w:val="BodyText"/>
        <w:spacing w:before="5"/>
        <w:jc w:val="left"/>
      </w:pPr>
    </w:p>
    <w:p>
      <w:pPr>
        <w:spacing w:before="0"/>
        <w:ind w:left="620" w:right="405" w:firstLine="0"/>
        <w:jc w:val="both"/>
        <w:rPr>
          <w:b/>
          <w:sz w:val="24"/>
        </w:rPr>
      </w:pPr>
      <w:r>
        <w:rPr>
          <w:b/>
          <w:sz w:val="24"/>
        </w:rPr>
        <w:t>Bankrota procedūra izbeigta / pabeigta, nepiemērojot saistību dzēšanas procedūru, pamatojoties uz :</w:t>
      </w:r>
    </w:p>
    <w:p>
      <w:pPr>
        <w:pStyle w:val="ListParagraph"/>
        <w:numPr>
          <w:ilvl w:val="0"/>
          <w:numId w:val="17"/>
        </w:numPr>
        <w:tabs>
          <w:tab w:pos="1340" w:val="left" w:leader="none"/>
        </w:tabs>
        <w:spacing w:line="240" w:lineRule="auto" w:before="0" w:after="0"/>
        <w:ind w:left="1340" w:right="403" w:hanging="360"/>
        <w:jc w:val="both"/>
        <w:rPr>
          <w:sz w:val="24"/>
        </w:rPr>
      </w:pPr>
      <w:r>
        <w:rPr>
          <w:sz w:val="24"/>
        </w:rPr>
        <w:t>Administratora pieteikumu par bankrota procedūras izbeigšanu vai pabeigšanu, nepiemērojot saistību dzēšanas procedūru (lietās, kur nav saņemti kreditoru ierosinājumi izbeigt maksātnespējas procesu) – 4 no 25</w:t>
      </w:r>
      <w:r>
        <w:rPr>
          <w:spacing w:val="1"/>
          <w:sz w:val="24"/>
        </w:rPr>
        <w:t> </w:t>
      </w:r>
      <w:r>
        <w:rPr>
          <w:sz w:val="24"/>
        </w:rPr>
        <w:t>lietām;</w:t>
      </w:r>
    </w:p>
    <w:p>
      <w:pPr>
        <w:pStyle w:val="ListParagraph"/>
        <w:numPr>
          <w:ilvl w:val="0"/>
          <w:numId w:val="17"/>
        </w:numPr>
        <w:tabs>
          <w:tab w:pos="1340" w:val="left" w:leader="none"/>
        </w:tabs>
        <w:spacing w:line="240" w:lineRule="auto" w:before="0" w:after="0"/>
        <w:ind w:left="1340" w:right="403" w:hanging="360"/>
        <w:jc w:val="both"/>
        <w:rPr>
          <w:sz w:val="24"/>
        </w:rPr>
      </w:pPr>
      <w:r>
        <w:rPr>
          <w:sz w:val="24"/>
        </w:rPr>
        <w:t>Administratora pieteikumu par bankrota procedūras izbeigšanu vai pabeigšanu, nepiemērojot saistību dzēšanas procedūru (lietās, kur saņemti kreditoru ierosinājumi izbeigt maksātnespējas procesu) – 19 no 25</w:t>
      </w:r>
      <w:r>
        <w:rPr>
          <w:spacing w:val="1"/>
          <w:sz w:val="24"/>
        </w:rPr>
        <w:t> </w:t>
      </w:r>
      <w:r>
        <w:rPr>
          <w:sz w:val="24"/>
        </w:rPr>
        <w:t>lietām;</w:t>
      </w:r>
    </w:p>
    <w:p>
      <w:pPr>
        <w:pStyle w:val="ListParagraph"/>
        <w:numPr>
          <w:ilvl w:val="0"/>
          <w:numId w:val="17"/>
        </w:numPr>
        <w:tabs>
          <w:tab w:pos="1340" w:val="left" w:leader="none"/>
        </w:tabs>
        <w:spacing w:line="240" w:lineRule="auto" w:before="0" w:after="0"/>
        <w:ind w:left="1340" w:right="405" w:hanging="360"/>
        <w:jc w:val="both"/>
        <w:rPr>
          <w:sz w:val="24"/>
        </w:rPr>
      </w:pPr>
      <w:r>
        <w:rPr>
          <w:sz w:val="24"/>
        </w:rPr>
        <w:t>Tiesas iniciatīvu, izvērtējot administratora iesniegtu pieteikumu par bankrota procedūras</w:t>
      </w:r>
      <w:r>
        <w:rPr>
          <w:spacing w:val="-9"/>
          <w:sz w:val="24"/>
        </w:rPr>
        <w:t> </w:t>
      </w:r>
      <w:r>
        <w:rPr>
          <w:sz w:val="24"/>
        </w:rPr>
        <w:t>pabeigšanu</w:t>
      </w:r>
      <w:r>
        <w:rPr>
          <w:spacing w:val="-9"/>
          <w:sz w:val="24"/>
        </w:rPr>
        <w:t> </w:t>
      </w:r>
      <w:r>
        <w:rPr>
          <w:sz w:val="24"/>
        </w:rPr>
        <w:t>un</w:t>
      </w:r>
      <w:r>
        <w:rPr>
          <w:spacing w:val="-8"/>
          <w:sz w:val="24"/>
        </w:rPr>
        <w:t> </w:t>
      </w:r>
      <w:r>
        <w:rPr>
          <w:sz w:val="24"/>
        </w:rPr>
        <w:t>saistību</w:t>
      </w:r>
      <w:r>
        <w:rPr>
          <w:spacing w:val="-9"/>
          <w:sz w:val="24"/>
        </w:rPr>
        <w:t> </w:t>
      </w:r>
      <w:r>
        <w:rPr>
          <w:sz w:val="24"/>
        </w:rPr>
        <w:t>dzēšanas</w:t>
      </w:r>
      <w:r>
        <w:rPr>
          <w:spacing w:val="-10"/>
          <w:sz w:val="24"/>
        </w:rPr>
        <w:t> </w:t>
      </w:r>
      <w:r>
        <w:rPr>
          <w:sz w:val="24"/>
        </w:rPr>
        <w:t>procedūras</w:t>
      </w:r>
      <w:r>
        <w:rPr>
          <w:spacing w:val="-9"/>
          <w:sz w:val="24"/>
        </w:rPr>
        <w:t> </w:t>
      </w:r>
      <w:r>
        <w:rPr>
          <w:sz w:val="24"/>
        </w:rPr>
        <w:t>piemērošanu</w:t>
      </w:r>
      <w:r>
        <w:rPr>
          <w:spacing w:val="-5"/>
          <w:sz w:val="24"/>
        </w:rPr>
        <w:t> </w:t>
      </w:r>
      <w:r>
        <w:rPr>
          <w:sz w:val="24"/>
        </w:rPr>
        <w:t>(lietā,</w:t>
      </w:r>
      <w:r>
        <w:rPr>
          <w:spacing w:val="-6"/>
          <w:sz w:val="24"/>
        </w:rPr>
        <w:t> </w:t>
      </w:r>
      <w:r>
        <w:rPr>
          <w:sz w:val="24"/>
        </w:rPr>
        <w:t>kur</w:t>
      </w:r>
      <w:r>
        <w:rPr>
          <w:spacing w:val="-8"/>
          <w:sz w:val="24"/>
        </w:rPr>
        <w:t> </w:t>
      </w:r>
      <w:r>
        <w:rPr>
          <w:sz w:val="24"/>
        </w:rPr>
        <w:t>nav saņemti kreditoru ierosinājumi izbeigt maksātnespējas procesu) – 1 no 25</w:t>
      </w:r>
      <w:r>
        <w:rPr>
          <w:spacing w:val="-9"/>
          <w:sz w:val="24"/>
        </w:rPr>
        <w:t> </w:t>
      </w:r>
      <w:r>
        <w:rPr>
          <w:sz w:val="24"/>
        </w:rPr>
        <w:t>lietām;</w:t>
      </w:r>
    </w:p>
    <w:p>
      <w:pPr>
        <w:pStyle w:val="ListParagraph"/>
        <w:numPr>
          <w:ilvl w:val="0"/>
          <w:numId w:val="17"/>
        </w:numPr>
        <w:tabs>
          <w:tab w:pos="1340" w:val="left" w:leader="none"/>
        </w:tabs>
        <w:spacing w:line="240" w:lineRule="auto" w:before="0" w:after="0"/>
        <w:ind w:left="1340" w:right="405" w:hanging="360"/>
        <w:jc w:val="both"/>
        <w:rPr>
          <w:sz w:val="24"/>
        </w:rPr>
      </w:pPr>
      <w:r>
        <w:rPr>
          <w:sz w:val="24"/>
        </w:rPr>
        <w:t>Tiesas iniciatīvu, izvērtējot administratora iesniegtu pieteikumu par bankrota procedūras pabeigšanu un saistību dzēšanas procedūras piemērošanu (lietā, kur saņemti kreditoru ierosinājumi izbeigt maksātnespējas procesu) – 1 no 25</w:t>
      </w:r>
      <w:r>
        <w:rPr>
          <w:spacing w:val="-9"/>
          <w:sz w:val="24"/>
        </w:rPr>
        <w:t> </w:t>
      </w:r>
      <w:r>
        <w:rPr>
          <w:sz w:val="24"/>
        </w:rPr>
        <w:t>lietām.</w:t>
      </w:r>
    </w:p>
    <w:p>
      <w:pPr>
        <w:pStyle w:val="BodyText"/>
        <w:jc w:val="left"/>
        <w:rPr>
          <w:sz w:val="20"/>
        </w:rPr>
      </w:pPr>
    </w:p>
    <w:p>
      <w:pPr>
        <w:pStyle w:val="BodyText"/>
        <w:jc w:val="left"/>
        <w:rPr>
          <w:sz w:val="20"/>
        </w:rPr>
      </w:pPr>
    </w:p>
    <w:p>
      <w:pPr>
        <w:pStyle w:val="BodyText"/>
        <w:jc w:val="left"/>
        <w:rPr>
          <w:sz w:val="20"/>
        </w:rPr>
      </w:pPr>
    </w:p>
    <w:p>
      <w:pPr>
        <w:pStyle w:val="BodyText"/>
        <w:spacing w:before="4"/>
        <w:jc w:val="left"/>
        <w:rPr>
          <w:sz w:val="21"/>
        </w:rPr>
      </w:pPr>
    </w:p>
    <w:p>
      <w:pPr>
        <w:spacing w:line="233" w:lineRule="exact" w:before="0"/>
        <w:ind w:left="620" w:right="0" w:firstLine="0"/>
        <w:jc w:val="left"/>
        <w:rPr>
          <w:sz w:val="20"/>
        </w:rPr>
      </w:pPr>
      <w:r>
        <w:rPr>
          <w:position w:val="7"/>
          <w:sz w:val="13"/>
        </w:rPr>
        <w:t>53 </w:t>
      </w:r>
      <w:r>
        <w:rPr>
          <w:sz w:val="20"/>
        </w:rPr>
        <w:t>Rīgas rajona tiesas 2014.gada 31.janvāra nolēmums lietā Nr. C33394611</w:t>
      </w:r>
    </w:p>
    <w:p>
      <w:pPr>
        <w:spacing w:line="233" w:lineRule="exact" w:before="0"/>
        <w:ind w:left="620" w:right="0" w:firstLine="0"/>
        <w:jc w:val="left"/>
        <w:rPr>
          <w:sz w:val="20"/>
        </w:rPr>
      </w:pPr>
      <w:r>
        <w:rPr>
          <w:position w:val="7"/>
          <w:sz w:val="13"/>
        </w:rPr>
        <w:t>54 </w:t>
      </w:r>
      <w:r>
        <w:rPr>
          <w:sz w:val="20"/>
        </w:rPr>
        <w:t>Cēsu rajona tiesas 2014.gada 3.janvāra nolēmums lietā Nr. C11061513</w:t>
      </w:r>
    </w:p>
    <w:p>
      <w:pPr>
        <w:spacing w:after="0" w:line="233" w:lineRule="exact"/>
        <w:jc w:val="left"/>
        <w:rPr>
          <w:sz w:val="20"/>
        </w:rPr>
        <w:sectPr>
          <w:pgSz w:w="11910" w:h="16840"/>
          <w:pgMar w:header="0" w:footer="1165" w:top="1360" w:bottom="1360" w:left="1180" w:right="1040"/>
        </w:sectPr>
      </w:pPr>
    </w:p>
    <w:p>
      <w:pPr>
        <w:pStyle w:val="Heading3"/>
        <w:spacing w:before="78"/>
        <w:ind w:right="398"/>
        <w:jc w:val="left"/>
      </w:pPr>
      <w:r>
        <w:rPr/>
        <w:t>Bankrota procedūras izbeigšanas / pabeigšanas, nepiemērojot saistību dzēšanas procedūru, pamati:</w:t>
      </w:r>
    </w:p>
    <w:p>
      <w:pPr>
        <w:pStyle w:val="BodyText"/>
        <w:spacing w:before="9"/>
        <w:jc w:val="left"/>
        <w:rPr>
          <w:b/>
          <w:sz w:val="23"/>
        </w:rPr>
      </w:pPr>
    </w:p>
    <w:p>
      <w:pPr>
        <w:pStyle w:val="ListParagraph"/>
        <w:numPr>
          <w:ilvl w:val="0"/>
          <w:numId w:val="18"/>
        </w:numPr>
        <w:tabs>
          <w:tab w:pos="980" w:val="left" w:leader="none"/>
        </w:tabs>
        <w:spacing w:line="237" w:lineRule="auto" w:before="0" w:after="0"/>
        <w:ind w:left="980" w:right="763" w:hanging="360"/>
        <w:jc w:val="both"/>
        <w:rPr>
          <w:sz w:val="16"/>
        </w:rPr>
      </w:pPr>
      <w:r>
        <w:rPr>
          <w:b/>
          <w:sz w:val="24"/>
        </w:rPr>
        <w:t>Maksātnespējas likuma 130.panta 2.punkts</w:t>
      </w:r>
      <w:r>
        <w:rPr>
          <w:sz w:val="24"/>
        </w:rPr>
        <w:t>: </w:t>
      </w:r>
      <w:r>
        <w:rPr>
          <w:i/>
          <w:sz w:val="24"/>
        </w:rPr>
        <w:t>persona vismaz 30 procentus </w:t>
      </w:r>
      <w:r>
        <w:rPr>
          <w:i/>
          <w:spacing w:val="-7"/>
          <w:sz w:val="24"/>
        </w:rPr>
        <w:t>no </w:t>
      </w:r>
      <w:r>
        <w:rPr>
          <w:i/>
          <w:sz w:val="24"/>
        </w:rPr>
        <w:t>piešķirtā kredīta ir izlietojusi līgumā neparedzētajiem mērķiem </w:t>
      </w:r>
      <w:r>
        <w:rPr>
          <w:sz w:val="24"/>
        </w:rPr>
        <w:t>(likuma lēmuma pieņemšanas brīdī spēkā esošajā redakcijā) - norādīts kā papildus pamats bankrota procedūras pabeigšanai vienā lietā no 25 - tiesa konstatē, ka ir pamats nepiemērot parādniecei saistību dzēšanas procedūru, jo parādniece apzināti sniegusi nepatiesu informāciju, aptuveni 60 procentus no piešķirtā kredīta ir izmantojusi līgumā neparedzētajam</w:t>
      </w:r>
      <w:r>
        <w:rPr>
          <w:spacing w:val="-1"/>
          <w:sz w:val="24"/>
        </w:rPr>
        <w:t> </w:t>
      </w:r>
      <w:r>
        <w:rPr>
          <w:sz w:val="24"/>
        </w:rPr>
        <w:t>mērķim.</w:t>
      </w:r>
      <w:r>
        <w:rPr>
          <w:position w:val="9"/>
          <w:sz w:val="16"/>
        </w:rPr>
        <w:t>55</w:t>
      </w:r>
    </w:p>
    <w:p>
      <w:pPr>
        <w:pStyle w:val="BodyText"/>
        <w:spacing w:before="2"/>
        <w:jc w:val="left"/>
      </w:pPr>
    </w:p>
    <w:p>
      <w:pPr>
        <w:pStyle w:val="ListParagraph"/>
        <w:numPr>
          <w:ilvl w:val="0"/>
          <w:numId w:val="18"/>
        </w:numPr>
        <w:tabs>
          <w:tab w:pos="980" w:val="left" w:leader="none"/>
        </w:tabs>
        <w:spacing w:line="240" w:lineRule="auto" w:before="0" w:after="0"/>
        <w:ind w:left="980" w:right="761" w:hanging="360"/>
        <w:jc w:val="both"/>
        <w:rPr>
          <w:sz w:val="24"/>
        </w:rPr>
      </w:pPr>
      <w:r>
        <w:rPr>
          <w:b/>
          <w:sz w:val="24"/>
        </w:rPr>
        <w:t>Maksātnespējas likuma 153.panta 1.punkts: </w:t>
      </w:r>
      <w:r>
        <w:rPr>
          <w:i/>
          <w:sz w:val="24"/>
        </w:rPr>
        <w:t>parādnieks pēdējo triju gadu laikā </w:t>
      </w:r>
      <w:r>
        <w:rPr>
          <w:i/>
          <w:sz w:val="24"/>
        </w:rPr>
        <w:t>pirms fiziskās personas maksātnespējas procesa pasludināšanas </w:t>
      </w:r>
      <w:r>
        <w:rPr>
          <w:i/>
          <w:spacing w:val="-4"/>
          <w:sz w:val="24"/>
        </w:rPr>
        <w:t>vai</w:t>
      </w:r>
      <w:r>
        <w:rPr>
          <w:i/>
          <w:spacing w:val="52"/>
          <w:sz w:val="24"/>
        </w:rPr>
        <w:t> </w:t>
      </w:r>
      <w:r>
        <w:rPr>
          <w:i/>
          <w:sz w:val="24"/>
        </w:rPr>
        <w:t>maksātnespējas procesa laikā ir slēdzis darījumus, kuru rezultātā kļuvis maksātnespējīgs vai radījis zaudējumus kreditoriem, turklāt viņš apzinājās vai viņam vajadzēja apzināties, ka šādu darījumu slēgšana var novest </w:t>
      </w:r>
      <w:r>
        <w:rPr>
          <w:i/>
          <w:spacing w:val="-5"/>
          <w:sz w:val="24"/>
        </w:rPr>
        <w:t>līdz </w:t>
      </w:r>
      <w:r>
        <w:rPr>
          <w:i/>
          <w:sz w:val="24"/>
        </w:rPr>
        <w:t>maksātnespējai vai zaudējumu radīšanai kreditoriem</w:t>
      </w:r>
      <w:r>
        <w:rPr>
          <w:sz w:val="24"/>
        </w:rPr>
        <w:t>. Norādīts kā pamats</w:t>
      </w:r>
      <w:r>
        <w:rPr>
          <w:spacing w:val="-39"/>
          <w:sz w:val="24"/>
        </w:rPr>
        <w:t> </w:t>
      </w:r>
      <w:r>
        <w:rPr>
          <w:sz w:val="24"/>
        </w:rPr>
        <w:t>bankrota procedūras pabeigšanai 5 lietās no 25, kā vienīgais pamats – 1</w:t>
      </w:r>
      <w:r>
        <w:rPr>
          <w:spacing w:val="-1"/>
          <w:sz w:val="24"/>
        </w:rPr>
        <w:t> </w:t>
      </w:r>
      <w:r>
        <w:rPr>
          <w:sz w:val="24"/>
        </w:rPr>
        <w:t>lietā.</w:t>
      </w:r>
    </w:p>
    <w:p>
      <w:pPr>
        <w:pStyle w:val="ListParagraph"/>
        <w:numPr>
          <w:ilvl w:val="1"/>
          <w:numId w:val="18"/>
        </w:numPr>
        <w:tabs>
          <w:tab w:pos="1393" w:val="left" w:leader="none"/>
        </w:tabs>
        <w:spacing w:line="237" w:lineRule="auto" w:before="2" w:after="0"/>
        <w:ind w:left="1392" w:right="762" w:hanging="425"/>
        <w:jc w:val="both"/>
        <w:rPr>
          <w:sz w:val="16"/>
        </w:rPr>
      </w:pPr>
      <w:r>
        <w:rPr>
          <w:b/>
          <w:sz w:val="24"/>
        </w:rPr>
        <w:t>Ar laulības līguma noslēgšanu radīti zaudējumi </w:t>
      </w:r>
      <w:r>
        <w:rPr>
          <w:sz w:val="24"/>
        </w:rPr>
        <w:t>- lietā, kur parādnieka iepriekšējais</w:t>
      </w:r>
      <w:r>
        <w:rPr>
          <w:spacing w:val="-9"/>
          <w:sz w:val="24"/>
        </w:rPr>
        <w:t> </w:t>
      </w:r>
      <w:r>
        <w:rPr>
          <w:sz w:val="24"/>
        </w:rPr>
        <w:t>maksātnespējas</w:t>
      </w:r>
      <w:r>
        <w:rPr>
          <w:spacing w:val="-9"/>
          <w:sz w:val="24"/>
        </w:rPr>
        <w:t> </w:t>
      </w:r>
      <w:r>
        <w:rPr>
          <w:sz w:val="24"/>
        </w:rPr>
        <w:t>process</w:t>
      </w:r>
      <w:r>
        <w:rPr>
          <w:spacing w:val="-8"/>
          <w:sz w:val="24"/>
        </w:rPr>
        <w:t> </w:t>
      </w:r>
      <w:r>
        <w:rPr>
          <w:sz w:val="24"/>
        </w:rPr>
        <w:t>izbeigts,</w:t>
      </w:r>
      <w:r>
        <w:rPr>
          <w:spacing w:val="-6"/>
          <w:sz w:val="24"/>
        </w:rPr>
        <w:t> </w:t>
      </w:r>
      <w:r>
        <w:rPr>
          <w:sz w:val="24"/>
        </w:rPr>
        <w:t>neatbrīvojot</w:t>
      </w:r>
      <w:r>
        <w:rPr>
          <w:spacing w:val="-8"/>
          <w:sz w:val="24"/>
        </w:rPr>
        <w:t> </w:t>
      </w:r>
      <w:r>
        <w:rPr>
          <w:sz w:val="24"/>
        </w:rPr>
        <w:t>viņu</w:t>
      </w:r>
      <w:r>
        <w:rPr>
          <w:spacing w:val="-9"/>
          <w:sz w:val="24"/>
        </w:rPr>
        <w:t> </w:t>
      </w:r>
      <w:r>
        <w:rPr>
          <w:sz w:val="24"/>
        </w:rPr>
        <w:t>no</w:t>
      </w:r>
      <w:r>
        <w:rPr>
          <w:spacing w:val="-8"/>
          <w:sz w:val="24"/>
        </w:rPr>
        <w:t> </w:t>
      </w:r>
      <w:r>
        <w:rPr>
          <w:sz w:val="24"/>
        </w:rPr>
        <w:t>atlikušajām parādsaistībām un kur lēmumā konstatēts, ka parādnieks maksātnespējas procesa laikā ir sniedzis nepatiesas ziņas tiesai, nenorādot, ka ir noslēdzis laulības līgumu, saskaņā ar kuru laulāto iegādātie septiņi nekustamie īpašumi Francijā ir parādnieka laulātās atsevišķa manta, tiesa atzīst, ka parādnieks mazāk kā trīs gadus pirms konkrētā maksātnespējas procesa pasludināšanas – ir</w:t>
      </w:r>
      <w:r>
        <w:rPr>
          <w:spacing w:val="-5"/>
          <w:sz w:val="24"/>
        </w:rPr>
        <w:t> </w:t>
      </w:r>
      <w:r>
        <w:rPr>
          <w:sz w:val="24"/>
        </w:rPr>
        <w:t>noslēdzis</w:t>
      </w:r>
      <w:r>
        <w:rPr>
          <w:spacing w:val="-5"/>
          <w:sz w:val="24"/>
        </w:rPr>
        <w:t> </w:t>
      </w:r>
      <w:r>
        <w:rPr>
          <w:sz w:val="24"/>
        </w:rPr>
        <w:t>darījumu</w:t>
      </w:r>
      <w:r>
        <w:rPr>
          <w:spacing w:val="-5"/>
          <w:sz w:val="24"/>
        </w:rPr>
        <w:t> </w:t>
      </w:r>
      <w:r>
        <w:rPr>
          <w:sz w:val="24"/>
        </w:rPr>
        <w:t>–</w:t>
      </w:r>
      <w:r>
        <w:rPr>
          <w:spacing w:val="-5"/>
          <w:sz w:val="24"/>
        </w:rPr>
        <w:t> </w:t>
      </w:r>
      <w:r>
        <w:rPr>
          <w:sz w:val="24"/>
        </w:rPr>
        <w:t>vienošanos</w:t>
      </w:r>
      <w:r>
        <w:rPr>
          <w:spacing w:val="-5"/>
          <w:sz w:val="24"/>
        </w:rPr>
        <w:t> </w:t>
      </w:r>
      <w:r>
        <w:rPr>
          <w:sz w:val="24"/>
        </w:rPr>
        <w:t>par</w:t>
      </w:r>
      <w:r>
        <w:rPr>
          <w:spacing w:val="-7"/>
          <w:sz w:val="24"/>
        </w:rPr>
        <w:t> </w:t>
      </w:r>
      <w:r>
        <w:rPr>
          <w:sz w:val="24"/>
        </w:rPr>
        <w:t>laulāto</w:t>
      </w:r>
      <w:r>
        <w:rPr>
          <w:spacing w:val="-3"/>
          <w:sz w:val="24"/>
        </w:rPr>
        <w:t> </w:t>
      </w:r>
      <w:r>
        <w:rPr>
          <w:sz w:val="24"/>
        </w:rPr>
        <w:t>kopmantas</w:t>
      </w:r>
      <w:r>
        <w:rPr>
          <w:spacing w:val="-7"/>
          <w:sz w:val="24"/>
        </w:rPr>
        <w:t> </w:t>
      </w:r>
      <w:r>
        <w:rPr>
          <w:sz w:val="24"/>
        </w:rPr>
        <w:t>sadali,</w:t>
      </w:r>
      <w:r>
        <w:rPr>
          <w:spacing w:val="-5"/>
          <w:sz w:val="24"/>
        </w:rPr>
        <w:t> </w:t>
      </w:r>
      <w:r>
        <w:rPr>
          <w:sz w:val="24"/>
        </w:rPr>
        <w:t>kura</w:t>
      </w:r>
      <w:r>
        <w:rPr>
          <w:spacing w:val="-3"/>
          <w:sz w:val="24"/>
        </w:rPr>
        <w:t> </w:t>
      </w:r>
      <w:r>
        <w:rPr>
          <w:sz w:val="24"/>
        </w:rPr>
        <w:t>rezultātā atsavinājis sev piederošos īpašumus ārzemēs un tādējādi radījis zaudējumus kreditoriem, apgrūtinot parādsaistību</w:t>
      </w:r>
      <w:r>
        <w:rPr>
          <w:spacing w:val="-1"/>
          <w:sz w:val="24"/>
        </w:rPr>
        <w:t> </w:t>
      </w:r>
      <w:r>
        <w:rPr>
          <w:sz w:val="24"/>
        </w:rPr>
        <w:t>izpildi.”</w:t>
      </w:r>
      <w:r>
        <w:rPr>
          <w:position w:val="9"/>
          <w:sz w:val="16"/>
        </w:rPr>
        <w:t>56</w:t>
      </w:r>
    </w:p>
    <w:p>
      <w:pPr>
        <w:pStyle w:val="Heading3"/>
        <w:numPr>
          <w:ilvl w:val="1"/>
          <w:numId w:val="18"/>
        </w:numPr>
        <w:tabs>
          <w:tab w:pos="1393" w:val="left" w:leader="none"/>
        </w:tabs>
        <w:spacing w:line="244" w:lineRule="auto" w:before="11" w:after="0"/>
        <w:ind w:left="1392" w:right="765" w:hanging="425"/>
        <w:jc w:val="both"/>
      </w:pPr>
      <w:r>
        <w:rPr>
          <w:b w:val="0"/>
        </w:rPr>
        <w:t>Citi </w:t>
      </w:r>
      <w:r>
        <w:rPr>
          <w:spacing w:val="-67"/>
          <w:u w:val="thick"/>
        </w:rPr>
        <w:t>i</w:t>
      </w:r>
      <w:r>
        <w:rPr>
          <w:spacing w:val="4"/>
          <w:u w:val="thick"/>
        </w:rPr>
        <w:t> </w:t>
      </w:r>
      <w:r>
        <w:rPr>
          <w:u w:val="thick"/>
        </w:rPr>
        <w:t>epriekšējos pieteicēju izbeigtajos maksātnespējas procesos konstatēti </w:t>
      </w:r>
      <w:r>
        <w:rPr>
          <w:spacing w:val="-80"/>
          <w:u w:val="thick"/>
        </w:rPr>
        <w:t>f</w:t>
      </w:r>
      <w:r>
        <w:rPr>
          <w:spacing w:val="25"/>
        </w:rPr>
        <w:t> </w:t>
      </w:r>
      <w:r>
        <w:rPr>
          <w:u w:val="thick"/>
        </w:rPr>
        <w:t>akti</w:t>
      </w:r>
      <w:r>
        <w:rPr/>
        <w:t>:</w:t>
      </w:r>
    </w:p>
    <w:p>
      <w:pPr>
        <w:pStyle w:val="BodyText"/>
        <w:spacing w:line="237" w:lineRule="auto"/>
        <w:ind w:left="2103" w:right="764" w:hanging="711"/>
        <w:rPr>
          <w:sz w:val="16"/>
        </w:rPr>
      </w:pPr>
      <w:r>
        <w:rPr/>
        <w:t>(aa) Tiesa atsaucas uz divos  iepriekšējos  pieteicējas  maksātnespējas procesos konstatēto, ka parādniece ir radījusi zaudējumus kreditoriem. Minētie tiesas nolēmumi nav noprotestēti un ir spēkā. Tādejādi ar šiem nolēmumiem ir konstatēts, ka parādniece pēdējo trīs gadu laikā</w:t>
      </w:r>
      <w:r>
        <w:rPr>
          <w:spacing w:val="-31"/>
        </w:rPr>
        <w:t> </w:t>
      </w:r>
      <w:r>
        <w:rPr/>
        <w:t>radījusi zaudējumus</w:t>
      </w:r>
      <w:r>
        <w:rPr>
          <w:spacing w:val="1"/>
        </w:rPr>
        <w:t> </w:t>
      </w:r>
      <w:r>
        <w:rPr/>
        <w:t>kreditoriem.</w:t>
      </w:r>
      <w:r>
        <w:rPr>
          <w:position w:val="9"/>
          <w:sz w:val="16"/>
        </w:rPr>
        <w:t>57</w:t>
      </w:r>
    </w:p>
    <w:p>
      <w:pPr>
        <w:pStyle w:val="BodyText"/>
        <w:spacing w:line="235" w:lineRule="auto"/>
        <w:ind w:left="2103" w:right="763" w:hanging="711"/>
        <w:rPr>
          <w:sz w:val="16"/>
        </w:rPr>
      </w:pPr>
      <w:r>
        <w:rPr/>
        <w:t>(bb) Ar likumīgā spēkā stājušos tiesas nolēmumu konstatēts fakts, ka parādniece</w:t>
      </w:r>
      <w:r>
        <w:rPr>
          <w:spacing w:val="-10"/>
        </w:rPr>
        <w:t> </w:t>
      </w:r>
      <w:r>
        <w:rPr/>
        <w:t>pēdējo</w:t>
      </w:r>
      <w:r>
        <w:rPr>
          <w:spacing w:val="-5"/>
        </w:rPr>
        <w:t> </w:t>
      </w:r>
      <w:r>
        <w:rPr/>
        <w:t>triju</w:t>
      </w:r>
      <w:r>
        <w:rPr>
          <w:spacing w:val="-6"/>
        </w:rPr>
        <w:t> </w:t>
      </w:r>
      <w:r>
        <w:rPr/>
        <w:t>gadu</w:t>
      </w:r>
      <w:r>
        <w:rPr>
          <w:spacing w:val="-5"/>
        </w:rPr>
        <w:t> </w:t>
      </w:r>
      <w:r>
        <w:rPr/>
        <w:t>laikā</w:t>
      </w:r>
      <w:r>
        <w:rPr>
          <w:spacing w:val="-6"/>
        </w:rPr>
        <w:t> </w:t>
      </w:r>
      <w:r>
        <w:rPr/>
        <w:t>radījusi</w:t>
      </w:r>
      <w:r>
        <w:rPr>
          <w:spacing w:val="-5"/>
        </w:rPr>
        <w:t> </w:t>
      </w:r>
      <w:r>
        <w:rPr/>
        <w:t>zaudējumus</w:t>
      </w:r>
      <w:r>
        <w:rPr>
          <w:spacing w:val="-6"/>
        </w:rPr>
        <w:t> </w:t>
      </w:r>
      <w:r>
        <w:rPr/>
        <w:t>kreditoriem,</w:t>
      </w:r>
      <w:r>
        <w:rPr>
          <w:spacing w:val="-5"/>
        </w:rPr>
        <w:t> </w:t>
      </w:r>
      <w:r>
        <w:rPr/>
        <w:t>kas tiesas ieskatā ir šķērslis saistību dzēšanas procedūras piemērošanai, kamēr nav notecējis likumā paredzētais triju gadu</w:t>
      </w:r>
      <w:r>
        <w:rPr>
          <w:spacing w:val="-1"/>
        </w:rPr>
        <w:t> </w:t>
      </w:r>
      <w:r>
        <w:rPr/>
        <w:t>termiņš.</w:t>
      </w:r>
      <w:r>
        <w:rPr>
          <w:position w:val="9"/>
          <w:sz w:val="16"/>
        </w:rPr>
        <w:t>58</w:t>
      </w:r>
    </w:p>
    <w:p>
      <w:pPr>
        <w:pStyle w:val="ListParagraph"/>
        <w:numPr>
          <w:ilvl w:val="1"/>
          <w:numId w:val="18"/>
        </w:numPr>
        <w:tabs>
          <w:tab w:pos="1393" w:val="left" w:leader="none"/>
        </w:tabs>
        <w:spacing w:line="240" w:lineRule="auto" w:before="0" w:after="0"/>
        <w:ind w:left="1392" w:right="763" w:hanging="425"/>
        <w:jc w:val="both"/>
        <w:rPr>
          <w:sz w:val="24"/>
        </w:rPr>
      </w:pPr>
      <w:r>
        <w:rPr>
          <w:sz w:val="24"/>
        </w:rPr>
        <w:t>Lūgums piešķirt </w:t>
      </w:r>
      <w:r>
        <w:rPr>
          <w:b/>
          <w:spacing w:val="-120"/>
          <w:sz w:val="24"/>
          <w:u w:val="thick"/>
        </w:rPr>
        <w:t>a</w:t>
      </w:r>
      <w:r>
        <w:rPr>
          <w:b/>
          <w:spacing w:val="61"/>
          <w:sz w:val="24"/>
        </w:rPr>
        <w:t> </w:t>
      </w:r>
      <w:r>
        <w:rPr>
          <w:b/>
          <w:sz w:val="24"/>
          <w:u w:val="thick"/>
        </w:rPr>
        <w:t>tvaļinājumu bez darba algas saglabāšanas</w:t>
      </w:r>
      <w:r>
        <w:rPr>
          <w:b/>
          <w:sz w:val="24"/>
        </w:rPr>
        <w:t> </w:t>
      </w:r>
      <w:r>
        <w:rPr>
          <w:sz w:val="24"/>
        </w:rPr>
        <w:t>- fakts, ka pēc maksātnespējas procesa pasludināšanas parādniece ir lūgusi darba devējam piešķirt atvaļinājumu bez darba algas saglabāšanas ir pretrunā ar Maksātnespējas</w:t>
      </w:r>
      <w:r>
        <w:rPr>
          <w:spacing w:val="-11"/>
          <w:sz w:val="24"/>
        </w:rPr>
        <w:t> </w:t>
      </w:r>
      <w:r>
        <w:rPr>
          <w:sz w:val="24"/>
        </w:rPr>
        <w:t>likuma</w:t>
      </w:r>
      <w:r>
        <w:rPr>
          <w:spacing w:val="-10"/>
          <w:sz w:val="24"/>
        </w:rPr>
        <w:t> </w:t>
      </w:r>
      <w:r>
        <w:rPr>
          <w:sz w:val="24"/>
        </w:rPr>
        <w:t>139.panta</w:t>
      </w:r>
      <w:r>
        <w:rPr>
          <w:spacing w:val="-13"/>
          <w:sz w:val="24"/>
        </w:rPr>
        <w:t> </w:t>
      </w:r>
      <w:r>
        <w:rPr>
          <w:sz w:val="24"/>
        </w:rPr>
        <w:t>1.punktā</w:t>
      </w:r>
      <w:r>
        <w:rPr>
          <w:spacing w:val="-9"/>
          <w:sz w:val="24"/>
        </w:rPr>
        <w:t> </w:t>
      </w:r>
      <w:r>
        <w:rPr>
          <w:sz w:val="24"/>
        </w:rPr>
        <w:t>noteikto</w:t>
      </w:r>
      <w:r>
        <w:rPr>
          <w:spacing w:val="-11"/>
          <w:sz w:val="24"/>
        </w:rPr>
        <w:t> </w:t>
      </w:r>
      <w:r>
        <w:rPr>
          <w:sz w:val="24"/>
        </w:rPr>
        <w:t>parādnieka</w:t>
      </w:r>
      <w:r>
        <w:rPr>
          <w:spacing w:val="-12"/>
          <w:sz w:val="24"/>
        </w:rPr>
        <w:t> </w:t>
      </w:r>
      <w:r>
        <w:rPr>
          <w:sz w:val="24"/>
        </w:rPr>
        <w:t>pienākumu</w:t>
      </w:r>
      <w:r>
        <w:rPr>
          <w:spacing w:val="-8"/>
          <w:sz w:val="24"/>
        </w:rPr>
        <w:t> </w:t>
      </w:r>
      <w:r>
        <w:rPr>
          <w:sz w:val="24"/>
        </w:rPr>
        <w:t>gūt ienākumus, lai pilnīgāk apmierinātu kreditoru prasījumus, kā rezultātā šāda parādnieces rīcība vērtējama kā apzināta zaudējumu nodarīšana</w:t>
      </w:r>
      <w:r>
        <w:rPr>
          <w:spacing w:val="-7"/>
          <w:sz w:val="24"/>
        </w:rPr>
        <w:t> </w:t>
      </w:r>
      <w:r>
        <w:rPr>
          <w:sz w:val="24"/>
        </w:rPr>
        <w:t>kreditoriem.</w:t>
      </w:r>
    </w:p>
    <w:p>
      <w:pPr>
        <w:pStyle w:val="BodyText"/>
        <w:jc w:val="left"/>
        <w:rPr>
          <w:sz w:val="20"/>
        </w:rPr>
      </w:pPr>
    </w:p>
    <w:p>
      <w:pPr>
        <w:pStyle w:val="BodyText"/>
        <w:jc w:val="left"/>
        <w:rPr>
          <w:sz w:val="20"/>
        </w:rPr>
      </w:pPr>
      <w:r>
        <w:rPr/>
        <w:pict>
          <v:shape style="position:absolute;margin-left:72pt;margin-top:13.773827pt;width:144pt;height:.1pt;mso-position-horizontal-relative:page;mso-position-vertical-relative:paragraph;z-index:-251646976;mso-wrap-distance-left:0;mso-wrap-distance-right:0" coordorigin="1440,275" coordsize="2880,0" path="m1440,275l4320,275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55 </w:t>
      </w:r>
      <w:r>
        <w:rPr>
          <w:sz w:val="20"/>
        </w:rPr>
        <w:t>Liepājas tiesas 2014.gada 3.janvāra nolēmums lietā Nr. C20203413</w:t>
      </w:r>
    </w:p>
    <w:p>
      <w:pPr>
        <w:spacing w:line="230" w:lineRule="exact" w:before="0"/>
        <w:ind w:left="260" w:right="0" w:firstLine="0"/>
        <w:jc w:val="left"/>
        <w:rPr>
          <w:sz w:val="20"/>
        </w:rPr>
      </w:pPr>
      <w:r>
        <w:rPr>
          <w:position w:val="7"/>
          <w:sz w:val="13"/>
        </w:rPr>
        <w:t>56 </w:t>
      </w:r>
      <w:r>
        <w:rPr>
          <w:sz w:val="20"/>
        </w:rPr>
        <w:t>Ogres rajona tiesas 2014.gada 23.septembra nolēmums lietā Nr. C24141013</w:t>
      </w:r>
    </w:p>
    <w:p>
      <w:pPr>
        <w:spacing w:line="230" w:lineRule="exact" w:before="0"/>
        <w:ind w:left="260" w:right="0" w:firstLine="0"/>
        <w:jc w:val="left"/>
        <w:rPr>
          <w:sz w:val="20"/>
        </w:rPr>
      </w:pPr>
      <w:r>
        <w:rPr>
          <w:position w:val="7"/>
          <w:sz w:val="13"/>
        </w:rPr>
        <w:t>57 </w:t>
      </w:r>
      <w:r>
        <w:rPr>
          <w:sz w:val="20"/>
        </w:rPr>
        <w:t>Ventspils tiesas 2014.gada 1.decembra nolēmums lietā Nr. C40089114</w:t>
      </w:r>
    </w:p>
    <w:p>
      <w:pPr>
        <w:spacing w:line="233" w:lineRule="exact" w:before="0"/>
        <w:ind w:left="260" w:right="0" w:firstLine="0"/>
        <w:jc w:val="left"/>
        <w:rPr>
          <w:sz w:val="20"/>
        </w:rPr>
      </w:pPr>
      <w:r>
        <w:rPr>
          <w:position w:val="7"/>
          <w:sz w:val="13"/>
        </w:rPr>
        <w:t>58 </w:t>
      </w:r>
      <w:r>
        <w:rPr>
          <w:sz w:val="20"/>
        </w:rPr>
        <w:t>Ventspils tiesas 2014.gada 24.janvāra nolēmums lietā Nr. C40108413</w:t>
      </w:r>
    </w:p>
    <w:p>
      <w:pPr>
        <w:spacing w:after="0" w:line="233" w:lineRule="exact"/>
        <w:jc w:val="left"/>
        <w:rPr>
          <w:sz w:val="20"/>
        </w:rPr>
        <w:sectPr>
          <w:pgSz w:w="11910" w:h="16840"/>
          <w:pgMar w:header="0" w:footer="1055" w:top="1340" w:bottom="1240" w:left="1180" w:right="1040"/>
        </w:sectPr>
      </w:pPr>
    </w:p>
    <w:p>
      <w:pPr>
        <w:pStyle w:val="ListParagraph"/>
        <w:numPr>
          <w:ilvl w:val="1"/>
          <w:numId w:val="18"/>
        </w:numPr>
        <w:tabs>
          <w:tab w:pos="1753" w:val="left" w:leader="none"/>
        </w:tabs>
        <w:spacing w:line="237" w:lineRule="auto" w:before="75" w:after="0"/>
        <w:ind w:left="1752" w:right="402" w:hanging="425"/>
        <w:jc w:val="both"/>
        <w:rPr>
          <w:sz w:val="16"/>
        </w:rPr>
      </w:pPr>
      <w:r>
        <w:rPr>
          <w:sz w:val="24"/>
        </w:rPr>
        <w:t>Pazīme netiek konstatēta, ja kopš zaudējumu nodarīšanas brīža pagājuši</w:t>
      </w:r>
      <w:r>
        <w:rPr>
          <w:spacing w:val="-37"/>
          <w:sz w:val="24"/>
        </w:rPr>
        <w:t> </w:t>
      </w:r>
      <w:r>
        <w:rPr>
          <w:sz w:val="24"/>
        </w:rPr>
        <w:t>vairāk kā trīs gadi - administratora pieteikumā norādītais, ka parādnieks ir nodarījis zaudējumus kreditoriem rīkojoties bezatbildīgi un nododot sev piederošu transporta</w:t>
      </w:r>
      <w:r>
        <w:rPr>
          <w:spacing w:val="-15"/>
          <w:sz w:val="24"/>
        </w:rPr>
        <w:t> </w:t>
      </w:r>
      <w:r>
        <w:rPr>
          <w:sz w:val="24"/>
        </w:rPr>
        <w:t>līdzekli</w:t>
      </w:r>
      <w:r>
        <w:rPr>
          <w:spacing w:val="-15"/>
          <w:sz w:val="24"/>
        </w:rPr>
        <w:t> </w:t>
      </w:r>
      <w:r>
        <w:rPr>
          <w:sz w:val="24"/>
        </w:rPr>
        <w:t>personai,</w:t>
      </w:r>
      <w:r>
        <w:rPr>
          <w:spacing w:val="-14"/>
          <w:sz w:val="24"/>
        </w:rPr>
        <w:t> </w:t>
      </w:r>
      <w:r>
        <w:rPr>
          <w:sz w:val="24"/>
        </w:rPr>
        <w:t>kura</w:t>
      </w:r>
      <w:r>
        <w:rPr>
          <w:spacing w:val="-15"/>
          <w:sz w:val="24"/>
        </w:rPr>
        <w:t> </w:t>
      </w:r>
      <w:r>
        <w:rPr>
          <w:sz w:val="24"/>
        </w:rPr>
        <w:t>to</w:t>
      </w:r>
      <w:r>
        <w:rPr>
          <w:spacing w:val="-14"/>
          <w:sz w:val="24"/>
        </w:rPr>
        <w:t> </w:t>
      </w:r>
      <w:r>
        <w:rPr>
          <w:sz w:val="24"/>
        </w:rPr>
        <w:t>ir</w:t>
      </w:r>
      <w:r>
        <w:rPr>
          <w:spacing w:val="-13"/>
          <w:sz w:val="24"/>
        </w:rPr>
        <w:t> </w:t>
      </w:r>
      <w:r>
        <w:rPr>
          <w:sz w:val="24"/>
        </w:rPr>
        <w:t>piesavinājusies</w:t>
      </w:r>
      <w:r>
        <w:rPr>
          <w:spacing w:val="-16"/>
          <w:sz w:val="24"/>
        </w:rPr>
        <w:t> </w:t>
      </w:r>
      <w:r>
        <w:rPr>
          <w:sz w:val="24"/>
        </w:rPr>
        <w:t>un</w:t>
      </w:r>
      <w:r>
        <w:rPr>
          <w:spacing w:val="-15"/>
          <w:sz w:val="24"/>
        </w:rPr>
        <w:t> </w:t>
      </w:r>
      <w:r>
        <w:rPr>
          <w:sz w:val="24"/>
        </w:rPr>
        <w:t>pazudusi,</w:t>
      </w:r>
      <w:r>
        <w:rPr>
          <w:spacing w:val="-14"/>
          <w:sz w:val="24"/>
        </w:rPr>
        <w:t> </w:t>
      </w:r>
      <w:r>
        <w:rPr>
          <w:sz w:val="24"/>
        </w:rPr>
        <w:t>nav</w:t>
      </w:r>
      <w:r>
        <w:rPr>
          <w:spacing w:val="-15"/>
          <w:sz w:val="24"/>
        </w:rPr>
        <w:t> </w:t>
      </w:r>
      <w:r>
        <w:rPr>
          <w:sz w:val="24"/>
        </w:rPr>
        <w:t>ņemams vērā, jo minētais noticis 2009.gadā, nevis triju gadu laikā pirms parādnieka maksātnespējas procesa pasludināšanas 2014.gada 18.februārī vai maksātnespējas procesa</w:t>
      </w:r>
      <w:r>
        <w:rPr>
          <w:spacing w:val="-1"/>
          <w:sz w:val="24"/>
        </w:rPr>
        <w:t> </w:t>
      </w:r>
      <w:r>
        <w:rPr>
          <w:sz w:val="24"/>
        </w:rPr>
        <w:t>laikā.</w:t>
      </w:r>
      <w:r>
        <w:rPr>
          <w:position w:val="9"/>
          <w:sz w:val="16"/>
        </w:rPr>
        <w:t>59</w:t>
      </w:r>
    </w:p>
    <w:p>
      <w:pPr>
        <w:pStyle w:val="BodyText"/>
        <w:spacing w:before="2"/>
        <w:jc w:val="left"/>
      </w:pPr>
    </w:p>
    <w:p>
      <w:pPr>
        <w:pStyle w:val="ListParagraph"/>
        <w:numPr>
          <w:ilvl w:val="0"/>
          <w:numId w:val="18"/>
        </w:numPr>
        <w:tabs>
          <w:tab w:pos="1340" w:val="left" w:leader="none"/>
        </w:tabs>
        <w:spacing w:line="240" w:lineRule="auto" w:before="0" w:after="0"/>
        <w:ind w:left="1340" w:right="403" w:hanging="360"/>
        <w:jc w:val="both"/>
        <w:rPr>
          <w:sz w:val="24"/>
        </w:rPr>
      </w:pPr>
      <w:r>
        <w:rPr>
          <w:b/>
          <w:sz w:val="24"/>
        </w:rPr>
        <w:t>Maksātnespējas likuma 153.panta 2.punkts: </w:t>
      </w:r>
      <w:r>
        <w:rPr>
          <w:i/>
          <w:sz w:val="24"/>
        </w:rPr>
        <w:t>parādnieks ir sniedzis apzināti </w:t>
      </w:r>
      <w:r>
        <w:rPr>
          <w:i/>
          <w:sz w:val="24"/>
        </w:rPr>
        <w:t>nepatiesu informāciju par savu mantisko stāvokli un slēpis savus </w:t>
      </w:r>
      <w:r>
        <w:rPr>
          <w:i/>
          <w:spacing w:val="-3"/>
          <w:sz w:val="24"/>
        </w:rPr>
        <w:t>patiesos </w:t>
      </w:r>
      <w:r>
        <w:rPr>
          <w:i/>
          <w:sz w:val="24"/>
        </w:rPr>
        <w:t>ienākumus</w:t>
      </w:r>
      <w:r>
        <w:rPr>
          <w:sz w:val="24"/>
        </w:rPr>
        <w:t>.</w:t>
      </w:r>
    </w:p>
    <w:p>
      <w:pPr>
        <w:pStyle w:val="BodyText"/>
        <w:ind w:left="1340" w:right="402"/>
      </w:pPr>
      <w:r>
        <w:rPr/>
        <w:t>Norādīts kā pamats bankrota procedūras pabeigšanai 23 lietās no 25, kā vienīgais pamats – 20 lietās:</w:t>
      </w:r>
    </w:p>
    <w:p>
      <w:pPr>
        <w:pStyle w:val="ListParagraph"/>
        <w:numPr>
          <w:ilvl w:val="1"/>
          <w:numId w:val="18"/>
        </w:numPr>
        <w:tabs>
          <w:tab w:pos="1700" w:val="left" w:leader="none"/>
        </w:tabs>
        <w:spacing w:line="240" w:lineRule="auto" w:before="1" w:after="0"/>
        <w:ind w:left="1700" w:right="401" w:hanging="360"/>
        <w:jc w:val="both"/>
        <w:rPr>
          <w:sz w:val="24"/>
        </w:rPr>
      </w:pPr>
      <w:r>
        <w:rPr>
          <w:sz w:val="24"/>
        </w:rPr>
        <w:t>Parādnieks nav pārskaitījis </w:t>
      </w:r>
      <w:r>
        <w:rPr>
          <w:b/>
          <w:sz w:val="24"/>
        </w:rPr>
        <w:t>vienu trešdaļu </w:t>
      </w:r>
      <w:r>
        <w:rPr>
          <w:sz w:val="24"/>
        </w:rPr>
        <w:t>no saviem ienākumiem uz administratora atvērto kontu kredītiestādē (20 lietās no 23) un / vai samaksājis </w:t>
      </w:r>
      <w:r>
        <w:rPr>
          <w:b/>
          <w:sz w:val="24"/>
        </w:rPr>
        <w:t>administratora atlīdzību </w:t>
      </w:r>
      <w:r>
        <w:rPr>
          <w:sz w:val="24"/>
        </w:rPr>
        <w:t>(7 lietās no 23) – patieso ienākumu slēpšana (Maksātnespējas likuma 139.pantā noteiktie parādnieka pienākumi tā </w:t>
      </w:r>
      <w:r>
        <w:rPr>
          <w:spacing w:val="-3"/>
          <w:sz w:val="24"/>
        </w:rPr>
        <w:t>brīža </w:t>
      </w:r>
      <w:r>
        <w:rPr>
          <w:sz w:val="24"/>
        </w:rPr>
        <w:t>likuma redakcijā):</w:t>
      </w:r>
    </w:p>
    <w:p>
      <w:pPr>
        <w:pStyle w:val="BodyText"/>
        <w:ind w:left="2463" w:right="402" w:hanging="711"/>
        <w:rPr>
          <w:sz w:val="16"/>
        </w:rPr>
      </w:pPr>
      <w:r>
        <w:rPr/>
        <w:t>(aa) Juridiskajā literatūrā norādīts, ka fiziskajai  personai  bankrota  procedūras</w:t>
      </w:r>
      <w:r>
        <w:rPr>
          <w:spacing w:val="-16"/>
        </w:rPr>
        <w:t> </w:t>
      </w:r>
      <w:r>
        <w:rPr/>
        <w:t>termiņa</w:t>
      </w:r>
      <w:r>
        <w:rPr>
          <w:spacing w:val="-16"/>
        </w:rPr>
        <w:t> </w:t>
      </w:r>
      <w:r>
        <w:rPr/>
        <w:t>laikā</w:t>
      </w:r>
      <w:r>
        <w:rPr>
          <w:spacing w:val="-13"/>
        </w:rPr>
        <w:t> </w:t>
      </w:r>
      <w:r>
        <w:rPr/>
        <w:t>visi</w:t>
      </w:r>
      <w:r>
        <w:rPr>
          <w:spacing w:val="-15"/>
        </w:rPr>
        <w:t> </w:t>
      </w:r>
      <w:r>
        <w:rPr/>
        <w:t>savi</w:t>
      </w:r>
      <w:r>
        <w:rPr>
          <w:spacing w:val="-16"/>
        </w:rPr>
        <w:t> </w:t>
      </w:r>
      <w:r>
        <w:rPr/>
        <w:t>ienākumi</w:t>
      </w:r>
      <w:r>
        <w:rPr>
          <w:spacing w:val="-16"/>
        </w:rPr>
        <w:t> </w:t>
      </w:r>
      <w:r>
        <w:rPr/>
        <w:t>(darba</w:t>
      </w:r>
      <w:r>
        <w:rPr>
          <w:spacing w:val="-12"/>
        </w:rPr>
        <w:t> </w:t>
      </w:r>
      <w:r>
        <w:rPr/>
        <w:t>alga</w:t>
      </w:r>
      <w:r>
        <w:rPr>
          <w:spacing w:val="-16"/>
        </w:rPr>
        <w:t> </w:t>
      </w:r>
      <w:r>
        <w:rPr/>
        <w:t>u.c.)</w:t>
      </w:r>
      <w:r>
        <w:rPr>
          <w:spacing w:val="-14"/>
        </w:rPr>
        <w:t> </w:t>
      </w:r>
      <w:r>
        <w:rPr/>
        <w:t>ir</w:t>
      </w:r>
      <w:r>
        <w:rPr>
          <w:spacing w:val="-15"/>
        </w:rPr>
        <w:t> </w:t>
      </w:r>
      <w:r>
        <w:rPr/>
        <w:t>jānovirza kreditoru prasījumu segšanai, t.i., pēc būtības visu bankrota</w:t>
      </w:r>
      <w:r>
        <w:rPr>
          <w:spacing w:val="-16"/>
        </w:rPr>
        <w:t> </w:t>
      </w:r>
      <w:r>
        <w:rPr/>
        <w:t>procedūras laiku jāstrādā savu kreditoru labā. Kā atalgojums seko atbrīvošana no parādsaistībām, ja tādas palikušas vēl nenosegtas. Savukārt bankrota procedūras maksimālā termiņa samazinājums nozīmē iespēju fiziskai personai ātrāk „sākt jaunu dzīvi” bez parādu nastas, protams, ar nosacījumu,</w:t>
      </w:r>
      <w:r>
        <w:rPr>
          <w:spacing w:val="-13"/>
        </w:rPr>
        <w:t> </w:t>
      </w:r>
      <w:r>
        <w:rPr/>
        <w:t>ka</w:t>
      </w:r>
      <w:r>
        <w:rPr>
          <w:spacing w:val="-15"/>
        </w:rPr>
        <w:t> </w:t>
      </w:r>
      <w:r>
        <w:rPr/>
        <w:t>fiziskā</w:t>
      </w:r>
      <w:r>
        <w:rPr>
          <w:spacing w:val="-16"/>
        </w:rPr>
        <w:t> </w:t>
      </w:r>
      <w:r>
        <w:rPr/>
        <w:t>persona</w:t>
      </w:r>
      <w:r>
        <w:rPr>
          <w:spacing w:val="-12"/>
        </w:rPr>
        <w:t> </w:t>
      </w:r>
      <w:r>
        <w:rPr/>
        <w:t>visa</w:t>
      </w:r>
      <w:r>
        <w:rPr>
          <w:spacing w:val="-16"/>
        </w:rPr>
        <w:t> </w:t>
      </w:r>
      <w:r>
        <w:rPr/>
        <w:t>procesa</w:t>
      </w:r>
      <w:r>
        <w:rPr>
          <w:spacing w:val="-11"/>
        </w:rPr>
        <w:t> </w:t>
      </w:r>
      <w:r>
        <w:rPr/>
        <w:t>laikā</w:t>
      </w:r>
      <w:r>
        <w:rPr>
          <w:spacing w:val="-11"/>
        </w:rPr>
        <w:t> </w:t>
      </w:r>
      <w:r>
        <w:rPr/>
        <w:t>ir</w:t>
      </w:r>
      <w:r>
        <w:rPr>
          <w:spacing w:val="-9"/>
        </w:rPr>
        <w:t> </w:t>
      </w:r>
      <w:r>
        <w:rPr/>
        <w:t>godprātīgi</w:t>
      </w:r>
      <w:r>
        <w:rPr>
          <w:spacing w:val="-10"/>
        </w:rPr>
        <w:t> </w:t>
      </w:r>
      <w:r>
        <w:rPr/>
        <w:t>centusies maksimāli apmierināt kreditoru prasījumus, nevis tikai mēģinājusi izvairīties no savu saistību izpildes (sk. H.Jauja. Grozījumi fiziskās personas maksātnespējas procesā. „Jurista vārds” 07.07.2009., Nr.27, 26.lpp.).</w:t>
      </w:r>
      <w:r>
        <w:rPr>
          <w:position w:val="9"/>
          <w:sz w:val="16"/>
        </w:rPr>
        <w:t>60</w:t>
      </w:r>
    </w:p>
    <w:p>
      <w:pPr>
        <w:pStyle w:val="BodyText"/>
        <w:spacing w:line="261" w:lineRule="exact"/>
        <w:ind w:left="1752"/>
      </w:pPr>
      <w:r>
        <w:rPr/>
        <w:t>(bb) Tāpat juridiskajā literatūrā atzīts, ka (..) fiziskās personas atbrīvošana</w:t>
      </w:r>
    </w:p>
    <w:p>
      <w:pPr>
        <w:pStyle w:val="BodyText"/>
        <w:spacing w:line="237" w:lineRule="auto" w:before="2"/>
        <w:ind w:left="2463" w:right="402"/>
        <w:rPr>
          <w:sz w:val="16"/>
        </w:rPr>
      </w:pPr>
      <w:r>
        <w:rPr/>
        <w:t>no parādsaistībām var notikt tikai gadījumā, kad personai bijusi godprātīga attieksme pret kreditoriem un tā izrāda vēlēšanos segt savas parādu saistības. Maksātnespējas likums (redakcijā, kas spēkā no 2010.gada</w:t>
      </w:r>
      <w:r>
        <w:rPr>
          <w:spacing w:val="-16"/>
        </w:rPr>
        <w:t> </w:t>
      </w:r>
      <w:r>
        <w:rPr/>
        <w:t>1.novembra)</w:t>
      </w:r>
      <w:r>
        <w:rPr>
          <w:spacing w:val="-15"/>
        </w:rPr>
        <w:t> </w:t>
      </w:r>
      <w:r>
        <w:rPr/>
        <w:t>ir</w:t>
      </w:r>
      <w:r>
        <w:rPr>
          <w:spacing w:val="-8"/>
        </w:rPr>
        <w:t> </w:t>
      </w:r>
      <w:r>
        <w:rPr/>
        <w:t>orientēts</w:t>
      </w:r>
      <w:r>
        <w:rPr>
          <w:spacing w:val="-13"/>
        </w:rPr>
        <w:t> </w:t>
      </w:r>
      <w:r>
        <w:rPr/>
        <w:t>uz</w:t>
      </w:r>
      <w:r>
        <w:rPr>
          <w:spacing w:val="-11"/>
        </w:rPr>
        <w:t> </w:t>
      </w:r>
      <w:r>
        <w:rPr/>
        <w:t>fiziskās</w:t>
      </w:r>
      <w:r>
        <w:rPr>
          <w:spacing w:val="-12"/>
        </w:rPr>
        <w:t> </w:t>
      </w:r>
      <w:r>
        <w:rPr/>
        <w:t>personas</w:t>
      </w:r>
      <w:r>
        <w:rPr>
          <w:spacing w:val="-12"/>
        </w:rPr>
        <w:t> </w:t>
      </w:r>
      <w:r>
        <w:rPr/>
        <w:t>maksātnespējas procesa izpratnes maiņu, proti, no veida, kā atbrīvoties no parādu saistībām, uz iespēju atrisināt savas parādu saistības (sk. K.Ābelis. Fiziskās personas maksātnespējas procesa jaunais regulējums. „Jurista vārds” 14.09.2010., Nr.37, 25.lpp.).</w:t>
      </w:r>
      <w:r>
        <w:rPr>
          <w:spacing w:val="-21"/>
        </w:rPr>
        <w:t> </w:t>
      </w:r>
      <w:r>
        <w:rPr>
          <w:position w:val="9"/>
          <w:sz w:val="16"/>
        </w:rPr>
        <w:t>61</w:t>
      </w:r>
    </w:p>
    <w:p>
      <w:pPr>
        <w:pStyle w:val="BodyText"/>
        <w:spacing w:line="232" w:lineRule="auto" w:before="11"/>
        <w:ind w:left="2463" w:right="403" w:hanging="711"/>
        <w:rPr>
          <w:sz w:val="16"/>
        </w:rPr>
      </w:pPr>
      <w:r>
        <w:rPr/>
        <w:t>(cc) Parādnieks sniedza tiesai nepatiesu informāciju par (..) savu mantisko stāvokli, tajā skaitā, par līdzekļu esamību Administratora vienreizējās atlīdzības dzēšanai.</w:t>
      </w:r>
      <w:r>
        <w:rPr>
          <w:position w:val="9"/>
          <w:sz w:val="16"/>
        </w:rPr>
        <w:t>62</w:t>
      </w:r>
    </w:p>
    <w:p>
      <w:pPr>
        <w:pStyle w:val="ListParagraph"/>
        <w:numPr>
          <w:ilvl w:val="1"/>
          <w:numId w:val="18"/>
        </w:numPr>
        <w:tabs>
          <w:tab w:pos="1700" w:val="left" w:leader="none"/>
        </w:tabs>
        <w:spacing w:line="240" w:lineRule="auto" w:before="3" w:after="0"/>
        <w:ind w:left="1700" w:right="402" w:hanging="372"/>
        <w:jc w:val="both"/>
        <w:rPr>
          <w:sz w:val="24"/>
        </w:rPr>
      </w:pPr>
      <w:r>
        <w:rPr>
          <w:sz w:val="24"/>
        </w:rPr>
        <w:t>Administratoram un tiesai </w:t>
      </w:r>
      <w:r>
        <w:rPr>
          <w:b/>
          <w:sz w:val="24"/>
        </w:rPr>
        <w:t>netiek iesniegts saistību dzēšanas plāns </w:t>
      </w:r>
      <w:r>
        <w:rPr>
          <w:sz w:val="24"/>
        </w:rPr>
        <w:t>(netiek pildīts</w:t>
      </w:r>
      <w:r>
        <w:rPr>
          <w:spacing w:val="-10"/>
          <w:sz w:val="24"/>
        </w:rPr>
        <w:t> </w:t>
      </w:r>
      <w:r>
        <w:rPr>
          <w:sz w:val="24"/>
        </w:rPr>
        <w:t>Maksātnespējas</w:t>
      </w:r>
      <w:r>
        <w:rPr>
          <w:spacing w:val="-9"/>
          <w:sz w:val="24"/>
        </w:rPr>
        <w:t> </w:t>
      </w:r>
      <w:r>
        <w:rPr>
          <w:sz w:val="24"/>
        </w:rPr>
        <w:t>likuma</w:t>
      </w:r>
      <w:r>
        <w:rPr>
          <w:spacing w:val="-7"/>
          <w:sz w:val="24"/>
        </w:rPr>
        <w:t> </w:t>
      </w:r>
      <w:r>
        <w:rPr>
          <w:sz w:val="24"/>
        </w:rPr>
        <w:t>154.panta</w:t>
      </w:r>
      <w:r>
        <w:rPr>
          <w:spacing w:val="-9"/>
          <w:sz w:val="24"/>
        </w:rPr>
        <w:t> </w:t>
      </w:r>
      <w:r>
        <w:rPr>
          <w:sz w:val="24"/>
        </w:rPr>
        <w:t>pirmajā</w:t>
      </w:r>
      <w:r>
        <w:rPr>
          <w:spacing w:val="-6"/>
          <w:sz w:val="24"/>
        </w:rPr>
        <w:t> </w:t>
      </w:r>
      <w:r>
        <w:rPr>
          <w:sz w:val="24"/>
        </w:rPr>
        <w:t>daļā</w:t>
      </w:r>
      <w:r>
        <w:rPr>
          <w:spacing w:val="-10"/>
          <w:sz w:val="24"/>
        </w:rPr>
        <w:t> </w:t>
      </w:r>
      <w:r>
        <w:rPr>
          <w:sz w:val="24"/>
        </w:rPr>
        <w:t>un</w:t>
      </w:r>
      <w:r>
        <w:rPr>
          <w:spacing w:val="-9"/>
          <w:sz w:val="24"/>
        </w:rPr>
        <w:t> </w:t>
      </w:r>
      <w:r>
        <w:rPr>
          <w:sz w:val="24"/>
        </w:rPr>
        <w:t>157.pana</w:t>
      </w:r>
      <w:r>
        <w:rPr>
          <w:spacing w:val="-9"/>
          <w:sz w:val="24"/>
        </w:rPr>
        <w:t> </w:t>
      </w:r>
      <w:r>
        <w:rPr>
          <w:sz w:val="24"/>
        </w:rPr>
        <w:t>pirmajā</w:t>
      </w:r>
      <w:r>
        <w:rPr>
          <w:spacing w:val="-7"/>
          <w:sz w:val="24"/>
        </w:rPr>
        <w:t> </w:t>
      </w:r>
      <w:r>
        <w:rPr>
          <w:sz w:val="24"/>
        </w:rPr>
        <w:t>daļā noteiktais parādnieka pienākums) - 14 lietās no</w:t>
      </w:r>
      <w:r>
        <w:rPr>
          <w:spacing w:val="-3"/>
          <w:sz w:val="24"/>
        </w:rPr>
        <w:t> </w:t>
      </w:r>
      <w:r>
        <w:rPr>
          <w:sz w:val="24"/>
        </w:rPr>
        <w:t>23:</w:t>
      </w:r>
    </w:p>
    <w:p>
      <w:pPr>
        <w:pStyle w:val="BodyText"/>
        <w:jc w:val="left"/>
        <w:rPr>
          <w:sz w:val="20"/>
        </w:rPr>
      </w:pPr>
    </w:p>
    <w:p>
      <w:pPr>
        <w:pStyle w:val="BodyText"/>
        <w:spacing w:before="6"/>
        <w:jc w:val="left"/>
        <w:rPr>
          <w:sz w:val="20"/>
        </w:rPr>
      </w:pPr>
      <w:r>
        <w:rPr/>
        <w:pict>
          <v:shape style="position:absolute;margin-left:90pt;margin-top:14.074455pt;width:144pt;height:.1pt;mso-position-horizontal-relative:page;mso-position-vertical-relative:paragraph;z-index:-251645952;mso-wrap-distance-left:0;mso-wrap-distance-right:0" coordorigin="1800,281" coordsize="2880,0" path="m1800,281l4680,281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59 </w:t>
      </w:r>
      <w:r>
        <w:rPr>
          <w:sz w:val="20"/>
        </w:rPr>
        <w:t>Rīgas pilsētas Vidzemes priekšpilsētas tiesas 2014.gada 19.septembra nolēmums lietā Nr. C3034814</w:t>
      </w:r>
    </w:p>
    <w:p>
      <w:pPr>
        <w:spacing w:line="235" w:lineRule="auto" w:before="1"/>
        <w:ind w:left="620" w:right="2686" w:firstLine="0"/>
        <w:jc w:val="left"/>
        <w:rPr>
          <w:sz w:val="20"/>
        </w:rPr>
      </w:pPr>
      <w:r>
        <w:rPr>
          <w:position w:val="7"/>
          <w:sz w:val="13"/>
        </w:rPr>
        <w:t>60 </w:t>
      </w:r>
      <w:r>
        <w:rPr>
          <w:sz w:val="20"/>
        </w:rPr>
        <w:t>Rīgas rajona tiesas 2014.gada 26.septembra nolēmums lietā Nr. C33485513 </w:t>
      </w:r>
      <w:r>
        <w:rPr>
          <w:position w:val="7"/>
          <w:sz w:val="13"/>
        </w:rPr>
        <w:t>61 </w:t>
      </w:r>
      <w:r>
        <w:rPr>
          <w:sz w:val="20"/>
        </w:rPr>
        <w:t>Rīgas rajona tiesas 2014.gada 26.septembra nolēmums lietā Nr. C33485513 </w:t>
      </w:r>
      <w:r>
        <w:rPr>
          <w:position w:val="7"/>
          <w:sz w:val="13"/>
        </w:rPr>
        <w:t>62 </w:t>
      </w:r>
      <w:r>
        <w:rPr>
          <w:sz w:val="20"/>
        </w:rPr>
        <w:t>Limbažu rajona tiesas 2014.gada 4.novembra nolēmums lietā Nr.</w:t>
      </w:r>
      <w:r>
        <w:rPr>
          <w:spacing w:val="-23"/>
          <w:sz w:val="20"/>
        </w:rPr>
        <w:t> </w:t>
      </w:r>
      <w:r>
        <w:rPr>
          <w:sz w:val="20"/>
        </w:rPr>
        <w:t>C21045514</w:t>
      </w:r>
    </w:p>
    <w:p>
      <w:pPr>
        <w:spacing w:after="0" w:line="235" w:lineRule="auto"/>
        <w:jc w:val="left"/>
        <w:rPr>
          <w:sz w:val="20"/>
        </w:rPr>
        <w:sectPr>
          <w:footerReference w:type="default" r:id="rId20"/>
          <w:footerReference w:type="even" r:id="rId21"/>
          <w:pgSz w:w="11910" w:h="16840"/>
          <w:pgMar w:footer="1055" w:header="0" w:top="1340" w:bottom="1240" w:left="1180" w:right="1040"/>
        </w:sectPr>
      </w:pPr>
    </w:p>
    <w:p>
      <w:pPr>
        <w:pStyle w:val="BodyText"/>
        <w:spacing w:line="235" w:lineRule="auto" w:before="78"/>
        <w:ind w:left="2103" w:right="760" w:hanging="711"/>
        <w:rPr>
          <w:sz w:val="16"/>
        </w:rPr>
      </w:pPr>
      <w:r>
        <w:rPr/>
        <w:t>(aa) Parādnieks atbilstoši Maksātnespējas likuma 157.panta pirmās daļas, Civilprocesa 363</w:t>
      </w:r>
      <w:r>
        <w:rPr>
          <w:position w:val="9"/>
          <w:sz w:val="16"/>
        </w:rPr>
        <w:t>28</w:t>
      </w:r>
      <w:r>
        <w:rPr/>
        <w:t>.panta pirmās daļas 4.punkta un 363</w:t>
      </w:r>
      <w:r>
        <w:rPr>
          <w:position w:val="9"/>
          <w:sz w:val="16"/>
        </w:rPr>
        <w:t>30</w:t>
      </w:r>
      <w:r>
        <w:rPr/>
        <w:t>.panta trešās daļas prasībām nav iesniedzis tiesā motivētu pieteikumu par saistību dzēšanas</w:t>
      </w:r>
      <w:r>
        <w:rPr>
          <w:spacing w:val="-7"/>
        </w:rPr>
        <w:t> </w:t>
      </w:r>
      <w:r>
        <w:rPr/>
        <w:t>plāna</w:t>
      </w:r>
      <w:r>
        <w:rPr>
          <w:spacing w:val="-9"/>
        </w:rPr>
        <w:t> </w:t>
      </w:r>
      <w:r>
        <w:rPr/>
        <w:t>apstiprināšanu,</w:t>
      </w:r>
      <w:r>
        <w:rPr>
          <w:spacing w:val="-7"/>
        </w:rPr>
        <w:t> </w:t>
      </w:r>
      <w:r>
        <w:rPr/>
        <w:t>kuram</w:t>
      </w:r>
      <w:r>
        <w:rPr>
          <w:spacing w:val="-8"/>
        </w:rPr>
        <w:t> </w:t>
      </w:r>
      <w:r>
        <w:rPr/>
        <w:t>būtu</w:t>
      </w:r>
      <w:r>
        <w:rPr>
          <w:spacing w:val="-4"/>
        </w:rPr>
        <w:t> </w:t>
      </w:r>
      <w:r>
        <w:rPr/>
        <w:t>pievienots</w:t>
      </w:r>
      <w:r>
        <w:rPr>
          <w:spacing w:val="-7"/>
        </w:rPr>
        <w:t> </w:t>
      </w:r>
      <w:r>
        <w:rPr/>
        <w:t>saistību</w:t>
      </w:r>
      <w:r>
        <w:rPr>
          <w:spacing w:val="-6"/>
        </w:rPr>
        <w:t> </w:t>
      </w:r>
      <w:r>
        <w:rPr/>
        <w:t>dzēšanas plāns un attiecībā uz šo plānu saņemtie un vērā neņemtie kreditoru iebildumi un priekšlikumi. Līdz ar to tiesai nav likumīga pamata lemt jautājumu par parādnieka saistību dzēšanas plāna apstiprināšanu un parādnieka saistību dzēšanas procedūras</w:t>
      </w:r>
      <w:r>
        <w:rPr>
          <w:spacing w:val="-7"/>
        </w:rPr>
        <w:t> </w:t>
      </w:r>
      <w:r>
        <w:rPr/>
        <w:t>pasludināšanu.</w:t>
      </w:r>
      <w:r>
        <w:rPr>
          <w:position w:val="9"/>
          <w:sz w:val="16"/>
        </w:rPr>
        <w:t>63</w:t>
      </w:r>
    </w:p>
    <w:p>
      <w:pPr>
        <w:pStyle w:val="BodyText"/>
        <w:spacing w:line="237" w:lineRule="auto" w:before="11"/>
        <w:ind w:left="2103" w:right="764" w:hanging="711"/>
        <w:rPr>
          <w:sz w:val="16"/>
        </w:rPr>
      </w:pPr>
      <w:r>
        <w:rPr/>
        <w:t>(bb) Saistību dzēšanas plānā parādniekam jānorāda informācija par savu mantisko stāvokli un izvairīšanos sastādīt saistību dzēšanas plānu arī var pielīdzināt Maksātnespējas likuma 153.panta 2.punktā norādītajam ierobežojumam - parādnieks ir sniedzis apzināti nepatiesu informāciju par savu mantisko stāvokli un slēpis savus patiesos ienākumus.</w:t>
      </w:r>
      <w:r>
        <w:rPr>
          <w:position w:val="9"/>
          <w:sz w:val="16"/>
        </w:rPr>
        <w:t>64</w:t>
      </w:r>
    </w:p>
    <w:p>
      <w:pPr>
        <w:pStyle w:val="ListParagraph"/>
        <w:numPr>
          <w:ilvl w:val="1"/>
          <w:numId w:val="18"/>
        </w:numPr>
        <w:tabs>
          <w:tab w:pos="1340" w:val="left" w:leader="none"/>
        </w:tabs>
        <w:spacing w:line="237" w:lineRule="auto" w:before="0" w:after="0"/>
        <w:ind w:left="1340" w:right="763" w:hanging="360"/>
        <w:jc w:val="both"/>
        <w:rPr>
          <w:sz w:val="16"/>
        </w:rPr>
      </w:pPr>
      <w:r>
        <w:rPr>
          <w:b/>
          <w:sz w:val="24"/>
        </w:rPr>
        <w:t>Pretrunīga informācija saistību dzēšanas plānā. </w:t>
      </w:r>
      <w:r>
        <w:rPr>
          <w:sz w:val="24"/>
        </w:rPr>
        <w:t>Piemēram, Rīgas pilsētas Vidzemes priekšpilsētas tiesa 2015.gada 20.februāra nolēmumā lietā Nr.C30491714</w:t>
      </w:r>
      <w:r>
        <w:rPr>
          <w:spacing w:val="-8"/>
          <w:sz w:val="24"/>
        </w:rPr>
        <w:t> </w:t>
      </w:r>
      <w:r>
        <w:rPr>
          <w:sz w:val="24"/>
        </w:rPr>
        <w:t>konstatējusi,</w:t>
      </w:r>
      <w:r>
        <w:rPr>
          <w:spacing w:val="-8"/>
          <w:sz w:val="24"/>
        </w:rPr>
        <w:t> </w:t>
      </w:r>
      <w:r>
        <w:rPr>
          <w:sz w:val="24"/>
        </w:rPr>
        <w:t>ka</w:t>
      </w:r>
      <w:r>
        <w:rPr>
          <w:spacing w:val="-9"/>
          <w:sz w:val="24"/>
        </w:rPr>
        <w:t> </w:t>
      </w:r>
      <w:r>
        <w:rPr>
          <w:sz w:val="24"/>
        </w:rPr>
        <w:t>saistību</w:t>
      </w:r>
      <w:r>
        <w:rPr>
          <w:spacing w:val="-8"/>
          <w:sz w:val="24"/>
        </w:rPr>
        <w:t> </w:t>
      </w:r>
      <w:r>
        <w:rPr>
          <w:sz w:val="24"/>
        </w:rPr>
        <w:t>dzēšanas</w:t>
      </w:r>
      <w:r>
        <w:rPr>
          <w:spacing w:val="-6"/>
          <w:sz w:val="24"/>
        </w:rPr>
        <w:t> </w:t>
      </w:r>
      <w:r>
        <w:rPr>
          <w:sz w:val="24"/>
        </w:rPr>
        <w:t>plānā</w:t>
      </w:r>
      <w:r>
        <w:rPr>
          <w:spacing w:val="-8"/>
          <w:sz w:val="24"/>
        </w:rPr>
        <w:t> </w:t>
      </w:r>
      <w:r>
        <w:rPr>
          <w:sz w:val="24"/>
        </w:rPr>
        <w:t>norādīts,</w:t>
      </w:r>
      <w:r>
        <w:rPr>
          <w:spacing w:val="-7"/>
          <w:sz w:val="24"/>
        </w:rPr>
        <w:t> </w:t>
      </w:r>
      <w:r>
        <w:rPr>
          <w:sz w:val="24"/>
        </w:rPr>
        <w:t>ka</w:t>
      </w:r>
      <w:r>
        <w:rPr>
          <w:spacing w:val="-10"/>
          <w:sz w:val="24"/>
        </w:rPr>
        <w:t> </w:t>
      </w:r>
      <w:r>
        <w:rPr>
          <w:sz w:val="24"/>
        </w:rPr>
        <w:t>kreditoriem ik</w:t>
      </w:r>
      <w:r>
        <w:rPr>
          <w:spacing w:val="-10"/>
          <w:sz w:val="24"/>
        </w:rPr>
        <w:t> </w:t>
      </w:r>
      <w:r>
        <w:rPr>
          <w:sz w:val="24"/>
        </w:rPr>
        <w:t>mēnesi</w:t>
      </w:r>
      <w:r>
        <w:rPr>
          <w:spacing w:val="-9"/>
          <w:sz w:val="24"/>
        </w:rPr>
        <w:t> </w:t>
      </w:r>
      <w:r>
        <w:rPr>
          <w:sz w:val="24"/>
        </w:rPr>
        <w:t>tiks</w:t>
      </w:r>
      <w:r>
        <w:rPr>
          <w:spacing w:val="-11"/>
          <w:sz w:val="24"/>
        </w:rPr>
        <w:t> </w:t>
      </w:r>
      <w:r>
        <w:rPr>
          <w:sz w:val="24"/>
        </w:rPr>
        <w:t>veikti</w:t>
      </w:r>
      <w:r>
        <w:rPr>
          <w:spacing w:val="-9"/>
          <w:sz w:val="24"/>
        </w:rPr>
        <w:t> </w:t>
      </w:r>
      <w:r>
        <w:rPr>
          <w:sz w:val="24"/>
        </w:rPr>
        <w:t>maksājumi</w:t>
      </w:r>
      <w:r>
        <w:rPr>
          <w:spacing w:val="-9"/>
          <w:sz w:val="24"/>
        </w:rPr>
        <w:t> </w:t>
      </w:r>
      <w:r>
        <w:rPr>
          <w:sz w:val="24"/>
        </w:rPr>
        <w:t>120</w:t>
      </w:r>
      <w:r>
        <w:rPr>
          <w:spacing w:val="-8"/>
          <w:sz w:val="24"/>
        </w:rPr>
        <w:t> </w:t>
      </w:r>
      <w:r>
        <w:rPr>
          <w:i/>
          <w:sz w:val="24"/>
        </w:rPr>
        <w:t>euro</w:t>
      </w:r>
      <w:r>
        <w:rPr>
          <w:i/>
          <w:spacing w:val="-9"/>
          <w:sz w:val="24"/>
        </w:rPr>
        <w:t> </w:t>
      </w:r>
      <w:r>
        <w:rPr>
          <w:sz w:val="24"/>
        </w:rPr>
        <w:t>apmērā,</w:t>
      </w:r>
      <w:r>
        <w:rPr>
          <w:spacing w:val="-9"/>
          <w:sz w:val="24"/>
        </w:rPr>
        <w:t> </w:t>
      </w:r>
      <w:r>
        <w:rPr>
          <w:sz w:val="24"/>
        </w:rPr>
        <w:t>vienlaikus</w:t>
      </w:r>
      <w:r>
        <w:rPr>
          <w:spacing w:val="-9"/>
          <w:sz w:val="24"/>
        </w:rPr>
        <w:t> </w:t>
      </w:r>
      <w:r>
        <w:rPr>
          <w:sz w:val="24"/>
        </w:rPr>
        <w:t>tajā</w:t>
      </w:r>
      <w:r>
        <w:rPr>
          <w:spacing w:val="-9"/>
          <w:sz w:val="24"/>
        </w:rPr>
        <w:t> </w:t>
      </w:r>
      <w:r>
        <w:rPr>
          <w:sz w:val="24"/>
        </w:rPr>
        <w:t>norādot,</w:t>
      </w:r>
      <w:r>
        <w:rPr>
          <w:spacing w:val="-6"/>
          <w:sz w:val="24"/>
        </w:rPr>
        <w:t> </w:t>
      </w:r>
      <w:r>
        <w:rPr>
          <w:sz w:val="24"/>
        </w:rPr>
        <w:t>ka</w:t>
      </w:r>
      <w:r>
        <w:rPr>
          <w:spacing w:val="-11"/>
          <w:sz w:val="24"/>
        </w:rPr>
        <w:t> </w:t>
      </w:r>
      <w:r>
        <w:rPr>
          <w:sz w:val="24"/>
        </w:rPr>
        <w:t>uz saistību</w:t>
      </w:r>
      <w:r>
        <w:rPr>
          <w:spacing w:val="-8"/>
          <w:sz w:val="24"/>
        </w:rPr>
        <w:t> </w:t>
      </w:r>
      <w:r>
        <w:rPr>
          <w:sz w:val="24"/>
        </w:rPr>
        <w:t>dzēšanas</w:t>
      </w:r>
      <w:r>
        <w:rPr>
          <w:spacing w:val="-9"/>
          <w:sz w:val="24"/>
        </w:rPr>
        <w:t> </w:t>
      </w:r>
      <w:r>
        <w:rPr>
          <w:sz w:val="24"/>
        </w:rPr>
        <w:t>plāna</w:t>
      </w:r>
      <w:r>
        <w:rPr>
          <w:spacing w:val="-10"/>
          <w:sz w:val="24"/>
        </w:rPr>
        <w:t> </w:t>
      </w:r>
      <w:r>
        <w:rPr>
          <w:sz w:val="24"/>
        </w:rPr>
        <w:t>sastādīšanas</w:t>
      </w:r>
      <w:r>
        <w:rPr>
          <w:spacing w:val="-9"/>
          <w:sz w:val="24"/>
        </w:rPr>
        <w:t> </w:t>
      </w:r>
      <w:r>
        <w:rPr>
          <w:sz w:val="24"/>
        </w:rPr>
        <w:t>brīdi</w:t>
      </w:r>
      <w:r>
        <w:rPr>
          <w:spacing w:val="-7"/>
          <w:sz w:val="24"/>
        </w:rPr>
        <w:t> </w:t>
      </w:r>
      <w:r>
        <w:rPr>
          <w:sz w:val="24"/>
        </w:rPr>
        <w:t>viņai</w:t>
      </w:r>
      <w:r>
        <w:rPr>
          <w:spacing w:val="-10"/>
          <w:sz w:val="24"/>
        </w:rPr>
        <w:t> </w:t>
      </w:r>
      <w:r>
        <w:rPr>
          <w:sz w:val="24"/>
        </w:rPr>
        <w:t>nav</w:t>
      </w:r>
      <w:r>
        <w:rPr>
          <w:spacing w:val="-7"/>
          <w:sz w:val="24"/>
        </w:rPr>
        <w:t> </w:t>
      </w:r>
      <w:r>
        <w:rPr>
          <w:sz w:val="24"/>
        </w:rPr>
        <w:t>algota</w:t>
      </w:r>
      <w:r>
        <w:rPr>
          <w:spacing w:val="-8"/>
          <w:sz w:val="24"/>
        </w:rPr>
        <w:t> </w:t>
      </w:r>
      <w:r>
        <w:rPr>
          <w:sz w:val="24"/>
        </w:rPr>
        <w:t>darba</w:t>
      </w:r>
      <w:r>
        <w:rPr>
          <w:spacing w:val="-7"/>
          <w:sz w:val="24"/>
        </w:rPr>
        <w:t> </w:t>
      </w:r>
      <w:r>
        <w:rPr>
          <w:sz w:val="24"/>
        </w:rPr>
        <w:t>–</w:t>
      </w:r>
      <w:r>
        <w:rPr>
          <w:spacing w:val="-7"/>
          <w:sz w:val="24"/>
        </w:rPr>
        <w:t> </w:t>
      </w:r>
      <w:r>
        <w:rPr>
          <w:sz w:val="24"/>
        </w:rPr>
        <w:t>tiesas</w:t>
      </w:r>
      <w:r>
        <w:rPr>
          <w:spacing w:val="-10"/>
          <w:sz w:val="24"/>
        </w:rPr>
        <w:t> </w:t>
      </w:r>
      <w:r>
        <w:rPr>
          <w:sz w:val="24"/>
        </w:rPr>
        <w:t>ieskatā šādas pretrunas uzskatāmas par ienākumu</w:t>
      </w:r>
      <w:r>
        <w:rPr>
          <w:spacing w:val="-10"/>
          <w:sz w:val="24"/>
        </w:rPr>
        <w:t> </w:t>
      </w:r>
      <w:r>
        <w:rPr>
          <w:sz w:val="24"/>
        </w:rPr>
        <w:t>slēpšanu.</w:t>
      </w:r>
      <w:r>
        <w:rPr>
          <w:position w:val="9"/>
          <w:sz w:val="16"/>
        </w:rPr>
        <w:t>65</w:t>
      </w:r>
    </w:p>
    <w:p>
      <w:pPr>
        <w:pStyle w:val="ListParagraph"/>
        <w:numPr>
          <w:ilvl w:val="1"/>
          <w:numId w:val="18"/>
        </w:numPr>
        <w:tabs>
          <w:tab w:pos="1340" w:val="left" w:leader="none"/>
        </w:tabs>
        <w:spacing w:line="240" w:lineRule="auto" w:before="0" w:after="0"/>
        <w:ind w:left="1340" w:right="763" w:hanging="360"/>
        <w:jc w:val="both"/>
        <w:rPr>
          <w:sz w:val="24"/>
        </w:rPr>
      </w:pPr>
      <w:r>
        <w:rPr>
          <w:sz w:val="24"/>
        </w:rPr>
        <w:t>Parādnieks </w:t>
      </w:r>
      <w:r>
        <w:rPr>
          <w:b/>
          <w:sz w:val="24"/>
        </w:rPr>
        <w:t>nesniedz </w:t>
      </w:r>
      <w:r>
        <w:rPr>
          <w:sz w:val="24"/>
        </w:rPr>
        <w:t>pilnīgu vai patiesu </w:t>
      </w:r>
      <w:r>
        <w:rPr>
          <w:b/>
          <w:sz w:val="24"/>
        </w:rPr>
        <w:t>informāciju, </w:t>
      </w:r>
      <w:r>
        <w:rPr>
          <w:sz w:val="24"/>
        </w:rPr>
        <w:t>vai nesniedz</w:t>
      </w:r>
      <w:r>
        <w:rPr>
          <w:spacing w:val="-23"/>
          <w:sz w:val="24"/>
        </w:rPr>
        <w:t> </w:t>
      </w:r>
      <w:r>
        <w:rPr>
          <w:sz w:val="24"/>
        </w:rPr>
        <w:t>informāciju vispār (par ienākumiem, darījumiem</w:t>
      </w:r>
      <w:r>
        <w:rPr>
          <w:spacing w:val="1"/>
          <w:sz w:val="24"/>
        </w:rPr>
        <w:t> </w:t>
      </w:r>
      <w:r>
        <w:rPr>
          <w:sz w:val="24"/>
        </w:rPr>
        <w:t>utt.):</w:t>
      </w:r>
    </w:p>
    <w:p>
      <w:pPr>
        <w:pStyle w:val="BodyText"/>
        <w:ind w:left="2103" w:right="759" w:hanging="711"/>
        <w:rPr>
          <w:sz w:val="16"/>
        </w:rPr>
      </w:pPr>
      <w:r>
        <w:rPr/>
        <w:t>(aa)</w:t>
      </w:r>
      <w:r>
        <w:rPr>
          <w:spacing w:val="54"/>
        </w:rPr>
        <w:t> </w:t>
      </w:r>
      <w:r>
        <w:rPr/>
        <w:t>Tiesa lēmumā ir pievienojusies parādnieka iebildei, ka nav pārvērtējami darījumi, kas notikuši trīs gadus pirms Parādnieka maksātnespējas pasludināšanas. Vienlaikus tiesa, izvērtējot administratora atbildē uz parādnieka Iebildumiem par 2014.gada 30.septembra paziņojumu par bankrota procedūras pabeigšanu norādītās pretrunas parādnieka iepriekš sniegtajos paskaidrojumos, atrod, ka administratoram, ņemot vērā</w:t>
      </w:r>
      <w:r>
        <w:rPr>
          <w:spacing w:val="-16"/>
        </w:rPr>
        <w:t> </w:t>
      </w:r>
      <w:r>
        <w:rPr/>
        <w:t>šīs</w:t>
      </w:r>
      <w:r>
        <w:rPr>
          <w:spacing w:val="-9"/>
        </w:rPr>
        <w:t> </w:t>
      </w:r>
      <w:r>
        <w:rPr/>
        <w:t>pretrunas,</w:t>
      </w:r>
      <w:r>
        <w:rPr>
          <w:spacing w:val="-12"/>
        </w:rPr>
        <w:t> </w:t>
      </w:r>
      <w:r>
        <w:rPr/>
        <w:t>lai</w:t>
      </w:r>
      <w:r>
        <w:rPr>
          <w:spacing w:val="-12"/>
        </w:rPr>
        <w:t> </w:t>
      </w:r>
      <w:r>
        <w:rPr/>
        <w:t>novērstu</w:t>
      </w:r>
      <w:r>
        <w:rPr>
          <w:spacing w:val="-11"/>
        </w:rPr>
        <w:t> </w:t>
      </w:r>
      <w:r>
        <w:rPr/>
        <w:t>šaubas,</w:t>
      </w:r>
      <w:r>
        <w:rPr>
          <w:spacing w:val="-12"/>
        </w:rPr>
        <w:t> </w:t>
      </w:r>
      <w:r>
        <w:rPr/>
        <w:t>bija</w:t>
      </w:r>
      <w:r>
        <w:rPr>
          <w:spacing w:val="-11"/>
        </w:rPr>
        <w:t> </w:t>
      </w:r>
      <w:r>
        <w:rPr/>
        <w:t>pamats</w:t>
      </w:r>
      <w:r>
        <w:rPr>
          <w:spacing w:val="-12"/>
        </w:rPr>
        <w:t> </w:t>
      </w:r>
      <w:r>
        <w:rPr/>
        <w:t>pieprasīt</w:t>
      </w:r>
      <w:r>
        <w:rPr>
          <w:spacing w:val="-10"/>
        </w:rPr>
        <w:t> </w:t>
      </w:r>
      <w:r>
        <w:rPr/>
        <w:t>informāciju par</w:t>
      </w:r>
      <w:r>
        <w:rPr>
          <w:spacing w:val="-11"/>
        </w:rPr>
        <w:t> </w:t>
      </w:r>
      <w:r>
        <w:rPr/>
        <w:t>saņemto</w:t>
      </w:r>
      <w:r>
        <w:rPr>
          <w:spacing w:val="-8"/>
        </w:rPr>
        <w:t> </w:t>
      </w:r>
      <w:r>
        <w:rPr/>
        <w:t>naudas</w:t>
      </w:r>
      <w:r>
        <w:rPr>
          <w:spacing w:val="-10"/>
        </w:rPr>
        <w:t> </w:t>
      </w:r>
      <w:r>
        <w:rPr/>
        <w:t>līdzekļu</w:t>
      </w:r>
      <w:r>
        <w:rPr>
          <w:spacing w:val="-5"/>
        </w:rPr>
        <w:t> </w:t>
      </w:r>
      <w:r>
        <w:rPr/>
        <w:t>izlietojumu.</w:t>
      </w:r>
      <w:r>
        <w:rPr>
          <w:spacing w:val="-9"/>
        </w:rPr>
        <w:t> </w:t>
      </w:r>
      <w:r>
        <w:rPr/>
        <w:t>Tiesa</w:t>
      </w:r>
      <w:r>
        <w:rPr>
          <w:spacing w:val="-10"/>
        </w:rPr>
        <w:t> </w:t>
      </w:r>
      <w:r>
        <w:rPr/>
        <w:t>norāda,</w:t>
      </w:r>
      <w:r>
        <w:rPr>
          <w:spacing w:val="-10"/>
        </w:rPr>
        <w:t> </w:t>
      </w:r>
      <w:r>
        <w:rPr/>
        <w:t>ka</w:t>
      </w:r>
      <w:r>
        <w:rPr>
          <w:spacing w:val="-8"/>
        </w:rPr>
        <w:t> </w:t>
      </w:r>
      <w:r>
        <w:rPr/>
        <w:t>parādniekam nebija pienākuma atskaitīties par 2010.gada 11.jūnija </w:t>
      </w:r>
      <w:r>
        <w:rPr>
          <w:spacing w:val="-3"/>
        </w:rPr>
        <w:t>pirkuma </w:t>
      </w:r>
      <w:r>
        <w:rPr/>
        <w:t>darījumu, bet bija jāsniedz informācija par to, kur viņš ir izlietojis šī darījuma rezultātā iegūtos līdzekļus, lai administrators varētu izvērtēt, vai parādnieks nav veicis darbības, lai noslēptu savu mantu. Tā kā parādnieks šādu informāciju nav sniedzis, tiesa atzīst par pamatotu administratora viedokli, ka parādnieks apzināti slēpj informāciju par savu mantu.</w:t>
      </w:r>
      <w:r>
        <w:rPr>
          <w:position w:val="9"/>
          <w:sz w:val="16"/>
        </w:rPr>
        <w:t>66</w:t>
      </w:r>
    </w:p>
    <w:p>
      <w:pPr>
        <w:pStyle w:val="BodyText"/>
        <w:spacing w:line="261" w:lineRule="exact"/>
        <w:ind w:left="1392"/>
      </w:pPr>
      <w:r>
        <w:rPr/>
        <w:t>(bb) Parādnieks nav sniedzis pamatojumu, kāpēc viņš uzskata, ka</w:t>
      </w:r>
    </w:p>
    <w:p>
      <w:pPr>
        <w:pStyle w:val="BodyText"/>
        <w:spacing w:line="237" w:lineRule="auto"/>
        <w:ind w:left="2103" w:right="761"/>
        <w:rPr>
          <w:sz w:val="16"/>
        </w:rPr>
      </w:pPr>
      <w:r>
        <w:rPr/>
        <w:t>nekustamais</w:t>
      </w:r>
      <w:r>
        <w:rPr>
          <w:spacing w:val="-9"/>
        </w:rPr>
        <w:t> </w:t>
      </w:r>
      <w:r>
        <w:rPr/>
        <w:t>īpašums,</w:t>
      </w:r>
      <w:r>
        <w:rPr>
          <w:spacing w:val="-6"/>
        </w:rPr>
        <w:t> </w:t>
      </w:r>
      <w:r>
        <w:rPr/>
        <w:t>saskaņā</w:t>
      </w:r>
      <w:r>
        <w:rPr>
          <w:spacing w:val="-9"/>
        </w:rPr>
        <w:t> </w:t>
      </w:r>
      <w:r>
        <w:rPr/>
        <w:t>ar</w:t>
      </w:r>
      <w:r>
        <w:rPr>
          <w:spacing w:val="-8"/>
        </w:rPr>
        <w:t> </w:t>
      </w:r>
      <w:r>
        <w:rPr/>
        <w:t>Civillikuma</w:t>
      </w:r>
      <w:r>
        <w:rPr>
          <w:spacing w:val="-11"/>
        </w:rPr>
        <w:t> </w:t>
      </w:r>
      <w:r>
        <w:rPr/>
        <w:t>91.pantu</w:t>
      </w:r>
      <w:r>
        <w:rPr>
          <w:spacing w:val="-9"/>
        </w:rPr>
        <w:t> </w:t>
      </w:r>
      <w:r>
        <w:rPr/>
        <w:t>ir</w:t>
      </w:r>
      <w:r>
        <w:rPr>
          <w:spacing w:val="-9"/>
        </w:rPr>
        <w:t> </w:t>
      </w:r>
      <w:r>
        <w:rPr/>
        <w:t>atzīstamas</w:t>
      </w:r>
      <w:r>
        <w:rPr>
          <w:spacing w:val="-8"/>
        </w:rPr>
        <w:t> </w:t>
      </w:r>
      <w:r>
        <w:rPr/>
        <w:t>par bijušās sievas atsevišķu mantu (laulība šķirta divas dienas pirms maksātnespējas pieteikuma iesniegšanas tiesā, nepretendējot uz bijušajai sievai piederošu mantu, kas iespējams ir atzīstama par laulāto kopmantu).</w:t>
      </w:r>
      <w:r>
        <w:rPr>
          <w:position w:val="9"/>
          <w:sz w:val="16"/>
        </w:rPr>
        <w:t>67</w:t>
      </w:r>
    </w:p>
    <w:p>
      <w:pPr>
        <w:pStyle w:val="BodyText"/>
        <w:ind w:left="2103" w:right="762" w:hanging="711"/>
      </w:pPr>
      <w:r>
        <w:rPr/>
        <w:t>(cc) Maksātnespējas likuma 153.panta 2.punktā noteiktais, ka saistību dzēšanas procedūru nepiemēro vai to pārtrauc, ja parādnieks ir</w:t>
      </w:r>
      <w:r>
        <w:rPr>
          <w:spacing w:val="-32"/>
        </w:rPr>
        <w:t> </w:t>
      </w:r>
      <w:r>
        <w:rPr/>
        <w:t>sniedzis apzināti nepatiesu informāciju par savu mantisko stāvokli un</w:t>
      </w:r>
      <w:r>
        <w:rPr>
          <w:spacing w:val="26"/>
        </w:rPr>
        <w:t> </w:t>
      </w:r>
      <w:r>
        <w:rPr>
          <w:spacing w:val="-4"/>
        </w:rPr>
        <w:t>slēpis</w:t>
      </w:r>
    </w:p>
    <w:p>
      <w:pPr>
        <w:pStyle w:val="BodyText"/>
        <w:spacing w:before="4"/>
        <w:jc w:val="left"/>
        <w:rPr>
          <w:sz w:val="20"/>
        </w:rPr>
      </w:pPr>
      <w:r>
        <w:rPr/>
        <w:pict>
          <v:shape style="position:absolute;margin-left:72pt;margin-top:13.992616pt;width:144pt;height:.1pt;mso-position-horizontal-relative:page;mso-position-vertical-relative:paragraph;z-index:-251644928;mso-wrap-distance-left:0;mso-wrap-distance-right:0" coordorigin="1440,280" coordsize="2880,0" path="m1440,280l4320,280e" filled="false" stroked="true" strokeweight=".599991pt" strokecolor="#000000">
            <v:path arrowok="t"/>
            <v:stroke dashstyle="solid"/>
            <w10:wrap type="topAndBottom"/>
          </v:shape>
        </w:pict>
      </w:r>
    </w:p>
    <w:p>
      <w:pPr>
        <w:spacing w:line="231" w:lineRule="exact" w:before="70"/>
        <w:ind w:left="260" w:right="0" w:firstLine="0"/>
        <w:jc w:val="left"/>
        <w:rPr>
          <w:sz w:val="20"/>
        </w:rPr>
      </w:pPr>
      <w:r>
        <w:rPr>
          <w:position w:val="7"/>
          <w:sz w:val="13"/>
        </w:rPr>
        <w:t>63 </w:t>
      </w:r>
      <w:r>
        <w:rPr>
          <w:sz w:val="20"/>
        </w:rPr>
        <w:t>Rīgas pilsētas Vidzemes priekšpilsētas tiesas 2014.gada 30.aprīļa nolēmums lietā Nr. C30489913</w:t>
      </w:r>
    </w:p>
    <w:p>
      <w:pPr>
        <w:spacing w:line="229" w:lineRule="exact" w:before="0"/>
        <w:ind w:left="260" w:right="0" w:firstLine="0"/>
        <w:jc w:val="left"/>
        <w:rPr>
          <w:sz w:val="20"/>
        </w:rPr>
      </w:pPr>
      <w:r>
        <w:rPr>
          <w:position w:val="7"/>
          <w:sz w:val="13"/>
        </w:rPr>
        <w:t>64 </w:t>
      </w:r>
      <w:r>
        <w:rPr>
          <w:sz w:val="20"/>
        </w:rPr>
        <w:t>Rīgas rajona tiesas 2014.gada 26.septembra nolēmums lietā Nr. C33485513</w:t>
      </w:r>
    </w:p>
    <w:p>
      <w:pPr>
        <w:spacing w:line="230" w:lineRule="exact" w:before="0"/>
        <w:ind w:left="260" w:right="0" w:firstLine="0"/>
        <w:jc w:val="left"/>
        <w:rPr>
          <w:sz w:val="20"/>
        </w:rPr>
      </w:pPr>
      <w:r>
        <w:rPr>
          <w:position w:val="7"/>
          <w:sz w:val="13"/>
        </w:rPr>
        <w:t>65 </w:t>
      </w:r>
      <w:r>
        <w:rPr>
          <w:sz w:val="20"/>
        </w:rPr>
        <w:t>Rīgas pilsētas Vidzemes priekšpilsētas tiesas 2015.gada 20.februāra nolēmums lietā Nr. C30491714</w:t>
      </w:r>
    </w:p>
    <w:p>
      <w:pPr>
        <w:spacing w:line="230" w:lineRule="exact" w:before="0"/>
        <w:ind w:left="260" w:right="0" w:firstLine="0"/>
        <w:jc w:val="left"/>
        <w:rPr>
          <w:sz w:val="20"/>
        </w:rPr>
      </w:pPr>
      <w:r>
        <w:rPr>
          <w:position w:val="7"/>
          <w:sz w:val="13"/>
        </w:rPr>
        <w:t>66  </w:t>
      </w:r>
      <w:r>
        <w:rPr>
          <w:sz w:val="20"/>
        </w:rPr>
        <w:t>Rīgas pilsētas Ziemeļu rajona tiesas 2014.gada 19.novembra nolēmums lietā Nr.</w:t>
      </w:r>
      <w:r>
        <w:rPr>
          <w:spacing w:val="-30"/>
          <w:sz w:val="20"/>
        </w:rPr>
        <w:t> </w:t>
      </w:r>
      <w:r>
        <w:rPr>
          <w:sz w:val="20"/>
        </w:rPr>
        <w:t>C32319013</w:t>
      </w:r>
    </w:p>
    <w:p>
      <w:pPr>
        <w:spacing w:line="233" w:lineRule="exact" w:before="0"/>
        <w:ind w:left="260" w:right="0" w:firstLine="0"/>
        <w:jc w:val="left"/>
        <w:rPr>
          <w:sz w:val="20"/>
        </w:rPr>
      </w:pPr>
      <w:r>
        <w:rPr>
          <w:position w:val="7"/>
          <w:sz w:val="13"/>
        </w:rPr>
        <w:t>67  </w:t>
      </w:r>
      <w:r>
        <w:rPr>
          <w:sz w:val="20"/>
        </w:rPr>
        <w:t>Rīgas pilsētas Ziemeļu rajona tiesas 2014.gada 19.novembra nolēmums lietā Nr.</w:t>
      </w:r>
      <w:r>
        <w:rPr>
          <w:spacing w:val="-30"/>
          <w:sz w:val="20"/>
        </w:rPr>
        <w:t> </w:t>
      </w:r>
      <w:r>
        <w:rPr>
          <w:sz w:val="20"/>
        </w:rPr>
        <w:t>C32319013</w:t>
      </w:r>
    </w:p>
    <w:p>
      <w:pPr>
        <w:spacing w:after="0" w:line="233" w:lineRule="exact"/>
        <w:jc w:val="left"/>
        <w:rPr>
          <w:sz w:val="20"/>
        </w:rPr>
        <w:sectPr>
          <w:pgSz w:w="11910" w:h="16840"/>
          <w:pgMar w:header="0" w:footer="1055" w:top="1340" w:bottom="1240" w:left="1180" w:right="1040"/>
        </w:sectPr>
      </w:pPr>
    </w:p>
    <w:p>
      <w:pPr>
        <w:pStyle w:val="BodyText"/>
        <w:spacing w:line="232" w:lineRule="auto" w:before="80"/>
        <w:ind w:left="2463" w:right="403"/>
        <w:rPr>
          <w:sz w:val="16"/>
        </w:rPr>
      </w:pPr>
      <w:r>
        <w:rPr/>
        <w:t>savus</w:t>
      </w:r>
      <w:r>
        <w:rPr>
          <w:spacing w:val="-10"/>
        </w:rPr>
        <w:t> </w:t>
      </w:r>
      <w:r>
        <w:rPr/>
        <w:t>patiesos</w:t>
      </w:r>
      <w:r>
        <w:rPr>
          <w:spacing w:val="-9"/>
        </w:rPr>
        <w:t> </w:t>
      </w:r>
      <w:r>
        <w:rPr/>
        <w:t>ienākumus,</w:t>
      </w:r>
      <w:r>
        <w:rPr>
          <w:spacing w:val="-6"/>
        </w:rPr>
        <w:t> </w:t>
      </w:r>
      <w:r>
        <w:rPr/>
        <w:t>ir</w:t>
      </w:r>
      <w:r>
        <w:rPr>
          <w:spacing w:val="-11"/>
        </w:rPr>
        <w:t> </w:t>
      </w:r>
      <w:r>
        <w:rPr/>
        <w:t>tulkojams</w:t>
      </w:r>
      <w:r>
        <w:rPr>
          <w:spacing w:val="-11"/>
        </w:rPr>
        <w:t> </w:t>
      </w:r>
      <w:r>
        <w:rPr/>
        <w:t>plašāk</w:t>
      </w:r>
      <w:r>
        <w:rPr>
          <w:spacing w:val="-11"/>
        </w:rPr>
        <w:t> </w:t>
      </w:r>
      <w:r>
        <w:rPr/>
        <w:t>un</w:t>
      </w:r>
      <w:r>
        <w:rPr>
          <w:spacing w:val="-9"/>
        </w:rPr>
        <w:t> </w:t>
      </w:r>
      <w:r>
        <w:rPr/>
        <w:t>ietver</w:t>
      </w:r>
      <w:r>
        <w:rPr>
          <w:spacing w:val="-9"/>
        </w:rPr>
        <w:t> </w:t>
      </w:r>
      <w:r>
        <w:rPr/>
        <w:t>sevī</w:t>
      </w:r>
      <w:r>
        <w:rPr>
          <w:spacing w:val="-6"/>
        </w:rPr>
        <w:t> </w:t>
      </w:r>
      <w:r>
        <w:rPr/>
        <w:t>arī</w:t>
      </w:r>
      <w:r>
        <w:rPr>
          <w:spacing w:val="-9"/>
        </w:rPr>
        <w:t> </w:t>
      </w:r>
      <w:r>
        <w:rPr/>
        <w:t>patiesas un pilnas informācijas par savu mantu vai ienākumiem nesniegšanu administratoram.</w:t>
      </w:r>
      <w:r>
        <w:rPr>
          <w:position w:val="9"/>
          <w:sz w:val="16"/>
        </w:rPr>
        <w:t>68</w:t>
      </w:r>
    </w:p>
    <w:p>
      <w:pPr>
        <w:pStyle w:val="BodyText"/>
        <w:spacing w:line="232" w:lineRule="auto" w:before="10"/>
        <w:ind w:left="2463" w:right="401" w:hanging="711"/>
        <w:rPr>
          <w:sz w:val="16"/>
        </w:rPr>
      </w:pPr>
      <w:r>
        <w:rPr/>
        <w:t>(dd) Fiziskas personas maksātnespējas process ir labprātīgs process, ko izvēlas persona, kas nokļuvusi finansiālās grūtībās, un šis process </w:t>
      </w:r>
      <w:r>
        <w:rPr>
          <w:spacing w:val="-6"/>
        </w:rPr>
        <w:t>ir </w:t>
      </w:r>
      <w:r>
        <w:rPr/>
        <w:t>saistīts ar noteiktu pienākumu izpildi no parādnieka</w:t>
      </w:r>
      <w:r>
        <w:rPr>
          <w:spacing w:val="-2"/>
        </w:rPr>
        <w:t> </w:t>
      </w:r>
      <w:r>
        <w:rPr/>
        <w:t>puses.</w:t>
      </w:r>
      <w:r>
        <w:rPr>
          <w:position w:val="9"/>
          <w:sz w:val="16"/>
        </w:rPr>
        <w:t>69</w:t>
      </w:r>
    </w:p>
    <w:p>
      <w:pPr>
        <w:pStyle w:val="BodyText"/>
        <w:spacing w:before="2"/>
        <w:ind w:left="2463" w:right="403" w:hanging="711"/>
        <w:rPr>
          <w:sz w:val="16"/>
        </w:rPr>
      </w:pPr>
      <w:r>
        <w:rPr/>
        <w:t>(ee) Tiesību doktrīnā atzīts, ka Maksātnespējas likuma 153.panta 2.punktā minētais šķērslis ir saistīts ar apzinātu parādnieka mantas (tostarp ienākumu) nobēdzināšanu vai slēpšanu gan pirms fiziskās personas maksātnespējas procesa pasludināšanas, gan arī maksātnespējas procesa laikā. Par mantiskā stāvokļa slēpšanu ir atzīstama </w:t>
      </w:r>
      <w:r>
        <w:rPr>
          <w:spacing w:val="-5"/>
        </w:rPr>
        <w:t>arī </w:t>
      </w:r>
      <w:r>
        <w:rPr/>
        <w:t>parādnieka nesadarbošanās ar administratoru (piemēram, administratora pieprasīto ziņu nesniegšana) maksātnespējas procesa laikā (sk. Civilprocesa likuma komentāri. II daļa (29.-60.1 nodaļa) Sagatavojis autoru kolektīvs. Prof. K.Torgāna zinātniskajā redakcijā. – Rīga:</w:t>
      </w:r>
      <w:r>
        <w:rPr>
          <w:spacing w:val="-16"/>
        </w:rPr>
        <w:t> </w:t>
      </w:r>
      <w:r>
        <w:rPr/>
        <w:t>Tiesu</w:t>
      </w:r>
      <w:r>
        <w:rPr>
          <w:spacing w:val="-14"/>
        </w:rPr>
        <w:t> </w:t>
      </w:r>
      <w:r>
        <w:rPr/>
        <w:t>namu</w:t>
      </w:r>
      <w:r>
        <w:rPr>
          <w:spacing w:val="-14"/>
        </w:rPr>
        <w:t> </w:t>
      </w:r>
      <w:r>
        <w:rPr/>
        <w:t>aģentūra,</w:t>
      </w:r>
      <w:r>
        <w:rPr>
          <w:spacing w:val="-17"/>
        </w:rPr>
        <w:t> </w:t>
      </w:r>
      <w:r>
        <w:rPr/>
        <w:t>2012,</w:t>
      </w:r>
      <w:r>
        <w:rPr>
          <w:spacing w:val="-13"/>
        </w:rPr>
        <w:t> </w:t>
      </w:r>
      <w:r>
        <w:rPr/>
        <w:t>520.lpp.).</w:t>
      </w:r>
      <w:r>
        <w:rPr>
          <w:spacing w:val="-14"/>
        </w:rPr>
        <w:t> </w:t>
      </w:r>
      <w:r>
        <w:rPr/>
        <w:t>Tādējādi</w:t>
      </w:r>
      <w:r>
        <w:rPr>
          <w:spacing w:val="-12"/>
        </w:rPr>
        <w:t> </w:t>
      </w:r>
      <w:r>
        <w:rPr/>
        <w:t>parādnieka</w:t>
      </w:r>
      <w:r>
        <w:rPr>
          <w:spacing w:val="-17"/>
        </w:rPr>
        <w:t> </w:t>
      </w:r>
      <w:r>
        <w:rPr/>
        <w:t>rīcība, nepildot Maksātnespējas likumā noteiktos pienākumus saistāma </w:t>
      </w:r>
      <w:r>
        <w:rPr>
          <w:spacing w:val="-6"/>
        </w:rPr>
        <w:t>ar </w:t>
      </w:r>
      <w:r>
        <w:rPr/>
        <w:t>Maksātnespējas likuma 153.panta 2.punktā norādīto ierobežojumu saistību dzēšanas procedūras</w:t>
      </w:r>
      <w:r>
        <w:rPr>
          <w:spacing w:val="-3"/>
        </w:rPr>
        <w:t> </w:t>
      </w:r>
      <w:r>
        <w:rPr/>
        <w:t>piemērošanai.</w:t>
      </w:r>
      <w:r>
        <w:rPr>
          <w:position w:val="9"/>
          <w:sz w:val="16"/>
        </w:rPr>
        <w:t>70</w:t>
      </w:r>
    </w:p>
    <w:p>
      <w:pPr>
        <w:pStyle w:val="BodyText"/>
        <w:spacing w:line="261" w:lineRule="exact"/>
        <w:ind w:left="1752"/>
      </w:pPr>
      <w:r>
        <w:rPr/>
        <w:t>(ff) Lai pārliecinātos, vai nepastāv Maksātnespējas likuma 153.panta otrajā</w:t>
      </w:r>
    </w:p>
    <w:p>
      <w:pPr>
        <w:pStyle w:val="BodyText"/>
        <w:ind w:left="2463" w:right="403"/>
      </w:pPr>
      <w:r>
        <w:rPr/>
        <w:t>daļā noteiktais ierobežojums, administrators izvērtē, piemēram, naudas līdzekļu kustību norēķinu kontos, t.sk. aizdevuma izsniegšanu vai atgriešanu, konkrētās parādnieka profesijas vidējo algu valstī utt.</w:t>
      </w:r>
    </w:p>
    <w:p>
      <w:pPr>
        <w:pStyle w:val="BodyText"/>
        <w:spacing w:before="1"/>
        <w:ind w:left="2463" w:right="402" w:hanging="711"/>
        <w:rPr>
          <w:sz w:val="16"/>
        </w:rPr>
      </w:pPr>
      <w:r>
        <w:rPr/>
        <w:t>(gg) Nepamatota atsauce uz Maksātnespējas likumā noteiktajiem parādnieka pienākumiem un tiesībām bankrota procedūras laikā attiecībā uz parādnieka darījumiem, kas notikuši pirms maksātnespējas procesa ierosināšanas. Piemēram, Talsu rajona tiesa 2015.gada 16.februāra nolēmumā lietā Nr.C36061711 konstatē, ka parādnieka konta pārskats apstiprina, ka viņš 10.10.2012. [vairāk kā 3,5 gadus pirms maksātnespējas pieteikuma iesniegšanas] ir veicis aizdevuma atmaksu fiziskajai personai 106,00 Ls jeb 150,82 EUR apmērā, tādā veidā pārkāpjot Maksātnespējas likuma 139.pantā noteiktos pienākumus un Maksātnespējas likuma 140.pantā noteiktās parādnieka tiesības bankrota procedūras laikā, kā arī nodarot kaitējumu kreditoru interesēm. Tiesa ņem vērā administratores konstatēto, ka 2012.gadā parādnieka vidējie bruto ienākumi mēnesī ir tikai 168 EUR, bet tajā pašā laikā parādnieks atļāvies atdot parādu ar maksātnespējas procesu nesaistītai personai.</w:t>
      </w:r>
      <w:r>
        <w:rPr>
          <w:position w:val="9"/>
          <w:sz w:val="16"/>
        </w:rPr>
        <w:t>71</w:t>
      </w:r>
    </w:p>
    <w:p>
      <w:pPr>
        <w:pStyle w:val="BodyText"/>
        <w:spacing w:line="261" w:lineRule="exact"/>
        <w:ind w:left="1752"/>
      </w:pPr>
      <w:r>
        <w:rPr/>
        <w:t>(hh)     Izvērtējot   minēto   likuma   normu   [153.panta   2.punkts]   ir</w:t>
      </w:r>
      <w:r>
        <w:rPr>
          <w:spacing w:val="56"/>
        </w:rPr>
        <w:t> </w:t>
      </w:r>
      <w:r>
        <w:rPr/>
        <w:t>pamats</w:t>
      </w:r>
    </w:p>
    <w:p>
      <w:pPr>
        <w:pStyle w:val="BodyText"/>
        <w:ind w:left="2463" w:right="401"/>
      </w:pPr>
      <w:r>
        <w:rPr/>
        <w:t>konstatēt, ka tā tiešā veidā neattiecas uz konkrēto situāciju, jo</w:t>
      </w:r>
      <w:r>
        <w:rPr>
          <w:spacing w:val="-34"/>
        </w:rPr>
        <w:t> </w:t>
      </w:r>
      <w:r>
        <w:rPr/>
        <w:t>neparedz izbeigt bankrota procedūru gadījumos, ja parādnieks nesniedz administratoram likumā paredzēto informāciju un izvairās no 1/3 savu ienākumu novirzīšanas maksātnespējas procesa mērķa izpildei. Tā kā likumā nav paredzētas normas, tad ievērojot Civilprocesa likuma 5.panta 5.punktu, kas regulē konkrēto situāciju, aizpildot likuma robu, jāvadās</w:t>
      </w:r>
      <w:r>
        <w:rPr>
          <w:spacing w:val="-13"/>
        </w:rPr>
        <w:t> </w:t>
      </w:r>
      <w:r>
        <w:rPr/>
        <w:t>no</w:t>
      </w:r>
      <w:r>
        <w:rPr>
          <w:spacing w:val="-12"/>
        </w:rPr>
        <w:t> </w:t>
      </w:r>
      <w:r>
        <w:rPr/>
        <w:t>vispārējiem</w:t>
      </w:r>
      <w:r>
        <w:rPr>
          <w:spacing w:val="-13"/>
        </w:rPr>
        <w:t> </w:t>
      </w:r>
      <w:r>
        <w:rPr/>
        <w:t>tiesību</w:t>
      </w:r>
      <w:r>
        <w:rPr>
          <w:spacing w:val="-12"/>
        </w:rPr>
        <w:t> </w:t>
      </w:r>
      <w:r>
        <w:rPr/>
        <w:t>principiem</w:t>
      </w:r>
      <w:r>
        <w:rPr>
          <w:spacing w:val="-13"/>
        </w:rPr>
        <w:t> </w:t>
      </w:r>
      <w:r>
        <w:rPr/>
        <w:t>un</w:t>
      </w:r>
      <w:r>
        <w:rPr>
          <w:spacing w:val="-12"/>
        </w:rPr>
        <w:t> </w:t>
      </w:r>
      <w:r>
        <w:rPr/>
        <w:t>jēgas.</w:t>
      </w:r>
      <w:r>
        <w:rPr>
          <w:spacing w:val="-11"/>
        </w:rPr>
        <w:t> </w:t>
      </w:r>
      <w:r>
        <w:rPr>
          <w:spacing w:val="-3"/>
        </w:rPr>
        <w:t>LR</w:t>
      </w:r>
      <w:r>
        <w:rPr>
          <w:spacing w:val="-10"/>
        </w:rPr>
        <w:t> </w:t>
      </w:r>
      <w:r>
        <w:rPr/>
        <w:t>Satversmes</w:t>
      </w:r>
      <w:r>
        <w:rPr>
          <w:spacing w:val="-13"/>
        </w:rPr>
        <w:t> </w:t>
      </w:r>
      <w:r>
        <w:rPr>
          <w:spacing w:val="-3"/>
        </w:rPr>
        <w:t>tiesa</w:t>
      </w:r>
    </w:p>
    <w:p>
      <w:pPr>
        <w:pStyle w:val="BodyText"/>
        <w:spacing w:before="4"/>
        <w:jc w:val="left"/>
        <w:rPr>
          <w:sz w:val="21"/>
        </w:rPr>
      </w:pPr>
    </w:p>
    <w:p>
      <w:pPr>
        <w:spacing w:line="235" w:lineRule="auto" w:before="98"/>
        <w:ind w:left="620" w:right="1423" w:firstLine="0"/>
        <w:jc w:val="both"/>
        <w:rPr>
          <w:sz w:val="20"/>
        </w:rPr>
      </w:pPr>
      <w:r>
        <w:rPr>
          <w:position w:val="7"/>
          <w:sz w:val="13"/>
        </w:rPr>
        <w:t>68 </w:t>
      </w:r>
      <w:r>
        <w:rPr>
          <w:sz w:val="20"/>
        </w:rPr>
        <w:t>Rīgas pilsētas Ziemeļu rajona tiesas 2014.gada 19.novembra nolēmums lietā Nr. C32319013 </w:t>
      </w:r>
      <w:r>
        <w:rPr>
          <w:position w:val="7"/>
          <w:sz w:val="13"/>
        </w:rPr>
        <w:t>69 </w:t>
      </w:r>
      <w:r>
        <w:rPr>
          <w:sz w:val="20"/>
        </w:rPr>
        <w:t>Rīgas pilsētas Ziemeļu rajona tiesas 2014.gada 19.novembra nolēmums lietā Nr. C32319013 </w:t>
      </w:r>
      <w:r>
        <w:rPr>
          <w:position w:val="7"/>
          <w:sz w:val="13"/>
        </w:rPr>
        <w:t>70 </w:t>
      </w:r>
      <w:r>
        <w:rPr>
          <w:sz w:val="20"/>
        </w:rPr>
        <w:t>Rīgas pilsētas Kurzemes rajona tiesas 2014.gada 7.novembra nolēmums lietā Nr. C28358611 </w:t>
      </w:r>
      <w:r>
        <w:rPr>
          <w:position w:val="7"/>
          <w:sz w:val="13"/>
        </w:rPr>
        <w:t>71 </w:t>
      </w:r>
      <w:r>
        <w:rPr>
          <w:sz w:val="20"/>
        </w:rPr>
        <w:t>Talsu rajona tiesas 2015.gada 16.februāra nolēmums lietā Nr. C36061711</w:t>
      </w:r>
    </w:p>
    <w:p>
      <w:pPr>
        <w:spacing w:after="0" w:line="235" w:lineRule="auto"/>
        <w:jc w:val="both"/>
        <w:rPr>
          <w:sz w:val="20"/>
        </w:rPr>
        <w:sectPr>
          <w:footerReference w:type="default" r:id="rId22"/>
          <w:footerReference w:type="even" r:id="rId23"/>
          <w:pgSz w:w="11910" w:h="16840"/>
          <w:pgMar w:footer="1165" w:header="0" w:top="1340" w:bottom="1360" w:left="1180" w:right="1040"/>
        </w:sectPr>
      </w:pPr>
    </w:p>
    <w:p>
      <w:pPr>
        <w:pStyle w:val="BodyText"/>
        <w:spacing w:line="237" w:lineRule="auto" w:before="75"/>
        <w:ind w:left="2103" w:right="761"/>
        <w:rPr>
          <w:sz w:val="16"/>
        </w:rPr>
      </w:pPr>
      <w:r>
        <w:rPr/>
        <w:t>savā spriedumā lietā Nr.2002-06-01 ir noteikusi, ka taisnīga sprieduma pieņemšanai</w:t>
      </w:r>
      <w:r>
        <w:rPr>
          <w:spacing w:val="-8"/>
        </w:rPr>
        <w:t> </w:t>
      </w:r>
      <w:r>
        <w:rPr/>
        <w:t>nepietiek</w:t>
      </w:r>
      <w:r>
        <w:rPr>
          <w:spacing w:val="-6"/>
        </w:rPr>
        <w:t> </w:t>
      </w:r>
      <w:r>
        <w:rPr/>
        <w:t>tikai</w:t>
      </w:r>
      <w:r>
        <w:rPr>
          <w:spacing w:val="-6"/>
        </w:rPr>
        <w:t> </w:t>
      </w:r>
      <w:r>
        <w:rPr/>
        <w:t>ar</w:t>
      </w:r>
      <w:r>
        <w:rPr>
          <w:spacing w:val="-8"/>
        </w:rPr>
        <w:t> </w:t>
      </w:r>
      <w:r>
        <w:rPr/>
        <w:t>tiesību</w:t>
      </w:r>
      <w:r>
        <w:rPr>
          <w:spacing w:val="-6"/>
        </w:rPr>
        <w:t> </w:t>
      </w:r>
      <w:r>
        <w:rPr/>
        <w:t>normu</w:t>
      </w:r>
      <w:r>
        <w:rPr>
          <w:spacing w:val="-6"/>
        </w:rPr>
        <w:t> </w:t>
      </w:r>
      <w:r>
        <w:rPr/>
        <w:t>gramatisku</w:t>
      </w:r>
      <w:r>
        <w:rPr>
          <w:spacing w:val="-6"/>
        </w:rPr>
        <w:t> </w:t>
      </w:r>
      <w:r>
        <w:rPr/>
        <w:t>izpratni.</w:t>
      </w:r>
      <w:r>
        <w:rPr>
          <w:spacing w:val="-4"/>
        </w:rPr>
        <w:t> </w:t>
      </w:r>
      <w:r>
        <w:rPr/>
        <w:t>Lai</w:t>
      </w:r>
      <w:r>
        <w:rPr>
          <w:spacing w:val="-5"/>
        </w:rPr>
        <w:t> </w:t>
      </w:r>
      <w:r>
        <w:rPr/>
        <w:t>ar piemērojamo tiesību normu sasniegtu taisnīgāko un lietderīgāko</w:t>
      </w:r>
      <w:r>
        <w:rPr>
          <w:spacing w:val="-31"/>
        </w:rPr>
        <w:t> </w:t>
      </w:r>
      <w:r>
        <w:rPr/>
        <w:t>mērķi, tiesai</w:t>
      </w:r>
      <w:r>
        <w:rPr>
          <w:spacing w:val="-16"/>
        </w:rPr>
        <w:t> </w:t>
      </w:r>
      <w:r>
        <w:rPr/>
        <w:t>jāizmanto</w:t>
      </w:r>
      <w:r>
        <w:rPr>
          <w:spacing w:val="-15"/>
        </w:rPr>
        <w:t> </w:t>
      </w:r>
      <w:r>
        <w:rPr/>
        <w:t>dažādas</w:t>
      </w:r>
      <w:r>
        <w:rPr>
          <w:spacing w:val="-16"/>
        </w:rPr>
        <w:t> </w:t>
      </w:r>
      <w:r>
        <w:rPr/>
        <w:t>tiesību</w:t>
      </w:r>
      <w:r>
        <w:rPr>
          <w:spacing w:val="-15"/>
        </w:rPr>
        <w:t> </w:t>
      </w:r>
      <w:r>
        <w:rPr/>
        <w:t>normu</w:t>
      </w:r>
      <w:r>
        <w:rPr>
          <w:spacing w:val="-16"/>
        </w:rPr>
        <w:t> </w:t>
      </w:r>
      <w:r>
        <w:rPr/>
        <w:t>interpretācijas</w:t>
      </w:r>
      <w:r>
        <w:rPr>
          <w:spacing w:val="-15"/>
        </w:rPr>
        <w:t> </w:t>
      </w:r>
      <w:r>
        <w:rPr/>
        <w:t>metodes</w:t>
      </w:r>
      <w:r>
        <w:rPr>
          <w:spacing w:val="-15"/>
        </w:rPr>
        <w:t> </w:t>
      </w:r>
      <w:r>
        <w:rPr/>
        <w:t>–</w:t>
      </w:r>
      <w:r>
        <w:rPr>
          <w:spacing w:val="-16"/>
        </w:rPr>
        <w:t> </w:t>
      </w:r>
      <w:r>
        <w:rPr/>
        <w:t>ne</w:t>
      </w:r>
      <w:r>
        <w:rPr>
          <w:spacing w:val="-17"/>
        </w:rPr>
        <w:t> </w:t>
      </w:r>
      <w:r>
        <w:rPr/>
        <w:t>tikai gramatiskā,</w:t>
      </w:r>
      <w:r>
        <w:rPr>
          <w:spacing w:val="-17"/>
        </w:rPr>
        <w:t> </w:t>
      </w:r>
      <w:r>
        <w:rPr/>
        <w:t>bet</w:t>
      </w:r>
      <w:r>
        <w:rPr>
          <w:spacing w:val="-15"/>
        </w:rPr>
        <w:t> </w:t>
      </w:r>
      <w:r>
        <w:rPr/>
        <w:t>arī</w:t>
      </w:r>
      <w:r>
        <w:rPr>
          <w:spacing w:val="-12"/>
        </w:rPr>
        <w:t> </w:t>
      </w:r>
      <w:r>
        <w:rPr/>
        <w:t>vēsturiskā,</w:t>
      </w:r>
      <w:r>
        <w:rPr>
          <w:spacing w:val="-15"/>
        </w:rPr>
        <w:t> </w:t>
      </w:r>
      <w:r>
        <w:rPr/>
        <w:t>sistemātiskā</w:t>
      </w:r>
      <w:r>
        <w:rPr>
          <w:spacing w:val="-15"/>
        </w:rPr>
        <w:t> </w:t>
      </w:r>
      <w:r>
        <w:rPr/>
        <w:t>un</w:t>
      </w:r>
      <w:r>
        <w:rPr>
          <w:spacing w:val="-15"/>
        </w:rPr>
        <w:t> </w:t>
      </w:r>
      <w:r>
        <w:rPr/>
        <w:t>teleoloģiskā</w:t>
      </w:r>
      <w:r>
        <w:rPr>
          <w:spacing w:val="-15"/>
        </w:rPr>
        <w:t> </w:t>
      </w:r>
      <w:r>
        <w:rPr/>
        <w:t>metode.</w:t>
      </w:r>
      <w:r>
        <w:rPr>
          <w:spacing w:val="-15"/>
        </w:rPr>
        <w:t> </w:t>
      </w:r>
      <w:r>
        <w:rPr/>
        <w:t>Šajā situācijā sistēmiski vērtējot Maksātnespējas likuma 5.panta pirmo daļu un 153.panta otro daļu, ir pamats konstatēt, ka arī gadījumos, kad parādnieka bankrota procedūras ietvaros netiek realizēts bankrota procedūras mērķis, ir pamats izbeigt fiziskas personas maksātnespējas procesu.</w:t>
      </w:r>
      <w:r>
        <w:rPr>
          <w:position w:val="9"/>
          <w:sz w:val="16"/>
        </w:rPr>
        <w:t>72</w:t>
      </w:r>
    </w:p>
    <w:p>
      <w:pPr>
        <w:pStyle w:val="BodyText"/>
        <w:spacing w:before="11"/>
        <w:jc w:val="left"/>
      </w:pPr>
    </w:p>
    <w:p>
      <w:pPr>
        <w:pStyle w:val="ListParagraph"/>
        <w:numPr>
          <w:ilvl w:val="0"/>
          <w:numId w:val="18"/>
        </w:numPr>
        <w:tabs>
          <w:tab w:pos="980" w:val="left" w:leader="none"/>
        </w:tabs>
        <w:spacing w:line="240" w:lineRule="auto" w:before="0" w:after="0"/>
        <w:ind w:left="980" w:right="761" w:hanging="360"/>
        <w:jc w:val="both"/>
        <w:rPr>
          <w:sz w:val="24"/>
        </w:rPr>
      </w:pPr>
      <w:r>
        <w:rPr>
          <w:b/>
          <w:sz w:val="24"/>
        </w:rPr>
        <w:t>Parādnieks nepilda Maksātnespējas likumā noteiktos pienākumus </w:t>
      </w:r>
      <w:r>
        <w:rPr>
          <w:sz w:val="24"/>
        </w:rPr>
        <w:t>(bez atsaucēm uz konkrētiem Maksātnespējas likuma pantiem par saistību dzēšanas procedūras nepiemērošanu, ierobežojumiem un tml.) - nesniedz informāciju, nesastāda, neiesniedz</w:t>
      </w:r>
      <w:r>
        <w:rPr>
          <w:spacing w:val="-3"/>
          <w:sz w:val="24"/>
        </w:rPr>
        <w:t> </w:t>
      </w:r>
      <w:r>
        <w:rPr>
          <w:sz w:val="24"/>
        </w:rPr>
        <w:t>plānu:</w:t>
      </w:r>
    </w:p>
    <w:p>
      <w:pPr>
        <w:pStyle w:val="ListParagraph"/>
        <w:numPr>
          <w:ilvl w:val="1"/>
          <w:numId w:val="18"/>
        </w:numPr>
        <w:tabs>
          <w:tab w:pos="1340" w:val="left" w:leader="none"/>
        </w:tabs>
        <w:spacing w:line="237" w:lineRule="auto" w:before="2" w:after="0"/>
        <w:ind w:left="1340" w:right="762" w:hanging="360"/>
        <w:jc w:val="both"/>
        <w:rPr>
          <w:sz w:val="16"/>
        </w:rPr>
      </w:pPr>
      <w:r>
        <w:rPr>
          <w:sz w:val="24"/>
        </w:rPr>
        <w:t>Maksātnespējas</w:t>
      </w:r>
      <w:r>
        <w:rPr>
          <w:spacing w:val="-11"/>
          <w:sz w:val="24"/>
        </w:rPr>
        <w:t> </w:t>
      </w:r>
      <w:r>
        <w:rPr>
          <w:sz w:val="24"/>
        </w:rPr>
        <w:t>procesā</w:t>
      </w:r>
      <w:r>
        <w:rPr>
          <w:spacing w:val="-10"/>
          <w:sz w:val="24"/>
        </w:rPr>
        <w:t> </w:t>
      </w:r>
      <w:r>
        <w:rPr>
          <w:sz w:val="24"/>
        </w:rPr>
        <w:t>parādniekam</w:t>
      </w:r>
      <w:r>
        <w:rPr>
          <w:spacing w:val="-13"/>
          <w:sz w:val="24"/>
        </w:rPr>
        <w:t> </w:t>
      </w:r>
      <w:r>
        <w:rPr>
          <w:sz w:val="24"/>
        </w:rPr>
        <w:t>ir</w:t>
      </w:r>
      <w:r>
        <w:rPr>
          <w:spacing w:val="-8"/>
          <w:sz w:val="24"/>
        </w:rPr>
        <w:t> </w:t>
      </w:r>
      <w:r>
        <w:rPr>
          <w:sz w:val="24"/>
        </w:rPr>
        <w:t>jāapzinās</w:t>
      </w:r>
      <w:r>
        <w:rPr>
          <w:spacing w:val="-12"/>
          <w:sz w:val="24"/>
        </w:rPr>
        <w:t> </w:t>
      </w:r>
      <w:r>
        <w:rPr>
          <w:sz w:val="24"/>
        </w:rPr>
        <w:t>savi</w:t>
      </w:r>
      <w:r>
        <w:rPr>
          <w:spacing w:val="-11"/>
          <w:sz w:val="24"/>
        </w:rPr>
        <w:t> </w:t>
      </w:r>
      <w:r>
        <w:rPr>
          <w:sz w:val="24"/>
        </w:rPr>
        <w:t>pienākumi,</w:t>
      </w:r>
      <w:r>
        <w:rPr>
          <w:spacing w:val="-10"/>
          <w:sz w:val="24"/>
        </w:rPr>
        <w:t> </w:t>
      </w:r>
      <w:r>
        <w:rPr>
          <w:sz w:val="24"/>
        </w:rPr>
        <w:t>kuru</w:t>
      </w:r>
      <w:r>
        <w:rPr>
          <w:spacing w:val="-10"/>
          <w:sz w:val="24"/>
        </w:rPr>
        <w:t> </w:t>
      </w:r>
      <w:r>
        <w:rPr>
          <w:sz w:val="24"/>
        </w:rPr>
        <w:t>izpildes rezultātā tas ir tiesīgs saņemt saistību dzēšanu nedzēstajā daļā. Parādniecei ir jāveic visi nepieciešamie pasākumi, lai šo saistību dzēšanu iegūtu, pretējā gadījumā maksātnespējas process pārvēršas par kreditoru tiesību aizskarošu procesu, kurā neievērojot procesu un tā nosacījumus, parādniece iegūst privilēģijas attiecībā pret citām personām, kas savus pienākumus apzinās un apzinās procesa atgriezenisko</w:t>
      </w:r>
      <w:r>
        <w:rPr>
          <w:spacing w:val="-1"/>
          <w:sz w:val="24"/>
        </w:rPr>
        <w:t> </w:t>
      </w:r>
      <w:r>
        <w:rPr>
          <w:sz w:val="24"/>
        </w:rPr>
        <w:t>saiti.</w:t>
      </w:r>
      <w:r>
        <w:rPr>
          <w:position w:val="9"/>
          <w:sz w:val="16"/>
        </w:rPr>
        <w:t>73</w:t>
      </w:r>
    </w:p>
    <w:p>
      <w:pPr>
        <w:pStyle w:val="ListParagraph"/>
        <w:numPr>
          <w:ilvl w:val="1"/>
          <w:numId w:val="18"/>
        </w:numPr>
        <w:tabs>
          <w:tab w:pos="1340" w:val="left" w:leader="none"/>
        </w:tabs>
        <w:spacing w:line="240" w:lineRule="auto" w:before="2" w:after="0"/>
        <w:ind w:left="1340" w:right="761" w:hanging="360"/>
        <w:jc w:val="both"/>
        <w:rPr>
          <w:sz w:val="24"/>
        </w:rPr>
      </w:pPr>
      <w:r>
        <w:rPr>
          <w:sz w:val="24"/>
        </w:rPr>
        <w:t>Netieši var izdarīt secinājumu, ka bankrota procedūras laikā parādnieka rīcība godprātīgā pienākumu izpilde ir kā garantijas nesējs, ka parādnieks savus pienākumus veic labā ticībā un turpinās tos veikt arī saistību dzēšanas procedūras</w:t>
      </w:r>
      <w:r>
        <w:rPr>
          <w:spacing w:val="-1"/>
          <w:sz w:val="24"/>
        </w:rPr>
        <w:t> </w:t>
      </w:r>
      <w:r>
        <w:rPr>
          <w:sz w:val="24"/>
        </w:rPr>
        <w:t>laikā.</w:t>
      </w:r>
    </w:p>
    <w:p>
      <w:pPr>
        <w:pStyle w:val="ListParagraph"/>
        <w:numPr>
          <w:ilvl w:val="1"/>
          <w:numId w:val="18"/>
        </w:numPr>
        <w:tabs>
          <w:tab w:pos="1340" w:val="left" w:leader="none"/>
        </w:tabs>
        <w:spacing w:line="237" w:lineRule="auto" w:before="2" w:after="0"/>
        <w:ind w:left="1340" w:right="765" w:hanging="360"/>
        <w:jc w:val="both"/>
        <w:rPr>
          <w:sz w:val="16"/>
        </w:rPr>
      </w:pPr>
      <w:r>
        <w:rPr>
          <w:sz w:val="24"/>
        </w:rPr>
        <w:t>Fiziskās personas maksātnespējas procesa mērķis ir pēc iespējas pilnīgāk apmierināt kreditoru prasījumus no parādnieka mantas un dot</w:t>
      </w:r>
      <w:r>
        <w:rPr>
          <w:spacing w:val="31"/>
          <w:sz w:val="24"/>
        </w:rPr>
        <w:t> </w:t>
      </w:r>
      <w:r>
        <w:rPr>
          <w:sz w:val="24"/>
        </w:rPr>
        <w:t>iespēju parādniekam, kura manta un ienākumi nav pietiekami visu saistību segšanai, tikt atbrīvotam no neizpildītām saistībām un atjaunot </w:t>
      </w:r>
      <w:r>
        <w:rPr>
          <w:spacing w:val="-3"/>
          <w:sz w:val="24"/>
        </w:rPr>
        <w:t>maksātspēju </w:t>
      </w:r>
      <w:r>
        <w:rPr>
          <w:sz w:val="24"/>
        </w:rPr>
        <w:t>(Maksātnespējas</w:t>
      </w:r>
      <w:r>
        <w:rPr>
          <w:spacing w:val="-16"/>
          <w:sz w:val="24"/>
        </w:rPr>
        <w:t> </w:t>
      </w:r>
      <w:r>
        <w:rPr>
          <w:sz w:val="24"/>
        </w:rPr>
        <w:t>likuma</w:t>
      </w:r>
      <w:r>
        <w:rPr>
          <w:spacing w:val="-10"/>
          <w:sz w:val="24"/>
        </w:rPr>
        <w:t> </w:t>
      </w:r>
      <w:r>
        <w:rPr>
          <w:sz w:val="24"/>
        </w:rPr>
        <w:t>5.pants),</w:t>
      </w:r>
      <w:r>
        <w:rPr>
          <w:spacing w:val="-12"/>
          <w:sz w:val="24"/>
        </w:rPr>
        <w:t> </w:t>
      </w:r>
      <w:r>
        <w:rPr>
          <w:sz w:val="24"/>
        </w:rPr>
        <w:t>nevis</w:t>
      </w:r>
      <w:r>
        <w:rPr>
          <w:spacing w:val="-12"/>
          <w:sz w:val="24"/>
        </w:rPr>
        <w:t> </w:t>
      </w:r>
      <w:r>
        <w:rPr>
          <w:sz w:val="24"/>
        </w:rPr>
        <w:t>iedzīvoties</w:t>
      </w:r>
      <w:r>
        <w:rPr>
          <w:spacing w:val="-12"/>
          <w:sz w:val="24"/>
        </w:rPr>
        <w:t> </w:t>
      </w:r>
      <w:r>
        <w:rPr>
          <w:sz w:val="24"/>
        </w:rPr>
        <w:t>uz</w:t>
      </w:r>
      <w:r>
        <w:rPr>
          <w:spacing w:val="-11"/>
          <w:sz w:val="24"/>
        </w:rPr>
        <w:t> </w:t>
      </w:r>
      <w:r>
        <w:rPr>
          <w:sz w:val="24"/>
        </w:rPr>
        <w:t>kreditora</w:t>
      </w:r>
      <w:r>
        <w:rPr>
          <w:spacing w:val="-16"/>
          <w:sz w:val="24"/>
        </w:rPr>
        <w:t> </w:t>
      </w:r>
      <w:r>
        <w:rPr>
          <w:sz w:val="24"/>
        </w:rPr>
        <w:t>rēķina,</w:t>
      </w:r>
      <w:r>
        <w:rPr>
          <w:spacing w:val="-12"/>
          <w:sz w:val="24"/>
        </w:rPr>
        <w:t> </w:t>
      </w:r>
      <w:r>
        <w:rPr>
          <w:sz w:val="24"/>
        </w:rPr>
        <w:t>saņemot pakalpojumu, taču par to</w:t>
      </w:r>
      <w:r>
        <w:rPr>
          <w:spacing w:val="1"/>
          <w:sz w:val="24"/>
        </w:rPr>
        <w:t> </w:t>
      </w:r>
      <w:r>
        <w:rPr>
          <w:sz w:val="24"/>
        </w:rPr>
        <w:t>nemaksājot.</w:t>
      </w:r>
      <w:r>
        <w:rPr>
          <w:position w:val="9"/>
          <w:sz w:val="16"/>
        </w:rPr>
        <w:t>74</w:t>
      </w:r>
    </w:p>
    <w:p>
      <w:pPr>
        <w:pStyle w:val="ListParagraph"/>
        <w:numPr>
          <w:ilvl w:val="1"/>
          <w:numId w:val="18"/>
        </w:numPr>
        <w:tabs>
          <w:tab w:pos="1340" w:val="left" w:leader="none"/>
        </w:tabs>
        <w:spacing w:line="237" w:lineRule="auto" w:before="2" w:after="0"/>
        <w:ind w:left="1340" w:right="761" w:hanging="360"/>
        <w:jc w:val="both"/>
        <w:rPr>
          <w:sz w:val="16"/>
        </w:rPr>
      </w:pPr>
      <w:r>
        <w:rPr>
          <w:sz w:val="24"/>
        </w:rPr>
        <w:t>Ja parādnieks vairāk kā pusgada laikā kopš maksātnespējas procesa pasludināšanas ir uzskatījis, ka tam nav nekādu pienākumu, kas norādīti Maksātnespējas likumā, tam process ir jāizbeidz. Tiesa uzskata, ka parādnieka rīcība</w:t>
      </w:r>
      <w:r>
        <w:rPr>
          <w:spacing w:val="-12"/>
          <w:sz w:val="24"/>
        </w:rPr>
        <w:t> </w:t>
      </w:r>
      <w:r>
        <w:rPr>
          <w:sz w:val="24"/>
        </w:rPr>
        <w:t>bankrota</w:t>
      </w:r>
      <w:r>
        <w:rPr>
          <w:spacing w:val="-11"/>
          <w:sz w:val="24"/>
        </w:rPr>
        <w:t> </w:t>
      </w:r>
      <w:r>
        <w:rPr>
          <w:sz w:val="24"/>
        </w:rPr>
        <w:t>procedūras</w:t>
      </w:r>
      <w:r>
        <w:rPr>
          <w:spacing w:val="-9"/>
          <w:sz w:val="24"/>
        </w:rPr>
        <w:t> </w:t>
      </w:r>
      <w:r>
        <w:rPr>
          <w:sz w:val="24"/>
        </w:rPr>
        <w:t>laikā</w:t>
      </w:r>
      <w:r>
        <w:rPr>
          <w:spacing w:val="-11"/>
          <w:sz w:val="24"/>
        </w:rPr>
        <w:t> </w:t>
      </w:r>
      <w:r>
        <w:rPr>
          <w:sz w:val="24"/>
        </w:rPr>
        <w:t>–</w:t>
      </w:r>
      <w:r>
        <w:rPr>
          <w:spacing w:val="-9"/>
          <w:sz w:val="24"/>
        </w:rPr>
        <w:t> </w:t>
      </w:r>
      <w:r>
        <w:rPr>
          <w:sz w:val="24"/>
        </w:rPr>
        <w:t>likuma</w:t>
      </w:r>
      <w:r>
        <w:rPr>
          <w:spacing w:val="-11"/>
          <w:sz w:val="24"/>
        </w:rPr>
        <w:t> </w:t>
      </w:r>
      <w:r>
        <w:rPr>
          <w:sz w:val="24"/>
        </w:rPr>
        <w:t>ignorēšana,</w:t>
      </w:r>
      <w:r>
        <w:rPr>
          <w:spacing w:val="-9"/>
          <w:sz w:val="24"/>
        </w:rPr>
        <w:t> </w:t>
      </w:r>
      <w:r>
        <w:rPr>
          <w:sz w:val="24"/>
        </w:rPr>
        <w:t>nepildot</w:t>
      </w:r>
      <w:r>
        <w:rPr>
          <w:spacing w:val="-10"/>
          <w:sz w:val="24"/>
        </w:rPr>
        <w:t> </w:t>
      </w:r>
      <w:r>
        <w:rPr>
          <w:sz w:val="24"/>
        </w:rPr>
        <w:t>likumā</w:t>
      </w:r>
      <w:r>
        <w:rPr>
          <w:spacing w:val="-9"/>
          <w:sz w:val="24"/>
        </w:rPr>
        <w:t> </w:t>
      </w:r>
      <w:r>
        <w:rPr>
          <w:sz w:val="24"/>
        </w:rPr>
        <w:t>noteiktos pienākumus – vērtējama kā pretēja labai ticībai, līdz ar ko otras puses (šeit kreditoru, tostarp, administratora) uzticība tiesību subjekta rīcībai, ir aizsargājama, liedzot parādniekam iespēju savu tiesību turpmākai īstenošanai, proti, pabeigt bankrota procedūru un īstenot saistību dzēšanas</w:t>
      </w:r>
      <w:r>
        <w:rPr>
          <w:spacing w:val="-4"/>
          <w:sz w:val="24"/>
        </w:rPr>
        <w:t> </w:t>
      </w:r>
      <w:r>
        <w:rPr>
          <w:sz w:val="24"/>
        </w:rPr>
        <w:t>procedūru.</w:t>
      </w:r>
      <w:r>
        <w:rPr>
          <w:position w:val="9"/>
          <w:sz w:val="16"/>
        </w:rPr>
        <w:t>75</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0"/>
        <w:jc w:val="left"/>
        <w:rPr>
          <w:sz w:val="20"/>
        </w:rPr>
      </w:pPr>
      <w:r>
        <w:rPr/>
        <w:pict>
          <v:shape style="position:absolute;margin-left:72pt;margin-top:14.288816pt;width:144pt;height:.1pt;mso-position-horizontal-relative:page;mso-position-vertical-relative:paragraph;z-index:-251643904;mso-wrap-distance-left:0;mso-wrap-distance-right:0" coordorigin="1440,286" coordsize="2880,0" path="m1440,286l4320,286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72  </w:t>
      </w:r>
      <w:r>
        <w:rPr>
          <w:sz w:val="20"/>
        </w:rPr>
        <w:t>Cēsu rajona tiesas 2014.gada 3.janvāra nolēmums lietā Nr.</w:t>
      </w:r>
      <w:r>
        <w:rPr>
          <w:spacing w:val="-25"/>
          <w:sz w:val="20"/>
        </w:rPr>
        <w:t> </w:t>
      </w:r>
      <w:r>
        <w:rPr>
          <w:sz w:val="20"/>
        </w:rPr>
        <w:t>C11061513</w:t>
      </w:r>
    </w:p>
    <w:p>
      <w:pPr>
        <w:spacing w:line="230" w:lineRule="exact" w:before="0"/>
        <w:ind w:left="260" w:right="0" w:firstLine="0"/>
        <w:jc w:val="left"/>
        <w:rPr>
          <w:sz w:val="20"/>
        </w:rPr>
      </w:pPr>
      <w:r>
        <w:rPr>
          <w:position w:val="7"/>
          <w:sz w:val="13"/>
        </w:rPr>
        <w:t>73  </w:t>
      </w:r>
      <w:r>
        <w:rPr>
          <w:sz w:val="20"/>
        </w:rPr>
        <w:t>Ventspils tiesas 2014.gada 1.decembra nolēmums lietā Nr.</w:t>
      </w:r>
      <w:r>
        <w:rPr>
          <w:spacing w:val="-25"/>
          <w:sz w:val="20"/>
        </w:rPr>
        <w:t> </w:t>
      </w:r>
      <w:r>
        <w:rPr>
          <w:sz w:val="20"/>
        </w:rPr>
        <w:t>C40089114</w:t>
      </w:r>
    </w:p>
    <w:p>
      <w:pPr>
        <w:spacing w:line="230" w:lineRule="exact" w:before="0"/>
        <w:ind w:left="260" w:right="0" w:firstLine="0"/>
        <w:jc w:val="left"/>
        <w:rPr>
          <w:sz w:val="20"/>
        </w:rPr>
      </w:pPr>
      <w:r>
        <w:rPr>
          <w:position w:val="7"/>
          <w:sz w:val="13"/>
        </w:rPr>
        <w:t>74  </w:t>
      </w:r>
      <w:r>
        <w:rPr>
          <w:sz w:val="20"/>
        </w:rPr>
        <w:t>Rīgas pilsētas Kurzemes rajona tiesas 2014.gada 28.februāra nolēmums lietā Nr.</w:t>
      </w:r>
      <w:r>
        <w:rPr>
          <w:spacing w:val="-28"/>
          <w:sz w:val="20"/>
        </w:rPr>
        <w:t> </w:t>
      </w:r>
      <w:r>
        <w:rPr>
          <w:sz w:val="20"/>
        </w:rPr>
        <w:t>C28373613</w:t>
      </w:r>
    </w:p>
    <w:p>
      <w:pPr>
        <w:spacing w:line="233" w:lineRule="exact" w:before="0"/>
        <w:ind w:left="260" w:right="0" w:firstLine="0"/>
        <w:jc w:val="left"/>
        <w:rPr>
          <w:sz w:val="20"/>
        </w:rPr>
      </w:pPr>
      <w:r>
        <w:rPr>
          <w:position w:val="7"/>
          <w:sz w:val="13"/>
        </w:rPr>
        <w:t>75  </w:t>
      </w:r>
      <w:r>
        <w:rPr>
          <w:sz w:val="20"/>
        </w:rPr>
        <w:t>Rīgas pilsētas Kurzemes rajona tiesas 2014.gada 28.februāra nolēmums lietā Nr.</w:t>
      </w:r>
      <w:r>
        <w:rPr>
          <w:spacing w:val="-28"/>
          <w:sz w:val="20"/>
        </w:rPr>
        <w:t> </w:t>
      </w:r>
      <w:r>
        <w:rPr>
          <w:sz w:val="20"/>
        </w:rPr>
        <w:t>C28373613</w:t>
      </w:r>
    </w:p>
    <w:p>
      <w:pPr>
        <w:spacing w:after="0" w:line="233" w:lineRule="exact"/>
        <w:jc w:val="left"/>
        <w:rPr>
          <w:sz w:val="20"/>
        </w:rPr>
        <w:sectPr>
          <w:pgSz w:w="11910" w:h="16840"/>
          <w:pgMar w:header="0" w:footer="1055" w:top="1340" w:bottom="1240" w:left="1180" w:right="1040"/>
        </w:sectPr>
      </w:pPr>
    </w:p>
    <w:p>
      <w:pPr>
        <w:pStyle w:val="Heading4"/>
        <w:numPr>
          <w:ilvl w:val="1"/>
          <w:numId w:val="15"/>
        </w:numPr>
        <w:tabs>
          <w:tab w:pos="1401" w:val="left" w:leader="none"/>
        </w:tabs>
        <w:spacing w:line="240" w:lineRule="auto" w:before="78" w:after="0"/>
        <w:ind w:left="1400" w:right="0" w:hanging="421"/>
        <w:jc w:val="left"/>
        <w:rPr>
          <w:i/>
        </w:rPr>
      </w:pPr>
      <w:bookmarkStart w:name="_TOC_250072" w:id="6"/>
      <w:bookmarkEnd w:id="6"/>
      <w:r>
        <w:rPr>
          <w:i/>
        </w:rPr>
        <w:t>Periods no 2015.gada 1.marta</w:t>
      </w:r>
    </w:p>
    <w:p>
      <w:pPr>
        <w:pStyle w:val="BodyText"/>
        <w:jc w:val="left"/>
        <w:rPr>
          <w:b/>
          <w:i/>
        </w:rPr>
      </w:pPr>
    </w:p>
    <w:p>
      <w:pPr>
        <w:spacing w:before="0"/>
        <w:ind w:left="620" w:right="0" w:firstLine="0"/>
        <w:jc w:val="both"/>
        <w:rPr>
          <w:b/>
          <w:sz w:val="24"/>
        </w:rPr>
      </w:pPr>
      <w:r>
        <w:rPr>
          <w:b/>
          <w:sz w:val="24"/>
        </w:rPr>
        <w:t>Bankrota procedūras pabeigšana un izbeigšana:</w:t>
      </w:r>
    </w:p>
    <w:p>
      <w:pPr>
        <w:pStyle w:val="BodyText"/>
        <w:spacing w:before="7"/>
        <w:jc w:val="left"/>
        <w:rPr>
          <w:b/>
          <w:sz w:val="23"/>
        </w:rPr>
      </w:pPr>
    </w:p>
    <w:p>
      <w:pPr>
        <w:pStyle w:val="ListParagraph"/>
        <w:numPr>
          <w:ilvl w:val="0"/>
          <w:numId w:val="19"/>
        </w:numPr>
        <w:tabs>
          <w:tab w:pos="1340" w:val="left" w:leader="none"/>
        </w:tabs>
        <w:spacing w:line="240" w:lineRule="auto" w:before="0" w:after="0"/>
        <w:ind w:left="1340" w:right="404" w:hanging="360"/>
        <w:jc w:val="left"/>
        <w:rPr>
          <w:sz w:val="24"/>
        </w:rPr>
      </w:pPr>
      <w:r>
        <w:rPr>
          <w:sz w:val="24"/>
        </w:rPr>
        <w:t>3 no 26 tiesas lēmumiem nolemts izbeigt bankrota procedūru, jo konstatēti Maksātnespējas likuma 153.panta</w:t>
      </w:r>
      <w:r>
        <w:rPr>
          <w:spacing w:val="-4"/>
          <w:sz w:val="24"/>
        </w:rPr>
        <w:t> </w:t>
      </w:r>
      <w:r>
        <w:rPr>
          <w:sz w:val="24"/>
        </w:rPr>
        <w:t>ierobežojumi;</w:t>
      </w:r>
    </w:p>
    <w:p>
      <w:pPr>
        <w:pStyle w:val="ListParagraph"/>
        <w:numPr>
          <w:ilvl w:val="0"/>
          <w:numId w:val="19"/>
        </w:numPr>
        <w:tabs>
          <w:tab w:pos="1340" w:val="left" w:leader="none"/>
        </w:tabs>
        <w:spacing w:line="240" w:lineRule="auto" w:before="0" w:after="0"/>
        <w:ind w:left="1340" w:right="404" w:hanging="360"/>
        <w:jc w:val="left"/>
        <w:rPr>
          <w:sz w:val="24"/>
        </w:rPr>
      </w:pPr>
      <w:r>
        <w:rPr>
          <w:sz w:val="24"/>
        </w:rPr>
        <w:t>3 no 26 tiesas lēmumiem nolemts izbeigt bankrota procedūru, jo konstatēti Maksātnespējas likuma 130.panta</w:t>
      </w:r>
      <w:r>
        <w:rPr>
          <w:spacing w:val="-4"/>
          <w:sz w:val="24"/>
        </w:rPr>
        <w:t> </w:t>
      </w:r>
      <w:r>
        <w:rPr>
          <w:sz w:val="24"/>
        </w:rPr>
        <w:t>ierobežojumi;</w:t>
      </w:r>
    </w:p>
    <w:p>
      <w:pPr>
        <w:pStyle w:val="ListParagraph"/>
        <w:numPr>
          <w:ilvl w:val="0"/>
          <w:numId w:val="19"/>
        </w:numPr>
        <w:tabs>
          <w:tab w:pos="1340" w:val="left" w:leader="none"/>
        </w:tabs>
        <w:spacing w:line="240" w:lineRule="auto" w:before="0" w:after="0"/>
        <w:ind w:left="1340" w:right="405" w:hanging="360"/>
        <w:jc w:val="left"/>
        <w:rPr>
          <w:sz w:val="24"/>
        </w:rPr>
      </w:pPr>
      <w:r>
        <w:rPr>
          <w:sz w:val="24"/>
        </w:rPr>
        <w:t>20 no 26 tiesas lēmumiem nolemts pabeigt bankrota procedūru, nepiemērojot saistību dzēšanas</w:t>
      </w:r>
      <w:r>
        <w:rPr>
          <w:spacing w:val="-3"/>
          <w:sz w:val="24"/>
        </w:rPr>
        <w:t> </w:t>
      </w:r>
      <w:r>
        <w:rPr>
          <w:sz w:val="24"/>
        </w:rPr>
        <w:t>procedūru.</w:t>
      </w:r>
    </w:p>
    <w:p>
      <w:pPr>
        <w:pStyle w:val="BodyText"/>
        <w:spacing w:before="5"/>
        <w:jc w:val="left"/>
      </w:pPr>
    </w:p>
    <w:p>
      <w:pPr>
        <w:pStyle w:val="Heading3"/>
        <w:ind w:left="620" w:right="405"/>
      </w:pPr>
      <w:r>
        <w:rPr/>
        <w:t>Bankrota procedūra izbeigta / pabeigta, nepiemērojot saistību dzēšanas procedūru, pamatojoties uz :</w:t>
      </w:r>
    </w:p>
    <w:p>
      <w:pPr>
        <w:pStyle w:val="ListParagraph"/>
        <w:numPr>
          <w:ilvl w:val="0"/>
          <w:numId w:val="20"/>
        </w:numPr>
        <w:tabs>
          <w:tab w:pos="1340" w:val="left" w:leader="none"/>
        </w:tabs>
        <w:spacing w:line="240" w:lineRule="auto" w:before="0" w:after="0"/>
        <w:ind w:left="1340" w:right="403" w:hanging="360"/>
        <w:jc w:val="both"/>
        <w:rPr>
          <w:sz w:val="24"/>
        </w:rPr>
      </w:pPr>
      <w:r>
        <w:rPr>
          <w:sz w:val="24"/>
        </w:rPr>
        <w:t>Administratora pieteikumu par bankrota procedūras izbeigšanu vai pabeigšanu, nepiemērojot saistību dzēšanas procedūru (lietās, kur nav saņemti kreditoru ierosinājumi izbeigt maksātnespējas procesu) – 12 no 26</w:t>
      </w:r>
      <w:r>
        <w:rPr>
          <w:spacing w:val="1"/>
          <w:sz w:val="24"/>
        </w:rPr>
        <w:t> </w:t>
      </w:r>
      <w:r>
        <w:rPr>
          <w:sz w:val="24"/>
        </w:rPr>
        <w:t>lietām;</w:t>
      </w:r>
    </w:p>
    <w:p>
      <w:pPr>
        <w:pStyle w:val="ListParagraph"/>
        <w:numPr>
          <w:ilvl w:val="0"/>
          <w:numId w:val="20"/>
        </w:numPr>
        <w:tabs>
          <w:tab w:pos="1340" w:val="left" w:leader="none"/>
        </w:tabs>
        <w:spacing w:line="240" w:lineRule="auto" w:before="0" w:after="0"/>
        <w:ind w:left="1340" w:right="403" w:hanging="360"/>
        <w:jc w:val="both"/>
        <w:rPr>
          <w:sz w:val="24"/>
        </w:rPr>
      </w:pPr>
      <w:r>
        <w:rPr>
          <w:sz w:val="24"/>
        </w:rPr>
        <w:t>Administratora pieteikumu par bankrota procedūras izbeigšanu vai pabeigšanu, nepiemērojot saistību dzēšanas procedūru (lietās, kur saņemti kreditoru ierosinājumi izbeigt maksātnespējas procesu) – 12 no 26</w:t>
      </w:r>
      <w:r>
        <w:rPr>
          <w:spacing w:val="1"/>
          <w:sz w:val="24"/>
        </w:rPr>
        <w:t> </w:t>
      </w:r>
      <w:r>
        <w:rPr>
          <w:sz w:val="24"/>
        </w:rPr>
        <w:t>lietām;</w:t>
      </w:r>
    </w:p>
    <w:p>
      <w:pPr>
        <w:pStyle w:val="ListParagraph"/>
        <w:numPr>
          <w:ilvl w:val="0"/>
          <w:numId w:val="20"/>
        </w:numPr>
        <w:tabs>
          <w:tab w:pos="1340" w:val="left" w:leader="none"/>
        </w:tabs>
        <w:spacing w:line="240" w:lineRule="auto" w:before="0" w:after="0"/>
        <w:ind w:left="1340" w:right="405" w:hanging="360"/>
        <w:jc w:val="both"/>
        <w:rPr>
          <w:sz w:val="24"/>
        </w:rPr>
      </w:pPr>
      <w:r>
        <w:rPr>
          <w:sz w:val="24"/>
        </w:rPr>
        <w:t>Tiesas iniciatīvu, izvērtējot administratora iesniegtu pieteikumu par bankrota procedūras pabeigšanu un saistību dzēšanas procedūras piemērošanu (lietā, kur saņemti kreditoru ierosinājumi izbeigt maksātnespējas procesu) – 1 no 26</w:t>
      </w:r>
      <w:r>
        <w:rPr>
          <w:spacing w:val="-9"/>
          <w:sz w:val="24"/>
        </w:rPr>
        <w:t> </w:t>
      </w:r>
      <w:r>
        <w:rPr>
          <w:sz w:val="24"/>
        </w:rPr>
        <w:t>lietām;</w:t>
      </w:r>
    </w:p>
    <w:p>
      <w:pPr>
        <w:pStyle w:val="ListParagraph"/>
        <w:numPr>
          <w:ilvl w:val="0"/>
          <w:numId w:val="20"/>
        </w:numPr>
        <w:tabs>
          <w:tab w:pos="1340" w:val="left" w:leader="none"/>
        </w:tabs>
        <w:spacing w:line="240" w:lineRule="auto" w:before="0" w:after="0"/>
        <w:ind w:left="1340" w:right="405" w:hanging="360"/>
        <w:jc w:val="both"/>
        <w:rPr>
          <w:sz w:val="24"/>
        </w:rPr>
      </w:pPr>
      <w:r>
        <w:rPr>
          <w:sz w:val="24"/>
        </w:rPr>
        <w:t>Tiesas iniciatīvu, izvērtējot administratora iesniegtu pieteikumu par bankrota procedūras</w:t>
      </w:r>
      <w:r>
        <w:rPr>
          <w:spacing w:val="-9"/>
          <w:sz w:val="24"/>
        </w:rPr>
        <w:t> </w:t>
      </w:r>
      <w:r>
        <w:rPr>
          <w:sz w:val="24"/>
        </w:rPr>
        <w:t>pabeigšanu</w:t>
      </w:r>
      <w:r>
        <w:rPr>
          <w:spacing w:val="-9"/>
          <w:sz w:val="24"/>
        </w:rPr>
        <w:t> </w:t>
      </w:r>
      <w:r>
        <w:rPr>
          <w:sz w:val="24"/>
        </w:rPr>
        <w:t>un</w:t>
      </w:r>
      <w:r>
        <w:rPr>
          <w:spacing w:val="-8"/>
          <w:sz w:val="24"/>
        </w:rPr>
        <w:t> </w:t>
      </w:r>
      <w:r>
        <w:rPr>
          <w:sz w:val="24"/>
        </w:rPr>
        <w:t>saistību</w:t>
      </w:r>
      <w:r>
        <w:rPr>
          <w:spacing w:val="-9"/>
          <w:sz w:val="24"/>
        </w:rPr>
        <w:t> </w:t>
      </w:r>
      <w:r>
        <w:rPr>
          <w:sz w:val="24"/>
        </w:rPr>
        <w:t>dzēšanas</w:t>
      </w:r>
      <w:r>
        <w:rPr>
          <w:spacing w:val="-10"/>
          <w:sz w:val="24"/>
        </w:rPr>
        <w:t> </w:t>
      </w:r>
      <w:r>
        <w:rPr>
          <w:sz w:val="24"/>
        </w:rPr>
        <w:t>procedūras</w:t>
      </w:r>
      <w:r>
        <w:rPr>
          <w:spacing w:val="-9"/>
          <w:sz w:val="24"/>
        </w:rPr>
        <w:t> </w:t>
      </w:r>
      <w:r>
        <w:rPr>
          <w:sz w:val="24"/>
        </w:rPr>
        <w:t>piemērošanu</w:t>
      </w:r>
      <w:r>
        <w:rPr>
          <w:spacing w:val="-5"/>
          <w:sz w:val="24"/>
        </w:rPr>
        <w:t> </w:t>
      </w:r>
      <w:r>
        <w:rPr>
          <w:sz w:val="24"/>
        </w:rPr>
        <w:t>(lietā,</w:t>
      </w:r>
      <w:r>
        <w:rPr>
          <w:spacing w:val="-6"/>
          <w:sz w:val="24"/>
        </w:rPr>
        <w:t> </w:t>
      </w:r>
      <w:r>
        <w:rPr>
          <w:sz w:val="24"/>
        </w:rPr>
        <w:t>kur</w:t>
      </w:r>
      <w:r>
        <w:rPr>
          <w:spacing w:val="-8"/>
          <w:sz w:val="24"/>
        </w:rPr>
        <w:t> </w:t>
      </w:r>
      <w:r>
        <w:rPr>
          <w:sz w:val="24"/>
        </w:rPr>
        <w:t>nav saņemti kreditoru ierosinājumi izbeigt maksātnespējas procesu) – 1 no 26</w:t>
      </w:r>
      <w:r>
        <w:rPr>
          <w:spacing w:val="-9"/>
          <w:sz w:val="24"/>
        </w:rPr>
        <w:t> </w:t>
      </w:r>
      <w:r>
        <w:rPr>
          <w:sz w:val="24"/>
        </w:rPr>
        <w:t>lietām.</w:t>
      </w:r>
    </w:p>
    <w:p>
      <w:pPr>
        <w:pStyle w:val="BodyText"/>
        <w:jc w:val="left"/>
        <w:rPr>
          <w:sz w:val="26"/>
        </w:rPr>
      </w:pPr>
    </w:p>
    <w:p>
      <w:pPr>
        <w:pStyle w:val="BodyText"/>
        <w:jc w:val="left"/>
        <w:rPr>
          <w:sz w:val="22"/>
        </w:rPr>
      </w:pPr>
    </w:p>
    <w:p>
      <w:pPr>
        <w:pStyle w:val="Heading3"/>
        <w:ind w:left="620" w:right="401"/>
      </w:pPr>
      <w:r>
        <w:rPr/>
        <w:t>Bankrota procedūras izbeigšanas / pabeigšanas, nepiemērojot saistību dzēšanas procedūru,</w:t>
      </w:r>
      <w:r>
        <w:rPr>
          <w:spacing w:val="-1"/>
        </w:rPr>
        <w:t> </w:t>
      </w:r>
      <w:r>
        <w:rPr/>
        <w:t>pamati:</w:t>
      </w:r>
    </w:p>
    <w:p>
      <w:pPr>
        <w:pStyle w:val="BodyText"/>
        <w:spacing w:before="7"/>
        <w:jc w:val="left"/>
        <w:rPr>
          <w:b/>
          <w:sz w:val="23"/>
        </w:rPr>
      </w:pPr>
    </w:p>
    <w:p>
      <w:pPr>
        <w:pStyle w:val="ListParagraph"/>
        <w:numPr>
          <w:ilvl w:val="0"/>
          <w:numId w:val="21"/>
        </w:numPr>
        <w:tabs>
          <w:tab w:pos="1340" w:val="left" w:leader="none"/>
        </w:tabs>
        <w:spacing w:line="240" w:lineRule="auto" w:before="0" w:after="0"/>
        <w:ind w:left="1340" w:right="401" w:hanging="360"/>
        <w:jc w:val="both"/>
        <w:rPr>
          <w:sz w:val="24"/>
        </w:rPr>
      </w:pPr>
      <w:r>
        <w:rPr>
          <w:b/>
          <w:sz w:val="24"/>
        </w:rPr>
        <w:t>Maksātnespējas likuma 130.panta 1.punkts</w:t>
      </w:r>
      <w:r>
        <w:rPr>
          <w:sz w:val="24"/>
        </w:rPr>
        <w:t>: </w:t>
      </w:r>
      <w:r>
        <w:rPr>
          <w:i/>
          <w:sz w:val="24"/>
        </w:rPr>
        <w:t>persona</w:t>
      </w:r>
      <w:r>
        <w:rPr>
          <w:sz w:val="24"/>
        </w:rPr>
        <w:t>, </w:t>
      </w:r>
      <w:r>
        <w:rPr>
          <w:i/>
          <w:sz w:val="24"/>
        </w:rPr>
        <w:t>kura pēdējo triju gadu </w:t>
      </w:r>
      <w:r>
        <w:rPr>
          <w:i/>
          <w:sz w:val="24"/>
        </w:rPr>
        <w:t>laikā pirms fiziskās personas maksātnespējas procesa pasludināšanas ir </w:t>
      </w:r>
      <w:r>
        <w:rPr>
          <w:i/>
          <w:spacing w:val="-3"/>
          <w:sz w:val="24"/>
        </w:rPr>
        <w:t>sniegusi </w:t>
      </w:r>
      <w:r>
        <w:rPr>
          <w:i/>
          <w:sz w:val="24"/>
        </w:rPr>
        <w:t>apzināti nepatiesu informāciju saviem kreditoriem. </w:t>
      </w:r>
      <w:r>
        <w:rPr>
          <w:sz w:val="24"/>
        </w:rPr>
        <w:t>Norādīts kā pamats bankrota procedūras izbeigšanai / pabeigšanai 5 lietās no 26, kā vienīgais pamats – vienā lietā:</w:t>
      </w:r>
    </w:p>
    <w:p>
      <w:pPr>
        <w:pStyle w:val="ListParagraph"/>
        <w:numPr>
          <w:ilvl w:val="1"/>
          <w:numId w:val="21"/>
        </w:numPr>
        <w:tabs>
          <w:tab w:pos="1700" w:val="left" w:leader="none"/>
        </w:tabs>
        <w:spacing w:line="237" w:lineRule="auto" w:before="2" w:after="0"/>
        <w:ind w:left="1700" w:right="401" w:hanging="360"/>
        <w:jc w:val="both"/>
        <w:rPr>
          <w:sz w:val="24"/>
        </w:rPr>
      </w:pPr>
      <w:r>
        <w:rPr>
          <w:sz w:val="24"/>
        </w:rPr>
        <w:t>Sniegta nepatiesa informācija par parādniekam esošajām saistībām un apgādājamiem, kā arī aizdevuma izsniegšanas mērķi, tā panākot, ka tiek noslēgts aizdevuma līgums, kaut gan parādniekam jau ir citas parādsaistības (parādnieks divu gadu laikā pirms maksātnespējas pasludināšanas ir uzņēmies 13</w:t>
      </w:r>
      <w:r>
        <w:rPr>
          <w:spacing w:val="-11"/>
          <w:sz w:val="24"/>
        </w:rPr>
        <w:t> </w:t>
      </w:r>
      <w:r>
        <w:rPr>
          <w:sz w:val="24"/>
        </w:rPr>
        <w:t>saistības)</w:t>
      </w:r>
      <w:r>
        <w:rPr>
          <w:position w:val="9"/>
          <w:sz w:val="16"/>
        </w:rPr>
        <w:t>76</w:t>
      </w:r>
      <w:r>
        <w:rPr>
          <w:sz w:val="24"/>
        </w:rPr>
        <w:t>.</w:t>
      </w:r>
      <w:r>
        <w:rPr>
          <w:spacing w:val="-11"/>
          <w:sz w:val="24"/>
        </w:rPr>
        <w:t> </w:t>
      </w:r>
      <w:r>
        <w:rPr>
          <w:sz w:val="24"/>
        </w:rPr>
        <w:t>Šis</w:t>
      </w:r>
      <w:r>
        <w:rPr>
          <w:spacing w:val="-7"/>
          <w:sz w:val="24"/>
        </w:rPr>
        <w:t> </w:t>
      </w:r>
      <w:r>
        <w:rPr>
          <w:sz w:val="24"/>
        </w:rPr>
        <w:t>ierobežojums</w:t>
      </w:r>
      <w:r>
        <w:rPr>
          <w:spacing w:val="-9"/>
          <w:sz w:val="24"/>
        </w:rPr>
        <w:t> </w:t>
      </w:r>
      <w:r>
        <w:rPr>
          <w:sz w:val="24"/>
        </w:rPr>
        <w:t>vērtēts</w:t>
      </w:r>
      <w:r>
        <w:rPr>
          <w:spacing w:val="-10"/>
          <w:sz w:val="24"/>
        </w:rPr>
        <w:t> </w:t>
      </w:r>
      <w:r>
        <w:rPr>
          <w:sz w:val="24"/>
        </w:rPr>
        <w:t>kontekstā</w:t>
      </w:r>
      <w:r>
        <w:rPr>
          <w:spacing w:val="-13"/>
          <w:sz w:val="24"/>
        </w:rPr>
        <w:t> </w:t>
      </w:r>
      <w:r>
        <w:rPr>
          <w:sz w:val="24"/>
        </w:rPr>
        <w:t>ar</w:t>
      </w:r>
      <w:r>
        <w:rPr>
          <w:spacing w:val="-10"/>
          <w:sz w:val="24"/>
        </w:rPr>
        <w:t> </w:t>
      </w:r>
      <w:r>
        <w:rPr>
          <w:sz w:val="24"/>
        </w:rPr>
        <w:t>153.panta</w:t>
      </w:r>
      <w:r>
        <w:rPr>
          <w:spacing w:val="-11"/>
          <w:sz w:val="24"/>
        </w:rPr>
        <w:t> </w:t>
      </w:r>
      <w:r>
        <w:rPr>
          <w:sz w:val="24"/>
        </w:rPr>
        <w:t>1.punktā</w:t>
      </w:r>
      <w:r>
        <w:rPr>
          <w:spacing w:val="-12"/>
          <w:sz w:val="24"/>
        </w:rPr>
        <w:t> </w:t>
      </w:r>
      <w:r>
        <w:rPr>
          <w:sz w:val="24"/>
        </w:rPr>
        <w:t>minēto ierobežojumu.</w:t>
      </w:r>
    </w:p>
    <w:p>
      <w:pPr>
        <w:pStyle w:val="ListParagraph"/>
        <w:numPr>
          <w:ilvl w:val="1"/>
          <w:numId w:val="21"/>
        </w:numPr>
        <w:tabs>
          <w:tab w:pos="1700" w:val="left" w:leader="none"/>
        </w:tabs>
        <w:spacing w:line="237" w:lineRule="auto" w:before="2" w:after="0"/>
        <w:ind w:left="1700" w:right="403" w:hanging="360"/>
        <w:jc w:val="both"/>
        <w:rPr>
          <w:sz w:val="24"/>
        </w:rPr>
      </w:pPr>
      <w:r>
        <w:rPr>
          <w:sz w:val="24"/>
        </w:rPr>
        <w:t>Parādnieks triju gadu laikā pirms parādnieka maksātnespējas procesa pasludināšanas ir sistemātiski uzņēmies jaunas saistības, nenokārtojot iepriekš nodibinātās. Piesakoties aizdevumiem, parādnieks, piemēram, vienam </w:t>
      </w:r>
      <w:r>
        <w:rPr>
          <w:spacing w:val="-8"/>
          <w:sz w:val="24"/>
        </w:rPr>
        <w:t>no </w:t>
      </w:r>
      <w:r>
        <w:rPr>
          <w:sz w:val="24"/>
        </w:rPr>
        <w:t>kreditoriem, ir norādījis, ka ikmēneša izdevumi saistību atmaksai ir 0, kaut arī parādniekam jau bija nodibinātas saistības ar citiem aizdevējiem, līdz ar to, ikmēneša izdevumi nevarēja būt parādnieka norādītajā apmērā. </w:t>
      </w:r>
      <w:r>
        <w:rPr>
          <w:position w:val="9"/>
          <w:sz w:val="16"/>
        </w:rPr>
        <w:t>77 </w:t>
      </w:r>
      <w:r>
        <w:rPr>
          <w:sz w:val="24"/>
        </w:rPr>
        <w:t>Lietā</w:t>
      </w:r>
      <w:r>
        <w:rPr>
          <w:spacing w:val="15"/>
          <w:sz w:val="24"/>
        </w:rPr>
        <w:t> </w:t>
      </w:r>
      <w:r>
        <w:rPr>
          <w:sz w:val="24"/>
        </w:rPr>
        <w:t>netiek</w:t>
      </w:r>
    </w:p>
    <w:p>
      <w:pPr>
        <w:pStyle w:val="BodyText"/>
        <w:jc w:val="left"/>
        <w:rPr>
          <w:sz w:val="20"/>
        </w:rPr>
      </w:pPr>
    </w:p>
    <w:p>
      <w:pPr>
        <w:pStyle w:val="BodyText"/>
        <w:spacing w:before="5"/>
        <w:jc w:val="left"/>
        <w:rPr>
          <w:sz w:val="12"/>
        </w:rPr>
      </w:pPr>
      <w:r>
        <w:rPr/>
        <w:pict>
          <v:shape style="position:absolute;margin-left:90pt;margin-top:9.44056pt;width:144pt;height:.1pt;mso-position-horizontal-relative:page;mso-position-vertical-relative:paragraph;z-index:-251642880;mso-wrap-distance-left:0;mso-wrap-distance-right:0" coordorigin="1800,189" coordsize="2880,0" path="m1800,189l4680,189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76 </w:t>
      </w:r>
      <w:r>
        <w:rPr>
          <w:sz w:val="20"/>
        </w:rPr>
        <w:t>Zemgales rajona tiesas 2018.gada 5.septembra nolēmums lietā Nr. C07063317</w:t>
      </w:r>
    </w:p>
    <w:p>
      <w:pPr>
        <w:spacing w:line="233" w:lineRule="exact" w:before="0"/>
        <w:ind w:left="620" w:right="0" w:firstLine="0"/>
        <w:jc w:val="left"/>
        <w:rPr>
          <w:sz w:val="20"/>
        </w:rPr>
      </w:pPr>
      <w:r>
        <w:rPr>
          <w:position w:val="7"/>
          <w:sz w:val="13"/>
        </w:rPr>
        <w:t>77 </w:t>
      </w:r>
      <w:r>
        <w:rPr>
          <w:sz w:val="20"/>
        </w:rPr>
        <w:t>Rīgas pilsētas Pārdaugavas tiesas 2018.gada 22.jūnija nolēmums lietā Nr. C-2709-18</w:t>
      </w:r>
    </w:p>
    <w:p>
      <w:pPr>
        <w:spacing w:after="0" w:line="233" w:lineRule="exact"/>
        <w:jc w:val="left"/>
        <w:rPr>
          <w:sz w:val="20"/>
        </w:rPr>
        <w:sectPr>
          <w:footerReference w:type="default" r:id="rId24"/>
          <w:footerReference w:type="even" r:id="rId25"/>
          <w:pgSz w:w="11910" w:h="16840"/>
          <w:pgMar w:footer="1055" w:header="0" w:top="1340" w:bottom="1240" w:left="1180" w:right="1040"/>
          <w:pgNumType w:start="31"/>
        </w:sectPr>
      </w:pPr>
    </w:p>
    <w:p>
      <w:pPr>
        <w:pStyle w:val="BodyText"/>
        <w:spacing w:before="73"/>
        <w:ind w:left="1340" w:right="635"/>
        <w:jc w:val="left"/>
      </w:pPr>
      <w:r>
        <w:rPr/>
        <w:t>ņemti vērā parādnieka paskaidrojumi par faktiskās maksātnespējas tiešo cēlonisko saistību ar ārstēšanās izdevumiem un bezdarba periodu utt.</w:t>
      </w:r>
    </w:p>
    <w:p>
      <w:pPr>
        <w:pStyle w:val="BodyText"/>
        <w:jc w:val="left"/>
      </w:pPr>
    </w:p>
    <w:p>
      <w:pPr>
        <w:pStyle w:val="ListParagraph"/>
        <w:numPr>
          <w:ilvl w:val="0"/>
          <w:numId w:val="21"/>
        </w:numPr>
        <w:tabs>
          <w:tab w:pos="980" w:val="left" w:leader="none"/>
        </w:tabs>
        <w:spacing w:line="240" w:lineRule="auto" w:before="0" w:after="0"/>
        <w:ind w:left="980" w:right="761" w:hanging="360"/>
        <w:jc w:val="both"/>
        <w:rPr>
          <w:sz w:val="24"/>
        </w:rPr>
      </w:pPr>
      <w:r>
        <w:rPr>
          <w:b/>
          <w:sz w:val="24"/>
        </w:rPr>
        <w:t>Maksātnespējas likuma 153.panta 1.punkts: </w:t>
      </w:r>
      <w:r>
        <w:rPr>
          <w:i/>
          <w:sz w:val="24"/>
        </w:rPr>
        <w:t>parādnieks pēdējo triju gadu laikā </w:t>
      </w:r>
      <w:r>
        <w:rPr>
          <w:i/>
          <w:sz w:val="24"/>
        </w:rPr>
        <w:t>pirms fiziskās personas maksātnespējas procesa pasludināšanas </w:t>
      </w:r>
      <w:r>
        <w:rPr>
          <w:i/>
          <w:spacing w:val="-4"/>
          <w:sz w:val="24"/>
        </w:rPr>
        <w:t>vai</w:t>
      </w:r>
      <w:r>
        <w:rPr>
          <w:i/>
          <w:spacing w:val="52"/>
          <w:sz w:val="24"/>
        </w:rPr>
        <w:t> </w:t>
      </w:r>
      <w:r>
        <w:rPr>
          <w:i/>
          <w:sz w:val="24"/>
        </w:rPr>
        <w:t>maksātnespējas procesa laikā ir slēdzis darījumus, kuru rezultātā kļuvis maksātnespējīgs vai radījis zaudējumus kreditoriem, turklāt viņš apzinājās vai viņam vajadzēja apzināties, ka šādu darījumu slēgšana var novest </w:t>
      </w:r>
      <w:r>
        <w:rPr>
          <w:i/>
          <w:spacing w:val="-5"/>
          <w:sz w:val="24"/>
        </w:rPr>
        <w:t>līdz </w:t>
      </w:r>
      <w:r>
        <w:rPr>
          <w:i/>
          <w:sz w:val="24"/>
        </w:rPr>
        <w:t>maksātnespējai vai zaudējumu radīšanai kreditoriem</w:t>
      </w:r>
      <w:r>
        <w:rPr>
          <w:sz w:val="24"/>
        </w:rPr>
        <w:t>. Norādīts kā pamats</w:t>
      </w:r>
      <w:r>
        <w:rPr>
          <w:spacing w:val="-39"/>
          <w:sz w:val="24"/>
        </w:rPr>
        <w:t> </w:t>
      </w:r>
      <w:r>
        <w:rPr>
          <w:sz w:val="24"/>
        </w:rPr>
        <w:t>bankrota procedūras pabeigšanai 9 lietās no 26, kā vienīgais pamats – 1</w:t>
      </w:r>
      <w:r>
        <w:rPr>
          <w:spacing w:val="-1"/>
          <w:sz w:val="24"/>
        </w:rPr>
        <w:t> </w:t>
      </w:r>
      <w:r>
        <w:rPr>
          <w:sz w:val="24"/>
        </w:rPr>
        <w:t>lietā:</w:t>
      </w:r>
    </w:p>
    <w:p>
      <w:pPr>
        <w:pStyle w:val="ListParagraph"/>
        <w:numPr>
          <w:ilvl w:val="1"/>
          <w:numId w:val="21"/>
        </w:numPr>
        <w:tabs>
          <w:tab w:pos="1340" w:val="left" w:leader="none"/>
        </w:tabs>
        <w:spacing w:line="235" w:lineRule="auto" w:before="5" w:after="0"/>
        <w:ind w:left="1340" w:right="762" w:hanging="360"/>
        <w:jc w:val="both"/>
        <w:rPr>
          <w:sz w:val="16"/>
        </w:rPr>
      </w:pPr>
      <w:r>
        <w:rPr>
          <w:sz w:val="24"/>
        </w:rPr>
        <w:t>Tiesai ir jākonstatē, vai parādniece ir slēgusi darījumus, kas noveda viņu līdz maksātnespējai, vai tie slēgti pēdējo triju gadu laikā pirms maksātnespējas pasludināšanas un vai viņai ir apzinājusies šo darījumu noslēgšanas sekas, </w:t>
      </w:r>
      <w:r>
        <w:rPr>
          <w:spacing w:val="-4"/>
          <w:sz w:val="24"/>
        </w:rPr>
        <w:t>vai </w:t>
      </w:r>
      <w:r>
        <w:rPr>
          <w:sz w:val="24"/>
        </w:rPr>
        <w:t>viņai to bija</w:t>
      </w:r>
      <w:r>
        <w:rPr>
          <w:spacing w:val="1"/>
          <w:sz w:val="24"/>
        </w:rPr>
        <w:t> </w:t>
      </w:r>
      <w:r>
        <w:rPr>
          <w:sz w:val="24"/>
        </w:rPr>
        <w:t>jāapzinās.</w:t>
      </w:r>
      <w:r>
        <w:rPr>
          <w:position w:val="9"/>
          <w:sz w:val="16"/>
        </w:rPr>
        <w:t>78</w:t>
      </w:r>
    </w:p>
    <w:p>
      <w:pPr>
        <w:pStyle w:val="ListParagraph"/>
        <w:numPr>
          <w:ilvl w:val="1"/>
          <w:numId w:val="21"/>
        </w:numPr>
        <w:tabs>
          <w:tab w:pos="1340" w:val="left" w:leader="none"/>
        </w:tabs>
        <w:spacing w:line="237" w:lineRule="auto" w:before="5" w:after="0"/>
        <w:ind w:left="1340" w:right="763" w:hanging="360"/>
        <w:jc w:val="both"/>
        <w:rPr>
          <w:sz w:val="16"/>
        </w:rPr>
      </w:pPr>
      <w:r>
        <w:rPr>
          <w:sz w:val="24"/>
        </w:rPr>
        <w:t>Bankrota procedūras laikā noslēgta vienošanās par vainas atzīšanu ar sodu krimināllietā - parādnieks, kurš izdarījis noziedzīgu nodarījumu, kas paredzēts Krimināllikuma</w:t>
      </w:r>
      <w:r>
        <w:rPr>
          <w:spacing w:val="-13"/>
          <w:sz w:val="24"/>
        </w:rPr>
        <w:t> </w:t>
      </w:r>
      <w:r>
        <w:rPr>
          <w:sz w:val="24"/>
        </w:rPr>
        <w:t>218.panta</w:t>
      </w:r>
      <w:r>
        <w:rPr>
          <w:spacing w:val="-10"/>
          <w:sz w:val="24"/>
        </w:rPr>
        <w:t> </w:t>
      </w:r>
      <w:r>
        <w:rPr>
          <w:sz w:val="24"/>
        </w:rPr>
        <w:t>otrajā</w:t>
      </w:r>
      <w:r>
        <w:rPr>
          <w:spacing w:val="-10"/>
          <w:sz w:val="24"/>
        </w:rPr>
        <w:t> </w:t>
      </w:r>
      <w:r>
        <w:rPr>
          <w:sz w:val="24"/>
        </w:rPr>
        <w:t>daļā,</w:t>
      </w:r>
      <w:r>
        <w:rPr>
          <w:spacing w:val="-8"/>
          <w:sz w:val="24"/>
        </w:rPr>
        <w:t> </w:t>
      </w:r>
      <w:r>
        <w:rPr>
          <w:sz w:val="24"/>
        </w:rPr>
        <w:t>noslēdzot</w:t>
      </w:r>
      <w:r>
        <w:rPr>
          <w:spacing w:val="-10"/>
          <w:sz w:val="24"/>
        </w:rPr>
        <w:t> </w:t>
      </w:r>
      <w:r>
        <w:rPr>
          <w:sz w:val="24"/>
        </w:rPr>
        <w:t>vienošanos</w:t>
      </w:r>
      <w:r>
        <w:rPr>
          <w:spacing w:val="-9"/>
          <w:sz w:val="24"/>
        </w:rPr>
        <w:t> </w:t>
      </w:r>
      <w:r>
        <w:rPr>
          <w:sz w:val="24"/>
        </w:rPr>
        <w:t>par</w:t>
      </w:r>
      <w:r>
        <w:rPr>
          <w:spacing w:val="-12"/>
          <w:sz w:val="24"/>
        </w:rPr>
        <w:t> </w:t>
      </w:r>
      <w:r>
        <w:rPr>
          <w:sz w:val="24"/>
        </w:rPr>
        <w:t>vainas</w:t>
      </w:r>
      <w:r>
        <w:rPr>
          <w:spacing w:val="-7"/>
          <w:sz w:val="24"/>
        </w:rPr>
        <w:t> </w:t>
      </w:r>
      <w:r>
        <w:rPr>
          <w:sz w:val="24"/>
        </w:rPr>
        <w:t>atzīšanu un sodu (12 minimālo mēnešalgu apmērā), ar savām darbībām ir radījis zaudējumus kreditoriem, turklāt viņam vajadzēja apzināties, ka šādu </w:t>
      </w:r>
      <w:r>
        <w:rPr>
          <w:spacing w:val="-3"/>
          <w:sz w:val="24"/>
        </w:rPr>
        <w:t>darījumu </w:t>
      </w:r>
      <w:r>
        <w:rPr>
          <w:sz w:val="24"/>
        </w:rPr>
        <w:t>slēgšana var novest līdz zaudējumu radīšanai</w:t>
      </w:r>
      <w:r>
        <w:rPr>
          <w:spacing w:val="-3"/>
          <w:sz w:val="24"/>
        </w:rPr>
        <w:t> </w:t>
      </w:r>
      <w:r>
        <w:rPr>
          <w:sz w:val="24"/>
        </w:rPr>
        <w:t>kreditoriem.</w:t>
      </w:r>
      <w:r>
        <w:rPr>
          <w:position w:val="9"/>
          <w:sz w:val="16"/>
        </w:rPr>
        <w:t>79</w:t>
      </w:r>
    </w:p>
    <w:p>
      <w:pPr>
        <w:pStyle w:val="ListParagraph"/>
        <w:numPr>
          <w:ilvl w:val="1"/>
          <w:numId w:val="21"/>
        </w:numPr>
        <w:tabs>
          <w:tab w:pos="1400" w:val="left" w:leader="none"/>
        </w:tabs>
        <w:spacing w:line="237" w:lineRule="auto" w:before="1" w:after="0"/>
        <w:ind w:left="1340" w:right="762" w:hanging="360"/>
        <w:jc w:val="both"/>
        <w:rPr>
          <w:sz w:val="16"/>
        </w:rPr>
      </w:pPr>
      <w:r>
        <w:rPr/>
        <w:tab/>
      </w:r>
      <w:r>
        <w:rPr>
          <w:sz w:val="24"/>
        </w:rPr>
        <w:t>Ziedojums politiskai partijai - ievērojamas naudas summas ziedošana, kas pēc savas juridiskās dabas ir dāvinājuma līgums (darījums) civiltiesiskā izpratnē, laikā, kad parādniekam pastāv apjomīgas nenokārtotas parādsaistības pret kreditoriem,</w:t>
      </w:r>
      <w:r>
        <w:rPr>
          <w:spacing w:val="-16"/>
          <w:sz w:val="24"/>
        </w:rPr>
        <w:t> </w:t>
      </w:r>
      <w:r>
        <w:rPr>
          <w:sz w:val="24"/>
        </w:rPr>
        <w:t>vērtējama</w:t>
      </w:r>
      <w:r>
        <w:rPr>
          <w:spacing w:val="-15"/>
          <w:sz w:val="24"/>
        </w:rPr>
        <w:t> </w:t>
      </w:r>
      <w:r>
        <w:rPr>
          <w:sz w:val="24"/>
        </w:rPr>
        <w:t>kā</w:t>
      </w:r>
      <w:r>
        <w:rPr>
          <w:spacing w:val="-14"/>
          <w:sz w:val="24"/>
        </w:rPr>
        <w:t> </w:t>
      </w:r>
      <w:r>
        <w:rPr>
          <w:sz w:val="24"/>
        </w:rPr>
        <w:t>darbība,</w:t>
      </w:r>
      <w:r>
        <w:rPr>
          <w:spacing w:val="-17"/>
          <w:sz w:val="24"/>
        </w:rPr>
        <w:t> </w:t>
      </w:r>
      <w:r>
        <w:rPr>
          <w:sz w:val="24"/>
        </w:rPr>
        <w:t>kas</w:t>
      </w:r>
      <w:r>
        <w:rPr>
          <w:spacing w:val="-16"/>
          <w:sz w:val="24"/>
        </w:rPr>
        <w:t> </w:t>
      </w:r>
      <w:r>
        <w:rPr>
          <w:sz w:val="24"/>
        </w:rPr>
        <w:t>parādnieku</w:t>
      </w:r>
      <w:r>
        <w:rPr>
          <w:spacing w:val="-12"/>
          <w:sz w:val="24"/>
        </w:rPr>
        <w:t> </w:t>
      </w:r>
      <w:r>
        <w:rPr>
          <w:sz w:val="24"/>
        </w:rPr>
        <w:t>novedusi</w:t>
      </w:r>
      <w:r>
        <w:rPr>
          <w:spacing w:val="-16"/>
          <w:sz w:val="24"/>
        </w:rPr>
        <w:t> </w:t>
      </w:r>
      <w:r>
        <w:rPr>
          <w:sz w:val="24"/>
        </w:rPr>
        <w:t>līdz</w:t>
      </w:r>
      <w:r>
        <w:rPr>
          <w:spacing w:val="-13"/>
          <w:sz w:val="24"/>
        </w:rPr>
        <w:t> </w:t>
      </w:r>
      <w:r>
        <w:rPr>
          <w:sz w:val="24"/>
        </w:rPr>
        <w:t>maksātnespējai un</w:t>
      </w:r>
      <w:r>
        <w:rPr>
          <w:spacing w:val="-17"/>
          <w:sz w:val="24"/>
        </w:rPr>
        <w:t> </w:t>
      </w:r>
      <w:r>
        <w:rPr>
          <w:sz w:val="24"/>
        </w:rPr>
        <w:t>radījusi</w:t>
      </w:r>
      <w:r>
        <w:rPr>
          <w:spacing w:val="-16"/>
          <w:sz w:val="24"/>
        </w:rPr>
        <w:t> </w:t>
      </w:r>
      <w:r>
        <w:rPr>
          <w:sz w:val="24"/>
        </w:rPr>
        <w:t>zaudējumus</w:t>
      </w:r>
      <w:r>
        <w:rPr>
          <w:spacing w:val="-13"/>
          <w:sz w:val="24"/>
        </w:rPr>
        <w:t> </w:t>
      </w:r>
      <w:r>
        <w:rPr>
          <w:sz w:val="24"/>
        </w:rPr>
        <w:t>kreditoriem.</w:t>
      </w:r>
      <w:r>
        <w:rPr>
          <w:spacing w:val="-17"/>
          <w:sz w:val="24"/>
        </w:rPr>
        <w:t> </w:t>
      </w:r>
      <w:r>
        <w:rPr>
          <w:sz w:val="24"/>
        </w:rPr>
        <w:t>Turklāt</w:t>
      </w:r>
      <w:r>
        <w:rPr>
          <w:spacing w:val="-16"/>
          <w:sz w:val="24"/>
        </w:rPr>
        <w:t> </w:t>
      </w:r>
      <w:r>
        <w:rPr>
          <w:sz w:val="24"/>
        </w:rPr>
        <w:t>viņam</w:t>
      </w:r>
      <w:r>
        <w:rPr>
          <w:spacing w:val="-16"/>
          <w:sz w:val="24"/>
        </w:rPr>
        <w:t> </w:t>
      </w:r>
      <w:r>
        <w:rPr>
          <w:sz w:val="24"/>
        </w:rPr>
        <w:t>vajadzēja</w:t>
      </w:r>
      <w:r>
        <w:rPr>
          <w:spacing w:val="-16"/>
          <w:sz w:val="24"/>
        </w:rPr>
        <w:t> </w:t>
      </w:r>
      <w:r>
        <w:rPr>
          <w:sz w:val="24"/>
        </w:rPr>
        <w:t>apzināties,</w:t>
      </w:r>
      <w:r>
        <w:rPr>
          <w:spacing w:val="-17"/>
          <w:sz w:val="24"/>
        </w:rPr>
        <w:t> </w:t>
      </w:r>
      <w:r>
        <w:rPr>
          <w:sz w:val="24"/>
        </w:rPr>
        <w:t>ka</w:t>
      </w:r>
      <w:r>
        <w:rPr>
          <w:spacing w:val="-16"/>
          <w:sz w:val="24"/>
        </w:rPr>
        <w:t> </w:t>
      </w:r>
      <w:r>
        <w:rPr>
          <w:sz w:val="24"/>
        </w:rPr>
        <w:t>šāda darījuma veikšana var novest līdz zaudējumu radīšanai kreditoriem. Līdz ar ko konkrētajā gadījumā nav nozīmes parādnieka iebildumiem (un </w:t>
      </w:r>
      <w:r>
        <w:rPr>
          <w:spacing w:val="-3"/>
          <w:sz w:val="24"/>
        </w:rPr>
        <w:t>tiem </w:t>
      </w:r>
      <w:r>
        <w:rPr>
          <w:sz w:val="24"/>
        </w:rPr>
        <w:t>pievienotajiem materiāliem – izdrukām no interneta vietnēm) par to, kādā savtīgā nolūkā ziedojums</w:t>
      </w:r>
      <w:r>
        <w:rPr>
          <w:spacing w:val="1"/>
          <w:sz w:val="24"/>
        </w:rPr>
        <w:t> </w:t>
      </w:r>
      <w:r>
        <w:rPr>
          <w:sz w:val="24"/>
        </w:rPr>
        <w:t>izdarīts.</w:t>
      </w:r>
      <w:r>
        <w:rPr>
          <w:position w:val="9"/>
          <w:sz w:val="16"/>
        </w:rPr>
        <w:t>80</w:t>
      </w:r>
    </w:p>
    <w:p>
      <w:pPr>
        <w:pStyle w:val="ListParagraph"/>
        <w:numPr>
          <w:ilvl w:val="1"/>
          <w:numId w:val="21"/>
        </w:numPr>
        <w:tabs>
          <w:tab w:pos="1340" w:val="left" w:leader="none"/>
        </w:tabs>
        <w:spacing w:line="235" w:lineRule="auto" w:before="12" w:after="0"/>
        <w:ind w:left="1340" w:right="761" w:hanging="360"/>
        <w:jc w:val="both"/>
        <w:rPr>
          <w:sz w:val="16"/>
        </w:rPr>
      </w:pPr>
      <w:r>
        <w:rPr>
          <w:sz w:val="24"/>
        </w:rPr>
        <w:t>Pieaudzis neizpildīto saistību apjoms - pēdējo trīs gadu laikā pirms fiziskās personas maksātnespējas procesa pasludināšanas slēgto darījumu rezultātā ievērojami ir palielinājies parādnieka neizpildīto saistību apjoms, nodarot zaudējumus kreditoriem.</w:t>
      </w:r>
      <w:r>
        <w:rPr>
          <w:spacing w:val="-19"/>
          <w:sz w:val="24"/>
        </w:rPr>
        <w:t> </w:t>
      </w:r>
      <w:r>
        <w:rPr>
          <w:position w:val="9"/>
          <w:sz w:val="16"/>
        </w:rPr>
        <w:t>81</w:t>
      </w:r>
    </w:p>
    <w:p>
      <w:pPr>
        <w:pStyle w:val="ListParagraph"/>
        <w:numPr>
          <w:ilvl w:val="1"/>
          <w:numId w:val="21"/>
        </w:numPr>
        <w:tabs>
          <w:tab w:pos="1340" w:val="left" w:leader="none"/>
        </w:tabs>
        <w:spacing w:line="237" w:lineRule="auto" w:before="5" w:after="0"/>
        <w:ind w:left="1340" w:right="762" w:hanging="360"/>
        <w:jc w:val="both"/>
        <w:rPr>
          <w:sz w:val="16"/>
        </w:rPr>
      </w:pPr>
      <w:r>
        <w:rPr>
          <w:sz w:val="24"/>
        </w:rPr>
        <w:t>Saistības uzņemtas, neievērojot atbildīgas aizņemšanās principu - Maksātnespējas cēlonis ir Parādnieku uzņemtās saistības, ko Parādnieki </w:t>
      </w:r>
      <w:r>
        <w:rPr>
          <w:spacing w:val="-6"/>
          <w:sz w:val="24"/>
        </w:rPr>
        <w:t>ir </w:t>
      </w:r>
      <w:r>
        <w:rPr>
          <w:sz w:val="24"/>
        </w:rPr>
        <w:t>uzņēmušies</w:t>
      </w:r>
      <w:r>
        <w:rPr>
          <w:spacing w:val="-10"/>
          <w:sz w:val="24"/>
        </w:rPr>
        <w:t> </w:t>
      </w:r>
      <w:r>
        <w:rPr>
          <w:sz w:val="24"/>
        </w:rPr>
        <w:t>neievērojot</w:t>
      </w:r>
      <w:r>
        <w:rPr>
          <w:spacing w:val="-9"/>
          <w:sz w:val="24"/>
        </w:rPr>
        <w:t> </w:t>
      </w:r>
      <w:r>
        <w:rPr>
          <w:sz w:val="24"/>
        </w:rPr>
        <w:t>atbildīgas</w:t>
      </w:r>
      <w:r>
        <w:rPr>
          <w:spacing w:val="-12"/>
          <w:sz w:val="24"/>
        </w:rPr>
        <w:t> </w:t>
      </w:r>
      <w:r>
        <w:rPr>
          <w:sz w:val="24"/>
        </w:rPr>
        <w:t>aizņemšanās</w:t>
      </w:r>
      <w:r>
        <w:rPr>
          <w:spacing w:val="-11"/>
          <w:sz w:val="24"/>
        </w:rPr>
        <w:t> </w:t>
      </w:r>
      <w:r>
        <w:rPr>
          <w:sz w:val="24"/>
        </w:rPr>
        <w:t>principu,</w:t>
      </w:r>
      <w:r>
        <w:rPr>
          <w:spacing w:val="-9"/>
          <w:sz w:val="24"/>
        </w:rPr>
        <w:t> </w:t>
      </w:r>
      <w:r>
        <w:rPr>
          <w:sz w:val="24"/>
        </w:rPr>
        <w:t>un</w:t>
      </w:r>
      <w:r>
        <w:rPr>
          <w:spacing w:val="-10"/>
          <w:sz w:val="24"/>
        </w:rPr>
        <w:t> </w:t>
      </w:r>
      <w:r>
        <w:rPr>
          <w:sz w:val="24"/>
        </w:rPr>
        <w:t>tādējādi</w:t>
      </w:r>
      <w:r>
        <w:rPr>
          <w:spacing w:val="-6"/>
          <w:sz w:val="24"/>
        </w:rPr>
        <w:t> </w:t>
      </w:r>
      <w:r>
        <w:rPr>
          <w:sz w:val="24"/>
        </w:rPr>
        <w:t>pasliktinot savu materiālo stāvokli slēdzot darījumus, kuru rezultātā kļuvuši maksātnespējīgi.</w:t>
      </w:r>
      <w:r>
        <w:rPr>
          <w:position w:val="9"/>
          <w:sz w:val="16"/>
        </w:rPr>
        <w:t>82</w:t>
      </w:r>
    </w:p>
    <w:p>
      <w:pPr>
        <w:pStyle w:val="ListParagraph"/>
        <w:numPr>
          <w:ilvl w:val="1"/>
          <w:numId w:val="21"/>
        </w:numPr>
        <w:tabs>
          <w:tab w:pos="1340" w:val="left" w:leader="none"/>
        </w:tabs>
        <w:spacing w:line="240" w:lineRule="auto" w:before="0" w:after="0"/>
        <w:ind w:left="1340" w:right="760" w:hanging="360"/>
        <w:jc w:val="both"/>
        <w:rPr>
          <w:sz w:val="24"/>
        </w:rPr>
      </w:pPr>
      <w:r>
        <w:rPr>
          <w:sz w:val="24"/>
        </w:rPr>
        <w:t>Neskatoties uz jau nenokārtotām parādsaistībām, tiek uzņemtas arvien jaunas saistības pret</w:t>
      </w:r>
      <w:r>
        <w:rPr>
          <w:spacing w:val="-2"/>
          <w:sz w:val="24"/>
        </w:rPr>
        <w:t> </w:t>
      </w:r>
      <w:r>
        <w:rPr>
          <w:sz w:val="24"/>
        </w:rPr>
        <w:t>kreditoriem:</w:t>
      </w:r>
    </w:p>
    <w:p>
      <w:pPr>
        <w:pStyle w:val="BodyText"/>
        <w:ind w:left="2103" w:right="761" w:hanging="711"/>
      </w:pPr>
      <w:r>
        <w:rPr/>
        <w:t>(aa) Parādnieks pēdējo triju gadu laikā pirms fiziskās personas maksātnespējas procesa pasludināšanas ir slēdzis darījumus, kuru rezultātā kļuvis maksātnespējīgs, jo, neskatoties uz jau nenokārtotām parādsaistībām 2015.gada beigās, parādnieks, nespējot norēķināties</w:t>
      </w:r>
      <w:r>
        <w:rPr>
          <w:spacing w:val="26"/>
        </w:rPr>
        <w:t> </w:t>
      </w:r>
      <w:r>
        <w:rPr/>
        <w:t>ar</w:t>
      </w:r>
    </w:p>
    <w:p>
      <w:pPr>
        <w:pStyle w:val="BodyText"/>
        <w:jc w:val="left"/>
        <w:rPr>
          <w:sz w:val="20"/>
        </w:rPr>
      </w:pPr>
    </w:p>
    <w:p>
      <w:pPr>
        <w:pStyle w:val="BodyText"/>
        <w:spacing w:before="4"/>
        <w:jc w:val="left"/>
      </w:pPr>
      <w:r>
        <w:rPr/>
        <w:pict>
          <v:shape style="position:absolute;margin-left:72pt;margin-top:16.261951pt;width:144pt;height:.1pt;mso-position-horizontal-relative:page;mso-position-vertical-relative:paragraph;z-index:-251641856;mso-wrap-distance-left:0;mso-wrap-distance-right:0" coordorigin="1440,325" coordsize="2880,0" path="m1440,325l4320,325e" filled="false" stroked="true" strokeweight=".599991pt" strokecolor="#000000">
            <v:path arrowok="t"/>
            <v:stroke dashstyle="solid"/>
            <w10:wrap type="topAndBottom"/>
          </v:shape>
        </w:pict>
      </w:r>
    </w:p>
    <w:p>
      <w:pPr>
        <w:spacing w:line="231" w:lineRule="exact" w:before="70"/>
        <w:ind w:left="260" w:right="0" w:firstLine="0"/>
        <w:jc w:val="left"/>
        <w:rPr>
          <w:sz w:val="20"/>
        </w:rPr>
      </w:pPr>
      <w:r>
        <w:rPr>
          <w:position w:val="7"/>
          <w:sz w:val="13"/>
        </w:rPr>
        <w:t>78 </w:t>
      </w:r>
      <w:r>
        <w:rPr>
          <w:sz w:val="20"/>
        </w:rPr>
        <w:t>Rīgas rajona tiesas 2018.gada 10.jūlija nolēmums lietā Nr. C3336818</w:t>
      </w:r>
    </w:p>
    <w:p>
      <w:pPr>
        <w:spacing w:line="229" w:lineRule="exact" w:before="0"/>
        <w:ind w:left="260" w:right="0" w:firstLine="0"/>
        <w:jc w:val="left"/>
        <w:rPr>
          <w:sz w:val="20"/>
        </w:rPr>
      </w:pPr>
      <w:r>
        <w:rPr>
          <w:position w:val="7"/>
          <w:sz w:val="13"/>
        </w:rPr>
        <w:t>79 </w:t>
      </w:r>
      <w:r>
        <w:rPr>
          <w:sz w:val="20"/>
        </w:rPr>
        <w:t>Tukuma rajona tiesas 2015.gada 24.augusta nolēmums lietā Nr. C37097714</w:t>
      </w:r>
    </w:p>
    <w:p>
      <w:pPr>
        <w:spacing w:line="230" w:lineRule="exact" w:before="0"/>
        <w:ind w:left="260" w:right="0" w:firstLine="0"/>
        <w:jc w:val="left"/>
        <w:rPr>
          <w:sz w:val="20"/>
        </w:rPr>
      </w:pPr>
      <w:r>
        <w:rPr>
          <w:position w:val="7"/>
          <w:sz w:val="13"/>
        </w:rPr>
        <w:t>80 </w:t>
      </w:r>
      <w:r>
        <w:rPr>
          <w:sz w:val="20"/>
        </w:rPr>
        <w:t>Rīgas pilsētas Ziemeļu rajona tiesas 2015.gada 12.augusta nolēmums lietā Nr. C32212515</w:t>
      </w:r>
    </w:p>
    <w:p>
      <w:pPr>
        <w:spacing w:line="230" w:lineRule="exact" w:before="0"/>
        <w:ind w:left="260" w:right="0" w:firstLine="0"/>
        <w:jc w:val="left"/>
        <w:rPr>
          <w:sz w:val="20"/>
        </w:rPr>
      </w:pPr>
      <w:r>
        <w:rPr>
          <w:position w:val="7"/>
          <w:sz w:val="13"/>
        </w:rPr>
        <w:t>81 </w:t>
      </w:r>
      <w:r>
        <w:rPr>
          <w:sz w:val="20"/>
        </w:rPr>
        <w:t>Zemgales rajona tiesas 2018.gada 5.septembra nolēmums lietā Nr. C07063317</w:t>
      </w:r>
    </w:p>
    <w:p>
      <w:pPr>
        <w:spacing w:line="233" w:lineRule="exact" w:before="0"/>
        <w:ind w:left="260" w:right="0" w:firstLine="0"/>
        <w:jc w:val="left"/>
        <w:rPr>
          <w:sz w:val="20"/>
        </w:rPr>
      </w:pPr>
      <w:r>
        <w:rPr>
          <w:position w:val="7"/>
          <w:sz w:val="13"/>
        </w:rPr>
        <w:t>82 </w:t>
      </w:r>
      <w:r>
        <w:rPr>
          <w:sz w:val="20"/>
        </w:rPr>
        <w:t>Vidzemes rajona tiesas 2018.gada 3.augusta nolēmums lietā Nr. C71156718</w:t>
      </w:r>
    </w:p>
    <w:p>
      <w:pPr>
        <w:spacing w:after="0" w:line="233" w:lineRule="exact"/>
        <w:jc w:val="left"/>
        <w:rPr>
          <w:sz w:val="20"/>
        </w:rPr>
        <w:sectPr>
          <w:pgSz w:w="11910" w:h="16840"/>
          <w:pgMar w:header="0" w:footer="1055" w:top="1340" w:bottom="1240" w:left="1180" w:right="1040"/>
        </w:sectPr>
      </w:pPr>
    </w:p>
    <w:p>
      <w:pPr>
        <w:pStyle w:val="BodyText"/>
        <w:spacing w:line="228" w:lineRule="auto" w:before="84"/>
        <w:ind w:left="2463" w:right="403"/>
        <w:rPr>
          <w:sz w:val="16"/>
        </w:rPr>
      </w:pPr>
      <w:r>
        <w:rPr/>
        <w:t>saviem kreditoriem, 2016.gada un 2017.gadā uzņēmās arvien jaunas saistības pret kreditoriem.</w:t>
      </w:r>
      <w:r>
        <w:rPr>
          <w:position w:val="9"/>
          <w:sz w:val="16"/>
        </w:rPr>
        <w:t>83</w:t>
      </w:r>
    </w:p>
    <w:p>
      <w:pPr>
        <w:pStyle w:val="BodyText"/>
        <w:spacing w:line="237" w:lineRule="auto" w:before="4"/>
        <w:ind w:left="2463" w:right="403" w:hanging="711"/>
        <w:rPr>
          <w:sz w:val="16"/>
        </w:rPr>
      </w:pPr>
      <w:r>
        <w:rPr/>
        <w:t>(bb) Tiesas ieskatā parādnieka faktiskā rīcība, ka pie nemainīgajiem  ikmēneša ienākumiem viņš iesaistījās arvien jaunās kredītsaistībās, pirms tam neatmaksājot citas parādsaistības, atbilst Maksātnespējas likuma 153.panta 1.punktā paredzētā fiziskās personas saistību dzēšanas procedūras piemērošanas ierobežojuma</w:t>
      </w:r>
      <w:r>
        <w:rPr>
          <w:spacing w:val="-4"/>
        </w:rPr>
        <w:t> </w:t>
      </w:r>
      <w:r>
        <w:rPr/>
        <w:t>tvērumam.</w:t>
      </w:r>
      <w:r>
        <w:rPr>
          <w:position w:val="9"/>
          <w:sz w:val="16"/>
        </w:rPr>
        <w:t>84</w:t>
      </w:r>
    </w:p>
    <w:p>
      <w:pPr>
        <w:pStyle w:val="BodyText"/>
        <w:spacing w:line="237" w:lineRule="auto"/>
        <w:ind w:left="2463" w:right="401" w:hanging="711"/>
        <w:rPr>
          <w:sz w:val="16"/>
        </w:rPr>
      </w:pPr>
      <w:r>
        <w:rPr/>
        <w:t>(cc) Fiziskās personas maksātnespējas procesa mērķis ir pēc  iespējas  pilnīgāk apmierināt kreditoru prasījumus, nevis izvairīties no saistību izpildes, uzņemoties parādsaistības un apzinoties, ka tās netiks izpildītas. Apstāklis, ka parādnieks uzņēmies jaunas saistības, pastāvot jau esošām nenokārtotām saistībām, acīmredzami samazina katra kreditora iespēju atgūt parādu, tādejādi, nodarot zaudējumus visiem kreditoriem.</w:t>
      </w:r>
      <w:r>
        <w:rPr>
          <w:position w:val="9"/>
          <w:sz w:val="16"/>
        </w:rPr>
        <w:t>85</w:t>
      </w:r>
    </w:p>
    <w:p>
      <w:pPr>
        <w:pStyle w:val="BodyText"/>
        <w:spacing w:line="232" w:lineRule="auto" w:before="7"/>
        <w:ind w:left="2463" w:right="405" w:hanging="711"/>
        <w:rPr>
          <w:sz w:val="16"/>
        </w:rPr>
      </w:pPr>
      <w:r>
        <w:rPr/>
        <w:t>(dd) Parādniekam, uzņemoties jaunas saistības laikā, kad viņa ienākumi ir nepietiekoši,</w:t>
      </w:r>
      <w:r>
        <w:rPr>
          <w:spacing w:val="-6"/>
        </w:rPr>
        <w:t> </w:t>
      </w:r>
      <w:r>
        <w:rPr/>
        <w:t>lai</w:t>
      </w:r>
      <w:r>
        <w:rPr>
          <w:spacing w:val="-5"/>
        </w:rPr>
        <w:t> </w:t>
      </w:r>
      <w:r>
        <w:rPr/>
        <w:t>segtu</w:t>
      </w:r>
      <w:r>
        <w:rPr>
          <w:spacing w:val="-6"/>
        </w:rPr>
        <w:t> </w:t>
      </w:r>
      <w:r>
        <w:rPr/>
        <w:t>jau</w:t>
      </w:r>
      <w:r>
        <w:rPr>
          <w:spacing w:val="-3"/>
        </w:rPr>
        <w:t> </w:t>
      </w:r>
      <w:r>
        <w:rPr/>
        <w:t>esošās</w:t>
      </w:r>
      <w:r>
        <w:rPr>
          <w:spacing w:val="-6"/>
        </w:rPr>
        <w:t> </w:t>
      </w:r>
      <w:r>
        <w:rPr/>
        <w:t>parādsaistības</w:t>
      </w:r>
      <w:r>
        <w:rPr>
          <w:spacing w:val="-7"/>
        </w:rPr>
        <w:t> </w:t>
      </w:r>
      <w:r>
        <w:rPr/>
        <w:t>pret</w:t>
      </w:r>
      <w:r>
        <w:rPr>
          <w:spacing w:val="-6"/>
        </w:rPr>
        <w:t> </w:t>
      </w:r>
      <w:r>
        <w:rPr/>
        <w:t>citiem</w:t>
      </w:r>
      <w:r>
        <w:rPr>
          <w:spacing w:val="-7"/>
        </w:rPr>
        <w:t> </w:t>
      </w:r>
      <w:r>
        <w:rPr/>
        <w:t>kreditoriem, bija jāapzinās, ka saistības nespēs</w:t>
      </w:r>
      <w:r>
        <w:rPr>
          <w:spacing w:val="-3"/>
        </w:rPr>
        <w:t> </w:t>
      </w:r>
      <w:r>
        <w:rPr/>
        <w:t>nokārtot.</w:t>
      </w:r>
      <w:r>
        <w:rPr>
          <w:position w:val="9"/>
          <w:sz w:val="16"/>
        </w:rPr>
        <w:t>86</w:t>
      </w:r>
    </w:p>
    <w:p>
      <w:pPr>
        <w:pStyle w:val="ListParagraph"/>
        <w:numPr>
          <w:ilvl w:val="1"/>
          <w:numId w:val="21"/>
        </w:numPr>
        <w:tabs>
          <w:tab w:pos="1700" w:val="left" w:leader="none"/>
        </w:tabs>
        <w:spacing w:line="240" w:lineRule="auto" w:before="3" w:after="0"/>
        <w:ind w:left="1700" w:right="0" w:hanging="360"/>
        <w:jc w:val="both"/>
        <w:rPr>
          <w:sz w:val="24"/>
        </w:rPr>
      </w:pPr>
      <w:r>
        <w:rPr>
          <w:sz w:val="24"/>
        </w:rPr>
        <w:t>Neizvērtē savas saistību izpildes</w:t>
      </w:r>
      <w:r>
        <w:rPr>
          <w:spacing w:val="-3"/>
          <w:sz w:val="24"/>
        </w:rPr>
        <w:t> </w:t>
      </w:r>
      <w:r>
        <w:rPr>
          <w:sz w:val="24"/>
        </w:rPr>
        <w:t>spējas:</w:t>
      </w:r>
    </w:p>
    <w:p>
      <w:pPr>
        <w:pStyle w:val="BodyText"/>
        <w:spacing w:line="237" w:lineRule="auto" w:before="2"/>
        <w:ind w:left="2463" w:right="404" w:hanging="711"/>
        <w:rPr>
          <w:sz w:val="16"/>
        </w:rPr>
      </w:pPr>
      <w:r>
        <w:rPr/>
        <w:t>(aa) Tiesa uzskata, ka parādniekam, rīkojoties saprātīgi un godprātīgi, vajadzēja izvērtēt savu iespēju izpildīt visas uzņemtās saistības, veicot aizdevumu atmaksu noteiktajos termiņos un apmēros, ievērojot </w:t>
      </w:r>
      <w:r>
        <w:rPr>
          <w:spacing w:val="-3"/>
        </w:rPr>
        <w:t>savas </w:t>
      </w:r>
      <w:r>
        <w:rPr/>
        <w:t>finansiālās</w:t>
      </w:r>
      <w:r>
        <w:rPr>
          <w:spacing w:val="-16"/>
        </w:rPr>
        <w:t> </w:t>
      </w:r>
      <w:r>
        <w:rPr/>
        <w:t>iespējas,</w:t>
      </w:r>
      <w:r>
        <w:rPr>
          <w:spacing w:val="-15"/>
        </w:rPr>
        <w:t> </w:t>
      </w:r>
      <w:r>
        <w:rPr/>
        <w:t>esošo</w:t>
      </w:r>
      <w:r>
        <w:rPr>
          <w:spacing w:val="-15"/>
        </w:rPr>
        <w:t> </w:t>
      </w:r>
      <w:r>
        <w:rPr/>
        <w:t>un</w:t>
      </w:r>
      <w:r>
        <w:rPr>
          <w:spacing w:val="-15"/>
        </w:rPr>
        <w:t> </w:t>
      </w:r>
      <w:r>
        <w:rPr/>
        <w:t>pamatoti</w:t>
      </w:r>
      <w:r>
        <w:rPr>
          <w:spacing w:val="-15"/>
        </w:rPr>
        <w:t> </w:t>
      </w:r>
      <w:r>
        <w:rPr/>
        <w:t>sagaidāmo</w:t>
      </w:r>
      <w:r>
        <w:rPr>
          <w:spacing w:val="-12"/>
        </w:rPr>
        <w:t> </w:t>
      </w:r>
      <w:r>
        <w:rPr/>
        <w:t>līdzekļu</w:t>
      </w:r>
      <w:r>
        <w:rPr>
          <w:spacing w:val="-15"/>
        </w:rPr>
        <w:t> </w:t>
      </w:r>
      <w:r>
        <w:rPr/>
        <w:t>un</w:t>
      </w:r>
      <w:r>
        <w:rPr>
          <w:spacing w:val="-15"/>
        </w:rPr>
        <w:t> </w:t>
      </w:r>
      <w:r>
        <w:rPr/>
        <w:t>ienākumu apmēru. Tas apstāklis, ka Parādnieks, iespējams, vieglprātīgi šādu izvērtējumu nav veicis, nevar būt pamats tā atbrīvošanai no viņam neizdevīgām saistību neizpildes</w:t>
      </w:r>
      <w:r>
        <w:rPr>
          <w:spacing w:val="-2"/>
        </w:rPr>
        <w:t> </w:t>
      </w:r>
      <w:r>
        <w:rPr/>
        <w:t>sekām.</w:t>
      </w:r>
      <w:r>
        <w:rPr>
          <w:position w:val="9"/>
          <w:sz w:val="16"/>
        </w:rPr>
        <w:t>87</w:t>
      </w:r>
    </w:p>
    <w:p>
      <w:pPr>
        <w:pStyle w:val="BodyText"/>
        <w:spacing w:line="232" w:lineRule="auto" w:before="9"/>
        <w:ind w:left="2463" w:right="402" w:hanging="711"/>
        <w:rPr>
          <w:sz w:val="16"/>
        </w:rPr>
      </w:pPr>
      <w:r>
        <w:rPr/>
        <w:t>(bb) Kreditora nolaidība, nepietiekami pārbaudot aizņēmēja spēju atmaksāt aizņēmumu, neatbrīvo pašu aizņēmēju no atbildības un pienākuma izvērtēt savas saistību izpildes spējas un atmaksāt aizņēmumu.</w:t>
      </w:r>
      <w:r>
        <w:rPr>
          <w:position w:val="9"/>
          <w:sz w:val="16"/>
        </w:rPr>
        <w:t>88</w:t>
      </w:r>
    </w:p>
    <w:p>
      <w:pPr>
        <w:pStyle w:val="ListParagraph"/>
        <w:numPr>
          <w:ilvl w:val="1"/>
          <w:numId w:val="21"/>
        </w:numPr>
        <w:tabs>
          <w:tab w:pos="1700" w:val="left" w:leader="none"/>
        </w:tabs>
        <w:spacing w:line="237" w:lineRule="auto" w:before="5" w:after="0"/>
        <w:ind w:left="1700" w:right="400" w:hanging="360"/>
        <w:jc w:val="both"/>
        <w:rPr>
          <w:sz w:val="16"/>
        </w:rPr>
      </w:pPr>
      <w:r>
        <w:rPr>
          <w:sz w:val="24"/>
        </w:rPr>
        <w:t>Sistemātiski noslēgti aizdevuma līgumi ar vienveidīgiem noteikumiem - vairākkārt un sistemātiski noslēdzot aizdevuma līgumus ar vienveidīgiem noteikumiem, parādniecei nepārprotami vajadzēja apzināties, ka saņemtie aizdevumi būs jāatdod, un vajadzēja saprast sekas, kādas var iestāties saistību neizpildes rezultātā.</w:t>
      </w:r>
      <w:r>
        <w:rPr>
          <w:position w:val="9"/>
          <w:sz w:val="16"/>
        </w:rPr>
        <w:t>89</w:t>
      </w:r>
    </w:p>
    <w:p>
      <w:pPr>
        <w:pStyle w:val="ListParagraph"/>
        <w:numPr>
          <w:ilvl w:val="1"/>
          <w:numId w:val="21"/>
        </w:numPr>
        <w:tabs>
          <w:tab w:pos="1700" w:val="left" w:leader="none"/>
        </w:tabs>
        <w:spacing w:line="237" w:lineRule="auto" w:before="0" w:after="0"/>
        <w:ind w:left="1700" w:right="402" w:hanging="360"/>
        <w:jc w:val="both"/>
        <w:rPr>
          <w:sz w:val="16"/>
        </w:rPr>
      </w:pPr>
      <w:r>
        <w:rPr>
          <w:sz w:val="24"/>
        </w:rPr>
        <w:t>Ienākumi darījuma noslēgšanas brīdī nav bijuši pietiekami saistību segšanai un parādnieks nav veicis no sevis atkarīgas darbības, lai savu ienākumu apjomu palielinātu - darījumu slēgšana situācijā, kurā parādniekam vajadzēja apzināties, ka šādu darījumu noslēgšanas rezultātā viņš kļūs maksātnespējīgs, savukārt var izpausties situācijās, kad parādnieka ienākumi darījuma noslēgšanas brīdī nav bijuši pietiekami saistību segšanai tam paredzētajā laikā un</w:t>
      </w:r>
      <w:r>
        <w:rPr>
          <w:spacing w:val="-9"/>
          <w:sz w:val="24"/>
        </w:rPr>
        <w:t> </w:t>
      </w:r>
      <w:r>
        <w:rPr>
          <w:sz w:val="24"/>
        </w:rPr>
        <w:t>parādnieks</w:t>
      </w:r>
      <w:r>
        <w:rPr>
          <w:spacing w:val="-8"/>
          <w:sz w:val="24"/>
        </w:rPr>
        <w:t> </w:t>
      </w:r>
      <w:r>
        <w:rPr>
          <w:sz w:val="24"/>
        </w:rPr>
        <w:t>nav</w:t>
      </w:r>
      <w:r>
        <w:rPr>
          <w:spacing w:val="-5"/>
          <w:sz w:val="24"/>
        </w:rPr>
        <w:t> </w:t>
      </w:r>
      <w:r>
        <w:rPr>
          <w:sz w:val="24"/>
        </w:rPr>
        <w:t>veicis</w:t>
      </w:r>
      <w:r>
        <w:rPr>
          <w:spacing w:val="-5"/>
          <w:sz w:val="24"/>
        </w:rPr>
        <w:t> </w:t>
      </w:r>
      <w:r>
        <w:rPr>
          <w:sz w:val="24"/>
        </w:rPr>
        <w:t>no</w:t>
      </w:r>
      <w:r>
        <w:rPr>
          <w:spacing w:val="-8"/>
          <w:sz w:val="24"/>
        </w:rPr>
        <w:t> </w:t>
      </w:r>
      <w:r>
        <w:rPr>
          <w:sz w:val="24"/>
        </w:rPr>
        <w:t>sevis</w:t>
      </w:r>
      <w:r>
        <w:rPr>
          <w:spacing w:val="-9"/>
          <w:sz w:val="24"/>
        </w:rPr>
        <w:t> </w:t>
      </w:r>
      <w:r>
        <w:rPr>
          <w:sz w:val="24"/>
        </w:rPr>
        <w:t>atkarīgās</w:t>
      </w:r>
      <w:r>
        <w:rPr>
          <w:spacing w:val="-10"/>
          <w:sz w:val="24"/>
        </w:rPr>
        <w:t> </w:t>
      </w:r>
      <w:r>
        <w:rPr>
          <w:sz w:val="24"/>
        </w:rPr>
        <w:t>darbības,</w:t>
      </w:r>
      <w:r>
        <w:rPr>
          <w:spacing w:val="-8"/>
          <w:sz w:val="24"/>
        </w:rPr>
        <w:t> </w:t>
      </w:r>
      <w:r>
        <w:rPr>
          <w:sz w:val="24"/>
        </w:rPr>
        <w:t>lai</w:t>
      </w:r>
      <w:r>
        <w:rPr>
          <w:spacing w:val="-8"/>
          <w:sz w:val="24"/>
        </w:rPr>
        <w:t> </w:t>
      </w:r>
      <w:r>
        <w:rPr>
          <w:sz w:val="24"/>
        </w:rPr>
        <w:t>savu</w:t>
      </w:r>
      <w:r>
        <w:rPr>
          <w:spacing w:val="-8"/>
          <w:sz w:val="24"/>
        </w:rPr>
        <w:t> </w:t>
      </w:r>
      <w:r>
        <w:rPr>
          <w:sz w:val="24"/>
        </w:rPr>
        <w:t>ienākumu</w:t>
      </w:r>
      <w:r>
        <w:rPr>
          <w:spacing w:val="-5"/>
          <w:sz w:val="24"/>
        </w:rPr>
        <w:t> </w:t>
      </w:r>
      <w:r>
        <w:rPr>
          <w:sz w:val="24"/>
        </w:rPr>
        <w:t>apjomu palielinātu.</w:t>
      </w:r>
      <w:r>
        <w:rPr>
          <w:position w:val="9"/>
          <w:sz w:val="16"/>
        </w:rPr>
        <w:t>90</w:t>
      </w:r>
    </w:p>
    <w:p>
      <w:pPr>
        <w:pStyle w:val="BodyText"/>
        <w:jc w:val="left"/>
        <w:rPr>
          <w:sz w:val="20"/>
        </w:rPr>
      </w:pPr>
    </w:p>
    <w:p>
      <w:pPr>
        <w:pStyle w:val="BodyText"/>
        <w:jc w:val="left"/>
        <w:rPr>
          <w:sz w:val="20"/>
        </w:rPr>
      </w:pPr>
    </w:p>
    <w:p>
      <w:pPr>
        <w:pStyle w:val="BodyText"/>
        <w:spacing w:before="10"/>
        <w:jc w:val="left"/>
        <w:rPr>
          <w:sz w:val="16"/>
        </w:rPr>
      </w:pPr>
      <w:r>
        <w:rPr/>
        <w:pict>
          <v:shape style="position:absolute;margin-left:90pt;margin-top:11.964289pt;width:144pt;height:.1pt;mso-position-horizontal-relative:page;mso-position-vertical-relative:paragraph;z-index:-251640832;mso-wrap-distance-left:0;mso-wrap-distance-right:0" coordorigin="1800,239" coordsize="2880,0" path="m1800,239l4680,239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83 </w:t>
      </w:r>
      <w:r>
        <w:rPr>
          <w:sz w:val="20"/>
        </w:rPr>
        <w:t>Rīgas pilsētas Pārdaugavas tiesas 2018.gada 19.septembra nolēmums lietā Nr. C68244118</w:t>
      </w:r>
    </w:p>
    <w:p>
      <w:pPr>
        <w:spacing w:line="230" w:lineRule="exact" w:before="0"/>
        <w:ind w:left="620" w:right="0" w:firstLine="0"/>
        <w:jc w:val="left"/>
        <w:rPr>
          <w:sz w:val="20"/>
        </w:rPr>
      </w:pPr>
      <w:r>
        <w:rPr>
          <w:position w:val="7"/>
          <w:sz w:val="13"/>
        </w:rPr>
        <w:t>84  </w:t>
      </w:r>
      <w:r>
        <w:rPr>
          <w:sz w:val="20"/>
        </w:rPr>
        <w:t>Rīgas pilsētas Vidzemes priekšpilsētas tiesas 2018.gada 17.jūlija nolēmums lietā Nr.</w:t>
      </w:r>
      <w:r>
        <w:rPr>
          <w:spacing w:val="-32"/>
          <w:sz w:val="20"/>
        </w:rPr>
        <w:t> </w:t>
      </w:r>
      <w:r>
        <w:rPr>
          <w:sz w:val="20"/>
        </w:rPr>
        <w:t>C30502018</w:t>
      </w:r>
    </w:p>
    <w:p>
      <w:pPr>
        <w:spacing w:line="230" w:lineRule="exact" w:before="0"/>
        <w:ind w:left="620" w:right="0" w:firstLine="0"/>
        <w:jc w:val="left"/>
        <w:rPr>
          <w:sz w:val="20"/>
        </w:rPr>
      </w:pPr>
      <w:r>
        <w:rPr>
          <w:position w:val="7"/>
          <w:sz w:val="13"/>
        </w:rPr>
        <w:t>85  </w:t>
      </w:r>
      <w:r>
        <w:rPr>
          <w:sz w:val="20"/>
        </w:rPr>
        <w:t>Rīgas pilsētas Vidzemes priekšpilsētas tiesas 2018.gada 17.jūlija nolēmums lietā Nr.</w:t>
      </w:r>
      <w:r>
        <w:rPr>
          <w:spacing w:val="-32"/>
          <w:sz w:val="20"/>
        </w:rPr>
        <w:t> </w:t>
      </w:r>
      <w:r>
        <w:rPr>
          <w:sz w:val="20"/>
        </w:rPr>
        <w:t>C30502018</w:t>
      </w:r>
    </w:p>
    <w:p>
      <w:pPr>
        <w:spacing w:line="229" w:lineRule="exact" w:before="0"/>
        <w:ind w:left="620" w:right="0" w:firstLine="0"/>
        <w:jc w:val="left"/>
        <w:rPr>
          <w:sz w:val="20"/>
        </w:rPr>
      </w:pPr>
      <w:r>
        <w:rPr>
          <w:position w:val="7"/>
          <w:sz w:val="13"/>
        </w:rPr>
        <w:t>86 </w:t>
      </w:r>
      <w:r>
        <w:rPr>
          <w:sz w:val="20"/>
        </w:rPr>
        <w:t>Rīgas pilsētas Vidzemes priekšpilsētas tiesas 2017.gada 24.novembra nolēmums lietā Nr. C30549717</w:t>
      </w:r>
    </w:p>
    <w:p>
      <w:pPr>
        <w:spacing w:line="229" w:lineRule="exact" w:before="0"/>
        <w:ind w:left="620" w:right="0" w:firstLine="0"/>
        <w:jc w:val="left"/>
        <w:rPr>
          <w:sz w:val="20"/>
        </w:rPr>
      </w:pPr>
      <w:r>
        <w:rPr>
          <w:position w:val="7"/>
          <w:sz w:val="13"/>
        </w:rPr>
        <w:t>87 </w:t>
      </w:r>
      <w:r>
        <w:rPr>
          <w:sz w:val="20"/>
        </w:rPr>
        <w:t>Rīgas pilsētas Pārdaugavas tiesas 2018.gada 19.septembra nolēmums lietā Nr. C68244118</w:t>
      </w:r>
    </w:p>
    <w:p>
      <w:pPr>
        <w:spacing w:line="230" w:lineRule="exact" w:before="0"/>
        <w:ind w:left="620" w:right="0" w:firstLine="0"/>
        <w:jc w:val="left"/>
        <w:rPr>
          <w:sz w:val="20"/>
        </w:rPr>
      </w:pPr>
      <w:r>
        <w:rPr>
          <w:position w:val="7"/>
          <w:sz w:val="13"/>
        </w:rPr>
        <w:t>88  </w:t>
      </w:r>
      <w:r>
        <w:rPr>
          <w:sz w:val="20"/>
        </w:rPr>
        <w:t>Rīgas rajona tiesas 2018.gada 10.jūlija nolēmums lietā Nr.</w:t>
      </w:r>
      <w:r>
        <w:rPr>
          <w:spacing w:val="-28"/>
          <w:sz w:val="20"/>
        </w:rPr>
        <w:t> </w:t>
      </w:r>
      <w:r>
        <w:rPr>
          <w:sz w:val="20"/>
        </w:rPr>
        <w:t>C3336818</w:t>
      </w:r>
    </w:p>
    <w:p>
      <w:pPr>
        <w:spacing w:line="230" w:lineRule="exact" w:before="0"/>
        <w:ind w:left="620" w:right="0" w:firstLine="0"/>
        <w:jc w:val="left"/>
        <w:rPr>
          <w:sz w:val="20"/>
        </w:rPr>
      </w:pPr>
      <w:r>
        <w:rPr>
          <w:position w:val="7"/>
          <w:sz w:val="13"/>
        </w:rPr>
        <w:t>89  </w:t>
      </w:r>
      <w:r>
        <w:rPr>
          <w:sz w:val="20"/>
        </w:rPr>
        <w:t>Rīgas rajona tiesas 2018.gada 10.jūlija nolēmums lietā Nr.</w:t>
      </w:r>
      <w:r>
        <w:rPr>
          <w:spacing w:val="-28"/>
          <w:sz w:val="20"/>
        </w:rPr>
        <w:t> </w:t>
      </w:r>
      <w:r>
        <w:rPr>
          <w:sz w:val="20"/>
        </w:rPr>
        <w:t>C3336818</w:t>
      </w:r>
    </w:p>
    <w:p>
      <w:pPr>
        <w:spacing w:line="233" w:lineRule="exact" w:before="0"/>
        <w:ind w:left="620" w:right="0" w:firstLine="0"/>
        <w:jc w:val="left"/>
        <w:rPr>
          <w:sz w:val="20"/>
        </w:rPr>
      </w:pPr>
      <w:r>
        <w:rPr>
          <w:position w:val="7"/>
          <w:sz w:val="13"/>
        </w:rPr>
        <w:t>90 </w:t>
      </w:r>
      <w:r>
        <w:rPr>
          <w:sz w:val="20"/>
        </w:rPr>
        <w:t>Rīgas pilsētas Pārdaugavas tiesas 2018.gada 19.septembra nolēmums lietā Nr. C68244118</w:t>
      </w:r>
    </w:p>
    <w:p>
      <w:pPr>
        <w:spacing w:after="0" w:line="233" w:lineRule="exact"/>
        <w:jc w:val="left"/>
        <w:rPr>
          <w:sz w:val="20"/>
        </w:rPr>
        <w:sectPr>
          <w:pgSz w:w="11910" w:h="16840"/>
          <w:pgMar w:header="0" w:footer="1055" w:top="1340" w:bottom="1240" w:left="1180" w:right="1040"/>
        </w:sectPr>
      </w:pPr>
    </w:p>
    <w:p>
      <w:pPr>
        <w:pStyle w:val="ListParagraph"/>
        <w:numPr>
          <w:ilvl w:val="1"/>
          <w:numId w:val="21"/>
        </w:numPr>
        <w:tabs>
          <w:tab w:pos="1340" w:val="left" w:leader="none"/>
        </w:tabs>
        <w:spacing w:line="235" w:lineRule="auto" w:before="78" w:after="0"/>
        <w:ind w:left="1340" w:right="761" w:hanging="360"/>
        <w:jc w:val="both"/>
        <w:rPr>
          <w:sz w:val="16"/>
        </w:rPr>
      </w:pPr>
      <w:r>
        <w:rPr>
          <w:sz w:val="24"/>
        </w:rPr>
        <w:t>Uzņemas parādsaistības apzinoties, ka tās netiks izpildītas - fiziskās personas maksātnespējas procesa mērķis ir pēc iespējas pilnīgāk apmierināt kreditoru prasījumus, nevis izvairīties no saistību izpildes, uzņemoties parādsaistības un apzinoties, ka tās netiks</w:t>
      </w:r>
      <w:r>
        <w:rPr>
          <w:spacing w:val="-1"/>
          <w:sz w:val="24"/>
        </w:rPr>
        <w:t> </w:t>
      </w:r>
      <w:r>
        <w:rPr>
          <w:sz w:val="24"/>
        </w:rPr>
        <w:t>izpildītas.</w:t>
      </w:r>
      <w:r>
        <w:rPr>
          <w:position w:val="9"/>
          <w:sz w:val="16"/>
        </w:rPr>
        <w:t>91</w:t>
      </w:r>
    </w:p>
    <w:p>
      <w:pPr>
        <w:pStyle w:val="ListParagraph"/>
        <w:numPr>
          <w:ilvl w:val="1"/>
          <w:numId w:val="21"/>
        </w:numPr>
        <w:tabs>
          <w:tab w:pos="1340" w:val="left" w:leader="none"/>
        </w:tabs>
        <w:spacing w:line="235" w:lineRule="auto" w:before="7" w:after="0"/>
        <w:ind w:left="1340" w:right="764" w:hanging="360"/>
        <w:jc w:val="both"/>
        <w:rPr>
          <w:sz w:val="16"/>
        </w:rPr>
      </w:pPr>
      <w:r>
        <w:rPr>
          <w:sz w:val="24"/>
        </w:rPr>
        <w:t>Nevērīga attieksme pret saistībām - parādnieces rīcību aizņemoties naudas līdzekļus, kurus viņa ir atdevusi savai paziņai, tā vietā, lai izpildītu </w:t>
      </w:r>
      <w:r>
        <w:rPr>
          <w:spacing w:val="-4"/>
          <w:sz w:val="24"/>
        </w:rPr>
        <w:t>citas </w:t>
      </w:r>
      <w:r>
        <w:rPr>
          <w:sz w:val="24"/>
        </w:rPr>
        <w:t>saistības, var atzīt par nevērīgu attieksmi pret saistībām, kuras tai pašā laikā netika pildītas.</w:t>
      </w:r>
      <w:r>
        <w:rPr>
          <w:position w:val="9"/>
          <w:sz w:val="16"/>
        </w:rPr>
        <w:t>92</w:t>
      </w:r>
    </w:p>
    <w:p>
      <w:pPr>
        <w:pStyle w:val="ListParagraph"/>
        <w:numPr>
          <w:ilvl w:val="1"/>
          <w:numId w:val="21"/>
        </w:numPr>
        <w:tabs>
          <w:tab w:pos="1340" w:val="left" w:leader="none"/>
        </w:tabs>
        <w:spacing w:line="237" w:lineRule="auto" w:before="4" w:after="0"/>
        <w:ind w:left="1340" w:right="761" w:hanging="360"/>
        <w:jc w:val="both"/>
        <w:rPr>
          <w:sz w:val="16"/>
        </w:rPr>
      </w:pPr>
      <w:r>
        <w:rPr>
          <w:sz w:val="24"/>
        </w:rPr>
        <w:t>Parādnieks dzīvo pāri saviem līdzekļiem, uzņemoties saistības apmērā, kas pārsniedz viņa ienākumu - no pieteikumam pievienotajiem dokumentiem, tostarp, kreditora priekšlikuma izbeigt Parādnieka maksātnespējas procesu redzams, ka parādnieks dzīvo pāri saviem līdzekļiem, izturējies bezatbildīgi, </w:t>
      </w:r>
      <w:r>
        <w:rPr>
          <w:spacing w:val="-6"/>
          <w:sz w:val="24"/>
        </w:rPr>
        <w:t>jo </w:t>
      </w:r>
      <w:r>
        <w:rPr>
          <w:sz w:val="24"/>
        </w:rPr>
        <w:t>nav izvērtējis aizņēmumu izsniegšanas nosacījumus, un neveicot viena aizņēmuma atmaksu, jau iesaistījās citās saistībās. Tiesa atzīst par pamatotu kreditora argumentu, ka parādnieks triju gadu laikā pirms maksātnespējas procesa ir uzņēmies saistības apmērā, kas pārsniedz viņa</w:t>
      </w:r>
      <w:r>
        <w:rPr>
          <w:spacing w:val="-7"/>
          <w:sz w:val="24"/>
        </w:rPr>
        <w:t> </w:t>
      </w:r>
      <w:r>
        <w:rPr>
          <w:sz w:val="24"/>
        </w:rPr>
        <w:t>ienākumus.</w:t>
      </w:r>
      <w:r>
        <w:rPr>
          <w:position w:val="9"/>
          <w:sz w:val="16"/>
        </w:rPr>
        <w:t>93</w:t>
      </w:r>
    </w:p>
    <w:p>
      <w:pPr>
        <w:pStyle w:val="ListParagraph"/>
        <w:numPr>
          <w:ilvl w:val="1"/>
          <w:numId w:val="21"/>
        </w:numPr>
        <w:tabs>
          <w:tab w:pos="1340" w:val="left" w:leader="none"/>
        </w:tabs>
        <w:spacing w:line="240" w:lineRule="auto" w:before="5" w:after="0"/>
        <w:ind w:left="1340" w:right="0" w:hanging="360"/>
        <w:jc w:val="both"/>
        <w:rPr>
          <w:sz w:val="24"/>
        </w:rPr>
      </w:pPr>
      <w:r>
        <w:rPr>
          <w:sz w:val="24"/>
        </w:rPr>
        <w:t>Nelabticīgs un negodprātīgs</w:t>
      </w:r>
      <w:r>
        <w:rPr>
          <w:spacing w:val="-1"/>
          <w:sz w:val="24"/>
        </w:rPr>
        <w:t> </w:t>
      </w:r>
      <w:r>
        <w:rPr>
          <w:sz w:val="24"/>
        </w:rPr>
        <w:t>parādnieks:</w:t>
      </w:r>
    </w:p>
    <w:p>
      <w:pPr>
        <w:pStyle w:val="BodyText"/>
        <w:ind w:left="1961" w:right="762" w:hanging="569"/>
      </w:pPr>
      <w:r>
        <w:rPr/>
        <w:t>(aa) Ar fiziskās personas maksātnespējas procesu ieviešanu tika plānots nodrošināt godprātīgām fiziskām personām, kas ekonomiski un sociālu apstākļu dēļ kļuvušas maksātnespējīgas, tiek dota "otrā" iespēja uzsākt atbildīgu un maksātspējīgu dzīvi (skat. Tieslietu ministrija. Likumprojekta "Maksātnespējas likums" anotācija.2009, 6 lpp.).</w:t>
      </w:r>
    </w:p>
    <w:p>
      <w:pPr>
        <w:pStyle w:val="BodyText"/>
        <w:ind w:left="1961" w:right="761" w:hanging="569"/>
      </w:pPr>
      <w:r>
        <w:rPr/>
        <w:t>(bb) Atbilstoši Maksātnespējas likuma 6.panta 8.punktā  noteiktajam labticības principam visām maksātnespējas procesā iesaistītajām personām savas tiesības jāpilda labā ticībā. Saskaņā ar tiesību doktrīnā norādīto - laba ticība nozīmē to, ka katram savas subjektīvās tiesības jāīsteno un subjektīvie pienākumi jāpilda, ievērojot citu personu pamatotas intereses. Ņemot vērā minēto, secināms, ka arī Parādniekam savas tiesības un pienākumi jāīsteno</w:t>
      </w:r>
      <w:r>
        <w:rPr>
          <w:spacing w:val="-4"/>
        </w:rPr>
        <w:t> </w:t>
      </w:r>
      <w:r>
        <w:rPr/>
        <w:t>labticīgi.</w:t>
      </w:r>
    </w:p>
    <w:p>
      <w:pPr>
        <w:pStyle w:val="BodyText"/>
        <w:spacing w:line="237" w:lineRule="auto" w:before="2"/>
        <w:ind w:left="1961" w:right="761" w:hanging="569"/>
        <w:rPr>
          <w:sz w:val="16"/>
        </w:rPr>
      </w:pPr>
      <w:r>
        <w:rPr/>
        <w:t>(cc) Tiesa atzīst, ka fiziskās personas maksātnespējas process ir veids, kā persona, maksātnespējas procesa administratora uzraudzībā un maksātnespējas procesu reglamentējošo normatīvo aktu noteiktajā kārtībā, var atjaunot maksātspēju un pēc saistību dzēšanas procedūras beigām</w:t>
      </w:r>
      <w:r>
        <w:rPr>
          <w:spacing w:val="-17"/>
        </w:rPr>
        <w:t> </w:t>
      </w:r>
      <w:r>
        <w:rPr/>
        <w:t>tikt</w:t>
      </w:r>
      <w:r>
        <w:rPr>
          <w:spacing w:val="-15"/>
        </w:rPr>
        <w:t> </w:t>
      </w:r>
      <w:r>
        <w:rPr/>
        <w:t>atbrīvota</w:t>
      </w:r>
      <w:r>
        <w:rPr>
          <w:spacing w:val="-10"/>
        </w:rPr>
        <w:t> </w:t>
      </w:r>
      <w:r>
        <w:rPr/>
        <w:t>no</w:t>
      </w:r>
      <w:r>
        <w:rPr>
          <w:spacing w:val="-15"/>
        </w:rPr>
        <w:t> </w:t>
      </w:r>
      <w:r>
        <w:rPr/>
        <w:t>parādsaistībām.</w:t>
      </w:r>
      <w:r>
        <w:rPr>
          <w:spacing w:val="-14"/>
        </w:rPr>
        <w:t> </w:t>
      </w:r>
      <w:r>
        <w:rPr/>
        <w:t>Tomēr,</w:t>
      </w:r>
      <w:r>
        <w:rPr>
          <w:spacing w:val="-17"/>
        </w:rPr>
        <w:t> </w:t>
      </w:r>
      <w:r>
        <w:rPr/>
        <w:t>šādu</w:t>
      </w:r>
      <w:r>
        <w:rPr>
          <w:spacing w:val="-14"/>
        </w:rPr>
        <w:t> </w:t>
      </w:r>
      <w:r>
        <w:rPr/>
        <w:t>tiesisko</w:t>
      </w:r>
      <w:r>
        <w:rPr>
          <w:spacing w:val="-15"/>
        </w:rPr>
        <w:t> </w:t>
      </w:r>
      <w:r>
        <w:rPr/>
        <w:t>aizsardzību var baudīt persona, kura pati ir bijusi godprātīga un uz kuru nevar attiecināt Maksātnespējas likumā noteiktos ierobežojumus.</w:t>
      </w:r>
      <w:r>
        <w:rPr>
          <w:spacing w:val="-24"/>
        </w:rPr>
        <w:t> </w:t>
      </w:r>
      <w:r>
        <w:rPr>
          <w:position w:val="9"/>
          <w:sz w:val="16"/>
        </w:rPr>
        <w:t>94</w:t>
      </w:r>
    </w:p>
    <w:p>
      <w:pPr>
        <w:pStyle w:val="BodyText"/>
        <w:spacing w:line="237" w:lineRule="auto" w:before="5"/>
        <w:ind w:left="1961" w:right="763" w:hanging="569"/>
      </w:pPr>
      <w:r>
        <w:rPr/>
        <w:t>(dd) Maksātnespējas likuma 130.panta un 153.pantā minēto šķēršļu pamatā ir starptautiskā praksē plaši akceptēts princips, ka “otrā iespēja” pienākas tikai labticīgiem parādniekiem. Tā kā parādnieka atbrīvošana no pārmērīgām saistībām notiek, kreditoriem zaudējot nesegtos prasījumus pret parādnieku, būtu netaisnīgi no kreditoriem prasīt šādu pametumu,</w:t>
      </w:r>
      <w:r>
        <w:rPr>
          <w:spacing w:val="-29"/>
        </w:rPr>
        <w:t> </w:t>
      </w:r>
      <w:r>
        <w:rPr/>
        <w:t>ja parādnieks ir nelabticīgs (skat. Civilprocesa likuma komentāri. II daļa (29-60.</w:t>
      </w:r>
      <w:r>
        <w:rPr>
          <w:position w:val="9"/>
          <w:sz w:val="16"/>
        </w:rPr>
        <w:t>1</w:t>
      </w:r>
      <w:r>
        <w:rPr/>
        <w:t>nodaļa. Sagatavojis autoru kolektīvs prof. K.Torgāna zinātniskajā redakcijā. – Rīga: Tiesu namu aģentūra, 2012,</w:t>
      </w:r>
      <w:r>
        <w:rPr>
          <w:spacing w:val="-2"/>
        </w:rPr>
        <w:t> </w:t>
      </w:r>
      <w:r>
        <w:rPr/>
        <w:t>515.lpp.).</w:t>
      </w:r>
    </w:p>
    <w:p>
      <w:pPr>
        <w:pStyle w:val="BodyText"/>
        <w:jc w:val="left"/>
        <w:rPr>
          <w:sz w:val="20"/>
        </w:rPr>
      </w:pPr>
    </w:p>
    <w:p>
      <w:pPr>
        <w:pStyle w:val="BodyText"/>
        <w:jc w:val="left"/>
        <w:rPr>
          <w:sz w:val="20"/>
        </w:rPr>
      </w:pPr>
    </w:p>
    <w:p>
      <w:pPr>
        <w:pStyle w:val="BodyText"/>
        <w:spacing w:before="10"/>
        <w:jc w:val="left"/>
      </w:pPr>
      <w:r>
        <w:rPr/>
        <w:pict>
          <v:shape style="position:absolute;margin-left:72pt;margin-top:16.576902pt;width:144pt;height:.1pt;mso-position-horizontal-relative:page;mso-position-vertical-relative:paragraph;z-index:-251639808;mso-wrap-distance-left:0;mso-wrap-distance-right:0" coordorigin="1440,332" coordsize="2880,0" path="m1440,332l4320,332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91 </w:t>
      </w:r>
      <w:r>
        <w:rPr>
          <w:sz w:val="20"/>
        </w:rPr>
        <w:t>Rīgas pilsētas Pārdaugavas tiesas 2018.gada 19.septembra nolēmums lietā Nr. C68244118</w:t>
      </w:r>
    </w:p>
    <w:p>
      <w:pPr>
        <w:spacing w:line="230" w:lineRule="exact" w:before="0"/>
        <w:ind w:left="260" w:right="0" w:firstLine="0"/>
        <w:jc w:val="left"/>
        <w:rPr>
          <w:sz w:val="20"/>
        </w:rPr>
      </w:pPr>
      <w:r>
        <w:rPr>
          <w:position w:val="7"/>
          <w:sz w:val="13"/>
        </w:rPr>
        <w:t>92 </w:t>
      </w:r>
      <w:r>
        <w:rPr>
          <w:sz w:val="20"/>
        </w:rPr>
        <w:t>Rīgas rajona tiesas 2018.gada 10.jūlija nolēmums lietā Nr. C3336818</w:t>
      </w:r>
    </w:p>
    <w:p>
      <w:pPr>
        <w:spacing w:line="230" w:lineRule="exact" w:before="0"/>
        <w:ind w:left="260" w:right="0" w:firstLine="0"/>
        <w:jc w:val="left"/>
        <w:rPr>
          <w:sz w:val="20"/>
        </w:rPr>
      </w:pPr>
      <w:r>
        <w:rPr>
          <w:position w:val="7"/>
          <w:sz w:val="13"/>
        </w:rPr>
        <w:t>93 </w:t>
      </w:r>
      <w:r>
        <w:rPr>
          <w:sz w:val="20"/>
        </w:rPr>
        <w:t>Rīgas pilsētas Vidzemes priekšpilsētas tiesas 2018.gada 17.jūlija nolēmums lietā Nr. C30502018</w:t>
      </w:r>
    </w:p>
    <w:p>
      <w:pPr>
        <w:spacing w:line="233" w:lineRule="exact" w:before="0"/>
        <w:ind w:left="260" w:right="0" w:firstLine="0"/>
        <w:jc w:val="left"/>
        <w:rPr>
          <w:sz w:val="20"/>
        </w:rPr>
      </w:pPr>
      <w:r>
        <w:rPr>
          <w:position w:val="7"/>
          <w:sz w:val="13"/>
        </w:rPr>
        <w:t>94 </w:t>
      </w:r>
      <w:r>
        <w:rPr>
          <w:sz w:val="20"/>
        </w:rPr>
        <w:t>Rīgas pilsētas Pārdaugavas tiesas 2018.gada 19.septembra nolēmums lietā Nr. C68244118</w:t>
      </w:r>
    </w:p>
    <w:p>
      <w:pPr>
        <w:spacing w:after="0" w:line="233" w:lineRule="exact"/>
        <w:jc w:val="left"/>
        <w:rPr>
          <w:sz w:val="20"/>
        </w:rPr>
        <w:sectPr>
          <w:pgSz w:w="11910" w:h="16840"/>
          <w:pgMar w:header="0" w:footer="1055" w:top="1340" w:bottom="1240" w:left="1180" w:right="1040"/>
        </w:sectPr>
      </w:pPr>
    </w:p>
    <w:p>
      <w:pPr>
        <w:pStyle w:val="ListParagraph"/>
        <w:numPr>
          <w:ilvl w:val="0"/>
          <w:numId w:val="21"/>
        </w:numPr>
        <w:tabs>
          <w:tab w:pos="1340" w:val="left" w:leader="none"/>
        </w:tabs>
        <w:spacing w:line="240" w:lineRule="auto" w:before="73" w:after="0"/>
        <w:ind w:left="1340" w:right="403" w:hanging="360"/>
        <w:jc w:val="both"/>
        <w:rPr>
          <w:sz w:val="24"/>
        </w:rPr>
      </w:pPr>
      <w:r>
        <w:rPr>
          <w:b/>
          <w:sz w:val="24"/>
        </w:rPr>
        <w:t>Maksātnespējas likuma 153.panta 2.punkts: </w:t>
      </w:r>
      <w:r>
        <w:rPr>
          <w:i/>
          <w:sz w:val="24"/>
        </w:rPr>
        <w:t>parādnieks ir sniedzis apzināti </w:t>
      </w:r>
      <w:r>
        <w:rPr>
          <w:i/>
          <w:sz w:val="24"/>
        </w:rPr>
        <w:t>nepatiesu informāciju par savu mantisko stāvokli un slēpis savus </w:t>
      </w:r>
      <w:r>
        <w:rPr>
          <w:i/>
          <w:spacing w:val="-3"/>
          <w:sz w:val="24"/>
        </w:rPr>
        <w:t>patiesos </w:t>
      </w:r>
      <w:r>
        <w:rPr>
          <w:i/>
          <w:sz w:val="24"/>
        </w:rPr>
        <w:t>ienākumus</w:t>
      </w:r>
      <w:r>
        <w:rPr>
          <w:sz w:val="24"/>
        </w:rPr>
        <w:t>.</w:t>
      </w:r>
    </w:p>
    <w:p>
      <w:pPr>
        <w:pStyle w:val="BodyText"/>
        <w:ind w:left="1340"/>
      </w:pPr>
      <w:r>
        <w:rPr/>
        <w:t>Norādīts kā pamats bankrota procedūras pabeigšanai 6 lietās no 26:</w:t>
      </w:r>
    </w:p>
    <w:p>
      <w:pPr>
        <w:pStyle w:val="ListParagraph"/>
        <w:numPr>
          <w:ilvl w:val="1"/>
          <w:numId w:val="21"/>
        </w:numPr>
        <w:tabs>
          <w:tab w:pos="1753" w:val="left" w:leader="none"/>
        </w:tabs>
        <w:spacing w:line="240" w:lineRule="auto" w:before="0" w:after="0"/>
        <w:ind w:left="1752" w:right="403" w:hanging="425"/>
        <w:jc w:val="both"/>
        <w:rPr>
          <w:sz w:val="24"/>
        </w:rPr>
      </w:pPr>
      <w:r>
        <w:rPr>
          <w:sz w:val="24"/>
        </w:rPr>
        <w:t>Parādnieks nav pārskaitījis </w:t>
      </w:r>
      <w:r>
        <w:rPr>
          <w:b/>
          <w:sz w:val="24"/>
        </w:rPr>
        <w:t>vienu trešdaļu </w:t>
      </w:r>
      <w:r>
        <w:rPr>
          <w:sz w:val="24"/>
        </w:rPr>
        <w:t>no saviem ienākumiem uz administratora atvērto kontu kredītiestādē un / vai samaksājis </w:t>
      </w:r>
      <w:r>
        <w:rPr>
          <w:b/>
          <w:sz w:val="24"/>
        </w:rPr>
        <w:t>administratora atlīdzību</w:t>
      </w:r>
      <w:r>
        <w:rPr>
          <w:b/>
          <w:spacing w:val="-7"/>
          <w:sz w:val="24"/>
        </w:rPr>
        <w:t> </w:t>
      </w:r>
      <w:r>
        <w:rPr>
          <w:sz w:val="24"/>
        </w:rPr>
        <w:t>(3</w:t>
      </w:r>
      <w:r>
        <w:rPr>
          <w:spacing w:val="-8"/>
          <w:sz w:val="24"/>
        </w:rPr>
        <w:t> </w:t>
      </w:r>
      <w:r>
        <w:rPr>
          <w:sz w:val="24"/>
        </w:rPr>
        <w:t>lietās</w:t>
      </w:r>
      <w:r>
        <w:rPr>
          <w:spacing w:val="-8"/>
          <w:sz w:val="24"/>
        </w:rPr>
        <w:t> </w:t>
      </w:r>
      <w:r>
        <w:rPr>
          <w:sz w:val="24"/>
        </w:rPr>
        <w:t>no</w:t>
      </w:r>
      <w:r>
        <w:rPr>
          <w:spacing w:val="-8"/>
          <w:sz w:val="24"/>
        </w:rPr>
        <w:t> </w:t>
      </w:r>
      <w:r>
        <w:rPr>
          <w:sz w:val="24"/>
        </w:rPr>
        <w:t>26)</w:t>
      </w:r>
      <w:r>
        <w:rPr>
          <w:spacing w:val="-12"/>
          <w:sz w:val="24"/>
        </w:rPr>
        <w:t> </w:t>
      </w:r>
      <w:r>
        <w:rPr>
          <w:sz w:val="24"/>
        </w:rPr>
        <w:t>–</w:t>
      </w:r>
      <w:r>
        <w:rPr>
          <w:spacing w:val="-8"/>
          <w:sz w:val="24"/>
        </w:rPr>
        <w:t> </w:t>
      </w:r>
      <w:r>
        <w:rPr>
          <w:sz w:val="24"/>
        </w:rPr>
        <w:t>patieso</w:t>
      </w:r>
      <w:r>
        <w:rPr>
          <w:spacing w:val="-8"/>
          <w:sz w:val="24"/>
        </w:rPr>
        <w:t> </w:t>
      </w:r>
      <w:r>
        <w:rPr>
          <w:sz w:val="24"/>
        </w:rPr>
        <w:t>ienākumu</w:t>
      </w:r>
      <w:r>
        <w:rPr>
          <w:spacing w:val="-8"/>
          <w:sz w:val="24"/>
        </w:rPr>
        <w:t> </w:t>
      </w:r>
      <w:r>
        <w:rPr>
          <w:sz w:val="24"/>
        </w:rPr>
        <w:t>slēpšana</w:t>
      </w:r>
      <w:r>
        <w:rPr>
          <w:spacing w:val="-8"/>
          <w:sz w:val="24"/>
        </w:rPr>
        <w:t> </w:t>
      </w:r>
      <w:r>
        <w:rPr>
          <w:sz w:val="24"/>
        </w:rPr>
        <w:t>(Maksātnespējas</w:t>
      </w:r>
      <w:r>
        <w:rPr>
          <w:spacing w:val="-8"/>
          <w:sz w:val="24"/>
        </w:rPr>
        <w:t> </w:t>
      </w:r>
      <w:r>
        <w:rPr>
          <w:sz w:val="24"/>
        </w:rPr>
        <w:t>likuma 139.pantā noteiktie parādnieka pienākumi tā brīža likuma</w:t>
      </w:r>
      <w:r>
        <w:rPr>
          <w:spacing w:val="-1"/>
          <w:sz w:val="24"/>
        </w:rPr>
        <w:t> </w:t>
      </w:r>
      <w:r>
        <w:rPr>
          <w:sz w:val="24"/>
        </w:rPr>
        <w:t>redakcijā):</w:t>
      </w:r>
    </w:p>
    <w:p>
      <w:pPr>
        <w:pStyle w:val="BodyText"/>
        <w:spacing w:line="237" w:lineRule="auto" w:before="3"/>
        <w:ind w:left="2321" w:right="402" w:hanging="569"/>
        <w:rPr>
          <w:sz w:val="16"/>
        </w:rPr>
      </w:pPr>
      <w:r>
        <w:rPr/>
        <w:t>(aa) Tiesa uzskata, ka nav pamata parādniecei piemērot saistību dzēšanas procedūru, jo parādniece ir sniegusi apzināti nepatiesu informāciju par savu mantisko stāvokli, nav informējusi par to, vai ir reāli saņēmusi ienākumus,</w:t>
      </w:r>
      <w:r>
        <w:rPr>
          <w:spacing w:val="-10"/>
        </w:rPr>
        <w:t> </w:t>
      </w:r>
      <w:r>
        <w:rPr/>
        <w:t>kā</w:t>
      </w:r>
      <w:r>
        <w:rPr>
          <w:spacing w:val="-10"/>
        </w:rPr>
        <w:t> </w:t>
      </w:r>
      <w:r>
        <w:rPr/>
        <w:t>arī</w:t>
      </w:r>
      <w:r>
        <w:rPr>
          <w:spacing w:val="-10"/>
        </w:rPr>
        <w:t> </w:t>
      </w:r>
      <w:r>
        <w:rPr/>
        <w:t>nav</w:t>
      </w:r>
      <w:r>
        <w:rPr>
          <w:spacing w:val="-11"/>
        </w:rPr>
        <w:t> </w:t>
      </w:r>
      <w:r>
        <w:rPr/>
        <w:t>ieskaitījusi</w:t>
      </w:r>
      <w:r>
        <w:rPr>
          <w:spacing w:val="-10"/>
        </w:rPr>
        <w:t> </w:t>
      </w:r>
      <w:r>
        <w:rPr/>
        <w:t>1/3</w:t>
      </w:r>
      <w:r>
        <w:rPr>
          <w:spacing w:val="-10"/>
        </w:rPr>
        <w:t> </w:t>
      </w:r>
      <w:r>
        <w:rPr/>
        <w:t>daļu</w:t>
      </w:r>
      <w:r>
        <w:rPr>
          <w:spacing w:val="-9"/>
        </w:rPr>
        <w:t> </w:t>
      </w:r>
      <w:r>
        <w:rPr/>
        <w:t>no</w:t>
      </w:r>
      <w:r>
        <w:rPr>
          <w:spacing w:val="-10"/>
        </w:rPr>
        <w:t> </w:t>
      </w:r>
      <w:r>
        <w:rPr/>
        <w:t>ienākumiem</w:t>
      </w:r>
      <w:r>
        <w:rPr>
          <w:spacing w:val="-10"/>
        </w:rPr>
        <w:t> </w:t>
      </w:r>
      <w:r>
        <w:rPr/>
        <w:t>administratora kontā un nav veikusi samaksu administratora vienreizējai atlīdzībai. Tiesai ir pamats uzskatam, ka parādniece maksātnespējas procesu izmanto tam neparedzētiem mērķiem, tas ir - parādniece nav tendēta </w:t>
      </w:r>
      <w:r>
        <w:rPr>
          <w:spacing w:val="-6"/>
        </w:rPr>
        <w:t>uz </w:t>
      </w:r>
      <w:r>
        <w:rPr/>
        <w:t>kreditoru prasījumu apmierināšanu, bet tikai uz saistību izpildes termiņa apturēšanu. Tiesa uzskata, ka parādniece maksātnespējas procesu izmanto ļaunprātīgi.</w:t>
      </w:r>
      <w:r>
        <w:rPr>
          <w:position w:val="9"/>
          <w:sz w:val="16"/>
        </w:rPr>
        <w:t>95</w:t>
      </w:r>
    </w:p>
    <w:p>
      <w:pPr>
        <w:pStyle w:val="BodyText"/>
        <w:spacing w:before="10"/>
        <w:ind w:left="1752"/>
      </w:pPr>
      <w:r>
        <w:rPr/>
        <w:t>(bb) Parādnieka rīcība, nepildot Maksātnespējas likumā noteiktos pienākumus</w:t>
      </w:r>
    </w:p>
    <w:p>
      <w:pPr>
        <w:spacing w:line="237" w:lineRule="auto" w:before="2"/>
        <w:ind w:left="2321" w:right="403" w:firstLine="0"/>
        <w:jc w:val="both"/>
        <w:rPr>
          <w:sz w:val="16"/>
        </w:rPr>
      </w:pPr>
      <w:r>
        <w:rPr>
          <w:sz w:val="24"/>
        </w:rPr>
        <w:t>- </w:t>
      </w:r>
      <w:r>
        <w:rPr>
          <w:i/>
          <w:sz w:val="24"/>
        </w:rPr>
        <w:t>nepārskaitot vienu trešdaļu no saviem ienākumiem uz administratora </w:t>
      </w:r>
      <w:r>
        <w:rPr>
          <w:i/>
          <w:sz w:val="24"/>
        </w:rPr>
        <w:t>atvērot norēķina kontu bankrota procedūras ietvaros</w:t>
      </w:r>
      <w:r>
        <w:rPr>
          <w:sz w:val="24"/>
        </w:rPr>
        <w:t>, liecina par acīmredzamu neieinteresētību savā maksātnespējas procesā. Minētais liecina, ka parādnieks kavē savu maksātnespējas procesu. Parādnieka rīcība nepildot Maksātnespējas likuma prasības viennozīmīgi ir pielīdzināma Maksātnespējas likuma 153.panta 2.punktā norādītajam ierobežojumam.</w:t>
      </w:r>
      <w:r>
        <w:rPr>
          <w:position w:val="9"/>
          <w:sz w:val="16"/>
        </w:rPr>
        <w:t>96</w:t>
      </w:r>
    </w:p>
    <w:p>
      <w:pPr>
        <w:pStyle w:val="ListParagraph"/>
        <w:numPr>
          <w:ilvl w:val="1"/>
          <w:numId w:val="21"/>
        </w:numPr>
        <w:tabs>
          <w:tab w:pos="1753" w:val="left" w:leader="none"/>
        </w:tabs>
        <w:spacing w:line="240" w:lineRule="auto" w:before="2" w:after="0"/>
        <w:ind w:left="1752" w:right="403" w:hanging="425"/>
        <w:jc w:val="both"/>
        <w:rPr>
          <w:sz w:val="24"/>
        </w:rPr>
      </w:pPr>
      <w:r>
        <w:rPr>
          <w:sz w:val="24"/>
        </w:rPr>
        <w:t>Administratoram un tiesai </w:t>
      </w:r>
      <w:r>
        <w:rPr>
          <w:b/>
          <w:sz w:val="24"/>
        </w:rPr>
        <w:t>netiek iesniegts saistību dzēšanas plāns </w:t>
      </w:r>
      <w:r>
        <w:rPr>
          <w:sz w:val="24"/>
        </w:rPr>
        <w:t>(netiek pildīts</w:t>
      </w:r>
      <w:r>
        <w:rPr>
          <w:spacing w:val="-13"/>
          <w:sz w:val="24"/>
        </w:rPr>
        <w:t> </w:t>
      </w:r>
      <w:r>
        <w:rPr>
          <w:sz w:val="24"/>
        </w:rPr>
        <w:t>Maksātnespējas</w:t>
      </w:r>
      <w:r>
        <w:rPr>
          <w:spacing w:val="-13"/>
          <w:sz w:val="24"/>
        </w:rPr>
        <w:t> </w:t>
      </w:r>
      <w:r>
        <w:rPr>
          <w:sz w:val="24"/>
        </w:rPr>
        <w:t>likuma</w:t>
      </w:r>
      <w:r>
        <w:rPr>
          <w:spacing w:val="-13"/>
          <w:sz w:val="24"/>
        </w:rPr>
        <w:t> </w:t>
      </w:r>
      <w:r>
        <w:rPr>
          <w:sz w:val="24"/>
        </w:rPr>
        <w:t>154.panta</w:t>
      </w:r>
      <w:r>
        <w:rPr>
          <w:spacing w:val="-15"/>
          <w:sz w:val="24"/>
        </w:rPr>
        <w:t> </w:t>
      </w:r>
      <w:r>
        <w:rPr>
          <w:sz w:val="24"/>
        </w:rPr>
        <w:t>pirmajā</w:t>
      </w:r>
      <w:r>
        <w:rPr>
          <w:spacing w:val="-13"/>
          <w:sz w:val="24"/>
        </w:rPr>
        <w:t> </w:t>
      </w:r>
      <w:r>
        <w:rPr>
          <w:sz w:val="24"/>
        </w:rPr>
        <w:t>daļā</w:t>
      </w:r>
      <w:r>
        <w:rPr>
          <w:spacing w:val="-16"/>
          <w:sz w:val="24"/>
        </w:rPr>
        <w:t> </w:t>
      </w:r>
      <w:r>
        <w:rPr>
          <w:sz w:val="24"/>
        </w:rPr>
        <w:t>un</w:t>
      </w:r>
      <w:r>
        <w:rPr>
          <w:spacing w:val="-13"/>
          <w:sz w:val="24"/>
        </w:rPr>
        <w:t> </w:t>
      </w:r>
      <w:r>
        <w:rPr>
          <w:sz w:val="24"/>
        </w:rPr>
        <w:t>157.pana</w:t>
      </w:r>
      <w:r>
        <w:rPr>
          <w:spacing w:val="-12"/>
          <w:sz w:val="24"/>
        </w:rPr>
        <w:t> </w:t>
      </w:r>
      <w:r>
        <w:rPr>
          <w:sz w:val="24"/>
        </w:rPr>
        <w:t>pirmajā</w:t>
      </w:r>
      <w:r>
        <w:rPr>
          <w:spacing w:val="-13"/>
          <w:sz w:val="24"/>
        </w:rPr>
        <w:t> </w:t>
      </w:r>
      <w:r>
        <w:rPr>
          <w:spacing w:val="-3"/>
          <w:sz w:val="24"/>
        </w:rPr>
        <w:t>daļā </w:t>
      </w:r>
      <w:r>
        <w:rPr>
          <w:sz w:val="24"/>
        </w:rPr>
        <w:t>noteiktais parādnieka pienākums) (3 lietās no</w:t>
      </w:r>
      <w:r>
        <w:rPr>
          <w:spacing w:val="-4"/>
          <w:sz w:val="24"/>
        </w:rPr>
        <w:t> </w:t>
      </w:r>
      <w:r>
        <w:rPr>
          <w:sz w:val="24"/>
        </w:rPr>
        <w:t>26).</w:t>
      </w:r>
    </w:p>
    <w:p>
      <w:pPr>
        <w:pStyle w:val="Heading3"/>
        <w:numPr>
          <w:ilvl w:val="1"/>
          <w:numId w:val="21"/>
        </w:numPr>
        <w:tabs>
          <w:tab w:pos="1753" w:val="left" w:leader="none"/>
        </w:tabs>
        <w:spacing w:line="240" w:lineRule="auto" w:before="5" w:after="0"/>
        <w:ind w:left="1752" w:right="405" w:hanging="425"/>
        <w:jc w:val="both"/>
      </w:pPr>
      <w:r>
        <w:rPr/>
        <w:t>Maksātnespējas procesa laikā sniegta nepatiesa informācija par savu mantisko stāvokli vai konstatēta patieso ienākumu</w:t>
      </w:r>
      <w:r>
        <w:rPr>
          <w:spacing w:val="1"/>
        </w:rPr>
        <w:t> </w:t>
      </w:r>
      <w:r>
        <w:rPr/>
        <w:t>slēpšana</w:t>
      </w:r>
    </w:p>
    <w:p>
      <w:pPr>
        <w:pStyle w:val="BodyText"/>
        <w:spacing w:line="228" w:lineRule="auto" w:before="6"/>
        <w:ind w:left="2321" w:right="404" w:hanging="569"/>
        <w:rPr>
          <w:sz w:val="16"/>
        </w:rPr>
      </w:pPr>
      <w:r>
        <w:rPr/>
        <w:t>(aa) Konstatētas pretrunas starp VSAA norādīto informāciju un parādnieka sniegto informāciju.</w:t>
      </w:r>
      <w:r>
        <w:rPr>
          <w:position w:val="9"/>
          <w:sz w:val="16"/>
        </w:rPr>
        <w:t>97</w:t>
      </w:r>
    </w:p>
    <w:p>
      <w:pPr>
        <w:pStyle w:val="BodyText"/>
        <w:spacing w:line="235" w:lineRule="auto" w:before="6"/>
        <w:ind w:left="2321" w:right="400" w:hanging="569"/>
        <w:rPr>
          <w:sz w:val="16"/>
        </w:rPr>
      </w:pPr>
      <w:r>
        <w:rPr/>
        <w:t>(bb) Lietā, kur parādnieks norādījis, ka vienīgie ienākumi ir no azartspēlēm, tiesa secina, ka parādnieks nesniedz informāciju un gūst ienākumus, kas netiek uzrādīti kreditoriem, jo lai spēlētu azartspēles, ir nepieciešami naudas līdzekļi.</w:t>
      </w:r>
      <w:r>
        <w:rPr>
          <w:position w:val="9"/>
          <w:sz w:val="16"/>
        </w:rPr>
        <w:t>98</w:t>
      </w:r>
    </w:p>
    <w:p>
      <w:pPr>
        <w:pStyle w:val="BodyText"/>
        <w:spacing w:before="2"/>
        <w:ind w:left="2321" w:right="402" w:hanging="569"/>
      </w:pPr>
      <w:r>
        <w:rPr/>
        <w:t>(cc) Lietā, kur administrators konstatējis, ka parādnieks ir publicējis vairākus sludinājumus par pārvadājumu pakalpojumu piedāvāšanu caur Anglijā reģistrētu uzņēmumu, tiesnese piekrīt parādniekam, ka administrators nav norādījis cik lielā apmērā parādnieks gūst ienākumus no veiktajiem pārvadājumiem (kurjera pārvadājumiem), bet, uzskata, ka parādnieka pienākums ir ienākumu uzrādīšana, nevis to noliegšana, kā to dara parādnieks.</w:t>
      </w:r>
      <w:r>
        <w:rPr>
          <w:spacing w:val="-14"/>
        </w:rPr>
        <w:t> </w:t>
      </w:r>
      <w:r>
        <w:rPr/>
        <w:t>Tiesnese</w:t>
      </w:r>
      <w:r>
        <w:rPr>
          <w:spacing w:val="-13"/>
        </w:rPr>
        <w:t> </w:t>
      </w:r>
      <w:r>
        <w:rPr/>
        <w:t>uzskata,</w:t>
      </w:r>
      <w:r>
        <w:rPr>
          <w:spacing w:val="-14"/>
        </w:rPr>
        <w:t> </w:t>
      </w:r>
      <w:r>
        <w:rPr/>
        <w:t>ka</w:t>
      </w:r>
      <w:r>
        <w:rPr>
          <w:spacing w:val="-16"/>
        </w:rPr>
        <w:t> </w:t>
      </w:r>
      <w:r>
        <w:rPr/>
        <w:t>parādnieks,</w:t>
      </w:r>
      <w:r>
        <w:rPr>
          <w:spacing w:val="-13"/>
        </w:rPr>
        <w:t> </w:t>
      </w:r>
      <w:r>
        <w:rPr/>
        <w:t>noliedzot</w:t>
      </w:r>
      <w:r>
        <w:rPr>
          <w:spacing w:val="-13"/>
        </w:rPr>
        <w:t> </w:t>
      </w:r>
      <w:r>
        <w:rPr/>
        <w:t>apstākli,</w:t>
      </w:r>
      <w:r>
        <w:rPr>
          <w:spacing w:val="-17"/>
        </w:rPr>
        <w:t> </w:t>
      </w:r>
      <w:r>
        <w:rPr/>
        <w:t>ka</w:t>
      </w:r>
      <w:r>
        <w:rPr>
          <w:spacing w:val="-13"/>
        </w:rPr>
        <w:t> </w:t>
      </w:r>
      <w:r>
        <w:rPr/>
        <w:t>sniedz</w:t>
      </w:r>
    </w:p>
    <w:p>
      <w:pPr>
        <w:pStyle w:val="BodyText"/>
        <w:jc w:val="left"/>
        <w:rPr>
          <w:sz w:val="20"/>
        </w:rPr>
      </w:pPr>
    </w:p>
    <w:p>
      <w:pPr>
        <w:pStyle w:val="BodyText"/>
        <w:jc w:val="left"/>
        <w:rPr>
          <w:sz w:val="20"/>
        </w:rPr>
      </w:pPr>
    </w:p>
    <w:p>
      <w:pPr>
        <w:pStyle w:val="BodyText"/>
        <w:spacing w:before="6"/>
        <w:jc w:val="left"/>
      </w:pPr>
      <w:r>
        <w:rPr/>
        <w:pict>
          <v:shape style="position:absolute;margin-left:90pt;margin-top:16.390575pt;width:144pt;height:.1pt;mso-position-horizontal-relative:page;mso-position-vertical-relative:paragraph;z-index:-251638784;mso-wrap-distance-left:0;mso-wrap-distance-right:0" coordorigin="1800,328" coordsize="2880,0" path="m1800,328l4680,328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95 </w:t>
      </w:r>
      <w:r>
        <w:rPr>
          <w:sz w:val="20"/>
        </w:rPr>
        <w:t>Rīgas rajona tiesas 2015.gada 9.marta nolēmums lietā Nr. C33360213</w:t>
      </w:r>
    </w:p>
    <w:p>
      <w:pPr>
        <w:spacing w:line="230" w:lineRule="exact" w:before="0"/>
        <w:ind w:left="620" w:right="0" w:firstLine="0"/>
        <w:jc w:val="left"/>
        <w:rPr>
          <w:sz w:val="20"/>
        </w:rPr>
      </w:pPr>
      <w:r>
        <w:rPr>
          <w:position w:val="7"/>
          <w:sz w:val="13"/>
        </w:rPr>
        <w:t>96 </w:t>
      </w:r>
      <w:r>
        <w:rPr>
          <w:sz w:val="20"/>
        </w:rPr>
        <w:t>Rīgas pilsētas Kurzemes rajona tiesas 2015.gada 16.marta nolēmums lietā Nr. C28323314</w:t>
      </w:r>
    </w:p>
    <w:p>
      <w:pPr>
        <w:spacing w:line="230" w:lineRule="exact" w:before="0"/>
        <w:ind w:left="620" w:right="0" w:firstLine="0"/>
        <w:jc w:val="left"/>
        <w:rPr>
          <w:sz w:val="20"/>
        </w:rPr>
      </w:pPr>
      <w:r>
        <w:rPr>
          <w:position w:val="7"/>
          <w:sz w:val="13"/>
        </w:rPr>
        <w:t>97 </w:t>
      </w:r>
      <w:r>
        <w:rPr>
          <w:sz w:val="20"/>
        </w:rPr>
        <w:t>Rīgas pilsētas Vidzemes priekšpilsētas tiesas 2015.gada 10.marta nolēmums lietā Nr. C30681813</w:t>
      </w:r>
    </w:p>
    <w:p>
      <w:pPr>
        <w:spacing w:line="233" w:lineRule="exact" w:before="0"/>
        <w:ind w:left="620" w:right="0" w:firstLine="0"/>
        <w:jc w:val="left"/>
        <w:rPr>
          <w:sz w:val="20"/>
        </w:rPr>
      </w:pPr>
      <w:r>
        <w:rPr>
          <w:position w:val="7"/>
          <w:sz w:val="13"/>
        </w:rPr>
        <w:t>98 </w:t>
      </w:r>
      <w:r>
        <w:rPr>
          <w:sz w:val="20"/>
        </w:rPr>
        <w:t>Jelgavas tiesas 2016.gada 14.septembra nolēmums lietā Nr. C15169016</w:t>
      </w:r>
    </w:p>
    <w:p>
      <w:pPr>
        <w:spacing w:after="0" w:line="233" w:lineRule="exact"/>
        <w:jc w:val="left"/>
        <w:rPr>
          <w:sz w:val="20"/>
        </w:rPr>
        <w:sectPr>
          <w:pgSz w:w="11910" w:h="16840"/>
          <w:pgMar w:header="0" w:footer="1055" w:top="1340" w:bottom="1240" w:left="1180" w:right="1040"/>
        </w:sectPr>
      </w:pPr>
    </w:p>
    <w:p>
      <w:pPr>
        <w:pStyle w:val="BodyText"/>
        <w:spacing w:line="228" w:lineRule="auto" w:before="84"/>
        <w:ind w:left="1961" w:right="767"/>
        <w:rPr>
          <w:sz w:val="16"/>
        </w:rPr>
      </w:pPr>
      <w:r>
        <w:rPr/>
        <w:t>kurjera pakalpojumus un gūst no tiem ienākumus, nerīkojas labā ticībā (Civillikuma 1. pants). </w:t>
      </w:r>
      <w:r>
        <w:rPr>
          <w:position w:val="9"/>
          <w:sz w:val="16"/>
        </w:rPr>
        <w:t>99</w:t>
      </w:r>
    </w:p>
    <w:p>
      <w:pPr>
        <w:pStyle w:val="BodyText"/>
        <w:spacing w:before="2"/>
        <w:ind w:left="1392"/>
      </w:pPr>
      <w:r>
        <w:rPr/>
        <w:t>(dd) Maksātnespējas pieteikumā nav norādītas visas saistības.</w:t>
      </w:r>
    </w:p>
    <w:p>
      <w:pPr>
        <w:pStyle w:val="BodyText"/>
        <w:ind w:left="1392"/>
      </w:pPr>
      <w:r>
        <w:rPr/>
        <w:t>(ee) Parādnieks nesniedz pieprasītās ziņas (par ienākumiem, darījumiem utt.).</w:t>
      </w:r>
    </w:p>
    <w:p>
      <w:pPr>
        <w:pStyle w:val="Heading3"/>
        <w:numPr>
          <w:ilvl w:val="1"/>
          <w:numId w:val="21"/>
        </w:numPr>
        <w:tabs>
          <w:tab w:pos="1393" w:val="left" w:leader="none"/>
        </w:tabs>
        <w:spacing w:line="240" w:lineRule="auto" w:before="4" w:after="0"/>
        <w:ind w:left="1392" w:right="766" w:hanging="425"/>
        <w:jc w:val="both"/>
      </w:pPr>
      <w:r>
        <w:rPr/>
        <w:t>Kreditoriem sniegta nepatiesa informācija par Parādnieka mantisko stāvokli:</w:t>
      </w:r>
    </w:p>
    <w:p>
      <w:pPr>
        <w:pStyle w:val="BodyText"/>
        <w:ind w:left="1961" w:right="760" w:hanging="569"/>
        <w:rPr>
          <w:sz w:val="16"/>
        </w:rPr>
      </w:pPr>
      <w:r>
        <w:rPr/>
        <w:t>(aa) Parādnieks apzināti sniedza kreditoriem nepatiesu informāciju gan par saviem ienākumiem, gan izdevumiem, ar nolūku iegūt pēc iespējas lielākus aizņēmumus, kaut gan kredītu pieprasījumu laikā viņš ienākumus vispār neguva un viņam jau bija nenokārtotas parādsaistības pret citiem kreditoriem. Parādnieka kreditoriem sniegtā informācija neliecināja par citu kredītsaistību esamību un, līdz ar to, risku to izpildē. Parādnieks nav bijis godprātīgs, jo ir sniedzis apzināti nepatiesu informāciju par savu mantisko stāvokli un slēpis savus patiesos ienākumus. Juridiskajā literatūrā atzīts, ka fiziskās personas atbrīvošana no parādsaistībām var notikt tikai gadījumā, kad personai bijusi godprātīga attieksme pret kreditoriem (</w:t>
      </w:r>
      <w:r>
        <w:rPr>
          <w:i/>
        </w:rPr>
        <w:t>K.Ābelis. Fiziskās personas </w:t>
      </w:r>
      <w:r>
        <w:rPr>
          <w:i/>
        </w:rPr>
        <w:t>maksātnespējas procesa jaunais regulējums. Jurista vārds, 2010.gada 14.septembra Nr.37, 25.lpp.</w:t>
      </w:r>
      <w:r>
        <w:rPr/>
        <w:t>).</w:t>
      </w:r>
      <w:r>
        <w:rPr>
          <w:position w:val="9"/>
          <w:sz w:val="16"/>
        </w:rPr>
        <w:t>100</w:t>
      </w:r>
    </w:p>
    <w:p>
      <w:pPr>
        <w:pStyle w:val="BodyText"/>
        <w:spacing w:line="261" w:lineRule="exact"/>
        <w:ind w:left="1392"/>
      </w:pPr>
      <w:r>
        <w:rPr/>
        <w:t>(bb) Ziņojumos par parādnieka mantas neesamību konstatētais fakts, ka</w:t>
      </w:r>
    </w:p>
    <w:p>
      <w:pPr>
        <w:pStyle w:val="BodyText"/>
        <w:spacing w:line="237" w:lineRule="auto"/>
        <w:ind w:left="1961" w:right="764"/>
        <w:rPr>
          <w:sz w:val="16"/>
        </w:rPr>
      </w:pPr>
      <w:r>
        <w:rPr/>
        <w:t>parādniekiem nav manta, uz ko vērst piedziņu, apliecina, ka parādnieki, jau ņemot kredītus, apzinājās, ka to neatdošanas gadījumā</w:t>
      </w:r>
      <w:r>
        <w:rPr>
          <w:spacing w:val="35"/>
        </w:rPr>
        <w:t> </w:t>
      </w:r>
      <w:r>
        <w:rPr/>
        <w:t>vienīgais avots, no kā varēs dzēst parādsaistības, būs darba samaksa. Iepriekš minētais apstiprina, ka parādnieki saviem kreditoriem snieguši</w:t>
      </w:r>
      <w:r>
        <w:rPr>
          <w:spacing w:val="-23"/>
        </w:rPr>
        <w:t> </w:t>
      </w:r>
      <w:r>
        <w:rPr/>
        <w:t>nepatiesu informāciju par savu mantisko</w:t>
      </w:r>
      <w:r>
        <w:rPr>
          <w:spacing w:val="-4"/>
        </w:rPr>
        <w:t> </w:t>
      </w:r>
      <w:r>
        <w:rPr/>
        <w:t>stāvokli.</w:t>
      </w:r>
      <w:r>
        <w:rPr>
          <w:position w:val="9"/>
          <w:sz w:val="16"/>
        </w:rPr>
        <w:t>101</w:t>
      </w:r>
    </w:p>
    <w:p>
      <w:pPr>
        <w:pStyle w:val="BodyText"/>
        <w:ind w:left="1961" w:right="765" w:hanging="569"/>
      </w:pPr>
      <w:r>
        <w:rPr/>
        <w:t>(cc) Slēdzot darījumus, parādnieks nav norādījis, ka viņam ir citas parādsaistības.</w:t>
      </w:r>
    </w:p>
    <w:p>
      <w:pPr>
        <w:pStyle w:val="BodyText"/>
        <w:spacing w:before="6"/>
        <w:jc w:val="left"/>
        <w:rPr>
          <w:sz w:val="23"/>
        </w:rPr>
      </w:pPr>
    </w:p>
    <w:p>
      <w:pPr>
        <w:pStyle w:val="ListParagraph"/>
        <w:numPr>
          <w:ilvl w:val="0"/>
          <w:numId w:val="21"/>
        </w:numPr>
        <w:tabs>
          <w:tab w:pos="980" w:val="left" w:leader="none"/>
        </w:tabs>
        <w:spacing w:line="240" w:lineRule="auto" w:before="0" w:after="0"/>
        <w:ind w:left="980" w:right="762" w:hanging="360"/>
        <w:jc w:val="both"/>
        <w:rPr>
          <w:sz w:val="24"/>
        </w:rPr>
      </w:pPr>
      <w:r>
        <w:rPr>
          <w:b/>
          <w:sz w:val="24"/>
        </w:rPr>
        <w:t>Maksātnespējas likuma 153.panta 3.punkts: </w:t>
      </w:r>
      <w:r>
        <w:rPr>
          <w:i/>
          <w:sz w:val="24"/>
        </w:rPr>
        <w:t>parādnieks nepilda bankrota vai </w:t>
      </w:r>
      <w:r>
        <w:rPr>
          <w:i/>
          <w:sz w:val="24"/>
        </w:rPr>
        <w:t>saistību dzēšanas procedūrā paredzētos pienākumus, būtiski</w:t>
      </w:r>
      <w:r>
        <w:rPr>
          <w:i/>
          <w:spacing w:val="39"/>
          <w:sz w:val="24"/>
        </w:rPr>
        <w:t> </w:t>
      </w:r>
      <w:r>
        <w:rPr>
          <w:i/>
          <w:sz w:val="24"/>
        </w:rPr>
        <w:t>apgrūtinot maksātnespējas procesa efektīvu norisi</w:t>
      </w:r>
      <w:r>
        <w:rPr>
          <w:sz w:val="24"/>
        </w:rPr>
        <w:t>. Norādīts kā pamats bankrota procedūras pabeigšanai 7 lietās no 26, kā vienīgais pamats – 7</w:t>
      </w:r>
      <w:r>
        <w:rPr>
          <w:spacing w:val="-2"/>
          <w:sz w:val="24"/>
        </w:rPr>
        <w:t> </w:t>
      </w:r>
      <w:r>
        <w:rPr>
          <w:sz w:val="24"/>
        </w:rPr>
        <w:t>lietās:</w:t>
      </w:r>
    </w:p>
    <w:p>
      <w:pPr>
        <w:pStyle w:val="ListParagraph"/>
        <w:numPr>
          <w:ilvl w:val="1"/>
          <w:numId w:val="21"/>
        </w:numPr>
        <w:tabs>
          <w:tab w:pos="1393" w:val="left" w:leader="none"/>
        </w:tabs>
        <w:spacing w:line="240" w:lineRule="auto" w:before="0" w:after="0"/>
        <w:ind w:left="1392" w:right="0" w:hanging="426"/>
        <w:jc w:val="both"/>
        <w:rPr>
          <w:sz w:val="24"/>
        </w:rPr>
      </w:pPr>
      <w:r>
        <w:rPr>
          <w:b/>
          <w:sz w:val="24"/>
        </w:rPr>
        <w:t>Parādnieks negūst ienākumus </w:t>
      </w:r>
      <w:r>
        <w:rPr>
          <w:sz w:val="24"/>
        </w:rPr>
        <w:t>(3 lietās no 26):</w:t>
      </w:r>
    </w:p>
    <w:p>
      <w:pPr>
        <w:pStyle w:val="BodyText"/>
        <w:spacing w:line="237" w:lineRule="auto" w:before="2"/>
        <w:ind w:left="1961" w:right="762" w:hanging="569"/>
        <w:rPr>
          <w:sz w:val="16"/>
        </w:rPr>
      </w:pPr>
      <w:r>
        <w:rPr/>
        <w:t>(aa) Maksātnespējas administrācija norādījusi, ka tas apstāklis, ka parādnieks negūst darba ienākumus, nav tiesisks pamats neterminētai kreditoru interešu ierobežošanai, kā arī norādīts, ka administratoram ir jālūdz</w:t>
      </w:r>
      <w:r>
        <w:rPr>
          <w:spacing w:val="-31"/>
        </w:rPr>
        <w:t> </w:t>
      </w:r>
      <w:r>
        <w:rPr/>
        <w:t>tiesu apstiprināt bankrota procedūras pabeigšanu, norādot, ka parādniekam nav piemērojama saistību dzēšanas</w:t>
      </w:r>
      <w:r>
        <w:rPr>
          <w:spacing w:val="-6"/>
        </w:rPr>
        <w:t> </w:t>
      </w:r>
      <w:r>
        <w:rPr/>
        <w:t>procedūra.</w:t>
      </w:r>
      <w:r>
        <w:rPr>
          <w:position w:val="9"/>
          <w:sz w:val="16"/>
        </w:rPr>
        <w:t>102</w:t>
      </w:r>
    </w:p>
    <w:p>
      <w:pPr>
        <w:pStyle w:val="BodyText"/>
        <w:ind w:left="1961" w:right="761" w:hanging="569"/>
      </w:pPr>
      <w:r>
        <w:rPr/>
        <w:t>(bb) No administratora pieteikuma un tam pievienotajiem dokumentiem  izriet, ka parādnieks algotu darbu nestrādā un regulārus ienākumus negūst, līdz ar ko atbilstoši Maksātnespējas likuma 128.panta piektās daļas</w:t>
      </w:r>
      <w:r>
        <w:rPr>
          <w:spacing w:val="-15"/>
        </w:rPr>
        <w:t> </w:t>
      </w:r>
      <w:r>
        <w:rPr/>
        <w:t>un</w:t>
      </w:r>
      <w:r>
        <w:rPr>
          <w:spacing w:val="-11"/>
        </w:rPr>
        <w:t> </w:t>
      </w:r>
      <w:r>
        <w:rPr/>
        <w:t>155.panta</w:t>
      </w:r>
      <w:r>
        <w:rPr>
          <w:spacing w:val="-11"/>
        </w:rPr>
        <w:t> </w:t>
      </w:r>
      <w:r>
        <w:rPr/>
        <w:t>noteikumiem</w:t>
      </w:r>
      <w:r>
        <w:rPr>
          <w:spacing w:val="-11"/>
        </w:rPr>
        <w:t> </w:t>
      </w:r>
      <w:r>
        <w:rPr/>
        <w:t>parādniekam</w:t>
      </w:r>
      <w:r>
        <w:rPr>
          <w:spacing w:val="-11"/>
        </w:rPr>
        <w:t> </w:t>
      </w:r>
      <w:r>
        <w:rPr/>
        <w:t>nav</w:t>
      </w:r>
      <w:r>
        <w:rPr>
          <w:spacing w:val="-11"/>
        </w:rPr>
        <w:t> </w:t>
      </w:r>
      <w:r>
        <w:rPr/>
        <w:t>iespēju</w:t>
      </w:r>
      <w:r>
        <w:rPr>
          <w:spacing w:val="-12"/>
        </w:rPr>
        <w:t> </w:t>
      </w:r>
      <w:r>
        <w:rPr/>
        <w:t>īstenot</w:t>
      </w:r>
      <w:r>
        <w:rPr>
          <w:spacing w:val="-9"/>
        </w:rPr>
        <w:t> </w:t>
      </w:r>
      <w:r>
        <w:rPr>
          <w:spacing w:val="-3"/>
        </w:rPr>
        <w:t>saistību </w:t>
      </w:r>
      <w:r>
        <w:rPr/>
        <w:t>dzēšanas procedūru. Maksātnespējas administrācija norādījusi:</w:t>
      </w:r>
      <w:r>
        <w:rPr>
          <w:spacing w:val="-23"/>
        </w:rPr>
        <w:t> </w:t>
      </w:r>
      <w:r>
        <w:rPr/>
        <w:t>„Saistību dzēšanas procedūra ir pieejama tikai tiem parādniekiem, kuru ienākumi ļauj reizi mēnesī novirzīt kreditoru prasījumu segšanai naudas summu vismaz vienas trešdaļas apmērā no vienas minimālās mēnešalgas.</w:t>
      </w:r>
      <w:r>
        <w:rPr>
          <w:spacing w:val="-42"/>
        </w:rPr>
        <w:t> </w:t>
      </w:r>
      <w:r>
        <w:rPr/>
        <w:t>Ņemot</w:t>
      </w:r>
    </w:p>
    <w:p>
      <w:pPr>
        <w:pStyle w:val="BodyText"/>
        <w:spacing w:before="1"/>
        <w:jc w:val="left"/>
        <w:rPr>
          <w:sz w:val="21"/>
        </w:rPr>
      </w:pPr>
    </w:p>
    <w:p>
      <w:pPr>
        <w:spacing w:line="233" w:lineRule="exact" w:before="94"/>
        <w:ind w:left="260" w:right="0" w:firstLine="0"/>
        <w:jc w:val="left"/>
        <w:rPr>
          <w:sz w:val="20"/>
        </w:rPr>
      </w:pPr>
      <w:r>
        <w:rPr>
          <w:position w:val="7"/>
          <w:sz w:val="13"/>
        </w:rPr>
        <w:t>99 </w:t>
      </w:r>
      <w:r>
        <w:rPr>
          <w:sz w:val="20"/>
        </w:rPr>
        <w:t>Jelgavas tiesas 2016.gada 14.septembra nolēmums lietā Nr. C15169016</w:t>
      </w:r>
    </w:p>
    <w:p>
      <w:pPr>
        <w:spacing w:line="230" w:lineRule="exact" w:before="0"/>
        <w:ind w:left="260" w:right="0" w:firstLine="0"/>
        <w:jc w:val="left"/>
        <w:rPr>
          <w:sz w:val="20"/>
        </w:rPr>
      </w:pPr>
      <w:r>
        <w:rPr>
          <w:position w:val="7"/>
          <w:sz w:val="13"/>
        </w:rPr>
        <w:t>100 </w:t>
      </w:r>
      <w:r>
        <w:rPr>
          <w:sz w:val="20"/>
        </w:rPr>
        <w:t>Rīgas pilsētas Vidzemes priekšpilsētas tiesas 2018.gada 12.jūnija nolēmums lietā Nr. C30548917</w:t>
      </w:r>
    </w:p>
    <w:p>
      <w:pPr>
        <w:spacing w:line="230" w:lineRule="exact" w:before="0"/>
        <w:ind w:left="260" w:right="0" w:firstLine="0"/>
        <w:jc w:val="left"/>
        <w:rPr>
          <w:sz w:val="20"/>
        </w:rPr>
      </w:pPr>
      <w:r>
        <w:rPr>
          <w:position w:val="7"/>
          <w:sz w:val="13"/>
        </w:rPr>
        <w:t>101 </w:t>
      </w:r>
      <w:r>
        <w:rPr>
          <w:sz w:val="20"/>
        </w:rPr>
        <w:t>Vidzemes rajona tiesas 2018.gada 3.augusta nolēmums lietā Nr. C71156718</w:t>
      </w:r>
    </w:p>
    <w:p>
      <w:pPr>
        <w:spacing w:line="233" w:lineRule="exact" w:before="0"/>
        <w:ind w:left="260" w:right="0" w:firstLine="0"/>
        <w:jc w:val="left"/>
        <w:rPr>
          <w:sz w:val="20"/>
        </w:rPr>
      </w:pPr>
      <w:r>
        <w:rPr>
          <w:position w:val="7"/>
          <w:sz w:val="13"/>
        </w:rPr>
        <w:t>102 </w:t>
      </w:r>
      <w:r>
        <w:rPr>
          <w:sz w:val="20"/>
        </w:rPr>
        <w:t>Rīgas pilsētas Latgales priekšpilsētas tiesas 2015.gada 3.augusta nolēmums lietā Nr. C29568813</w:t>
      </w:r>
    </w:p>
    <w:p>
      <w:pPr>
        <w:spacing w:after="0" w:line="233" w:lineRule="exact"/>
        <w:jc w:val="left"/>
        <w:rPr>
          <w:sz w:val="20"/>
        </w:rPr>
        <w:sectPr>
          <w:footerReference w:type="even" r:id="rId26"/>
          <w:footerReference w:type="default" r:id="rId27"/>
          <w:pgSz w:w="11910" w:h="16840"/>
          <w:pgMar w:footer="1165" w:header="0" w:top="1340" w:bottom="1360" w:left="1180" w:right="1040"/>
        </w:sectPr>
      </w:pPr>
    </w:p>
    <w:p>
      <w:pPr>
        <w:pStyle w:val="BodyText"/>
        <w:spacing w:line="237" w:lineRule="auto" w:before="75"/>
        <w:ind w:left="2321" w:right="400"/>
      </w:pPr>
      <w:r>
        <w:rPr/>
        <w:t>vērā minēto, ienākumu neesamība nav šķērslis fiziskās personas maksātnespējas procesa piemērošanai, t.i., pirmās procedūras- bankrota procedūras uzsākšanai, norisei un pabeigšanai. Tomēr otrā - saistību dzēšanas procedūra fiziskajai personai nav piemērojama, līdz ar to pēc bankrota procedūras pabeigšanas izbeidzams ir arī fiziskās personas maksātnespējas process. Tādējādi, pēc parādnieka mantas (dzīvokļa) pārdošanas, fiziskās personas maksātnespējas process tiks izbeigts, taču atlikušās</w:t>
      </w:r>
      <w:r>
        <w:rPr>
          <w:spacing w:val="-15"/>
        </w:rPr>
        <w:t> </w:t>
      </w:r>
      <w:r>
        <w:rPr/>
        <w:t>parādsaistības</w:t>
      </w:r>
      <w:r>
        <w:rPr>
          <w:spacing w:val="-16"/>
        </w:rPr>
        <w:t> </w:t>
      </w:r>
      <w:r>
        <w:rPr/>
        <w:t>netiks</w:t>
      </w:r>
      <w:r>
        <w:rPr>
          <w:spacing w:val="-15"/>
        </w:rPr>
        <w:t> </w:t>
      </w:r>
      <w:r>
        <w:rPr/>
        <w:t>dzēstas.”</w:t>
      </w:r>
      <w:r>
        <w:rPr>
          <w:spacing w:val="-14"/>
        </w:rPr>
        <w:t> </w:t>
      </w:r>
      <w:r>
        <w:rPr/>
        <w:t>(</w:t>
      </w:r>
      <w:r>
        <w:rPr>
          <w:i/>
        </w:rPr>
        <w:t>Maksātnespējas</w:t>
      </w:r>
      <w:r>
        <w:rPr>
          <w:i/>
          <w:spacing w:val="-15"/>
        </w:rPr>
        <w:t> </w:t>
      </w:r>
      <w:r>
        <w:rPr>
          <w:i/>
        </w:rPr>
        <w:t>administrācijas </w:t>
      </w:r>
      <w:r>
        <w:rPr>
          <w:i/>
        </w:rPr>
        <w:t>skaidrojumi un atziņas 2008-2014, Rīga, Tiesu namu aģentūra, 2015., 255.lpp.</w:t>
      </w:r>
      <w:r>
        <w:rPr/>
        <w:t>)</w:t>
      </w:r>
      <w:r>
        <w:rPr>
          <w:position w:val="9"/>
          <w:sz w:val="16"/>
        </w:rPr>
        <w:t>103</w:t>
      </w:r>
      <w:r>
        <w:rPr/>
        <w:t>.</w:t>
      </w:r>
    </w:p>
    <w:p>
      <w:pPr>
        <w:pStyle w:val="ListParagraph"/>
        <w:numPr>
          <w:ilvl w:val="1"/>
          <w:numId w:val="21"/>
        </w:numPr>
        <w:tabs>
          <w:tab w:pos="1753" w:val="left" w:leader="none"/>
        </w:tabs>
        <w:spacing w:line="240" w:lineRule="auto" w:before="11" w:after="0"/>
        <w:ind w:left="1752" w:right="403" w:hanging="425"/>
        <w:jc w:val="both"/>
        <w:rPr>
          <w:sz w:val="24"/>
        </w:rPr>
      </w:pPr>
      <w:r>
        <w:rPr>
          <w:sz w:val="24"/>
        </w:rPr>
        <w:t>Administratoram un tiesai </w:t>
      </w:r>
      <w:r>
        <w:rPr>
          <w:b/>
          <w:sz w:val="24"/>
        </w:rPr>
        <w:t>netiek iesniegts saistību dzēšanas plāns </w:t>
      </w:r>
      <w:r>
        <w:rPr>
          <w:sz w:val="24"/>
        </w:rPr>
        <w:t>(netiek pildīts</w:t>
      </w:r>
      <w:r>
        <w:rPr>
          <w:spacing w:val="-13"/>
          <w:sz w:val="24"/>
        </w:rPr>
        <w:t> </w:t>
      </w:r>
      <w:r>
        <w:rPr>
          <w:sz w:val="24"/>
        </w:rPr>
        <w:t>Maksātnespējas</w:t>
      </w:r>
      <w:r>
        <w:rPr>
          <w:spacing w:val="-13"/>
          <w:sz w:val="24"/>
        </w:rPr>
        <w:t> </w:t>
      </w:r>
      <w:r>
        <w:rPr>
          <w:sz w:val="24"/>
        </w:rPr>
        <w:t>likuma</w:t>
      </w:r>
      <w:r>
        <w:rPr>
          <w:spacing w:val="-13"/>
          <w:sz w:val="24"/>
        </w:rPr>
        <w:t> </w:t>
      </w:r>
      <w:r>
        <w:rPr>
          <w:sz w:val="24"/>
        </w:rPr>
        <w:t>154.panta</w:t>
      </w:r>
      <w:r>
        <w:rPr>
          <w:spacing w:val="-15"/>
          <w:sz w:val="24"/>
        </w:rPr>
        <w:t> </w:t>
      </w:r>
      <w:r>
        <w:rPr>
          <w:sz w:val="24"/>
        </w:rPr>
        <w:t>pirmajā</w:t>
      </w:r>
      <w:r>
        <w:rPr>
          <w:spacing w:val="-13"/>
          <w:sz w:val="24"/>
        </w:rPr>
        <w:t> </w:t>
      </w:r>
      <w:r>
        <w:rPr>
          <w:sz w:val="24"/>
        </w:rPr>
        <w:t>daļā</w:t>
      </w:r>
      <w:r>
        <w:rPr>
          <w:spacing w:val="-16"/>
          <w:sz w:val="24"/>
        </w:rPr>
        <w:t> </w:t>
      </w:r>
      <w:r>
        <w:rPr>
          <w:sz w:val="24"/>
        </w:rPr>
        <w:t>un</w:t>
      </w:r>
      <w:r>
        <w:rPr>
          <w:spacing w:val="-13"/>
          <w:sz w:val="24"/>
        </w:rPr>
        <w:t> </w:t>
      </w:r>
      <w:r>
        <w:rPr>
          <w:sz w:val="24"/>
        </w:rPr>
        <w:t>157.pana</w:t>
      </w:r>
      <w:r>
        <w:rPr>
          <w:spacing w:val="-12"/>
          <w:sz w:val="24"/>
        </w:rPr>
        <w:t> </w:t>
      </w:r>
      <w:r>
        <w:rPr>
          <w:sz w:val="24"/>
        </w:rPr>
        <w:t>pirmajā</w:t>
      </w:r>
      <w:r>
        <w:rPr>
          <w:spacing w:val="-13"/>
          <w:sz w:val="24"/>
        </w:rPr>
        <w:t> </w:t>
      </w:r>
      <w:r>
        <w:rPr>
          <w:spacing w:val="-3"/>
          <w:sz w:val="24"/>
        </w:rPr>
        <w:t>daļā </w:t>
      </w:r>
      <w:r>
        <w:rPr>
          <w:sz w:val="24"/>
        </w:rPr>
        <w:t>noteiktais parādnieka pienākums) (3 lietās no</w:t>
      </w:r>
      <w:r>
        <w:rPr>
          <w:spacing w:val="-4"/>
          <w:sz w:val="24"/>
        </w:rPr>
        <w:t> </w:t>
      </w:r>
      <w:r>
        <w:rPr>
          <w:sz w:val="24"/>
        </w:rPr>
        <w:t>26),</w:t>
      </w:r>
    </w:p>
    <w:p>
      <w:pPr>
        <w:pStyle w:val="ListParagraph"/>
        <w:numPr>
          <w:ilvl w:val="1"/>
          <w:numId w:val="21"/>
        </w:numPr>
        <w:tabs>
          <w:tab w:pos="1753" w:val="left" w:leader="none"/>
        </w:tabs>
        <w:spacing w:line="240" w:lineRule="auto" w:before="0" w:after="0"/>
        <w:ind w:left="1752" w:right="405" w:hanging="425"/>
        <w:jc w:val="both"/>
        <w:rPr>
          <w:sz w:val="24"/>
        </w:rPr>
      </w:pPr>
      <w:r>
        <w:rPr>
          <w:sz w:val="24"/>
        </w:rPr>
        <w:t>Parādnieks maksātnespējas procesa laikā </w:t>
      </w:r>
      <w:r>
        <w:rPr>
          <w:b/>
          <w:sz w:val="24"/>
        </w:rPr>
        <w:t>nesniedz pieprasītās ziņas </w:t>
      </w:r>
      <w:r>
        <w:rPr>
          <w:sz w:val="24"/>
        </w:rPr>
        <w:t>(par kreditoru, mantisko stāvokli, ienākumiem, darījumiem</w:t>
      </w:r>
      <w:r>
        <w:rPr>
          <w:spacing w:val="-1"/>
          <w:sz w:val="24"/>
        </w:rPr>
        <w:t> </w:t>
      </w:r>
      <w:r>
        <w:rPr>
          <w:sz w:val="24"/>
        </w:rPr>
        <w:t>utt.).</w:t>
      </w:r>
    </w:p>
    <w:p>
      <w:pPr>
        <w:pStyle w:val="BodyText"/>
        <w:spacing w:before="7"/>
        <w:jc w:val="left"/>
      </w:pPr>
    </w:p>
    <w:p>
      <w:pPr>
        <w:pStyle w:val="ListParagraph"/>
        <w:numPr>
          <w:ilvl w:val="0"/>
          <w:numId w:val="21"/>
        </w:numPr>
        <w:tabs>
          <w:tab w:pos="1340" w:val="left" w:leader="none"/>
        </w:tabs>
        <w:spacing w:line="237" w:lineRule="auto" w:before="0" w:after="0"/>
        <w:ind w:left="1340" w:right="401" w:hanging="360"/>
        <w:jc w:val="both"/>
        <w:rPr>
          <w:sz w:val="24"/>
        </w:rPr>
      </w:pPr>
      <w:r>
        <w:rPr>
          <w:b/>
          <w:sz w:val="24"/>
        </w:rPr>
        <w:t>Maksātnespējas likuma 153.pants (bez atsauces uz konkrētu panta punktu) </w:t>
      </w:r>
      <w:r>
        <w:rPr>
          <w:b/>
          <w:spacing w:val="-11"/>
          <w:sz w:val="24"/>
        </w:rPr>
        <w:t>- </w:t>
      </w:r>
      <w:r>
        <w:rPr>
          <w:b/>
          <w:sz w:val="24"/>
        </w:rPr>
        <w:t>parādnieks neiesniedz plānu</w:t>
      </w:r>
      <w:r>
        <w:rPr>
          <w:sz w:val="24"/>
        </w:rPr>
        <w:t>. Norādīts kā pamats bankrota procedūras pabeigšanai 3 lietās no</w:t>
      </w:r>
      <w:r>
        <w:rPr>
          <w:spacing w:val="-5"/>
          <w:sz w:val="24"/>
        </w:rPr>
        <w:t> </w:t>
      </w:r>
      <w:r>
        <w:rPr>
          <w:sz w:val="24"/>
        </w:rPr>
        <w:t>26:</w:t>
      </w:r>
    </w:p>
    <w:p>
      <w:pPr>
        <w:pStyle w:val="ListParagraph"/>
        <w:numPr>
          <w:ilvl w:val="1"/>
          <w:numId w:val="21"/>
        </w:numPr>
        <w:tabs>
          <w:tab w:pos="1753" w:val="left" w:leader="none"/>
        </w:tabs>
        <w:spacing w:line="235" w:lineRule="auto" w:before="6" w:after="0"/>
        <w:ind w:left="1752" w:right="401" w:hanging="425"/>
        <w:jc w:val="both"/>
        <w:rPr>
          <w:sz w:val="16"/>
        </w:rPr>
      </w:pPr>
      <w:r>
        <w:rPr>
          <w:sz w:val="24"/>
        </w:rPr>
        <w:t>Tiesa secina, ka saistību dzēšanas plāna neiesniegšana ir dabisks, Maksātnespējas likuma 153.pantā tieši neminēts saistību dzēšanas procedūras ierobežojums, kas izriet no neiespējamības sasniegt Maksātnespējas likuma</w:t>
      </w:r>
      <w:r>
        <w:rPr>
          <w:spacing w:val="-29"/>
          <w:sz w:val="24"/>
        </w:rPr>
        <w:t> </w:t>
      </w:r>
      <w:r>
        <w:rPr>
          <w:sz w:val="24"/>
        </w:rPr>
        <w:t>un fiziskās personas maksātnespējas procesa</w:t>
      </w:r>
      <w:r>
        <w:rPr>
          <w:spacing w:val="-1"/>
          <w:sz w:val="24"/>
        </w:rPr>
        <w:t> </w:t>
      </w:r>
      <w:r>
        <w:rPr>
          <w:sz w:val="24"/>
        </w:rPr>
        <w:t>mērķi.</w:t>
      </w:r>
      <w:r>
        <w:rPr>
          <w:position w:val="9"/>
          <w:sz w:val="16"/>
        </w:rPr>
        <w:t>104</w:t>
      </w:r>
    </w:p>
    <w:p>
      <w:pPr>
        <w:pStyle w:val="ListParagraph"/>
        <w:numPr>
          <w:ilvl w:val="1"/>
          <w:numId w:val="21"/>
        </w:numPr>
        <w:tabs>
          <w:tab w:pos="1753" w:val="left" w:leader="none"/>
        </w:tabs>
        <w:spacing w:line="237" w:lineRule="auto" w:before="4" w:after="0"/>
        <w:ind w:left="1752" w:right="401" w:hanging="425"/>
        <w:jc w:val="both"/>
        <w:rPr>
          <w:sz w:val="16"/>
        </w:rPr>
      </w:pPr>
      <w:r>
        <w:rPr>
          <w:sz w:val="24"/>
        </w:rPr>
        <w:t>Parādnieks nav iesniedzis tiesai pašrocīgi parakstītu saistību dzēšanas plānu, kurā būtu norādīts, kā un cik lielā apmērā viņš plāno gūt ienākumus saistību dzēšanas procedūras laikā. Tiesai nav ziņu par to, vai administratores pieteikuma pielikumā norādītais saistību dzēšanas plāns parādniekam ir zināms. Parādnieks pats nav apliecinājis tiesai, ka būtu iepazinies ar saistību dzēšanas plānu un uzņemas to</w:t>
      </w:r>
      <w:r>
        <w:rPr>
          <w:spacing w:val="-1"/>
          <w:sz w:val="24"/>
        </w:rPr>
        <w:t> </w:t>
      </w:r>
      <w:r>
        <w:rPr>
          <w:sz w:val="24"/>
        </w:rPr>
        <w:t>pildīt.</w:t>
      </w:r>
      <w:r>
        <w:rPr>
          <w:position w:val="9"/>
          <w:sz w:val="16"/>
        </w:rPr>
        <w:t>105</w:t>
      </w:r>
    </w:p>
    <w:p>
      <w:pPr>
        <w:pStyle w:val="BodyText"/>
        <w:spacing w:before="11"/>
        <w:jc w:val="left"/>
        <w:rPr>
          <w:sz w:val="23"/>
        </w:rPr>
      </w:pPr>
    </w:p>
    <w:p>
      <w:pPr>
        <w:pStyle w:val="ListParagraph"/>
        <w:numPr>
          <w:ilvl w:val="0"/>
          <w:numId w:val="21"/>
        </w:numPr>
        <w:tabs>
          <w:tab w:pos="1340" w:val="left" w:leader="none"/>
        </w:tabs>
        <w:spacing w:line="240" w:lineRule="auto" w:before="0" w:after="0"/>
        <w:ind w:left="1340" w:right="403" w:hanging="360"/>
        <w:jc w:val="both"/>
        <w:rPr>
          <w:sz w:val="24"/>
        </w:rPr>
      </w:pPr>
      <w:r>
        <w:rPr>
          <w:b/>
          <w:sz w:val="24"/>
        </w:rPr>
        <w:t>Parādnieks nepilda Maksātnespējas likumā noteiktos pienākumus </w:t>
      </w:r>
      <w:r>
        <w:rPr>
          <w:sz w:val="24"/>
        </w:rPr>
        <w:t>(tiesas nolēmumā</w:t>
      </w:r>
      <w:r>
        <w:rPr>
          <w:spacing w:val="-10"/>
          <w:sz w:val="24"/>
        </w:rPr>
        <w:t> </w:t>
      </w:r>
      <w:r>
        <w:rPr>
          <w:sz w:val="24"/>
        </w:rPr>
        <w:t>nav</w:t>
      </w:r>
      <w:r>
        <w:rPr>
          <w:spacing w:val="-10"/>
          <w:sz w:val="24"/>
        </w:rPr>
        <w:t> </w:t>
      </w:r>
      <w:r>
        <w:rPr>
          <w:sz w:val="24"/>
        </w:rPr>
        <w:t>atsauces</w:t>
      </w:r>
      <w:r>
        <w:rPr>
          <w:spacing w:val="-10"/>
          <w:sz w:val="24"/>
        </w:rPr>
        <w:t> </w:t>
      </w:r>
      <w:r>
        <w:rPr>
          <w:sz w:val="24"/>
        </w:rPr>
        <w:t>uz</w:t>
      </w:r>
      <w:r>
        <w:rPr>
          <w:spacing w:val="-9"/>
          <w:sz w:val="24"/>
        </w:rPr>
        <w:t> </w:t>
      </w:r>
      <w:r>
        <w:rPr>
          <w:sz w:val="24"/>
        </w:rPr>
        <w:t>konkrētiem</w:t>
      </w:r>
      <w:r>
        <w:rPr>
          <w:spacing w:val="-12"/>
          <w:sz w:val="24"/>
        </w:rPr>
        <w:t> </w:t>
      </w:r>
      <w:r>
        <w:rPr>
          <w:sz w:val="24"/>
        </w:rPr>
        <w:t>Maksātnespējas</w:t>
      </w:r>
      <w:r>
        <w:rPr>
          <w:spacing w:val="-10"/>
          <w:sz w:val="24"/>
        </w:rPr>
        <w:t> </w:t>
      </w:r>
      <w:r>
        <w:rPr>
          <w:sz w:val="24"/>
        </w:rPr>
        <w:t>likuma</w:t>
      </w:r>
      <w:r>
        <w:rPr>
          <w:spacing w:val="-9"/>
          <w:sz w:val="24"/>
        </w:rPr>
        <w:t> </w:t>
      </w:r>
      <w:r>
        <w:rPr>
          <w:sz w:val="24"/>
        </w:rPr>
        <w:t>pantiem</w:t>
      </w:r>
      <w:r>
        <w:rPr>
          <w:spacing w:val="-7"/>
          <w:sz w:val="24"/>
        </w:rPr>
        <w:t> </w:t>
      </w:r>
      <w:r>
        <w:rPr>
          <w:sz w:val="24"/>
        </w:rPr>
        <w:t>par</w:t>
      </w:r>
      <w:r>
        <w:rPr>
          <w:spacing w:val="-10"/>
          <w:sz w:val="24"/>
        </w:rPr>
        <w:t> </w:t>
      </w:r>
      <w:r>
        <w:rPr>
          <w:sz w:val="24"/>
        </w:rPr>
        <w:t>saistību dzēšanas procedūras nepiemērošanu, ierobežojumiem un tml.) – nesniedz informāciju, nesastāda, neiesniedz</w:t>
      </w:r>
      <w:r>
        <w:rPr>
          <w:spacing w:val="-3"/>
          <w:sz w:val="24"/>
        </w:rPr>
        <w:t> </w:t>
      </w:r>
      <w:r>
        <w:rPr>
          <w:sz w:val="24"/>
        </w:rPr>
        <w:t>plānu:</w:t>
      </w:r>
    </w:p>
    <w:p>
      <w:pPr>
        <w:pStyle w:val="ListParagraph"/>
        <w:numPr>
          <w:ilvl w:val="1"/>
          <w:numId w:val="21"/>
        </w:numPr>
        <w:tabs>
          <w:tab w:pos="1753" w:val="left" w:leader="none"/>
        </w:tabs>
        <w:spacing w:line="240" w:lineRule="auto" w:before="0" w:after="0"/>
        <w:ind w:left="1752" w:right="402" w:hanging="425"/>
        <w:jc w:val="both"/>
        <w:rPr>
          <w:sz w:val="24"/>
        </w:rPr>
      </w:pPr>
      <w:r>
        <w:rPr>
          <w:sz w:val="24"/>
        </w:rPr>
        <w:t>Parādnieks nav pārskaitījis </w:t>
      </w:r>
      <w:r>
        <w:rPr>
          <w:b/>
          <w:sz w:val="24"/>
        </w:rPr>
        <w:t>vienu trešdaļu </w:t>
      </w:r>
      <w:r>
        <w:rPr>
          <w:sz w:val="24"/>
        </w:rPr>
        <w:t>no saviem ienākumiem uz administratora atvērto kontu kredītiestādē un </w:t>
      </w:r>
      <w:r>
        <w:rPr>
          <w:b/>
          <w:sz w:val="24"/>
        </w:rPr>
        <w:t>nenorāda ienākumu</w:t>
      </w:r>
      <w:r>
        <w:rPr>
          <w:b/>
          <w:spacing w:val="-28"/>
          <w:sz w:val="24"/>
        </w:rPr>
        <w:t> </w:t>
      </w:r>
      <w:r>
        <w:rPr>
          <w:b/>
          <w:sz w:val="24"/>
        </w:rPr>
        <w:t>negūšanas iemeslus </w:t>
      </w:r>
      <w:r>
        <w:rPr>
          <w:sz w:val="24"/>
        </w:rPr>
        <w:t>- tiesa pēc savas iniciatīvas lietā, kurā administrators </w:t>
      </w:r>
      <w:r>
        <w:rPr>
          <w:sz w:val="24"/>
          <w:u w:val="single"/>
        </w:rPr>
        <w:t>ne</w:t>
      </w:r>
      <w:r>
        <w:rPr>
          <w:sz w:val="24"/>
        </w:rPr>
        <w:t>norāda uz ierobežojumiem maksātnespējas procesa turpināšanai un kur nav saņemti kreditoru iebildumi, no lietā esošajiem materiāliem izdara šādus secinājumus: Tiesai nav pamata uzskatīt, ka parādniekam būtu pastāvējuši jebkādi objektīvi apstākļi, kuru dēļ viņš nebūtu varējis līdz lietas izskatīšanas dienai gūt ienākumus, lai novirzīt 1/3 daļu no saviem ienākumiem maksātnespējas procesā atzīto kreditoru prasījumu segšanai. No lietas materiāliem izriet, ka parādnieks ir reģistrēts kā pašnodarbinātais VID, ir darbspējīgā vecumā, strādājis galdniecības sfērā. Tiesai parādnieks nav sniedzis nekādas ziņas par to, kādēļ negūst ienākumus. Lietā nav ziņu, ka parādniekam būtu piešķirts trūcīgas</w:t>
      </w:r>
      <w:r>
        <w:rPr>
          <w:spacing w:val="8"/>
          <w:sz w:val="24"/>
        </w:rPr>
        <w:t> </w:t>
      </w:r>
      <w:r>
        <w:rPr>
          <w:sz w:val="24"/>
        </w:rPr>
        <w:t>personas</w:t>
      </w:r>
      <w:r>
        <w:rPr>
          <w:spacing w:val="8"/>
          <w:sz w:val="24"/>
        </w:rPr>
        <w:t> </w:t>
      </w:r>
      <w:r>
        <w:rPr>
          <w:sz w:val="24"/>
        </w:rPr>
        <w:t>statuss,</w:t>
      </w:r>
      <w:r>
        <w:rPr>
          <w:spacing w:val="12"/>
          <w:sz w:val="24"/>
        </w:rPr>
        <w:t> </w:t>
      </w:r>
      <w:r>
        <w:rPr>
          <w:sz w:val="24"/>
        </w:rPr>
        <w:t>viņš</w:t>
      </w:r>
      <w:r>
        <w:rPr>
          <w:spacing w:val="11"/>
          <w:sz w:val="24"/>
        </w:rPr>
        <w:t> </w:t>
      </w:r>
      <w:r>
        <w:rPr>
          <w:sz w:val="24"/>
        </w:rPr>
        <w:t>būtu</w:t>
      </w:r>
      <w:r>
        <w:rPr>
          <w:spacing w:val="14"/>
          <w:sz w:val="24"/>
        </w:rPr>
        <w:t> </w:t>
      </w:r>
      <w:r>
        <w:rPr>
          <w:sz w:val="24"/>
        </w:rPr>
        <w:t>reģistrēts</w:t>
      </w:r>
      <w:r>
        <w:rPr>
          <w:spacing w:val="13"/>
          <w:sz w:val="24"/>
        </w:rPr>
        <w:t> </w:t>
      </w:r>
      <w:r>
        <w:rPr>
          <w:sz w:val="24"/>
        </w:rPr>
        <w:t>kā</w:t>
      </w:r>
      <w:r>
        <w:rPr>
          <w:spacing w:val="9"/>
          <w:sz w:val="24"/>
        </w:rPr>
        <w:t> </w:t>
      </w:r>
      <w:r>
        <w:rPr>
          <w:sz w:val="24"/>
        </w:rPr>
        <w:t>ilgstošs</w:t>
      </w:r>
      <w:r>
        <w:rPr>
          <w:spacing w:val="11"/>
          <w:sz w:val="24"/>
        </w:rPr>
        <w:t> </w:t>
      </w:r>
      <w:r>
        <w:rPr>
          <w:sz w:val="24"/>
        </w:rPr>
        <w:t>bezdarbnieks,</w:t>
      </w:r>
      <w:r>
        <w:rPr>
          <w:spacing w:val="12"/>
          <w:sz w:val="24"/>
        </w:rPr>
        <w:t> </w:t>
      </w:r>
      <w:r>
        <w:rPr>
          <w:sz w:val="24"/>
        </w:rPr>
        <w:t>viņam</w:t>
      </w:r>
    </w:p>
    <w:p>
      <w:pPr>
        <w:pStyle w:val="BodyText"/>
        <w:spacing w:before="6"/>
        <w:jc w:val="left"/>
        <w:rPr>
          <w:sz w:val="12"/>
        </w:rPr>
      </w:pPr>
      <w:r>
        <w:rPr/>
        <w:pict>
          <v:shape style="position:absolute;margin-left:90pt;margin-top:9.498819pt;width:144pt;height:.1pt;mso-position-horizontal-relative:page;mso-position-vertical-relative:paragraph;z-index:-251637760;mso-wrap-distance-left:0;mso-wrap-distance-right:0" coordorigin="1800,190" coordsize="2880,0" path="m1800,190l4680,190e" filled="false" stroked="true" strokeweight=".600037pt" strokecolor="#000000">
            <v:path arrowok="t"/>
            <v:stroke dashstyle="solid"/>
            <w10:wrap type="topAndBottom"/>
          </v:shape>
        </w:pict>
      </w:r>
    </w:p>
    <w:p>
      <w:pPr>
        <w:spacing w:line="233" w:lineRule="exact" w:before="70"/>
        <w:ind w:left="620" w:right="0" w:firstLine="0"/>
        <w:jc w:val="left"/>
        <w:rPr>
          <w:sz w:val="20"/>
        </w:rPr>
      </w:pPr>
      <w:r>
        <w:rPr>
          <w:position w:val="7"/>
          <w:sz w:val="13"/>
        </w:rPr>
        <w:t>103 </w:t>
      </w:r>
      <w:r>
        <w:rPr>
          <w:sz w:val="20"/>
        </w:rPr>
        <w:t>Rīgas pilsētas Vidzemes priekšpilsētas tiesas 2015.gada 17.marta nolēmums lietā Nr. C30601614</w:t>
      </w:r>
    </w:p>
    <w:p>
      <w:pPr>
        <w:spacing w:line="230" w:lineRule="exact" w:before="0"/>
        <w:ind w:left="620" w:right="0" w:firstLine="0"/>
        <w:jc w:val="left"/>
        <w:rPr>
          <w:sz w:val="20"/>
        </w:rPr>
      </w:pPr>
      <w:r>
        <w:rPr>
          <w:position w:val="7"/>
          <w:sz w:val="13"/>
        </w:rPr>
        <w:t>104 </w:t>
      </w:r>
      <w:r>
        <w:rPr>
          <w:sz w:val="20"/>
        </w:rPr>
        <w:t>Rīgas rajona tiesas 2016.gada 7.septembra nolēmums lietā Nr. C33442016</w:t>
      </w:r>
    </w:p>
    <w:p>
      <w:pPr>
        <w:spacing w:line="233" w:lineRule="exact" w:before="0"/>
        <w:ind w:left="620" w:right="0" w:firstLine="0"/>
        <w:jc w:val="left"/>
        <w:rPr>
          <w:sz w:val="20"/>
        </w:rPr>
      </w:pPr>
      <w:r>
        <w:rPr>
          <w:position w:val="7"/>
          <w:sz w:val="13"/>
        </w:rPr>
        <w:t>105 </w:t>
      </w:r>
      <w:r>
        <w:rPr>
          <w:sz w:val="20"/>
        </w:rPr>
        <w:t>Tukuma rajona tiesas 2015.gada 12.augusta nolēmums lietā Nr. C37093414</w:t>
      </w:r>
    </w:p>
    <w:p>
      <w:pPr>
        <w:spacing w:after="0" w:line="233" w:lineRule="exact"/>
        <w:jc w:val="left"/>
        <w:rPr>
          <w:sz w:val="20"/>
        </w:rPr>
        <w:sectPr>
          <w:pgSz w:w="11910" w:h="16840"/>
          <w:pgMar w:header="0" w:footer="1055" w:top="1340" w:bottom="1240" w:left="1180" w:right="1040"/>
        </w:sectPr>
      </w:pPr>
    </w:p>
    <w:p>
      <w:pPr>
        <w:pStyle w:val="BodyText"/>
        <w:spacing w:line="235" w:lineRule="auto" w:before="78"/>
        <w:ind w:left="1392" w:right="761"/>
      </w:pPr>
      <w:r>
        <w:rPr/>
        <w:t>būtu kāda saslimšana, kas liegtu gūt ienākumus, vai pastāvētu jebkādi citi apstākļi, kas attaisno ienākumu neesamību.</w:t>
      </w:r>
      <w:r>
        <w:rPr>
          <w:position w:val="9"/>
          <w:sz w:val="16"/>
        </w:rPr>
        <w:t>106 </w:t>
      </w:r>
      <w:r>
        <w:rPr/>
        <w:t>Kā rezultātā tiesa pieņem lēmumu, ka ir konstatējami Maksātnespējas likuma 153.pantā noteiktie ierobežojumi.</w:t>
      </w:r>
    </w:p>
    <w:p>
      <w:pPr>
        <w:pStyle w:val="Heading3"/>
        <w:numPr>
          <w:ilvl w:val="1"/>
          <w:numId w:val="21"/>
        </w:numPr>
        <w:tabs>
          <w:tab w:pos="1393" w:val="left" w:leader="none"/>
        </w:tabs>
        <w:spacing w:line="274" w:lineRule="exact" w:before="7" w:after="0"/>
        <w:ind w:left="1392" w:right="0" w:hanging="426"/>
        <w:jc w:val="both"/>
      </w:pPr>
      <w:r>
        <w:rPr/>
        <w:t>Parādnieks nepilda citus Maksātnespējas likumā noteiktos</w:t>
      </w:r>
      <w:r>
        <w:rPr>
          <w:spacing w:val="-11"/>
        </w:rPr>
        <w:t> </w:t>
      </w:r>
      <w:r>
        <w:rPr/>
        <w:t>pienākumus:</w:t>
      </w:r>
    </w:p>
    <w:p>
      <w:pPr>
        <w:pStyle w:val="BodyText"/>
        <w:ind w:left="2103" w:right="764" w:hanging="711"/>
      </w:pPr>
      <w:r>
        <w:rPr/>
        <w:t>(aa) Maksātnespējas likuma 5.panta pirmajā daļā nostiprinātais maksātnespējas procesa mērķis ir kreditoru prasījumu pēc iespējas pilnīgāka apmierināšana. Fiziskai personai izšķiroties par labu maksātnespējas procesam, ir jābūt gatavai sniegt ticamu (pierādāmu) informāciju par savām saistībām, mantu un ienākumiem.</w:t>
      </w:r>
    </w:p>
    <w:p>
      <w:pPr>
        <w:pStyle w:val="BodyText"/>
        <w:ind w:left="2103" w:right="764" w:hanging="711"/>
      </w:pPr>
      <w:r>
        <w:rPr/>
        <w:t>(bb) Fiziskās personas maksātnespējas process tiek uzsākts pēc  pašas  fiziskās personas iniciatīvas, un Maksātnespējas likuma normas paredz pašas fiziskās personas aktīvu līdzdalību maksātnespējas</w:t>
      </w:r>
      <w:r>
        <w:rPr>
          <w:spacing w:val="-10"/>
        </w:rPr>
        <w:t> </w:t>
      </w:r>
      <w:r>
        <w:rPr/>
        <w:t>procesā.</w:t>
      </w:r>
    </w:p>
    <w:p>
      <w:pPr>
        <w:pStyle w:val="BodyText"/>
        <w:ind w:left="2103" w:right="761" w:hanging="711"/>
      </w:pPr>
      <w:r>
        <w:rPr/>
        <w:t>(cc) Tiesas ieskatā nav pieļaujama situācija, kad parādnieks gada laikā nav spējis gūt nekādus ienākumus, nav sedzis kreditoru prasījumus un pats neiesniedz tiesā parakstītu saistību dzēšanas plānu. Pie šādiem apstākļiem tiesai nav nekāda pamata uzskatīt, ka saistību dzēšanas procedūras laikā parādnieks gūs reālus ienākumus, no kuriem 1/3 daļu novirzīs kreditoru prasījumu segšanai.</w:t>
      </w:r>
    </w:p>
    <w:p>
      <w:pPr>
        <w:pStyle w:val="BodyText"/>
        <w:spacing w:line="237" w:lineRule="auto"/>
        <w:ind w:left="2103" w:right="761" w:hanging="711"/>
        <w:rPr>
          <w:sz w:val="16"/>
        </w:rPr>
      </w:pPr>
      <w:r>
        <w:rPr/>
        <w:t>(dd) Maksātnespējas procesā iesaistītajām personām, tajā  skaitā  parādniekam, jābūt sasniedzamām un jārūpējas par to, lai tam Maksātnespējas likumā noteiktie pienākumi tiktu izpildīti un piešķirtās tiesības</w:t>
      </w:r>
      <w:r>
        <w:rPr>
          <w:spacing w:val="-11"/>
        </w:rPr>
        <w:t> </w:t>
      </w:r>
      <w:r>
        <w:rPr/>
        <w:t>tiktu</w:t>
      </w:r>
      <w:r>
        <w:rPr>
          <w:spacing w:val="-8"/>
        </w:rPr>
        <w:t> </w:t>
      </w:r>
      <w:r>
        <w:rPr/>
        <w:t>realizētas</w:t>
      </w:r>
      <w:r>
        <w:rPr>
          <w:spacing w:val="-8"/>
        </w:rPr>
        <w:t> </w:t>
      </w:r>
      <w:r>
        <w:rPr/>
        <w:t>atbilstoši</w:t>
      </w:r>
      <w:r>
        <w:rPr>
          <w:spacing w:val="-10"/>
        </w:rPr>
        <w:t> </w:t>
      </w:r>
      <w:r>
        <w:rPr/>
        <w:t>likuma</w:t>
      </w:r>
      <w:r>
        <w:rPr>
          <w:spacing w:val="-10"/>
        </w:rPr>
        <w:t> </w:t>
      </w:r>
      <w:r>
        <w:rPr/>
        <w:t>mērķim,</w:t>
      </w:r>
      <w:r>
        <w:rPr>
          <w:spacing w:val="-10"/>
        </w:rPr>
        <w:t> </w:t>
      </w:r>
      <w:r>
        <w:rPr/>
        <w:t>savlaicīgi,</w:t>
      </w:r>
      <w:r>
        <w:rPr>
          <w:spacing w:val="-10"/>
        </w:rPr>
        <w:t> </w:t>
      </w:r>
      <w:r>
        <w:rPr/>
        <w:t>efektīvi,</w:t>
      </w:r>
      <w:r>
        <w:rPr>
          <w:spacing w:val="-10"/>
        </w:rPr>
        <w:t> </w:t>
      </w:r>
      <w:r>
        <w:rPr/>
        <w:t>kā arī ievērojot citu personu, tajā skaitā, kreditoru, tiesiskās intereses. Maksātnespējas procesa pasludināšana tiesā rada papildus pienākumus maksātnespējīgajai fiziskajai personai, ko nosaka Maksātnespējas likums. Ja parādnieks šos pienākumus nespēj vai nevēlas pildīt, viņš nevar baudīt arī īpašo tiesisko aizsardzību, ko paredz Maksātnespējas likuma</w:t>
      </w:r>
      <w:r>
        <w:rPr>
          <w:spacing w:val="1"/>
        </w:rPr>
        <w:t> </w:t>
      </w:r>
      <w:r>
        <w:rPr/>
        <w:t>normas.</w:t>
      </w:r>
      <w:r>
        <w:rPr>
          <w:position w:val="9"/>
          <w:sz w:val="16"/>
        </w:rPr>
        <w:t>107</w:t>
      </w:r>
    </w:p>
    <w:p>
      <w:pPr>
        <w:pStyle w:val="BodyText"/>
        <w:jc w:val="left"/>
        <w:rPr>
          <w:sz w:val="28"/>
        </w:rPr>
      </w:pPr>
    </w:p>
    <w:p>
      <w:pPr>
        <w:pStyle w:val="Heading4"/>
        <w:numPr>
          <w:ilvl w:val="1"/>
          <w:numId w:val="15"/>
        </w:numPr>
        <w:tabs>
          <w:tab w:pos="1021" w:val="left" w:leader="none"/>
        </w:tabs>
        <w:spacing w:line="240" w:lineRule="auto" w:before="245" w:after="0"/>
        <w:ind w:left="543" w:right="764" w:firstLine="0"/>
        <w:jc w:val="left"/>
      </w:pPr>
      <w:r>
        <w:rPr>
          <w:i/>
        </w:rPr>
        <w:t>LR Augstākās tiesas (Senāta) Civillietu departamenta nolēmumi, ar kuriem </w:t>
      </w:r>
      <w:r>
        <w:rPr/>
        <w:t>risināti</w:t>
      </w:r>
      <w:r>
        <w:rPr>
          <w:spacing w:val="-9"/>
        </w:rPr>
        <w:t> </w:t>
      </w:r>
      <w:r>
        <w:rPr/>
        <w:t>jautājumi</w:t>
      </w:r>
      <w:r>
        <w:rPr>
          <w:spacing w:val="-9"/>
        </w:rPr>
        <w:t> </w:t>
      </w:r>
      <w:r>
        <w:rPr/>
        <w:t>saistībā</w:t>
      </w:r>
      <w:r>
        <w:rPr>
          <w:spacing w:val="-8"/>
        </w:rPr>
        <w:t> </w:t>
      </w:r>
      <w:r>
        <w:rPr/>
        <w:t>ar</w:t>
      </w:r>
      <w:r>
        <w:rPr>
          <w:spacing w:val="-6"/>
        </w:rPr>
        <w:t> </w:t>
      </w:r>
      <w:r>
        <w:rPr/>
        <w:t>fiziskas</w:t>
      </w:r>
      <w:r>
        <w:rPr>
          <w:spacing w:val="-8"/>
        </w:rPr>
        <w:t> </w:t>
      </w:r>
      <w:r>
        <w:rPr/>
        <w:t>personas</w:t>
      </w:r>
      <w:r>
        <w:rPr>
          <w:spacing w:val="-9"/>
        </w:rPr>
        <w:t> </w:t>
      </w:r>
      <w:r>
        <w:rPr/>
        <w:t>bankrota</w:t>
      </w:r>
      <w:r>
        <w:rPr>
          <w:spacing w:val="-9"/>
        </w:rPr>
        <w:t> </w:t>
      </w:r>
      <w:r>
        <w:rPr/>
        <w:t>procedūru</w:t>
      </w:r>
      <w:r>
        <w:rPr>
          <w:spacing w:val="-8"/>
        </w:rPr>
        <w:t> </w:t>
      </w:r>
      <w:r>
        <w:rPr/>
        <w:t>un</w:t>
      </w:r>
      <w:r>
        <w:rPr>
          <w:spacing w:val="-6"/>
        </w:rPr>
        <w:t> </w:t>
      </w:r>
      <w:r>
        <w:rPr/>
        <w:t>tās</w:t>
      </w:r>
      <w:r>
        <w:rPr>
          <w:spacing w:val="-10"/>
        </w:rPr>
        <w:t> </w:t>
      </w:r>
      <w:r>
        <w:rPr/>
        <w:t>pabeigšanu</w:t>
      </w:r>
    </w:p>
    <w:p>
      <w:pPr>
        <w:spacing w:before="0"/>
        <w:ind w:left="543" w:right="0" w:firstLine="0"/>
        <w:jc w:val="left"/>
        <w:rPr>
          <w:b/>
          <w:i/>
          <w:sz w:val="24"/>
        </w:rPr>
      </w:pPr>
      <w:r>
        <w:rPr>
          <w:b/>
          <w:i/>
          <w:sz w:val="24"/>
        </w:rPr>
        <w:t>/ izbeigšanu, nepiemērojot saistību dzēšanas procedūru</w:t>
      </w:r>
    </w:p>
    <w:p>
      <w:pPr>
        <w:pStyle w:val="BodyText"/>
        <w:jc w:val="left"/>
        <w:rPr>
          <w:b/>
          <w:i/>
          <w:sz w:val="26"/>
        </w:rPr>
      </w:pPr>
    </w:p>
    <w:p>
      <w:pPr>
        <w:pStyle w:val="BodyText"/>
        <w:spacing w:before="2"/>
        <w:jc w:val="left"/>
        <w:rPr>
          <w:b/>
          <w:i/>
          <w:sz w:val="22"/>
        </w:rPr>
      </w:pPr>
    </w:p>
    <w:p>
      <w:pPr>
        <w:pStyle w:val="ListParagraph"/>
        <w:numPr>
          <w:ilvl w:val="0"/>
          <w:numId w:val="22"/>
        </w:numPr>
        <w:tabs>
          <w:tab w:pos="980" w:val="left" w:leader="none"/>
        </w:tabs>
        <w:spacing w:line="237" w:lineRule="auto" w:before="1" w:after="0"/>
        <w:ind w:left="980" w:right="761" w:hanging="360"/>
        <w:jc w:val="both"/>
        <w:rPr>
          <w:sz w:val="16"/>
        </w:rPr>
      </w:pPr>
      <w:r>
        <w:rPr>
          <w:b/>
          <w:sz w:val="24"/>
        </w:rPr>
        <w:t>Tiesiskās sekas, ja administrators pieteikumā par parādnieka bankrota procedūras pabeigšanu nav norādījis, vai parādniekam ir piemērojama saistību dzēšanas procedūra - </w:t>
      </w:r>
      <w:r>
        <w:rPr>
          <w:spacing w:val="-3"/>
          <w:sz w:val="24"/>
        </w:rPr>
        <w:t>LR </w:t>
      </w:r>
      <w:r>
        <w:rPr>
          <w:sz w:val="24"/>
        </w:rPr>
        <w:t>AT Senāta 2013.gada 27.jūnija lēmumā lietā Nr. SPC-35/2013 secināts, ka gadījumā, ja administrators pieteikumā par parādnieka bankrota procedūras pabeigšanu nav norādījis, vai parādniekam ir piemērojama saistību dzēšanas procedūra, tas nav uzskatāms par pamatu parādnieka bankrota procedūras pabeigšanas neapstiprināšanai. Tādējādi tiesa, uzskatīdama, ka Civilprocesa likuma 363.</w:t>
      </w:r>
      <w:r>
        <w:rPr>
          <w:position w:val="9"/>
          <w:sz w:val="16"/>
        </w:rPr>
        <w:t>30</w:t>
      </w:r>
      <w:r>
        <w:rPr>
          <w:sz w:val="24"/>
        </w:rPr>
        <w:t>panta otrās daļas 4.punktā prasīto ziņu (vai parādniekam piemērojama saistību dzēšanas procedūra) nenorādīšana administratores pieteikumā ir pamats atteikt apstiprināt bankrota procedūras pabeigšanu, nav pareizi iztulkojusi Civilprocesa likuma 363.</w:t>
      </w:r>
      <w:r>
        <w:rPr>
          <w:position w:val="9"/>
          <w:sz w:val="16"/>
        </w:rPr>
        <w:t>30</w:t>
      </w:r>
      <w:r>
        <w:rPr>
          <w:sz w:val="24"/>
        </w:rPr>
        <w:t>panta</w:t>
      </w:r>
      <w:r>
        <w:rPr>
          <w:spacing w:val="-9"/>
          <w:sz w:val="24"/>
        </w:rPr>
        <w:t> </w:t>
      </w:r>
      <w:r>
        <w:rPr>
          <w:sz w:val="24"/>
        </w:rPr>
        <w:t>normu.</w:t>
      </w:r>
      <w:r>
        <w:rPr>
          <w:position w:val="9"/>
          <w:sz w:val="16"/>
        </w:rPr>
        <w:t>108</w:t>
      </w:r>
    </w:p>
    <w:p>
      <w:pPr>
        <w:pStyle w:val="BodyText"/>
        <w:spacing w:before="10"/>
        <w:jc w:val="left"/>
        <w:rPr>
          <w:sz w:val="11"/>
        </w:rPr>
      </w:pPr>
      <w:r>
        <w:rPr/>
        <w:pict>
          <v:shape style="position:absolute;margin-left:72pt;margin-top:9.102658pt;width:144pt;height:.1pt;mso-position-horizontal-relative:page;mso-position-vertical-relative:paragraph;z-index:-251636736;mso-wrap-distance-left:0;mso-wrap-distance-right:0" coordorigin="1440,182" coordsize="2880,0" path="m1440,182l4320,182e" filled="false" stroked="true" strokeweight=".600037pt" strokecolor="#000000">
            <v:path arrowok="t"/>
            <v:stroke dashstyle="solid"/>
            <w10:wrap type="topAndBottom"/>
          </v:shape>
        </w:pict>
      </w:r>
    </w:p>
    <w:p>
      <w:pPr>
        <w:spacing w:line="235" w:lineRule="auto" w:before="73"/>
        <w:ind w:left="260" w:right="3105" w:firstLine="0"/>
        <w:jc w:val="both"/>
        <w:rPr>
          <w:sz w:val="20"/>
        </w:rPr>
      </w:pPr>
      <w:r>
        <w:rPr>
          <w:position w:val="7"/>
          <w:sz w:val="13"/>
        </w:rPr>
        <w:t>106 </w:t>
      </w:r>
      <w:r>
        <w:rPr>
          <w:sz w:val="20"/>
        </w:rPr>
        <w:t>Tukuma rajona tiesas 2015.gada 12.augusta nolēmums lietā Nr. C37093414 </w:t>
      </w:r>
      <w:r>
        <w:rPr>
          <w:position w:val="7"/>
          <w:sz w:val="13"/>
        </w:rPr>
        <w:t>107 </w:t>
      </w:r>
      <w:r>
        <w:rPr>
          <w:sz w:val="20"/>
        </w:rPr>
        <w:t>Tukuma rajona tiesas 2015.gada 12.augusta nolēmums lietā Nr. C37093414 </w:t>
      </w:r>
      <w:r>
        <w:rPr>
          <w:position w:val="7"/>
          <w:sz w:val="13"/>
        </w:rPr>
        <w:t>108 </w:t>
      </w:r>
      <w:r>
        <w:rPr>
          <w:sz w:val="20"/>
        </w:rPr>
        <w:t>LR AT Senāta 2013.gada 27.jūnija lēmums lietā Nr. SPC-35/2013</w:t>
      </w:r>
    </w:p>
    <w:p>
      <w:pPr>
        <w:spacing w:after="0" w:line="235" w:lineRule="auto"/>
        <w:jc w:val="both"/>
        <w:rPr>
          <w:sz w:val="20"/>
        </w:rPr>
        <w:sectPr>
          <w:footerReference w:type="even" r:id="rId28"/>
          <w:footerReference w:type="default" r:id="rId29"/>
          <w:pgSz w:w="11910" w:h="16840"/>
          <w:pgMar w:footer="1055" w:header="0" w:top="1340" w:bottom="1240" w:left="1180" w:right="1040"/>
          <w:pgNumType w:start="38"/>
        </w:sectPr>
      </w:pPr>
    </w:p>
    <w:p>
      <w:pPr>
        <w:pStyle w:val="Heading3"/>
        <w:numPr>
          <w:ilvl w:val="0"/>
          <w:numId w:val="22"/>
        </w:numPr>
        <w:tabs>
          <w:tab w:pos="1340" w:val="left" w:leader="none"/>
        </w:tabs>
        <w:spacing w:line="240" w:lineRule="auto" w:before="109" w:after="0"/>
        <w:ind w:left="1340" w:right="402" w:hanging="360"/>
        <w:jc w:val="both"/>
        <w:rPr>
          <w:b w:val="0"/>
        </w:rPr>
      </w:pPr>
      <w:r>
        <w:rPr/>
        <w:t>Tiesas pienākums objektīvi izvērtēt apstākļus, kuriem ir svarīga nozīme</w:t>
      </w:r>
      <w:r>
        <w:rPr>
          <w:b w:val="0"/>
        </w:rPr>
        <w:t>, </w:t>
      </w:r>
      <w:r>
        <w:rPr/>
        <w:t>tai skaitā, bet neaprobežojoties ar tiesību nodrošināšanu parādniekam novērst trūkumus saistību dzēšanas plānā, paskaidrojumu pieprasīšanu no parādnieka lietās, kur paredzēta iespēja jautājuma izlemšanai rakstveida procesā</w:t>
      </w:r>
      <w:r>
        <w:rPr>
          <w:b w:val="0"/>
        </w:rPr>
        <w:t>:</w:t>
      </w:r>
    </w:p>
    <w:p>
      <w:pPr>
        <w:pStyle w:val="BodyText"/>
        <w:spacing w:before="2"/>
        <w:jc w:val="left"/>
      </w:pPr>
    </w:p>
    <w:p>
      <w:pPr>
        <w:pStyle w:val="ListParagraph"/>
        <w:numPr>
          <w:ilvl w:val="1"/>
          <w:numId w:val="22"/>
        </w:numPr>
        <w:tabs>
          <w:tab w:pos="1570" w:val="left" w:leader="none"/>
        </w:tabs>
        <w:spacing w:line="237" w:lineRule="auto" w:before="1" w:after="0"/>
        <w:ind w:left="1613" w:right="401" w:hanging="286"/>
        <w:jc w:val="both"/>
        <w:rPr>
          <w:sz w:val="16"/>
        </w:rPr>
      </w:pPr>
      <w:r>
        <w:rPr>
          <w:sz w:val="24"/>
        </w:rPr>
        <w:t>LR AT Senāta 2013.gada 27.jūnija lēmumā lietā Nr. SPC-35/2013 konstatēts,</w:t>
      </w:r>
      <w:r>
        <w:rPr>
          <w:spacing w:val="-44"/>
          <w:sz w:val="24"/>
        </w:rPr>
        <w:t> </w:t>
      </w:r>
      <w:r>
        <w:rPr>
          <w:sz w:val="24"/>
        </w:rPr>
        <w:t>ka pierādījumu neiesniegšana par parādnieka saistību dzēšanas plāna nosūtīšanu kreditoriem un to iebildumiem Maksātnespējas likuma 153.pantā nav minēts kā ierobežojums saistību dzēšanas procedūras piemērošanai. Tas tāpat kā tiesas konstatētā</w:t>
      </w:r>
      <w:r>
        <w:rPr>
          <w:spacing w:val="-11"/>
          <w:sz w:val="24"/>
        </w:rPr>
        <w:t> </w:t>
      </w:r>
      <w:r>
        <w:rPr>
          <w:sz w:val="24"/>
        </w:rPr>
        <w:t>neatbilstība</w:t>
      </w:r>
      <w:r>
        <w:rPr>
          <w:spacing w:val="-10"/>
          <w:sz w:val="24"/>
        </w:rPr>
        <w:t> </w:t>
      </w:r>
      <w:r>
        <w:rPr>
          <w:sz w:val="24"/>
        </w:rPr>
        <w:t>starp</w:t>
      </w:r>
      <w:r>
        <w:rPr>
          <w:spacing w:val="-13"/>
          <w:sz w:val="24"/>
        </w:rPr>
        <w:t> </w:t>
      </w:r>
      <w:r>
        <w:rPr>
          <w:sz w:val="24"/>
        </w:rPr>
        <w:t>SIA</w:t>
      </w:r>
      <w:r>
        <w:rPr>
          <w:spacing w:val="-10"/>
          <w:sz w:val="24"/>
        </w:rPr>
        <w:t> </w:t>
      </w:r>
      <w:r>
        <w:rPr>
          <w:sz w:val="24"/>
        </w:rPr>
        <w:t>„[Nosaukums]”</w:t>
      </w:r>
      <w:r>
        <w:rPr>
          <w:spacing w:val="-11"/>
          <w:sz w:val="24"/>
        </w:rPr>
        <w:t> </w:t>
      </w:r>
      <w:r>
        <w:rPr>
          <w:sz w:val="24"/>
        </w:rPr>
        <w:t>norādīto</w:t>
      </w:r>
      <w:r>
        <w:rPr>
          <w:spacing w:val="-8"/>
          <w:sz w:val="24"/>
        </w:rPr>
        <w:t> </w:t>
      </w:r>
      <w:r>
        <w:rPr>
          <w:sz w:val="24"/>
        </w:rPr>
        <w:t>un</w:t>
      </w:r>
      <w:r>
        <w:rPr>
          <w:spacing w:val="-11"/>
          <w:sz w:val="24"/>
        </w:rPr>
        <w:t> </w:t>
      </w:r>
      <w:r>
        <w:rPr>
          <w:sz w:val="24"/>
        </w:rPr>
        <w:t>parādnieka</w:t>
      </w:r>
      <w:r>
        <w:rPr>
          <w:spacing w:val="-12"/>
          <w:sz w:val="24"/>
        </w:rPr>
        <w:t> </w:t>
      </w:r>
      <w:r>
        <w:rPr>
          <w:sz w:val="24"/>
        </w:rPr>
        <w:t>saistību dzēšanas plānā paredzēto parādnieka [pers. A] ienākumu apmēru, kā uzskata Senāts, ir trūkums, kuru novēršanas kārtība ir paredzēta Civilprocesa likuma 363.</w:t>
      </w:r>
      <w:r>
        <w:rPr>
          <w:position w:val="9"/>
          <w:sz w:val="16"/>
        </w:rPr>
        <w:t>31</w:t>
      </w:r>
      <w:r>
        <w:rPr>
          <w:sz w:val="24"/>
        </w:rPr>
        <w:t>panta ceturtajā daļā. Nedodot parādniekam Civilprocesa likumā</w:t>
      </w:r>
      <w:r>
        <w:rPr>
          <w:spacing w:val="-27"/>
          <w:sz w:val="24"/>
        </w:rPr>
        <w:t> </w:t>
      </w:r>
      <w:r>
        <w:rPr>
          <w:sz w:val="24"/>
        </w:rPr>
        <w:t>paredzēto iespēju novērst trūkumus, tiesa bez pietiekama pamata secinājusi, ka konkrētajā gadījumā pastāv Maksātnespējas likuma 153.pantā paredzētais ierobežojums saistību dzēšanas procedūras</w:t>
      </w:r>
      <w:r>
        <w:rPr>
          <w:spacing w:val="-3"/>
          <w:sz w:val="24"/>
        </w:rPr>
        <w:t> </w:t>
      </w:r>
      <w:r>
        <w:rPr>
          <w:sz w:val="24"/>
        </w:rPr>
        <w:t>piemērošanai.</w:t>
      </w:r>
      <w:r>
        <w:rPr>
          <w:position w:val="9"/>
          <w:sz w:val="16"/>
        </w:rPr>
        <w:t>109</w:t>
      </w:r>
    </w:p>
    <w:p>
      <w:pPr>
        <w:pStyle w:val="ListParagraph"/>
        <w:numPr>
          <w:ilvl w:val="1"/>
          <w:numId w:val="22"/>
        </w:numPr>
        <w:tabs>
          <w:tab w:pos="1629" w:val="left" w:leader="none"/>
        </w:tabs>
        <w:spacing w:line="240" w:lineRule="auto" w:before="0" w:after="0"/>
        <w:ind w:left="1613" w:right="401" w:hanging="286"/>
        <w:jc w:val="both"/>
        <w:rPr>
          <w:sz w:val="24"/>
        </w:rPr>
      </w:pPr>
      <w:r>
        <w:rPr>
          <w:spacing w:val="-3"/>
          <w:sz w:val="24"/>
        </w:rPr>
        <w:t>LR </w:t>
      </w:r>
      <w:r>
        <w:rPr>
          <w:sz w:val="24"/>
        </w:rPr>
        <w:t>AT Civillietu departaments 2015.gada 24.februārī taisīja spriedumu lietā SPC-4/2015, kur tiesa pēc administratora pieteikuma bija pieņēmusi lēmumu pabeigt parādnieka bankrota procedūru, nepiemērojot saistību dzēšanas procedūru, tāpēc, ka parādnieks pārtraucis maksāt vienu trešdaļu no saviem ienākumiem</w:t>
      </w:r>
      <w:r>
        <w:rPr>
          <w:spacing w:val="-15"/>
          <w:sz w:val="24"/>
        </w:rPr>
        <w:t> </w:t>
      </w:r>
      <w:r>
        <w:rPr>
          <w:sz w:val="24"/>
        </w:rPr>
        <w:t>bankrota</w:t>
      </w:r>
      <w:r>
        <w:rPr>
          <w:spacing w:val="-16"/>
          <w:sz w:val="24"/>
        </w:rPr>
        <w:t> </w:t>
      </w:r>
      <w:r>
        <w:rPr>
          <w:sz w:val="24"/>
        </w:rPr>
        <w:t>procedūras</w:t>
      </w:r>
      <w:r>
        <w:rPr>
          <w:spacing w:val="-13"/>
          <w:sz w:val="24"/>
        </w:rPr>
        <w:t> </w:t>
      </w:r>
      <w:r>
        <w:rPr>
          <w:sz w:val="24"/>
        </w:rPr>
        <w:t>laikā</w:t>
      </w:r>
      <w:r>
        <w:rPr>
          <w:spacing w:val="-16"/>
          <w:sz w:val="24"/>
        </w:rPr>
        <w:t> </w:t>
      </w:r>
      <w:r>
        <w:rPr>
          <w:sz w:val="24"/>
        </w:rPr>
        <w:t>(parādnieks</w:t>
      </w:r>
      <w:r>
        <w:rPr>
          <w:spacing w:val="-13"/>
          <w:sz w:val="24"/>
        </w:rPr>
        <w:t> </w:t>
      </w:r>
      <w:r>
        <w:rPr>
          <w:sz w:val="24"/>
        </w:rPr>
        <w:t>veicis</w:t>
      </w:r>
      <w:r>
        <w:rPr>
          <w:spacing w:val="-13"/>
          <w:sz w:val="24"/>
        </w:rPr>
        <w:t> </w:t>
      </w:r>
      <w:r>
        <w:rPr>
          <w:sz w:val="24"/>
        </w:rPr>
        <w:t>maksājumus</w:t>
      </w:r>
      <w:r>
        <w:rPr>
          <w:spacing w:val="-13"/>
          <w:sz w:val="24"/>
        </w:rPr>
        <w:t> </w:t>
      </w:r>
      <w:r>
        <w:rPr>
          <w:sz w:val="24"/>
        </w:rPr>
        <w:t>nevis</w:t>
      </w:r>
      <w:r>
        <w:rPr>
          <w:spacing w:val="-13"/>
          <w:sz w:val="24"/>
        </w:rPr>
        <w:t> </w:t>
      </w:r>
      <w:r>
        <w:rPr>
          <w:sz w:val="24"/>
        </w:rPr>
        <w:t>līdz brīdim, kad administrators iesniedza tiesā pieteikumu par bankrota procedūras pabeigšanu, bet gan līdz brīdim, kad administrators bija sagatavojis un nosūtījis kreditoriem</w:t>
      </w:r>
      <w:r>
        <w:rPr>
          <w:spacing w:val="-10"/>
          <w:sz w:val="24"/>
        </w:rPr>
        <w:t> </w:t>
      </w:r>
      <w:r>
        <w:rPr>
          <w:sz w:val="24"/>
        </w:rPr>
        <w:t>un</w:t>
      </w:r>
      <w:r>
        <w:rPr>
          <w:spacing w:val="-9"/>
          <w:sz w:val="24"/>
        </w:rPr>
        <w:t> </w:t>
      </w:r>
      <w:r>
        <w:rPr>
          <w:sz w:val="24"/>
        </w:rPr>
        <w:t>parādniekam</w:t>
      </w:r>
      <w:r>
        <w:rPr>
          <w:spacing w:val="-11"/>
          <w:sz w:val="24"/>
        </w:rPr>
        <w:t> </w:t>
      </w:r>
      <w:r>
        <w:rPr>
          <w:sz w:val="24"/>
        </w:rPr>
        <w:t>paziņojumu</w:t>
      </w:r>
      <w:r>
        <w:rPr>
          <w:spacing w:val="-9"/>
          <w:sz w:val="24"/>
        </w:rPr>
        <w:t> </w:t>
      </w:r>
      <w:r>
        <w:rPr>
          <w:sz w:val="24"/>
        </w:rPr>
        <w:t>par</w:t>
      </w:r>
      <w:r>
        <w:rPr>
          <w:spacing w:val="-9"/>
          <w:sz w:val="24"/>
        </w:rPr>
        <w:t> </w:t>
      </w:r>
      <w:r>
        <w:rPr>
          <w:sz w:val="24"/>
        </w:rPr>
        <w:t>bankrota</w:t>
      </w:r>
      <w:r>
        <w:rPr>
          <w:spacing w:val="-10"/>
          <w:sz w:val="24"/>
        </w:rPr>
        <w:t> </w:t>
      </w:r>
      <w:r>
        <w:rPr>
          <w:sz w:val="24"/>
        </w:rPr>
        <w:t>procedūras</w:t>
      </w:r>
      <w:r>
        <w:rPr>
          <w:spacing w:val="-9"/>
          <w:sz w:val="24"/>
        </w:rPr>
        <w:t> </w:t>
      </w:r>
      <w:r>
        <w:rPr>
          <w:sz w:val="24"/>
        </w:rPr>
        <w:t>pabeigšanu</w:t>
      </w:r>
      <w:r>
        <w:rPr>
          <w:spacing w:val="-9"/>
          <w:sz w:val="24"/>
        </w:rPr>
        <w:t> </w:t>
      </w:r>
      <w:r>
        <w:rPr>
          <w:sz w:val="24"/>
        </w:rPr>
        <w:t>un saistību dzēšanas plānu). Civillietu departaments spriedumā īpaši uzsvēra: “Konstatējot Maksātnespējas likuma 153.panta normu tiesisko </w:t>
      </w:r>
      <w:r>
        <w:rPr>
          <w:spacing w:val="-3"/>
          <w:sz w:val="24"/>
        </w:rPr>
        <w:t>sastāvu </w:t>
      </w:r>
      <w:r>
        <w:rPr>
          <w:sz w:val="24"/>
        </w:rPr>
        <w:t>veidojošās</w:t>
      </w:r>
      <w:r>
        <w:rPr>
          <w:spacing w:val="-14"/>
          <w:sz w:val="24"/>
        </w:rPr>
        <w:t> </w:t>
      </w:r>
      <w:r>
        <w:rPr>
          <w:sz w:val="24"/>
        </w:rPr>
        <w:t>pazīmes,</w:t>
      </w:r>
      <w:r>
        <w:rPr>
          <w:spacing w:val="-13"/>
          <w:sz w:val="24"/>
        </w:rPr>
        <w:t> </w:t>
      </w:r>
      <w:r>
        <w:rPr>
          <w:sz w:val="24"/>
        </w:rPr>
        <w:t>šā</w:t>
      </w:r>
      <w:r>
        <w:rPr>
          <w:spacing w:val="-14"/>
          <w:sz w:val="24"/>
        </w:rPr>
        <w:t> </w:t>
      </w:r>
      <w:r>
        <w:rPr>
          <w:sz w:val="24"/>
        </w:rPr>
        <w:t>likuma</w:t>
      </w:r>
      <w:r>
        <w:rPr>
          <w:spacing w:val="-13"/>
          <w:sz w:val="24"/>
        </w:rPr>
        <w:t> </w:t>
      </w:r>
      <w:r>
        <w:rPr>
          <w:sz w:val="24"/>
        </w:rPr>
        <w:t>5.panta</w:t>
      </w:r>
      <w:r>
        <w:rPr>
          <w:spacing w:val="-16"/>
          <w:sz w:val="24"/>
        </w:rPr>
        <w:t> </w:t>
      </w:r>
      <w:r>
        <w:rPr>
          <w:sz w:val="24"/>
        </w:rPr>
        <w:t>mērķis</w:t>
      </w:r>
      <w:r>
        <w:rPr>
          <w:spacing w:val="-12"/>
          <w:sz w:val="24"/>
        </w:rPr>
        <w:t> </w:t>
      </w:r>
      <w:r>
        <w:rPr>
          <w:sz w:val="24"/>
        </w:rPr>
        <w:t>netiek</w:t>
      </w:r>
      <w:r>
        <w:rPr>
          <w:spacing w:val="-13"/>
          <w:sz w:val="24"/>
        </w:rPr>
        <w:t> </w:t>
      </w:r>
      <w:r>
        <w:rPr>
          <w:sz w:val="24"/>
        </w:rPr>
        <w:t>sasniegts,</w:t>
      </w:r>
      <w:r>
        <w:rPr>
          <w:spacing w:val="-14"/>
          <w:sz w:val="24"/>
        </w:rPr>
        <w:t> </w:t>
      </w:r>
      <w:r>
        <w:rPr>
          <w:sz w:val="24"/>
        </w:rPr>
        <w:t>kas</w:t>
      </w:r>
      <w:r>
        <w:rPr>
          <w:spacing w:val="-16"/>
          <w:sz w:val="24"/>
        </w:rPr>
        <w:t> </w:t>
      </w:r>
      <w:r>
        <w:rPr>
          <w:sz w:val="24"/>
        </w:rPr>
        <w:t>izskaidrojams ar</w:t>
      </w:r>
      <w:r>
        <w:rPr>
          <w:spacing w:val="-11"/>
          <w:sz w:val="24"/>
        </w:rPr>
        <w:t> </w:t>
      </w:r>
      <w:r>
        <w:rPr>
          <w:sz w:val="24"/>
        </w:rPr>
        <w:t>to,</w:t>
      </w:r>
      <w:r>
        <w:rPr>
          <w:spacing w:val="-8"/>
          <w:sz w:val="24"/>
        </w:rPr>
        <w:t> </w:t>
      </w:r>
      <w:r>
        <w:rPr>
          <w:sz w:val="24"/>
        </w:rPr>
        <w:t>ka</w:t>
      </w:r>
      <w:r>
        <w:rPr>
          <w:spacing w:val="-11"/>
          <w:sz w:val="24"/>
        </w:rPr>
        <w:t> </w:t>
      </w:r>
      <w:r>
        <w:rPr>
          <w:sz w:val="24"/>
        </w:rPr>
        <w:t>nav</w:t>
      </w:r>
      <w:r>
        <w:rPr>
          <w:spacing w:val="-8"/>
          <w:sz w:val="24"/>
        </w:rPr>
        <w:t> </w:t>
      </w:r>
      <w:r>
        <w:rPr>
          <w:sz w:val="24"/>
        </w:rPr>
        <w:t>pieļaujams</w:t>
      </w:r>
      <w:r>
        <w:rPr>
          <w:spacing w:val="-8"/>
          <w:sz w:val="24"/>
        </w:rPr>
        <w:t> </w:t>
      </w:r>
      <w:r>
        <w:rPr>
          <w:sz w:val="24"/>
        </w:rPr>
        <w:t>atbrīvot</w:t>
      </w:r>
      <w:r>
        <w:rPr>
          <w:spacing w:val="-9"/>
          <w:sz w:val="24"/>
        </w:rPr>
        <w:t> </w:t>
      </w:r>
      <w:r>
        <w:rPr>
          <w:sz w:val="24"/>
        </w:rPr>
        <w:t>no</w:t>
      </w:r>
      <w:r>
        <w:rPr>
          <w:spacing w:val="-8"/>
          <w:sz w:val="24"/>
        </w:rPr>
        <w:t> </w:t>
      </w:r>
      <w:r>
        <w:rPr>
          <w:sz w:val="24"/>
        </w:rPr>
        <w:t>parādsaistībām</w:t>
      </w:r>
      <w:r>
        <w:rPr>
          <w:spacing w:val="-10"/>
          <w:sz w:val="24"/>
        </w:rPr>
        <w:t> </w:t>
      </w:r>
      <w:r>
        <w:rPr>
          <w:sz w:val="24"/>
        </w:rPr>
        <w:t>fiziskas</w:t>
      </w:r>
      <w:r>
        <w:rPr>
          <w:spacing w:val="-9"/>
          <w:sz w:val="24"/>
        </w:rPr>
        <w:t> </w:t>
      </w:r>
      <w:r>
        <w:rPr>
          <w:sz w:val="24"/>
        </w:rPr>
        <w:t>personas,</w:t>
      </w:r>
      <w:r>
        <w:rPr>
          <w:spacing w:val="-8"/>
          <w:sz w:val="24"/>
        </w:rPr>
        <w:t> </w:t>
      </w:r>
      <w:r>
        <w:rPr>
          <w:sz w:val="24"/>
        </w:rPr>
        <w:t>kuru</w:t>
      </w:r>
      <w:r>
        <w:rPr>
          <w:spacing w:val="-8"/>
          <w:sz w:val="24"/>
        </w:rPr>
        <w:t> </w:t>
      </w:r>
      <w:r>
        <w:rPr>
          <w:sz w:val="24"/>
        </w:rPr>
        <w:t>rīcība liecina par negodprātīgu attieksmi pret kreditoriem. Vienlaikus jāievēro, ka saistību dzēšanas procedūras nepiemērošanas izraisītās sekas parādniekam ir nelabvēlīgas.</w:t>
      </w:r>
      <w:r>
        <w:rPr>
          <w:spacing w:val="44"/>
          <w:sz w:val="24"/>
        </w:rPr>
        <w:t> </w:t>
      </w:r>
      <w:r>
        <w:rPr>
          <w:sz w:val="24"/>
        </w:rPr>
        <w:t>[..]</w:t>
      </w:r>
      <w:r>
        <w:rPr>
          <w:spacing w:val="46"/>
          <w:sz w:val="24"/>
        </w:rPr>
        <w:t> </w:t>
      </w:r>
      <w:r>
        <w:rPr>
          <w:sz w:val="24"/>
        </w:rPr>
        <w:t>Maksātnespējas</w:t>
      </w:r>
      <w:r>
        <w:rPr>
          <w:spacing w:val="45"/>
          <w:sz w:val="24"/>
        </w:rPr>
        <w:t> </w:t>
      </w:r>
      <w:r>
        <w:rPr>
          <w:sz w:val="24"/>
        </w:rPr>
        <w:t>likuma</w:t>
      </w:r>
      <w:r>
        <w:rPr>
          <w:spacing w:val="44"/>
          <w:sz w:val="24"/>
        </w:rPr>
        <w:t> </w:t>
      </w:r>
      <w:r>
        <w:rPr>
          <w:sz w:val="24"/>
        </w:rPr>
        <w:t>153.panta</w:t>
      </w:r>
      <w:r>
        <w:rPr>
          <w:spacing w:val="45"/>
          <w:sz w:val="24"/>
        </w:rPr>
        <w:t> </w:t>
      </w:r>
      <w:r>
        <w:rPr>
          <w:sz w:val="24"/>
        </w:rPr>
        <w:t>2.punktā</w:t>
      </w:r>
      <w:r>
        <w:rPr>
          <w:spacing w:val="44"/>
          <w:sz w:val="24"/>
        </w:rPr>
        <w:t> </w:t>
      </w:r>
      <w:r>
        <w:rPr>
          <w:sz w:val="24"/>
        </w:rPr>
        <w:t>lietotie</w:t>
      </w:r>
      <w:r>
        <w:rPr>
          <w:spacing w:val="45"/>
          <w:sz w:val="24"/>
        </w:rPr>
        <w:t> </w:t>
      </w:r>
      <w:r>
        <w:rPr>
          <w:sz w:val="24"/>
        </w:rPr>
        <w:t>jēdzieni</w:t>
      </w:r>
    </w:p>
    <w:p>
      <w:pPr>
        <w:pStyle w:val="BodyText"/>
        <w:ind w:left="1613" w:right="401"/>
      </w:pPr>
      <w:r>
        <w:rPr/>
        <w:t>„sniedzis apzināti nepatiesu informāciju par savu mantisko stāvokli” un „slēpis savus patiesos ienākumus” ir atklāti (nenoteikti) juridiskie jēdzieni jeb ģenerālklauzulas, kuru satura konkretizācija atstāta tiesību piemērotāja ziņā. Tiesību normas atvērtība ļauj meklēt individuālas lietas taisnīgāko risinājumu. Tādējādi situācijā, kad piemērojami šādi jēdzieni, tiesas uzdevums ir piepildīt tos ar juridiski nozīmīgu saturu, nolēmumā atspoguļojot izdarīto atzinumu pamatojumu. Tiesai jāargumentē, kādi tiesību palīgavoti (ārpus tiesību normām esoši avoti, piemēram, morāle, sociālās vērtības, lietu dabiskā kārtība </w:t>
      </w:r>
      <w:r>
        <w:rPr>
          <w:spacing w:val="-3"/>
        </w:rPr>
        <w:t>u.tml.) </w:t>
      </w:r>
      <w:r>
        <w:rPr/>
        <w:t>ņemti vērā, konkretizējot normā ietvertā jēdziena saturu, un jāatklāj, kā tas ietekmējis nodibināto strīda apstākļu juridisko kvalifikāciju. [..] Tiesnesis akceptējis administratora piedāvāto konkrētās situācijas juridisko kvalifikāciju, nemaz necenšoties noskaidrot administratora pieteikumā norādītās parādnieka veikto maksājumu neatbilstības viņa faktiskajiem ienākumiem (darba algas) rašanās iemeslus, ko, Augstākās tiesas Civillietu departamenta ieskatā, nebija sarežģīti</w:t>
      </w:r>
      <w:r>
        <w:rPr>
          <w:spacing w:val="12"/>
        </w:rPr>
        <w:t> </w:t>
      </w:r>
      <w:r>
        <w:rPr/>
        <w:t>izdarīt,</w:t>
      </w:r>
      <w:r>
        <w:rPr>
          <w:spacing w:val="14"/>
        </w:rPr>
        <w:t> </w:t>
      </w:r>
      <w:r>
        <w:rPr/>
        <w:t>piemēram,</w:t>
      </w:r>
      <w:r>
        <w:rPr>
          <w:spacing w:val="12"/>
        </w:rPr>
        <w:t> </w:t>
      </w:r>
      <w:r>
        <w:rPr/>
        <w:t>parādnieku</w:t>
      </w:r>
      <w:r>
        <w:rPr>
          <w:spacing w:val="12"/>
        </w:rPr>
        <w:t> </w:t>
      </w:r>
      <w:r>
        <w:rPr/>
        <w:t>/pers.</w:t>
      </w:r>
      <w:r>
        <w:rPr>
          <w:spacing w:val="12"/>
        </w:rPr>
        <w:t> </w:t>
      </w:r>
      <w:r>
        <w:rPr/>
        <w:t>C/</w:t>
      </w:r>
      <w:r>
        <w:rPr>
          <w:spacing w:val="12"/>
        </w:rPr>
        <w:t> </w:t>
      </w:r>
      <w:r>
        <w:rPr/>
        <w:t>(viņa</w:t>
      </w:r>
      <w:r>
        <w:rPr>
          <w:spacing w:val="12"/>
        </w:rPr>
        <w:t> </w:t>
      </w:r>
      <w:r>
        <w:rPr/>
        <w:t>e-pasta</w:t>
      </w:r>
      <w:r>
        <w:rPr>
          <w:spacing w:val="12"/>
        </w:rPr>
        <w:t> </w:t>
      </w:r>
      <w:r>
        <w:rPr/>
        <w:t>adrese</w:t>
      </w:r>
      <w:r>
        <w:rPr>
          <w:spacing w:val="13"/>
        </w:rPr>
        <w:t> </w:t>
      </w:r>
      <w:r>
        <w:rPr/>
        <w:t>atrodama</w:t>
      </w:r>
    </w:p>
    <w:p>
      <w:pPr>
        <w:pStyle w:val="BodyText"/>
        <w:spacing w:before="5"/>
        <w:jc w:val="left"/>
        <w:rPr>
          <w:sz w:val="28"/>
        </w:rPr>
      </w:pPr>
      <w:r>
        <w:rPr/>
        <w:pict>
          <v:shape style="position:absolute;margin-left:90pt;margin-top:18.621681pt;width:144pt;height:.1pt;mso-position-horizontal-relative:page;mso-position-vertical-relative:paragraph;z-index:-251635712;mso-wrap-distance-left:0;mso-wrap-distance-right:0" coordorigin="1800,372" coordsize="2880,0" path="m1800,372l4680,372e" filled="false" stroked="true" strokeweight=".599991pt" strokecolor="#000000">
            <v:path arrowok="t"/>
            <v:stroke dashstyle="solid"/>
            <w10:wrap type="topAndBottom"/>
          </v:shape>
        </w:pict>
      </w:r>
    </w:p>
    <w:p>
      <w:pPr>
        <w:spacing w:before="70"/>
        <w:ind w:left="620" w:right="0" w:firstLine="0"/>
        <w:jc w:val="left"/>
        <w:rPr>
          <w:sz w:val="20"/>
        </w:rPr>
      </w:pPr>
      <w:r>
        <w:rPr>
          <w:position w:val="7"/>
          <w:sz w:val="13"/>
        </w:rPr>
        <w:t>109 </w:t>
      </w:r>
      <w:r>
        <w:rPr>
          <w:sz w:val="20"/>
        </w:rPr>
        <w:t>LR AT Senāta 2013.gada 27.jūnija lēmums lietā Nr. SPC-35/2013</w:t>
      </w:r>
    </w:p>
    <w:p>
      <w:pPr>
        <w:spacing w:after="0"/>
        <w:jc w:val="left"/>
        <w:rPr>
          <w:sz w:val="20"/>
        </w:rPr>
        <w:sectPr>
          <w:pgSz w:w="11910" w:h="16840"/>
          <w:pgMar w:header="0" w:footer="1055" w:top="1580" w:bottom="1240" w:left="1180" w:right="1040"/>
        </w:sectPr>
      </w:pPr>
    </w:p>
    <w:p>
      <w:pPr>
        <w:pStyle w:val="BodyText"/>
        <w:spacing w:line="232" w:lineRule="auto" w:before="80"/>
        <w:ind w:left="1253" w:right="762"/>
        <w:rPr>
          <w:sz w:val="16"/>
        </w:rPr>
      </w:pPr>
      <w:r>
        <w:rPr/>
        <w:t>lietas materiālos) uzaicinot sniegt attiecīgus paskaidrojumus. Tādējādi ir</w:t>
      </w:r>
      <w:r>
        <w:rPr>
          <w:spacing w:val="-27"/>
        </w:rPr>
        <w:t> </w:t>
      </w:r>
      <w:r>
        <w:rPr/>
        <w:t>pamats konstatējumam, ka tiesnesis, pieņemot lēmumu, nav pārbaudījis un objektīvi izvērtējis apstākļus, kuriem ir svarīga</w:t>
      </w:r>
      <w:r>
        <w:rPr>
          <w:spacing w:val="1"/>
        </w:rPr>
        <w:t> </w:t>
      </w:r>
      <w:r>
        <w:rPr/>
        <w:t>nozīme.”</w:t>
      </w:r>
      <w:r>
        <w:rPr>
          <w:position w:val="9"/>
          <w:sz w:val="16"/>
        </w:rPr>
        <w:t>110</w:t>
      </w:r>
    </w:p>
    <w:p>
      <w:pPr>
        <w:pStyle w:val="BodyText"/>
        <w:spacing w:before="10"/>
        <w:jc w:val="left"/>
      </w:pPr>
    </w:p>
    <w:p>
      <w:pPr>
        <w:pStyle w:val="ListParagraph"/>
        <w:numPr>
          <w:ilvl w:val="0"/>
          <w:numId w:val="22"/>
        </w:numPr>
        <w:tabs>
          <w:tab w:pos="980" w:val="left" w:leader="none"/>
        </w:tabs>
        <w:spacing w:line="237" w:lineRule="auto" w:before="0" w:after="0"/>
        <w:ind w:left="980" w:right="761" w:hanging="360"/>
        <w:jc w:val="both"/>
        <w:rPr>
          <w:sz w:val="16"/>
        </w:rPr>
      </w:pPr>
      <w:r>
        <w:rPr>
          <w:b/>
          <w:sz w:val="24"/>
        </w:rPr>
        <w:t>Atšķirība starp saistību dzēšanas plānā norādīto paredzamo ienākumu apmēru un iepriekšējiem faktiskajiem ienākumiem </w:t>
      </w:r>
      <w:r>
        <w:rPr>
          <w:sz w:val="24"/>
        </w:rPr>
        <w:t>– LR AT Senāta Civillietu departaments 2013.gada 28.jūnija lēmumā lietā Nr. SPC-37/2013 atzinis, ka atšķirības starp saistību dzēšanas plānā norādīto paredzamo ienākumu apmēru un iepriekšējiem faktiskajiem ienākumiem automātiski nav uzskatāmas par Maksātnespējas</w:t>
      </w:r>
      <w:r>
        <w:rPr>
          <w:spacing w:val="-11"/>
          <w:sz w:val="24"/>
        </w:rPr>
        <w:t> </w:t>
      </w:r>
      <w:r>
        <w:rPr>
          <w:sz w:val="24"/>
        </w:rPr>
        <w:t>likuma</w:t>
      </w:r>
      <w:r>
        <w:rPr>
          <w:spacing w:val="-12"/>
          <w:sz w:val="24"/>
        </w:rPr>
        <w:t> </w:t>
      </w:r>
      <w:r>
        <w:rPr>
          <w:sz w:val="24"/>
        </w:rPr>
        <w:t>153.pantā</w:t>
      </w:r>
      <w:r>
        <w:rPr>
          <w:spacing w:val="-11"/>
          <w:sz w:val="24"/>
        </w:rPr>
        <w:t> </w:t>
      </w:r>
      <w:r>
        <w:rPr>
          <w:sz w:val="24"/>
        </w:rPr>
        <w:t>noteikto</w:t>
      </w:r>
      <w:r>
        <w:rPr>
          <w:spacing w:val="-10"/>
          <w:sz w:val="24"/>
        </w:rPr>
        <w:t> </w:t>
      </w:r>
      <w:r>
        <w:rPr>
          <w:sz w:val="24"/>
        </w:rPr>
        <w:t>ierobežojumu.</w:t>
      </w:r>
      <w:r>
        <w:rPr>
          <w:spacing w:val="-12"/>
          <w:sz w:val="24"/>
        </w:rPr>
        <w:t> </w:t>
      </w:r>
      <w:r>
        <w:rPr>
          <w:sz w:val="24"/>
        </w:rPr>
        <w:t>Minētajā</w:t>
      </w:r>
      <w:r>
        <w:rPr>
          <w:spacing w:val="-12"/>
          <w:sz w:val="24"/>
        </w:rPr>
        <w:t> </w:t>
      </w:r>
      <w:r>
        <w:rPr>
          <w:sz w:val="24"/>
        </w:rPr>
        <w:t>lietā</w:t>
      </w:r>
      <w:r>
        <w:rPr>
          <w:spacing w:val="-15"/>
          <w:sz w:val="24"/>
        </w:rPr>
        <w:t> </w:t>
      </w:r>
      <w:r>
        <w:rPr>
          <w:sz w:val="24"/>
        </w:rPr>
        <w:t>parādniece tiesā</w:t>
      </w:r>
      <w:r>
        <w:rPr>
          <w:spacing w:val="-6"/>
          <w:sz w:val="24"/>
        </w:rPr>
        <w:t> </w:t>
      </w:r>
      <w:r>
        <w:rPr>
          <w:sz w:val="24"/>
        </w:rPr>
        <w:t>bija</w:t>
      </w:r>
      <w:r>
        <w:rPr>
          <w:spacing w:val="-5"/>
          <w:sz w:val="24"/>
        </w:rPr>
        <w:t> </w:t>
      </w:r>
      <w:r>
        <w:rPr>
          <w:sz w:val="24"/>
        </w:rPr>
        <w:t>iesniegusi</w:t>
      </w:r>
      <w:r>
        <w:rPr>
          <w:spacing w:val="-5"/>
          <w:sz w:val="24"/>
        </w:rPr>
        <w:t> </w:t>
      </w:r>
      <w:r>
        <w:rPr>
          <w:sz w:val="24"/>
        </w:rPr>
        <w:t>pierādījumus</w:t>
      </w:r>
      <w:r>
        <w:rPr>
          <w:spacing w:val="-5"/>
          <w:sz w:val="24"/>
        </w:rPr>
        <w:t> </w:t>
      </w:r>
      <w:r>
        <w:rPr>
          <w:sz w:val="24"/>
        </w:rPr>
        <w:t>par</w:t>
      </w:r>
      <w:r>
        <w:rPr>
          <w:spacing w:val="-8"/>
          <w:sz w:val="24"/>
        </w:rPr>
        <w:t> </w:t>
      </w:r>
      <w:r>
        <w:rPr>
          <w:sz w:val="24"/>
        </w:rPr>
        <w:t>saviem</w:t>
      </w:r>
      <w:r>
        <w:rPr>
          <w:spacing w:val="-5"/>
          <w:sz w:val="24"/>
        </w:rPr>
        <w:t> </w:t>
      </w:r>
      <w:r>
        <w:rPr>
          <w:sz w:val="24"/>
        </w:rPr>
        <w:t>ienākumiem</w:t>
      </w:r>
      <w:r>
        <w:rPr>
          <w:spacing w:val="-5"/>
          <w:sz w:val="24"/>
        </w:rPr>
        <w:t> </w:t>
      </w:r>
      <w:r>
        <w:rPr>
          <w:sz w:val="24"/>
        </w:rPr>
        <w:t>(VSAA</w:t>
      </w:r>
      <w:r>
        <w:rPr>
          <w:spacing w:val="-6"/>
          <w:sz w:val="24"/>
        </w:rPr>
        <w:t> </w:t>
      </w:r>
      <w:r>
        <w:rPr>
          <w:sz w:val="24"/>
        </w:rPr>
        <w:t>izziņas</w:t>
      </w:r>
      <w:r>
        <w:rPr>
          <w:spacing w:val="-5"/>
          <w:sz w:val="24"/>
        </w:rPr>
        <w:t> </w:t>
      </w:r>
      <w:r>
        <w:rPr>
          <w:sz w:val="24"/>
        </w:rPr>
        <w:t>un</w:t>
      </w:r>
      <w:r>
        <w:rPr>
          <w:spacing w:val="-5"/>
          <w:sz w:val="24"/>
        </w:rPr>
        <w:t> </w:t>
      </w:r>
      <w:r>
        <w:rPr>
          <w:spacing w:val="-3"/>
          <w:sz w:val="24"/>
        </w:rPr>
        <w:t>izziņa </w:t>
      </w:r>
      <w:r>
        <w:rPr>
          <w:sz w:val="24"/>
        </w:rPr>
        <w:t>no darba vietas, kas norāda, ka ienākumi ir lielāki nekā saistību dzēšanas plānā norādītie) un pirmās instances tiesa noraidīja pieteikumu par saistību dzēšanas plāna apstiprināšanu, secinot, ka nav pierādīti saistību dzēšanas plānā norādītie apstākļi, ka parādnieces ikmēneša ienākumi pēc nodokļu nomaksas paredzēti saistību dzēšanas plānā norādītajā apmērā, secinot, ka parādniece ir sniegusi nepatiesu informāciju par saviem ienākumiem. Savukārt Civillietu departaments norādīja,</w:t>
      </w:r>
      <w:r>
        <w:rPr>
          <w:spacing w:val="-15"/>
          <w:sz w:val="24"/>
        </w:rPr>
        <w:t> </w:t>
      </w:r>
      <w:r>
        <w:rPr>
          <w:sz w:val="24"/>
        </w:rPr>
        <w:t>ka</w:t>
      </w:r>
      <w:r>
        <w:rPr>
          <w:spacing w:val="-11"/>
          <w:sz w:val="24"/>
        </w:rPr>
        <w:t> </w:t>
      </w:r>
      <w:r>
        <w:rPr>
          <w:sz w:val="24"/>
        </w:rPr>
        <w:t>šie</w:t>
      </w:r>
      <w:r>
        <w:rPr>
          <w:spacing w:val="-12"/>
          <w:sz w:val="24"/>
        </w:rPr>
        <w:t> </w:t>
      </w:r>
      <w:r>
        <w:rPr>
          <w:sz w:val="24"/>
        </w:rPr>
        <w:t>apstākļi</w:t>
      </w:r>
      <w:r>
        <w:rPr>
          <w:spacing w:val="-9"/>
          <w:sz w:val="24"/>
        </w:rPr>
        <w:t> </w:t>
      </w:r>
      <w:r>
        <w:rPr>
          <w:sz w:val="24"/>
        </w:rPr>
        <w:t>lēmumā</w:t>
      </w:r>
      <w:r>
        <w:rPr>
          <w:spacing w:val="-12"/>
          <w:sz w:val="24"/>
        </w:rPr>
        <w:t> </w:t>
      </w:r>
      <w:r>
        <w:rPr>
          <w:sz w:val="24"/>
        </w:rPr>
        <w:t>nekādā</w:t>
      </w:r>
      <w:r>
        <w:rPr>
          <w:spacing w:val="-11"/>
          <w:sz w:val="24"/>
        </w:rPr>
        <w:t> </w:t>
      </w:r>
      <w:r>
        <w:rPr>
          <w:sz w:val="24"/>
        </w:rPr>
        <w:t>veidā</w:t>
      </w:r>
      <w:r>
        <w:rPr>
          <w:spacing w:val="-11"/>
          <w:sz w:val="24"/>
        </w:rPr>
        <w:t> </w:t>
      </w:r>
      <w:r>
        <w:rPr>
          <w:sz w:val="24"/>
        </w:rPr>
        <w:t>nav</w:t>
      </w:r>
      <w:r>
        <w:rPr>
          <w:spacing w:val="-11"/>
          <w:sz w:val="24"/>
        </w:rPr>
        <w:t> </w:t>
      </w:r>
      <w:r>
        <w:rPr>
          <w:sz w:val="24"/>
        </w:rPr>
        <w:t>saistīti</w:t>
      </w:r>
      <w:r>
        <w:rPr>
          <w:spacing w:val="-12"/>
          <w:sz w:val="24"/>
        </w:rPr>
        <w:t> </w:t>
      </w:r>
      <w:r>
        <w:rPr>
          <w:sz w:val="24"/>
        </w:rPr>
        <w:t>ar</w:t>
      </w:r>
      <w:r>
        <w:rPr>
          <w:spacing w:val="-16"/>
          <w:sz w:val="24"/>
        </w:rPr>
        <w:t> </w:t>
      </w:r>
      <w:r>
        <w:rPr>
          <w:sz w:val="24"/>
        </w:rPr>
        <w:t>Maksātnespējas</w:t>
      </w:r>
      <w:r>
        <w:rPr>
          <w:spacing w:val="-15"/>
          <w:sz w:val="24"/>
        </w:rPr>
        <w:t> </w:t>
      </w:r>
      <w:r>
        <w:rPr>
          <w:sz w:val="24"/>
        </w:rPr>
        <w:t>likuma 153.pantā minētajiem ierobežojumiem saistību dzēšanas procedūras piemērošanai, līdz ar to ir pamatots protesta iesniedzēja viedoklis, ka pirmās instances tiesa protestētajā lēmumā nav konstatējusi Maksātnespējas likuma 153.panta noteiktos ierobežojumus un Civilprocesa likuma 363.</w:t>
      </w:r>
      <w:r>
        <w:rPr>
          <w:position w:val="9"/>
          <w:sz w:val="16"/>
        </w:rPr>
        <w:t>31</w:t>
      </w:r>
      <w:r>
        <w:rPr>
          <w:sz w:val="24"/>
        </w:rPr>
        <w:t>panta otro daļu uz konkrētās lietas apstākļiem attiecinājusi bez pietiekama pamata, kas novedis pie lietas nepareizas izlemšanas.</w:t>
      </w:r>
      <w:r>
        <w:rPr>
          <w:position w:val="9"/>
          <w:sz w:val="16"/>
        </w:rPr>
        <w:t>111</w:t>
      </w:r>
    </w:p>
    <w:p>
      <w:pPr>
        <w:pStyle w:val="BodyText"/>
        <w:jc w:val="left"/>
        <w:rPr>
          <w:sz w:val="28"/>
        </w:rPr>
      </w:pPr>
    </w:p>
    <w:p>
      <w:pPr>
        <w:pStyle w:val="BodyText"/>
        <w:jc w:val="left"/>
        <w:rPr>
          <w:sz w:val="22"/>
        </w:rPr>
      </w:pPr>
    </w:p>
    <w:p>
      <w:pPr>
        <w:pStyle w:val="Heading4"/>
        <w:numPr>
          <w:ilvl w:val="1"/>
          <w:numId w:val="15"/>
        </w:numPr>
        <w:tabs>
          <w:tab w:pos="964" w:val="left" w:leader="none"/>
        </w:tabs>
        <w:spacing w:line="240" w:lineRule="auto" w:before="0" w:after="0"/>
        <w:ind w:left="963" w:right="0" w:hanging="421"/>
        <w:jc w:val="left"/>
        <w:rPr>
          <w:i/>
        </w:rPr>
      </w:pPr>
      <w:bookmarkStart w:name="_TOC_250071" w:id="7"/>
      <w:r>
        <w:rPr>
          <w:i/>
        </w:rPr>
        <w:t>Identificētie</w:t>
      </w:r>
      <w:r>
        <w:rPr>
          <w:i/>
          <w:spacing w:val="-4"/>
        </w:rPr>
        <w:t> </w:t>
      </w:r>
      <w:bookmarkEnd w:id="7"/>
      <w:r>
        <w:rPr>
          <w:i/>
        </w:rPr>
        <w:t>problēmjautājumi</w:t>
      </w:r>
    </w:p>
    <w:p>
      <w:pPr>
        <w:pStyle w:val="BodyText"/>
        <w:spacing w:before="6"/>
        <w:jc w:val="left"/>
        <w:rPr>
          <w:b/>
          <w:i/>
          <w:sz w:val="23"/>
        </w:rPr>
      </w:pPr>
    </w:p>
    <w:p>
      <w:pPr>
        <w:pStyle w:val="ListParagraph"/>
        <w:numPr>
          <w:ilvl w:val="0"/>
          <w:numId w:val="23"/>
        </w:numPr>
        <w:tabs>
          <w:tab w:pos="980" w:val="left" w:leader="none"/>
        </w:tabs>
        <w:spacing w:line="240" w:lineRule="auto" w:before="0" w:after="0"/>
        <w:ind w:left="980" w:right="765" w:hanging="360"/>
        <w:jc w:val="both"/>
        <w:rPr>
          <w:sz w:val="24"/>
        </w:rPr>
      </w:pPr>
      <w:r>
        <w:rPr>
          <w:sz w:val="24"/>
        </w:rPr>
        <w:t>Tiesas dažkārt izbeidz bankrota procedūru, kaut netiek konstatēti Maksātnespējas likuma 130.pantā noteiktie ierobežojumi fiziskās personas maksātnespējas procesa piemērošanai.</w:t>
      </w:r>
    </w:p>
    <w:p>
      <w:pPr>
        <w:pStyle w:val="BodyText"/>
        <w:jc w:val="left"/>
        <w:rPr>
          <w:sz w:val="25"/>
        </w:rPr>
      </w:pPr>
    </w:p>
    <w:p>
      <w:pPr>
        <w:pStyle w:val="ListParagraph"/>
        <w:numPr>
          <w:ilvl w:val="0"/>
          <w:numId w:val="23"/>
        </w:numPr>
        <w:tabs>
          <w:tab w:pos="980" w:val="left" w:leader="none"/>
        </w:tabs>
        <w:spacing w:line="228" w:lineRule="auto" w:before="0" w:after="0"/>
        <w:ind w:left="980" w:right="767" w:hanging="360"/>
        <w:jc w:val="both"/>
        <w:rPr>
          <w:sz w:val="16"/>
        </w:rPr>
      </w:pPr>
      <w:r>
        <w:rPr>
          <w:sz w:val="24"/>
        </w:rPr>
        <w:t>Tiesa konstatē, ka nav pamats pabeigt bankrota procedūru, jo parādnieks nav pildījis savus pienākumus bankrota procedūras</w:t>
      </w:r>
      <w:r>
        <w:rPr>
          <w:spacing w:val="-4"/>
          <w:sz w:val="24"/>
        </w:rPr>
        <w:t> </w:t>
      </w:r>
      <w:r>
        <w:rPr>
          <w:sz w:val="24"/>
        </w:rPr>
        <w:t>laikā.</w:t>
      </w:r>
      <w:r>
        <w:rPr>
          <w:position w:val="9"/>
          <w:sz w:val="16"/>
        </w:rPr>
        <w:t>112</w:t>
      </w:r>
    </w:p>
    <w:p>
      <w:pPr>
        <w:pStyle w:val="BodyText"/>
        <w:spacing w:before="6"/>
        <w:jc w:val="left"/>
      </w:pPr>
    </w:p>
    <w:p>
      <w:pPr>
        <w:pStyle w:val="ListParagraph"/>
        <w:numPr>
          <w:ilvl w:val="0"/>
          <w:numId w:val="23"/>
        </w:numPr>
        <w:tabs>
          <w:tab w:pos="980" w:val="left" w:leader="none"/>
        </w:tabs>
        <w:spacing w:line="235" w:lineRule="auto" w:before="0" w:after="0"/>
        <w:ind w:left="980" w:right="766" w:hanging="360"/>
        <w:jc w:val="both"/>
        <w:rPr>
          <w:sz w:val="16"/>
        </w:rPr>
      </w:pPr>
      <w:r>
        <w:rPr>
          <w:sz w:val="24"/>
        </w:rPr>
        <w:t>Administratori sniedz tiesā pieteikumus un tiesas lemj par bankrota procedūras izbeigšanu,</w:t>
      </w:r>
      <w:r>
        <w:rPr>
          <w:spacing w:val="-7"/>
          <w:sz w:val="24"/>
        </w:rPr>
        <w:t> </w:t>
      </w:r>
      <w:r>
        <w:rPr>
          <w:sz w:val="24"/>
        </w:rPr>
        <w:t>pamatojoties</w:t>
      </w:r>
      <w:r>
        <w:rPr>
          <w:spacing w:val="-6"/>
          <w:sz w:val="24"/>
        </w:rPr>
        <w:t> </w:t>
      </w:r>
      <w:r>
        <w:rPr>
          <w:sz w:val="24"/>
        </w:rPr>
        <w:t>uz</w:t>
      </w:r>
      <w:r>
        <w:rPr>
          <w:spacing w:val="-5"/>
          <w:sz w:val="24"/>
        </w:rPr>
        <w:t> </w:t>
      </w:r>
      <w:r>
        <w:rPr>
          <w:sz w:val="24"/>
        </w:rPr>
        <w:t>Maksātnespējas</w:t>
      </w:r>
      <w:r>
        <w:rPr>
          <w:spacing w:val="-6"/>
          <w:sz w:val="24"/>
        </w:rPr>
        <w:t> </w:t>
      </w:r>
      <w:r>
        <w:rPr>
          <w:sz w:val="24"/>
        </w:rPr>
        <w:t>likuma</w:t>
      </w:r>
      <w:r>
        <w:rPr>
          <w:spacing w:val="-6"/>
          <w:sz w:val="24"/>
        </w:rPr>
        <w:t> </w:t>
      </w:r>
      <w:r>
        <w:rPr>
          <w:sz w:val="24"/>
        </w:rPr>
        <w:t>130.pantu,</w:t>
      </w:r>
      <w:r>
        <w:rPr>
          <w:spacing w:val="-6"/>
          <w:sz w:val="24"/>
        </w:rPr>
        <w:t> </w:t>
      </w:r>
      <w:r>
        <w:rPr>
          <w:sz w:val="24"/>
        </w:rPr>
        <w:t>kaut</w:t>
      </w:r>
      <w:r>
        <w:rPr>
          <w:spacing w:val="-6"/>
          <w:sz w:val="24"/>
        </w:rPr>
        <w:t> </w:t>
      </w:r>
      <w:r>
        <w:rPr>
          <w:sz w:val="24"/>
        </w:rPr>
        <w:t>netiek</w:t>
      </w:r>
      <w:r>
        <w:rPr>
          <w:spacing w:val="-6"/>
          <w:sz w:val="24"/>
        </w:rPr>
        <w:t> </w:t>
      </w:r>
      <w:r>
        <w:rPr>
          <w:sz w:val="24"/>
        </w:rPr>
        <w:t>ievērots Maksātnespējas likuma 150.panta otrajā daļā noteiktais triju mēnešu </w:t>
      </w:r>
      <w:r>
        <w:rPr>
          <w:spacing w:val="-3"/>
          <w:sz w:val="24"/>
        </w:rPr>
        <w:t>termiņš </w:t>
      </w:r>
      <w:r>
        <w:rPr>
          <w:sz w:val="24"/>
        </w:rPr>
        <w:t>pieteikuma iesniegšanai.</w:t>
      </w:r>
      <w:r>
        <w:rPr>
          <w:spacing w:val="-18"/>
          <w:sz w:val="24"/>
        </w:rPr>
        <w:t> </w:t>
      </w:r>
      <w:r>
        <w:rPr>
          <w:position w:val="9"/>
          <w:sz w:val="16"/>
        </w:rPr>
        <w:t>113</w:t>
      </w:r>
    </w:p>
    <w:p>
      <w:pPr>
        <w:pStyle w:val="BodyText"/>
        <w:spacing w:before="2"/>
        <w:jc w:val="left"/>
      </w:pPr>
    </w:p>
    <w:p>
      <w:pPr>
        <w:pStyle w:val="ListParagraph"/>
        <w:numPr>
          <w:ilvl w:val="0"/>
          <w:numId w:val="23"/>
        </w:numPr>
        <w:tabs>
          <w:tab w:pos="980" w:val="left" w:leader="none"/>
        </w:tabs>
        <w:spacing w:line="240" w:lineRule="auto" w:before="0" w:after="0"/>
        <w:ind w:left="980" w:right="762" w:hanging="360"/>
        <w:jc w:val="both"/>
        <w:rPr>
          <w:sz w:val="24"/>
        </w:rPr>
      </w:pPr>
      <w:r>
        <w:rPr>
          <w:sz w:val="24"/>
        </w:rPr>
        <w:t>Neviennozīmīga tiesu attieksme par to, vai bankrota procedūra ir izbeidzama, nepiemērojot saistību dzēšanas procedūru, ja parādnieks bankrota procedūras laikā negūst ienākumus vai gūst minimālus</w:t>
      </w:r>
      <w:r>
        <w:rPr>
          <w:spacing w:val="1"/>
          <w:sz w:val="24"/>
        </w:rPr>
        <w:t> </w:t>
      </w:r>
      <w:r>
        <w:rPr>
          <w:sz w:val="24"/>
        </w:rPr>
        <w:t>ienākumus.</w:t>
      </w:r>
    </w:p>
    <w:p>
      <w:pPr>
        <w:pStyle w:val="BodyText"/>
        <w:jc w:val="left"/>
        <w:rPr>
          <w:sz w:val="20"/>
        </w:rPr>
      </w:pPr>
    </w:p>
    <w:p>
      <w:pPr>
        <w:pStyle w:val="BodyText"/>
        <w:jc w:val="left"/>
        <w:rPr>
          <w:sz w:val="20"/>
        </w:rPr>
      </w:pPr>
    </w:p>
    <w:p>
      <w:pPr>
        <w:pStyle w:val="BodyText"/>
        <w:spacing w:before="6"/>
        <w:jc w:val="left"/>
      </w:pPr>
      <w:r>
        <w:rPr/>
        <w:pict>
          <v:shape style="position:absolute;margin-left:72pt;margin-top:16.379740pt;width:144pt;height:.1pt;mso-position-horizontal-relative:page;mso-position-vertical-relative:paragraph;z-index:-251634688;mso-wrap-distance-left:0;mso-wrap-distance-right:0" coordorigin="1440,328" coordsize="2880,0" path="m1440,328l4320,328e" filled="false" stroked="true" strokeweight=".600037pt" strokecolor="#000000">
            <v:path arrowok="t"/>
            <v:stroke dashstyle="solid"/>
            <w10:wrap type="topAndBottom"/>
          </v:shape>
        </w:pict>
      </w:r>
    </w:p>
    <w:p>
      <w:pPr>
        <w:spacing w:line="233" w:lineRule="exact" w:before="70"/>
        <w:ind w:left="260" w:right="0" w:firstLine="0"/>
        <w:jc w:val="left"/>
        <w:rPr>
          <w:sz w:val="20"/>
        </w:rPr>
      </w:pPr>
      <w:r>
        <w:rPr>
          <w:position w:val="7"/>
          <w:sz w:val="13"/>
        </w:rPr>
        <w:t>110 </w:t>
      </w:r>
      <w:r>
        <w:rPr>
          <w:sz w:val="20"/>
        </w:rPr>
        <w:t>LR AT Civillietu departamenta 2015.gada 24.februāra spriedums lietā SPC-4/2015</w:t>
      </w:r>
    </w:p>
    <w:p>
      <w:pPr>
        <w:spacing w:line="230" w:lineRule="exact" w:before="0"/>
        <w:ind w:left="260" w:right="0" w:firstLine="0"/>
        <w:jc w:val="left"/>
        <w:rPr>
          <w:sz w:val="20"/>
        </w:rPr>
      </w:pPr>
      <w:r>
        <w:rPr>
          <w:position w:val="7"/>
          <w:sz w:val="13"/>
        </w:rPr>
        <w:t>111 </w:t>
      </w:r>
      <w:r>
        <w:rPr>
          <w:sz w:val="20"/>
        </w:rPr>
        <w:t>LR AT Senāta Civillietu departamenta 2013.gada 28.jūnija lēmums lietā Nr. SPC-37/2013</w:t>
      </w:r>
    </w:p>
    <w:p>
      <w:pPr>
        <w:spacing w:line="224" w:lineRule="exact" w:before="0"/>
        <w:ind w:left="260" w:right="0" w:firstLine="0"/>
        <w:jc w:val="left"/>
        <w:rPr>
          <w:sz w:val="20"/>
        </w:rPr>
      </w:pPr>
      <w:r>
        <w:rPr>
          <w:position w:val="7"/>
          <w:sz w:val="13"/>
        </w:rPr>
        <w:t>112 </w:t>
      </w:r>
      <w:r>
        <w:rPr>
          <w:sz w:val="20"/>
        </w:rPr>
        <w:t>Cēsu rajona tiesas 2014.gada 3.janvāra nolēmums lietā Nr. C11061513</w:t>
      </w:r>
    </w:p>
    <w:p>
      <w:pPr>
        <w:spacing w:line="249" w:lineRule="auto" w:before="0"/>
        <w:ind w:left="260" w:right="398" w:firstLine="0"/>
        <w:jc w:val="left"/>
        <w:rPr>
          <w:sz w:val="20"/>
        </w:rPr>
      </w:pPr>
      <w:r>
        <w:rPr>
          <w:position w:val="9"/>
          <w:sz w:val="16"/>
        </w:rPr>
        <w:t>113 </w:t>
      </w:r>
      <w:r>
        <w:rPr>
          <w:sz w:val="20"/>
        </w:rPr>
        <w:t>Piem., Zemgales rajona tiesas 2018.gada 5.septembra lēmums lietā Nr. C07063317, Rīgas pilsētas Pārdaugavas tiesas 2018.gada 19.septembra lēmums lietā Nr. C68244118</w:t>
      </w:r>
    </w:p>
    <w:p>
      <w:pPr>
        <w:spacing w:after="0" w:line="249" w:lineRule="auto"/>
        <w:jc w:val="left"/>
        <w:rPr>
          <w:sz w:val="20"/>
        </w:rPr>
        <w:sectPr>
          <w:pgSz w:w="11910" w:h="16840"/>
          <w:pgMar w:header="0" w:footer="1055" w:top="1340" w:bottom="1240" w:left="1180" w:right="1040"/>
        </w:sectPr>
      </w:pPr>
    </w:p>
    <w:p>
      <w:pPr>
        <w:pStyle w:val="ListParagraph"/>
        <w:numPr>
          <w:ilvl w:val="0"/>
          <w:numId w:val="23"/>
        </w:numPr>
        <w:tabs>
          <w:tab w:pos="1340" w:val="left" w:leader="none"/>
        </w:tabs>
        <w:spacing w:line="240" w:lineRule="auto" w:before="73" w:after="0"/>
        <w:ind w:left="1340" w:right="402" w:hanging="360"/>
        <w:jc w:val="both"/>
        <w:rPr>
          <w:sz w:val="24"/>
        </w:rPr>
      </w:pPr>
      <w:r>
        <w:rPr>
          <w:sz w:val="24"/>
        </w:rPr>
        <w:t>Neviennozīmīga izpratne par Maksātnespējas likuma 153.panta 2.punktā noteiktā ierobežojuma (</w:t>
      </w:r>
      <w:r>
        <w:rPr>
          <w:i/>
          <w:sz w:val="24"/>
        </w:rPr>
        <w:t>parādnieks ir sniedzis apzināti nepatiesu informāciju par savu </w:t>
      </w:r>
      <w:r>
        <w:rPr>
          <w:i/>
          <w:sz w:val="24"/>
        </w:rPr>
        <w:t>mantisko stāvokli un slēpis savus patiesos ienākumus</w:t>
      </w:r>
      <w:r>
        <w:rPr>
          <w:sz w:val="24"/>
        </w:rPr>
        <w:t>) laika tvērumu – vai tas attiecas uz nepatiesas informācijas sniegšanu maksātnespējas procesa laikā vai vispār. Iepriekš minētā dēļ, lēmumos par bankrota procedūras pabeigšanu, nepiemērojot saistību dzēšanas procedūru, kur konstatēta nepatiesas informācijas sniegšana kreditoriem par saviem ienākumiem un mantisko stāvokli, tiesas un administratori atsaucas gan uz Maksātnespējas likuma 153.panta 2.punktā noteikto ierobežojumu,</w:t>
      </w:r>
      <w:r>
        <w:rPr>
          <w:spacing w:val="-9"/>
          <w:sz w:val="24"/>
        </w:rPr>
        <w:t> </w:t>
      </w:r>
      <w:r>
        <w:rPr>
          <w:sz w:val="24"/>
        </w:rPr>
        <w:t>gan</w:t>
      </w:r>
      <w:r>
        <w:rPr>
          <w:spacing w:val="-8"/>
          <w:sz w:val="24"/>
        </w:rPr>
        <w:t> </w:t>
      </w:r>
      <w:r>
        <w:rPr>
          <w:sz w:val="24"/>
        </w:rPr>
        <w:t>130.panta</w:t>
      </w:r>
      <w:r>
        <w:rPr>
          <w:spacing w:val="-7"/>
          <w:sz w:val="24"/>
        </w:rPr>
        <w:t> </w:t>
      </w:r>
      <w:r>
        <w:rPr>
          <w:sz w:val="24"/>
        </w:rPr>
        <w:t>1.punkta</w:t>
      </w:r>
      <w:r>
        <w:rPr>
          <w:spacing w:val="-10"/>
          <w:sz w:val="24"/>
        </w:rPr>
        <w:t> </w:t>
      </w:r>
      <w:r>
        <w:rPr>
          <w:sz w:val="24"/>
        </w:rPr>
        <w:t>(</w:t>
      </w:r>
      <w:r>
        <w:rPr>
          <w:i/>
          <w:sz w:val="24"/>
        </w:rPr>
        <w:t>persona</w:t>
      </w:r>
      <w:r>
        <w:rPr>
          <w:sz w:val="24"/>
        </w:rPr>
        <w:t>,</w:t>
      </w:r>
      <w:r>
        <w:rPr>
          <w:spacing w:val="-5"/>
          <w:sz w:val="24"/>
        </w:rPr>
        <w:t> </w:t>
      </w:r>
      <w:r>
        <w:rPr>
          <w:i/>
          <w:sz w:val="24"/>
        </w:rPr>
        <w:t>kura</w:t>
      </w:r>
      <w:r>
        <w:rPr>
          <w:i/>
          <w:spacing w:val="-9"/>
          <w:sz w:val="24"/>
        </w:rPr>
        <w:t> </w:t>
      </w:r>
      <w:r>
        <w:rPr>
          <w:i/>
          <w:sz w:val="24"/>
        </w:rPr>
        <w:t>pēdējo</w:t>
      </w:r>
      <w:r>
        <w:rPr>
          <w:i/>
          <w:spacing w:val="-8"/>
          <w:sz w:val="24"/>
        </w:rPr>
        <w:t> </w:t>
      </w:r>
      <w:r>
        <w:rPr>
          <w:i/>
          <w:sz w:val="24"/>
        </w:rPr>
        <w:t>triju</w:t>
      </w:r>
      <w:r>
        <w:rPr>
          <w:i/>
          <w:spacing w:val="-9"/>
          <w:sz w:val="24"/>
        </w:rPr>
        <w:t> </w:t>
      </w:r>
      <w:r>
        <w:rPr>
          <w:i/>
          <w:sz w:val="24"/>
        </w:rPr>
        <w:t>gadu</w:t>
      </w:r>
      <w:r>
        <w:rPr>
          <w:i/>
          <w:spacing w:val="-8"/>
          <w:sz w:val="24"/>
        </w:rPr>
        <w:t> </w:t>
      </w:r>
      <w:r>
        <w:rPr>
          <w:i/>
          <w:sz w:val="24"/>
        </w:rPr>
        <w:t>laikā</w:t>
      </w:r>
      <w:r>
        <w:rPr>
          <w:i/>
          <w:spacing w:val="-8"/>
          <w:sz w:val="24"/>
        </w:rPr>
        <w:t> </w:t>
      </w:r>
      <w:r>
        <w:rPr>
          <w:i/>
          <w:sz w:val="24"/>
        </w:rPr>
        <w:t>pirms </w:t>
      </w:r>
      <w:r>
        <w:rPr>
          <w:i/>
          <w:sz w:val="24"/>
        </w:rPr>
        <w:t>fiziskās personas maksātnespējas procesa pasludināšanas ir sniegusi </w:t>
      </w:r>
      <w:r>
        <w:rPr>
          <w:i/>
          <w:spacing w:val="-3"/>
          <w:sz w:val="24"/>
        </w:rPr>
        <w:t>apzināti </w:t>
      </w:r>
      <w:r>
        <w:rPr>
          <w:i/>
          <w:sz w:val="24"/>
        </w:rPr>
        <w:t>nepatiesu informāciju saviem kreditoriem</w:t>
      </w:r>
      <w:r>
        <w:rPr>
          <w:sz w:val="24"/>
        </w:rPr>
        <w:t>) ierobežojumu (atsaucoties uz 130.panta 1.punktu, reti tiek ievērots likuma 150.panta otrajā daļā noteiktais trīs mēnešu termiņš pieteikuma iesniegšanai</w:t>
      </w:r>
      <w:r>
        <w:rPr>
          <w:spacing w:val="-1"/>
          <w:sz w:val="24"/>
        </w:rPr>
        <w:t> </w:t>
      </w:r>
      <w:r>
        <w:rPr>
          <w:sz w:val="24"/>
        </w:rPr>
        <w:t>tiesā).</w:t>
      </w:r>
    </w:p>
    <w:p>
      <w:pPr>
        <w:pStyle w:val="BodyText"/>
        <w:jc w:val="left"/>
      </w:pPr>
    </w:p>
    <w:p>
      <w:pPr>
        <w:pStyle w:val="ListParagraph"/>
        <w:numPr>
          <w:ilvl w:val="0"/>
          <w:numId w:val="23"/>
        </w:numPr>
        <w:tabs>
          <w:tab w:pos="1340" w:val="left" w:leader="none"/>
        </w:tabs>
        <w:spacing w:line="240" w:lineRule="auto" w:before="1" w:after="0"/>
        <w:ind w:left="1340" w:right="405" w:hanging="360"/>
        <w:jc w:val="both"/>
        <w:rPr>
          <w:sz w:val="24"/>
        </w:rPr>
      </w:pPr>
      <w:r>
        <w:rPr>
          <w:sz w:val="24"/>
        </w:rPr>
        <w:t>Samērā bieži parādnieki nesagatavo un neiesniedz administratoram un tiesai saistību dzēšanas</w:t>
      </w:r>
      <w:r>
        <w:rPr>
          <w:spacing w:val="-3"/>
          <w:sz w:val="24"/>
        </w:rPr>
        <w:t> </w:t>
      </w:r>
      <w:r>
        <w:rPr>
          <w:sz w:val="24"/>
        </w:rPr>
        <w:t>plānu.</w:t>
      </w:r>
    </w:p>
    <w:p>
      <w:pPr>
        <w:pStyle w:val="BodyText"/>
        <w:spacing w:before="11"/>
        <w:jc w:val="left"/>
        <w:rPr>
          <w:sz w:val="23"/>
        </w:rPr>
      </w:pPr>
    </w:p>
    <w:p>
      <w:pPr>
        <w:pStyle w:val="ListParagraph"/>
        <w:numPr>
          <w:ilvl w:val="0"/>
          <w:numId w:val="23"/>
        </w:numPr>
        <w:tabs>
          <w:tab w:pos="1340" w:val="left" w:leader="none"/>
        </w:tabs>
        <w:spacing w:line="240" w:lineRule="auto" w:before="0" w:after="0"/>
        <w:ind w:left="1340" w:right="402" w:hanging="360"/>
        <w:jc w:val="both"/>
        <w:rPr>
          <w:sz w:val="24"/>
        </w:rPr>
      </w:pPr>
      <w:r>
        <w:rPr>
          <w:sz w:val="24"/>
        </w:rPr>
        <w:t>Parādnieki nereti vieglprātīgi paļaujas, ka maksātnespējas process tiks pabeigts ar saistību dzēšanu, “aizmirstot” par saviem likumā noteiktajiem parādnieka pienākumiem</w:t>
      </w:r>
      <w:r>
        <w:rPr>
          <w:spacing w:val="-12"/>
          <w:sz w:val="24"/>
        </w:rPr>
        <w:t> </w:t>
      </w:r>
      <w:r>
        <w:rPr>
          <w:sz w:val="24"/>
        </w:rPr>
        <w:t>(nesniedz</w:t>
      </w:r>
      <w:r>
        <w:rPr>
          <w:spacing w:val="-7"/>
          <w:sz w:val="24"/>
        </w:rPr>
        <w:t> </w:t>
      </w:r>
      <w:r>
        <w:rPr>
          <w:sz w:val="24"/>
        </w:rPr>
        <w:t>informāciju,</w:t>
      </w:r>
      <w:r>
        <w:rPr>
          <w:spacing w:val="-9"/>
          <w:sz w:val="24"/>
        </w:rPr>
        <w:t> </w:t>
      </w:r>
      <w:r>
        <w:rPr>
          <w:sz w:val="24"/>
        </w:rPr>
        <w:t>sniedz</w:t>
      </w:r>
      <w:r>
        <w:rPr>
          <w:spacing w:val="-7"/>
          <w:sz w:val="24"/>
        </w:rPr>
        <w:t> </w:t>
      </w:r>
      <w:r>
        <w:rPr>
          <w:sz w:val="24"/>
        </w:rPr>
        <w:t>formālas</w:t>
      </w:r>
      <w:r>
        <w:rPr>
          <w:spacing w:val="-9"/>
          <w:sz w:val="24"/>
        </w:rPr>
        <w:t> </w:t>
      </w:r>
      <w:r>
        <w:rPr>
          <w:sz w:val="24"/>
        </w:rPr>
        <w:t>atbildes</w:t>
      </w:r>
      <w:r>
        <w:rPr>
          <w:spacing w:val="-11"/>
          <w:sz w:val="24"/>
        </w:rPr>
        <w:t> </w:t>
      </w:r>
      <w:r>
        <w:rPr>
          <w:sz w:val="24"/>
        </w:rPr>
        <w:t>uz</w:t>
      </w:r>
      <w:r>
        <w:rPr>
          <w:spacing w:val="-7"/>
          <w:sz w:val="24"/>
        </w:rPr>
        <w:t> </w:t>
      </w:r>
      <w:r>
        <w:rPr>
          <w:sz w:val="24"/>
        </w:rPr>
        <w:t>administratoru</w:t>
      </w:r>
      <w:r>
        <w:rPr>
          <w:spacing w:val="-9"/>
          <w:sz w:val="24"/>
        </w:rPr>
        <w:t> </w:t>
      </w:r>
      <w:r>
        <w:rPr>
          <w:sz w:val="24"/>
        </w:rPr>
        <w:t>vai tiesas pieprasījumiem</w:t>
      </w:r>
      <w:r>
        <w:rPr>
          <w:spacing w:val="-1"/>
          <w:sz w:val="24"/>
        </w:rPr>
        <w:t> </w:t>
      </w:r>
      <w:r>
        <w:rPr>
          <w:sz w:val="24"/>
        </w:rPr>
        <w:t>utt.).</w:t>
      </w:r>
    </w:p>
    <w:p>
      <w:pPr>
        <w:pStyle w:val="BodyText"/>
        <w:jc w:val="left"/>
      </w:pPr>
    </w:p>
    <w:p>
      <w:pPr>
        <w:pStyle w:val="ListParagraph"/>
        <w:numPr>
          <w:ilvl w:val="0"/>
          <w:numId w:val="23"/>
        </w:numPr>
        <w:tabs>
          <w:tab w:pos="1340" w:val="left" w:leader="none"/>
        </w:tabs>
        <w:spacing w:line="240" w:lineRule="auto" w:before="0" w:after="0"/>
        <w:ind w:left="1340" w:right="403" w:hanging="360"/>
        <w:jc w:val="both"/>
        <w:rPr>
          <w:sz w:val="24"/>
        </w:rPr>
      </w:pPr>
      <w:r>
        <w:rPr>
          <w:sz w:val="24"/>
        </w:rPr>
        <w:t>Parādnieki</w:t>
      </w:r>
      <w:r>
        <w:rPr>
          <w:spacing w:val="-13"/>
          <w:sz w:val="24"/>
        </w:rPr>
        <w:t> </w:t>
      </w:r>
      <w:r>
        <w:rPr>
          <w:sz w:val="24"/>
        </w:rPr>
        <w:t>pirms</w:t>
      </w:r>
      <w:r>
        <w:rPr>
          <w:spacing w:val="-12"/>
          <w:sz w:val="24"/>
        </w:rPr>
        <w:t> </w:t>
      </w:r>
      <w:r>
        <w:rPr>
          <w:sz w:val="24"/>
        </w:rPr>
        <w:t>maksātnespējas</w:t>
      </w:r>
      <w:r>
        <w:rPr>
          <w:spacing w:val="-13"/>
          <w:sz w:val="24"/>
        </w:rPr>
        <w:t> </w:t>
      </w:r>
      <w:r>
        <w:rPr>
          <w:sz w:val="24"/>
        </w:rPr>
        <w:t>pieteikuma</w:t>
      </w:r>
      <w:r>
        <w:rPr>
          <w:spacing w:val="-12"/>
          <w:sz w:val="24"/>
        </w:rPr>
        <w:t> </w:t>
      </w:r>
      <w:r>
        <w:rPr>
          <w:sz w:val="24"/>
        </w:rPr>
        <w:t>iesniegšanas</w:t>
      </w:r>
      <w:r>
        <w:rPr>
          <w:spacing w:val="-16"/>
          <w:sz w:val="24"/>
        </w:rPr>
        <w:t> </w:t>
      </w:r>
      <w:r>
        <w:rPr>
          <w:sz w:val="24"/>
        </w:rPr>
        <w:t>tiesā</w:t>
      </w:r>
      <w:r>
        <w:rPr>
          <w:spacing w:val="-15"/>
          <w:sz w:val="24"/>
        </w:rPr>
        <w:t> </w:t>
      </w:r>
      <w:r>
        <w:rPr>
          <w:sz w:val="24"/>
        </w:rPr>
        <w:t>nereti</w:t>
      </w:r>
      <w:r>
        <w:rPr>
          <w:spacing w:val="-11"/>
          <w:sz w:val="24"/>
        </w:rPr>
        <w:t> </w:t>
      </w:r>
      <w:r>
        <w:rPr>
          <w:sz w:val="24"/>
        </w:rPr>
        <w:t>nav</w:t>
      </w:r>
      <w:r>
        <w:rPr>
          <w:spacing w:val="-15"/>
          <w:sz w:val="24"/>
        </w:rPr>
        <w:t> </w:t>
      </w:r>
      <w:r>
        <w:rPr>
          <w:sz w:val="24"/>
        </w:rPr>
        <w:t>informēti par maksātnespējas procesa piemērošanas vai saistību dzēšanas procedūras piemērošanas ierobežojumiem. Līdz ar to paši parādnieki pirms pieteikuma iesniegšanas ne vienmēr ir izvērtējuši, vai uz viņiem nevarētu attiekties kāds no ierobežojumiem.</w:t>
      </w:r>
    </w:p>
    <w:p>
      <w:pPr>
        <w:pStyle w:val="BodyText"/>
        <w:jc w:val="left"/>
      </w:pPr>
    </w:p>
    <w:p>
      <w:pPr>
        <w:pStyle w:val="ListParagraph"/>
        <w:numPr>
          <w:ilvl w:val="0"/>
          <w:numId w:val="23"/>
        </w:numPr>
        <w:tabs>
          <w:tab w:pos="1340" w:val="left" w:leader="none"/>
        </w:tabs>
        <w:spacing w:line="240" w:lineRule="auto" w:before="0" w:after="0"/>
        <w:ind w:left="1340" w:right="401" w:hanging="360"/>
        <w:jc w:val="both"/>
        <w:rPr>
          <w:sz w:val="24"/>
        </w:rPr>
      </w:pPr>
      <w:r>
        <w:rPr>
          <w:sz w:val="24"/>
        </w:rPr>
        <w:t>Neviennozīmīgi interpretējama pazīme “parādnieks pēdējo triju gadu laikā pirms fiziskās personas maksātnespējas procesa pasludināšanas vai maksātnespējas procesa laikā ir slēdzis darījumus, kuru rezultātā kļuvis maksātnespējīgs vai radījis zaudējumus kreditoriem, turklāt viņš apzinājās vai viņam vajadzēja apzināties, ka šādu darījumu slēgšana var novest līdz maksātnespējai vai zaudējumu radīšanai kreditoriem”. Piemēram, vai jaunu kredītsaistību uzņemšanās, no</w:t>
      </w:r>
      <w:r>
        <w:rPr>
          <w:spacing w:val="39"/>
          <w:sz w:val="24"/>
        </w:rPr>
        <w:t> </w:t>
      </w:r>
      <w:r>
        <w:rPr>
          <w:sz w:val="24"/>
        </w:rPr>
        <w:t>saņemtajiem naudas</w:t>
      </w:r>
      <w:r>
        <w:rPr>
          <w:spacing w:val="-7"/>
          <w:sz w:val="24"/>
        </w:rPr>
        <w:t> </w:t>
      </w:r>
      <w:r>
        <w:rPr>
          <w:sz w:val="24"/>
        </w:rPr>
        <w:t>līdzekļiem</w:t>
      </w:r>
      <w:r>
        <w:rPr>
          <w:spacing w:val="-5"/>
          <w:sz w:val="24"/>
        </w:rPr>
        <w:t> </w:t>
      </w:r>
      <w:r>
        <w:rPr>
          <w:sz w:val="24"/>
        </w:rPr>
        <w:t>sedzot</w:t>
      </w:r>
      <w:r>
        <w:rPr>
          <w:spacing w:val="-10"/>
          <w:sz w:val="24"/>
        </w:rPr>
        <w:t> </w:t>
      </w:r>
      <w:r>
        <w:rPr>
          <w:sz w:val="24"/>
        </w:rPr>
        <w:t>iepriekšējās</w:t>
      </w:r>
      <w:r>
        <w:rPr>
          <w:spacing w:val="-5"/>
          <w:sz w:val="24"/>
        </w:rPr>
        <w:t> </w:t>
      </w:r>
      <w:r>
        <w:rPr>
          <w:sz w:val="24"/>
        </w:rPr>
        <w:t>parādsaistības,</w:t>
      </w:r>
      <w:r>
        <w:rPr>
          <w:spacing w:val="-5"/>
          <w:sz w:val="24"/>
        </w:rPr>
        <w:t> </w:t>
      </w:r>
      <w:r>
        <w:rPr>
          <w:sz w:val="24"/>
        </w:rPr>
        <w:t>būtu</w:t>
      </w:r>
      <w:r>
        <w:rPr>
          <w:spacing w:val="-5"/>
          <w:sz w:val="24"/>
        </w:rPr>
        <w:t> </w:t>
      </w:r>
      <w:r>
        <w:rPr>
          <w:sz w:val="24"/>
        </w:rPr>
        <w:t>uzskatāma</w:t>
      </w:r>
      <w:r>
        <w:rPr>
          <w:spacing w:val="-5"/>
          <w:sz w:val="24"/>
        </w:rPr>
        <w:t> </w:t>
      </w:r>
      <w:r>
        <w:rPr>
          <w:sz w:val="24"/>
        </w:rPr>
        <w:t>par</w:t>
      </w:r>
      <w:r>
        <w:rPr>
          <w:spacing w:val="-8"/>
          <w:sz w:val="24"/>
        </w:rPr>
        <w:t> </w:t>
      </w:r>
      <w:r>
        <w:rPr>
          <w:sz w:val="24"/>
        </w:rPr>
        <w:t>darījumu, kas radījis zaudējumus kreditoriem?</w:t>
      </w:r>
      <w:r>
        <w:rPr>
          <w:spacing w:val="2"/>
          <w:sz w:val="24"/>
        </w:rPr>
        <w:t> </w:t>
      </w:r>
      <w:r>
        <w:rPr>
          <w:sz w:val="24"/>
        </w:rPr>
        <w:t>Utt.</w:t>
      </w:r>
    </w:p>
    <w:p>
      <w:pPr>
        <w:pStyle w:val="BodyText"/>
        <w:jc w:val="left"/>
      </w:pPr>
    </w:p>
    <w:p>
      <w:pPr>
        <w:pStyle w:val="ListParagraph"/>
        <w:numPr>
          <w:ilvl w:val="0"/>
          <w:numId w:val="23"/>
        </w:numPr>
        <w:tabs>
          <w:tab w:pos="1340" w:val="left" w:leader="none"/>
        </w:tabs>
        <w:spacing w:line="240" w:lineRule="auto" w:before="1" w:after="0"/>
        <w:ind w:left="1340" w:right="401" w:hanging="360"/>
        <w:jc w:val="both"/>
        <w:rPr>
          <w:sz w:val="24"/>
        </w:rPr>
      </w:pPr>
      <w:r>
        <w:rPr>
          <w:sz w:val="24"/>
        </w:rPr>
        <w:t>No lēmumiem nav konstatējams, cik bieži un vai vispār administrators izmanto tiesības un pienākumu apstrīdēt darījumus, ja konstatēti Maksātnespējas likuma 153.pantā konstatētie</w:t>
      </w:r>
      <w:r>
        <w:rPr>
          <w:spacing w:val="-3"/>
          <w:sz w:val="24"/>
        </w:rPr>
        <w:t> </w:t>
      </w:r>
      <w:r>
        <w:rPr>
          <w:sz w:val="24"/>
        </w:rPr>
        <w:t>ierobežojumi.</w:t>
      </w:r>
    </w:p>
    <w:p>
      <w:pPr>
        <w:spacing w:after="0" w:line="240" w:lineRule="auto"/>
        <w:jc w:val="both"/>
        <w:rPr>
          <w:sz w:val="24"/>
        </w:rPr>
        <w:sectPr>
          <w:pgSz w:w="11910" w:h="16840"/>
          <w:pgMar w:header="0" w:footer="1055" w:top="1340" w:bottom="1240" w:left="1180" w:right="1040"/>
        </w:sectPr>
      </w:pPr>
    </w:p>
    <w:p>
      <w:pPr>
        <w:pStyle w:val="Heading2"/>
        <w:numPr>
          <w:ilvl w:val="0"/>
          <w:numId w:val="7"/>
        </w:numPr>
        <w:tabs>
          <w:tab w:pos="1340" w:val="left" w:leader="none"/>
        </w:tabs>
        <w:spacing w:line="240" w:lineRule="auto" w:before="59" w:after="0"/>
        <w:ind w:left="1260" w:right="1045" w:hanging="281"/>
        <w:jc w:val="left"/>
      </w:pPr>
      <w:r>
        <w:rPr>
          <w:b w:val="0"/>
        </w:rPr>
        <w:tab/>
      </w:r>
      <w:r>
        <w:rPr/>
        <w:t>Tiesu nolēmumi, ar kuriem maksātnespējas process izbeigts, nedzēšot saistību dzēšanas procedūras laikā nesegtās</w:t>
      </w:r>
      <w:r>
        <w:rPr>
          <w:spacing w:val="-4"/>
        </w:rPr>
        <w:t> </w:t>
      </w:r>
      <w:r>
        <w:rPr/>
        <w:t>saistības</w:t>
      </w:r>
    </w:p>
    <w:p>
      <w:pPr>
        <w:pStyle w:val="BodyText"/>
        <w:jc w:val="left"/>
        <w:rPr>
          <w:b/>
          <w:sz w:val="30"/>
        </w:rPr>
      </w:pPr>
    </w:p>
    <w:p>
      <w:pPr>
        <w:pStyle w:val="Heading4"/>
        <w:numPr>
          <w:ilvl w:val="1"/>
          <w:numId w:val="24"/>
        </w:numPr>
        <w:tabs>
          <w:tab w:pos="982" w:val="left" w:leader="none"/>
        </w:tabs>
        <w:spacing w:line="240" w:lineRule="auto" w:before="205" w:after="0"/>
        <w:ind w:left="981" w:right="0" w:hanging="362"/>
        <w:jc w:val="left"/>
        <w:rPr>
          <w:i/>
        </w:rPr>
      </w:pPr>
      <w:bookmarkStart w:name="_TOC_250070" w:id="8"/>
      <w:r>
        <w:rPr>
          <w:i/>
        </w:rPr>
        <w:t>Periods no 2010.gada 1.novembra līdz 2015.gada</w:t>
      </w:r>
      <w:r>
        <w:rPr>
          <w:i/>
          <w:spacing w:val="-1"/>
        </w:rPr>
        <w:t> </w:t>
      </w:r>
      <w:bookmarkEnd w:id="8"/>
      <w:r>
        <w:rPr>
          <w:i/>
        </w:rPr>
        <w:t>28.februārim</w:t>
      </w:r>
    </w:p>
    <w:p>
      <w:pPr>
        <w:pStyle w:val="BodyText"/>
        <w:jc w:val="left"/>
        <w:rPr>
          <w:b/>
          <w:i/>
        </w:rPr>
      </w:pPr>
    </w:p>
    <w:p>
      <w:pPr>
        <w:spacing w:line="274" w:lineRule="exact" w:before="0"/>
        <w:ind w:left="260" w:right="0" w:firstLine="0"/>
        <w:jc w:val="both"/>
        <w:rPr>
          <w:b/>
          <w:sz w:val="24"/>
        </w:rPr>
      </w:pPr>
      <w:r>
        <w:rPr>
          <w:b/>
          <w:sz w:val="24"/>
        </w:rPr>
        <w:t>Saistību dzēšanas procedūra izbeigta pamatojoties uz :</w:t>
      </w:r>
    </w:p>
    <w:p>
      <w:pPr>
        <w:pStyle w:val="ListParagraph"/>
        <w:numPr>
          <w:ilvl w:val="0"/>
          <w:numId w:val="25"/>
        </w:numPr>
        <w:tabs>
          <w:tab w:pos="980" w:val="left" w:leader="none"/>
        </w:tabs>
        <w:spacing w:line="274" w:lineRule="exact" w:before="0" w:after="0"/>
        <w:ind w:left="980" w:right="0" w:hanging="360"/>
        <w:jc w:val="both"/>
        <w:rPr>
          <w:sz w:val="24"/>
        </w:rPr>
      </w:pPr>
      <w:r>
        <w:rPr>
          <w:sz w:val="24"/>
        </w:rPr>
        <w:t>Kreditora pieteikuma pamata</w:t>
      </w:r>
      <w:r>
        <w:rPr>
          <w:spacing w:val="-5"/>
          <w:sz w:val="24"/>
        </w:rPr>
        <w:t> </w:t>
      </w:r>
      <w:r>
        <w:rPr>
          <w:sz w:val="24"/>
        </w:rPr>
        <w:t>(64%);</w:t>
      </w:r>
    </w:p>
    <w:p>
      <w:pPr>
        <w:pStyle w:val="ListParagraph"/>
        <w:numPr>
          <w:ilvl w:val="0"/>
          <w:numId w:val="25"/>
        </w:numPr>
        <w:tabs>
          <w:tab w:pos="980" w:val="left" w:leader="none"/>
        </w:tabs>
        <w:spacing w:line="240" w:lineRule="auto" w:before="0" w:after="0"/>
        <w:ind w:left="980" w:right="761" w:hanging="360"/>
        <w:jc w:val="both"/>
        <w:rPr>
          <w:sz w:val="24"/>
        </w:rPr>
      </w:pPr>
      <w:r>
        <w:rPr>
          <w:sz w:val="24"/>
        </w:rPr>
        <w:t>Administratora pieteikuma pamata (32%) - gandrīz puse no šiem pieteikumiem tiesā iesniegti pēc tiesas informācijas pieprasījuma</w:t>
      </w:r>
      <w:r>
        <w:rPr>
          <w:spacing w:val="-3"/>
          <w:sz w:val="24"/>
        </w:rPr>
        <w:t> </w:t>
      </w:r>
      <w:r>
        <w:rPr>
          <w:sz w:val="24"/>
        </w:rPr>
        <w:t>saņemšanas;</w:t>
      </w:r>
    </w:p>
    <w:p>
      <w:pPr>
        <w:pStyle w:val="ListParagraph"/>
        <w:numPr>
          <w:ilvl w:val="0"/>
          <w:numId w:val="25"/>
        </w:numPr>
        <w:tabs>
          <w:tab w:pos="980" w:val="left" w:leader="none"/>
        </w:tabs>
        <w:spacing w:line="240" w:lineRule="auto" w:before="0" w:after="0"/>
        <w:ind w:left="980" w:right="763" w:hanging="360"/>
        <w:jc w:val="both"/>
        <w:rPr>
          <w:sz w:val="24"/>
        </w:rPr>
      </w:pPr>
      <w:r>
        <w:rPr>
          <w:sz w:val="24"/>
        </w:rPr>
        <w:t>Pamatojoties uz tiesas iniciatīvu, izvērtējot paša parādnieka iesniegtu pieteikumu par saistību dzēšanas plāna izpildi, maksātnespējas procesa izbeigšanu un atbrīvošanu no</w:t>
      </w:r>
      <w:r>
        <w:rPr>
          <w:spacing w:val="-1"/>
          <w:sz w:val="24"/>
        </w:rPr>
        <w:t> </w:t>
      </w:r>
      <w:r>
        <w:rPr>
          <w:sz w:val="24"/>
        </w:rPr>
        <w:t>saistībām.</w:t>
      </w:r>
    </w:p>
    <w:p>
      <w:pPr>
        <w:pStyle w:val="BodyText"/>
        <w:spacing w:before="5"/>
        <w:jc w:val="left"/>
      </w:pPr>
    </w:p>
    <w:p>
      <w:pPr>
        <w:spacing w:before="0"/>
        <w:ind w:left="260" w:right="0" w:firstLine="0"/>
        <w:jc w:val="both"/>
        <w:rPr>
          <w:b/>
          <w:sz w:val="24"/>
        </w:rPr>
      </w:pPr>
      <w:r>
        <w:rPr>
          <w:b/>
          <w:sz w:val="24"/>
        </w:rPr>
        <w:t>Saistību dzēšanas procedūras izbeigšanas pamati:</w:t>
      </w:r>
    </w:p>
    <w:p>
      <w:pPr>
        <w:pStyle w:val="BodyText"/>
        <w:spacing w:before="7"/>
        <w:jc w:val="left"/>
        <w:rPr>
          <w:b/>
          <w:sz w:val="23"/>
        </w:rPr>
      </w:pPr>
    </w:p>
    <w:p>
      <w:pPr>
        <w:spacing w:before="0"/>
        <w:ind w:left="260" w:right="762" w:firstLine="0"/>
        <w:jc w:val="both"/>
        <w:rPr>
          <w:i/>
          <w:sz w:val="24"/>
        </w:rPr>
      </w:pPr>
      <w:r>
        <w:rPr>
          <w:i/>
          <w:sz w:val="24"/>
        </w:rPr>
        <w:t>Visās analizētajās lietās vismaz kā viens no izbeigšanas pamatiem konstatēta saistību </w:t>
      </w:r>
      <w:r>
        <w:rPr>
          <w:i/>
          <w:sz w:val="24"/>
        </w:rPr>
        <w:t>dzēšanas plāna nepildīšana (Maksātnespējas likuma 165.panta), tikai papildus atsevišķās lietās konstatēti saistības dzēšanas procedūras piemērošanas ierobežojumi.</w:t>
      </w:r>
    </w:p>
    <w:p>
      <w:pPr>
        <w:pStyle w:val="BodyText"/>
        <w:jc w:val="left"/>
        <w:rPr>
          <w:i/>
        </w:rPr>
      </w:pPr>
    </w:p>
    <w:p>
      <w:pPr>
        <w:pStyle w:val="ListParagraph"/>
        <w:numPr>
          <w:ilvl w:val="0"/>
          <w:numId w:val="26"/>
        </w:numPr>
        <w:tabs>
          <w:tab w:pos="980" w:val="left" w:leader="none"/>
        </w:tabs>
        <w:spacing w:line="240" w:lineRule="auto" w:before="0" w:after="0"/>
        <w:ind w:left="980" w:right="764" w:hanging="360"/>
        <w:jc w:val="both"/>
        <w:rPr>
          <w:sz w:val="24"/>
        </w:rPr>
      </w:pPr>
      <w:r>
        <w:rPr>
          <w:b/>
          <w:sz w:val="24"/>
        </w:rPr>
        <w:t>Nav uzsākta plāna izpilde </w:t>
      </w:r>
      <w:r>
        <w:rPr>
          <w:sz w:val="24"/>
        </w:rPr>
        <w:t>(konstatēts vairāk nekā 20% analizētajos lēmumos par saistību dzēšanas procedūras</w:t>
      </w:r>
      <w:r>
        <w:rPr>
          <w:spacing w:val="-4"/>
          <w:sz w:val="24"/>
        </w:rPr>
        <w:t> </w:t>
      </w:r>
      <w:r>
        <w:rPr>
          <w:sz w:val="24"/>
        </w:rPr>
        <w:t>izbeigšanu);</w:t>
      </w:r>
    </w:p>
    <w:p>
      <w:pPr>
        <w:pStyle w:val="ListParagraph"/>
        <w:numPr>
          <w:ilvl w:val="0"/>
          <w:numId w:val="26"/>
        </w:numPr>
        <w:tabs>
          <w:tab w:pos="980" w:val="left" w:leader="none"/>
        </w:tabs>
        <w:spacing w:line="240" w:lineRule="auto" w:before="0" w:after="0"/>
        <w:ind w:left="980" w:right="764" w:hanging="360"/>
        <w:jc w:val="both"/>
        <w:rPr>
          <w:sz w:val="24"/>
        </w:rPr>
      </w:pPr>
      <w:r>
        <w:rPr>
          <w:b/>
          <w:sz w:val="24"/>
        </w:rPr>
        <w:t>Tiek kavēti samaksas termiņi, maksājumi tiek veikti neregulāri </w:t>
      </w:r>
      <w:r>
        <w:rPr>
          <w:sz w:val="24"/>
        </w:rPr>
        <w:t>(konstatēts vairāk nekā 45% analizētajos lēmumos par saistību dzēšanas procedūras izbeigšanu);</w:t>
      </w:r>
    </w:p>
    <w:p>
      <w:pPr>
        <w:pStyle w:val="ListParagraph"/>
        <w:numPr>
          <w:ilvl w:val="0"/>
          <w:numId w:val="26"/>
        </w:numPr>
        <w:tabs>
          <w:tab w:pos="980" w:val="left" w:leader="none"/>
        </w:tabs>
        <w:spacing w:line="240" w:lineRule="auto" w:before="0" w:after="0"/>
        <w:ind w:left="980" w:right="763" w:hanging="360"/>
        <w:jc w:val="both"/>
        <w:rPr>
          <w:sz w:val="24"/>
        </w:rPr>
      </w:pPr>
      <w:r>
        <w:rPr>
          <w:b/>
          <w:sz w:val="24"/>
        </w:rPr>
        <w:t>Ir iestājies saistību dzēšanas plāna izpildes termiņš</w:t>
      </w:r>
      <w:r>
        <w:rPr>
          <w:sz w:val="24"/>
        </w:rPr>
        <w:t>, taču pieteikums tiesā nav iesniegts (konstatēts gandrīz 25% analizētajos lēmumos par saistību dzēšanas procedūras</w:t>
      </w:r>
      <w:r>
        <w:rPr>
          <w:spacing w:val="-1"/>
          <w:sz w:val="24"/>
        </w:rPr>
        <w:t> </w:t>
      </w:r>
      <w:r>
        <w:rPr>
          <w:sz w:val="24"/>
        </w:rPr>
        <w:t>izbeigšanu):</w:t>
      </w:r>
    </w:p>
    <w:p>
      <w:pPr>
        <w:pStyle w:val="ListParagraph"/>
        <w:numPr>
          <w:ilvl w:val="1"/>
          <w:numId w:val="26"/>
        </w:numPr>
        <w:tabs>
          <w:tab w:pos="1393" w:val="left" w:leader="none"/>
        </w:tabs>
        <w:spacing w:line="240" w:lineRule="auto" w:before="0" w:after="0"/>
        <w:ind w:left="1392" w:right="761" w:hanging="425"/>
        <w:jc w:val="both"/>
        <w:rPr>
          <w:sz w:val="24"/>
        </w:rPr>
      </w:pPr>
      <w:r>
        <w:rPr>
          <w:sz w:val="24"/>
        </w:rPr>
        <w:t>maksātnespējas process tiek izbeigts, nepasludinot saistību dzēšanas procedūru, nenoskaidrojot, vai saistību dzēšanas plāns ticis pildīts</w:t>
      </w:r>
      <w:r>
        <w:rPr>
          <w:spacing w:val="-3"/>
          <w:sz w:val="24"/>
        </w:rPr>
        <w:t> </w:t>
      </w:r>
      <w:r>
        <w:rPr>
          <w:sz w:val="24"/>
        </w:rPr>
        <w:t>(33%),</w:t>
      </w:r>
    </w:p>
    <w:p>
      <w:pPr>
        <w:pStyle w:val="ListParagraph"/>
        <w:numPr>
          <w:ilvl w:val="1"/>
          <w:numId w:val="26"/>
        </w:numPr>
        <w:tabs>
          <w:tab w:pos="1393" w:val="left" w:leader="none"/>
        </w:tabs>
        <w:spacing w:line="240" w:lineRule="auto" w:before="0" w:after="0"/>
        <w:ind w:left="1392" w:right="761" w:hanging="425"/>
        <w:jc w:val="both"/>
        <w:rPr>
          <w:sz w:val="24"/>
        </w:rPr>
      </w:pPr>
      <w:r>
        <w:rPr>
          <w:sz w:val="24"/>
        </w:rPr>
        <w:t>maksātnespējas process tiek izbeigts, nepasludinot saistību dzēšanas procedūru, pēc tam, kad noskaidrots, ka plāns nav pildīts</w:t>
      </w:r>
      <w:r>
        <w:rPr>
          <w:spacing w:val="-5"/>
          <w:sz w:val="24"/>
        </w:rPr>
        <w:t> </w:t>
      </w:r>
      <w:r>
        <w:rPr>
          <w:sz w:val="24"/>
        </w:rPr>
        <w:t>(66%).</w:t>
      </w:r>
    </w:p>
    <w:p>
      <w:pPr>
        <w:pStyle w:val="ListParagraph"/>
        <w:numPr>
          <w:ilvl w:val="0"/>
          <w:numId w:val="26"/>
        </w:numPr>
        <w:tabs>
          <w:tab w:pos="980" w:val="left" w:leader="none"/>
        </w:tabs>
        <w:spacing w:line="240" w:lineRule="auto" w:before="0" w:after="0"/>
        <w:ind w:left="980" w:right="761" w:hanging="360"/>
        <w:jc w:val="both"/>
        <w:rPr>
          <w:sz w:val="16"/>
        </w:rPr>
      </w:pPr>
      <w:r>
        <w:rPr>
          <w:sz w:val="24"/>
        </w:rPr>
        <w:t>Netiek ievērots pienākums </w:t>
      </w:r>
      <w:r>
        <w:rPr>
          <w:b/>
          <w:sz w:val="24"/>
        </w:rPr>
        <w:t>novirzīt līdzekļus vienas trešdaļas apmērā </w:t>
      </w:r>
      <w:r>
        <w:rPr>
          <w:sz w:val="24"/>
        </w:rPr>
        <w:t>no parādnieka ienākumiem, bet ne mazāk kā vienas trešdaļas apmērā no vienas minimālās mēneša algas mēnesī, </w:t>
      </w:r>
      <w:r>
        <w:rPr>
          <w:b/>
          <w:sz w:val="24"/>
        </w:rPr>
        <w:t>ievērojot tās pieaugumu valstī </w:t>
      </w:r>
      <w:r>
        <w:rPr>
          <w:sz w:val="24"/>
        </w:rPr>
        <w:t>(konstatēts vismaz 8%). Piemēram, Aizkraukles rajona tiesa 2015.gada 6.februāra nolēmumā lietā Nr.C07064411 pēc savas iniciatīvas, izskatot pieteicējas pieteikumu </w:t>
      </w:r>
      <w:r>
        <w:rPr>
          <w:spacing w:val="-4"/>
          <w:sz w:val="24"/>
        </w:rPr>
        <w:t>par </w:t>
      </w:r>
      <w:r>
        <w:rPr>
          <w:sz w:val="24"/>
        </w:rPr>
        <w:t>saistību dzēšanas procedūras izbeigšanu un atbrīvošanu no saistībām, pārbaudot pieteikumam pievienotos maksājumus kreditoriem, atzīst, ka parādniece saistību dzēšanas plānu nav pildījusi atbilstoši Maksātnespējas likuma 155.panta ceturtās daļas nosacījumiem, jo kreditoru prasījumu segšanai nav novirzījusi līdzekļus vienas trešdaļas apmērā no vienas minimālās mēnešalgas mēnesī attiecīgajā laika periodā. Vienlaikus tiesa atzīst, ka saskaņā ar Maksātnespējas likuma 155.panta ceturtās daļas un 162.panta pirmās daļas noteikumiem, palielinoties parādnieka ienākumiem kontekstā ar minimālās algas palielināšanu, parādniecei bija pienākums sagatavot un iesniegt tiesā apstiprināšanai fiziskas personas saistību dzēšanas plāna</w:t>
      </w:r>
      <w:r>
        <w:rPr>
          <w:spacing w:val="-1"/>
          <w:sz w:val="24"/>
        </w:rPr>
        <w:t> </w:t>
      </w:r>
      <w:r>
        <w:rPr>
          <w:sz w:val="24"/>
        </w:rPr>
        <w:t>grozījumus.</w:t>
      </w:r>
      <w:r>
        <w:rPr>
          <w:position w:val="9"/>
          <w:sz w:val="16"/>
        </w:rPr>
        <w:t>114</w:t>
      </w:r>
    </w:p>
    <w:p>
      <w:pPr>
        <w:pStyle w:val="BodyText"/>
        <w:jc w:val="left"/>
        <w:rPr>
          <w:sz w:val="20"/>
        </w:rPr>
      </w:pPr>
    </w:p>
    <w:p>
      <w:pPr>
        <w:pStyle w:val="BodyText"/>
        <w:spacing w:before="5"/>
        <w:jc w:val="left"/>
        <w:rPr>
          <w:sz w:val="23"/>
        </w:rPr>
      </w:pPr>
      <w:r>
        <w:rPr/>
        <w:pict>
          <v:shape style="position:absolute;margin-left:72pt;margin-top:15.733706pt;width:144pt;height:.1pt;mso-position-horizontal-relative:page;mso-position-vertical-relative:paragraph;z-index:-251633664;mso-wrap-distance-left:0;mso-wrap-distance-right:0" coordorigin="1440,315" coordsize="2880,0" path="m1440,315l4320,315e" filled="false" stroked="true" strokeweight=".599991pt" strokecolor="#000000">
            <v:path arrowok="t"/>
            <v:stroke dashstyle="solid"/>
            <w10:wrap type="topAndBottom"/>
          </v:shape>
        </w:pict>
      </w:r>
    </w:p>
    <w:p>
      <w:pPr>
        <w:spacing w:before="70"/>
        <w:ind w:left="260" w:right="0" w:firstLine="0"/>
        <w:jc w:val="left"/>
        <w:rPr>
          <w:sz w:val="20"/>
        </w:rPr>
      </w:pPr>
      <w:r>
        <w:rPr>
          <w:position w:val="7"/>
          <w:sz w:val="13"/>
        </w:rPr>
        <w:t>114 </w:t>
      </w:r>
      <w:r>
        <w:rPr>
          <w:sz w:val="20"/>
        </w:rPr>
        <w:t>Aizkraukles rajona tiesas 2015.gada 6.februāra nolēmums lietā Nr. C07064411</w:t>
      </w:r>
    </w:p>
    <w:p>
      <w:pPr>
        <w:spacing w:after="0"/>
        <w:jc w:val="left"/>
        <w:rPr>
          <w:sz w:val="20"/>
        </w:rPr>
        <w:sectPr>
          <w:pgSz w:w="11910" w:h="16840"/>
          <w:pgMar w:header="0" w:footer="1055" w:top="1360" w:bottom="1240" w:left="1180" w:right="1040"/>
        </w:sectPr>
      </w:pPr>
    </w:p>
    <w:p>
      <w:pPr>
        <w:pStyle w:val="ListParagraph"/>
        <w:numPr>
          <w:ilvl w:val="0"/>
          <w:numId w:val="26"/>
        </w:numPr>
        <w:tabs>
          <w:tab w:pos="1340" w:val="left" w:leader="none"/>
        </w:tabs>
        <w:spacing w:line="240" w:lineRule="auto" w:before="73" w:after="0"/>
        <w:ind w:left="1340" w:right="402" w:hanging="360"/>
        <w:jc w:val="both"/>
        <w:rPr>
          <w:sz w:val="24"/>
        </w:rPr>
      </w:pPr>
      <w:r>
        <w:rPr>
          <w:sz w:val="24"/>
        </w:rPr>
        <w:t>Parādnieks </w:t>
      </w:r>
      <w:r>
        <w:rPr>
          <w:b/>
          <w:sz w:val="24"/>
        </w:rPr>
        <w:t>nesadarbojas </w:t>
      </w:r>
      <w:r>
        <w:rPr>
          <w:sz w:val="24"/>
        </w:rPr>
        <w:t>ar administratoru, tiesu, kreditoriem, </w:t>
      </w:r>
      <w:r>
        <w:rPr>
          <w:b/>
          <w:sz w:val="24"/>
        </w:rPr>
        <w:t>nesniedz ziņas un paskaidrojumus </w:t>
      </w:r>
      <w:r>
        <w:rPr>
          <w:sz w:val="24"/>
        </w:rPr>
        <w:t>tiesai par pieteikumu utt. (konstatēts vismaz 66% analizētajos nolēmumos):</w:t>
      </w:r>
    </w:p>
    <w:p>
      <w:pPr>
        <w:pStyle w:val="ListParagraph"/>
        <w:numPr>
          <w:ilvl w:val="1"/>
          <w:numId w:val="26"/>
        </w:numPr>
        <w:tabs>
          <w:tab w:pos="1700" w:val="left" w:leader="none"/>
        </w:tabs>
        <w:spacing w:line="240" w:lineRule="auto" w:before="0" w:after="0"/>
        <w:ind w:left="1700" w:right="401" w:hanging="360"/>
        <w:jc w:val="both"/>
        <w:rPr>
          <w:sz w:val="24"/>
        </w:rPr>
      </w:pPr>
      <w:r>
        <w:rPr>
          <w:sz w:val="24"/>
        </w:rPr>
        <w:t>Parādnieks nesniedz ziņas par plāna izpildi, kaut arī Maksātnespējas likuma 160.pants noteic parādnieka pienākumus saistību dzēšanas procedūrā: 1) pildīt fiziskās personas saistību dzēšanas plānu; 2) gūt ienākumus atbilstoši savām iespējām, lai pilnīgāk apmierinātu kreditoru prasījumus; 3) pēc administratora pieprasījuma sniegt informāciju par fiziskās personas saistību dzēšanas plāna izpildi.</w:t>
      </w:r>
    </w:p>
    <w:p>
      <w:pPr>
        <w:pStyle w:val="ListParagraph"/>
        <w:numPr>
          <w:ilvl w:val="1"/>
          <w:numId w:val="26"/>
        </w:numPr>
        <w:tabs>
          <w:tab w:pos="1700" w:val="left" w:leader="none"/>
        </w:tabs>
        <w:spacing w:line="235" w:lineRule="auto" w:before="5" w:after="0"/>
        <w:ind w:left="1700" w:right="401" w:hanging="360"/>
        <w:jc w:val="both"/>
        <w:rPr>
          <w:sz w:val="16"/>
        </w:rPr>
      </w:pPr>
      <w:r>
        <w:rPr>
          <w:sz w:val="24"/>
        </w:rPr>
        <w:t>Atbilstoši Civillikuma 1838.pantam, samaksas pierādīšana gulstas uz parādnieku. Parādnieks uz administratora lūgumu informāciju par saistību izpildi nav sniedzis, kā arī pēc pieteikuma par maksātnespējas procesa izbeigšanu nosūtīšanas, tiesai paskaidrojumus vai iebildumus nav</w:t>
      </w:r>
      <w:r>
        <w:rPr>
          <w:spacing w:val="-26"/>
          <w:sz w:val="24"/>
        </w:rPr>
        <w:t> </w:t>
      </w:r>
      <w:r>
        <w:rPr>
          <w:sz w:val="24"/>
        </w:rPr>
        <w:t>iesniedzis.</w:t>
      </w:r>
      <w:r>
        <w:rPr>
          <w:position w:val="9"/>
          <w:sz w:val="16"/>
        </w:rPr>
        <w:t>115</w:t>
      </w:r>
    </w:p>
    <w:p>
      <w:pPr>
        <w:pStyle w:val="BodyText"/>
        <w:spacing w:before="7"/>
        <w:jc w:val="left"/>
      </w:pPr>
    </w:p>
    <w:p>
      <w:pPr>
        <w:pStyle w:val="Heading4"/>
        <w:numPr>
          <w:ilvl w:val="1"/>
          <w:numId w:val="24"/>
        </w:numPr>
        <w:tabs>
          <w:tab w:pos="1342" w:val="left" w:leader="none"/>
        </w:tabs>
        <w:spacing w:line="240" w:lineRule="auto" w:before="0" w:after="0"/>
        <w:ind w:left="1341" w:right="0" w:hanging="362"/>
        <w:jc w:val="left"/>
        <w:rPr>
          <w:i/>
        </w:rPr>
      </w:pPr>
      <w:bookmarkStart w:name="_TOC_250069" w:id="9"/>
      <w:r>
        <w:rPr>
          <w:i/>
        </w:rPr>
        <w:t>Periods no 2015.gada</w:t>
      </w:r>
      <w:r>
        <w:rPr>
          <w:i/>
          <w:spacing w:val="-1"/>
        </w:rPr>
        <w:t> </w:t>
      </w:r>
      <w:bookmarkEnd w:id="9"/>
      <w:r>
        <w:rPr>
          <w:i/>
        </w:rPr>
        <w:t>1.marta</w:t>
      </w:r>
    </w:p>
    <w:p>
      <w:pPr>
        <w:pStyle w:val="BodyText"/>
        <w:jc w:val="left"/>
        <w:rPr>
          <w:b/>
          <w:i/>
        </w:rPr>
      </w:pPr>
    </w:p>
    <w:p>
      <w:pPr>
        <w:spacing w:line="274" w:lineRule="exact" w:before="0"/>
        <w:ind w:left="620" w:right="0" w:firstLine="0"/>
        <w:jc w:val="both"/>
        <w:rPr>
          <w:b/>
          <w:sz w:val="24"/>
        </w:rPr>
      </w:pPr>
      <w:r>
        <w:rPr>
          <w:b/>
          <w:sz w:val="24"/>
        </w:rPr>
        <w:t>Saistību dzēšanas procedūra izbeigta pamatojoties uz :</w:t>
      </w:r>
    </w:p>
    <w:p>
      <w:pPr>
        <w:pStyle w:val="ListParagraph"/>
        <w:numPr>
          <w:ilvl w:val="0"/>
          <w:numId w:val="27"/>
        </w:numPr>
        <w:tabs>
          <w:tab w:pos="1264" w:val="left" w:leader="none"/>
        </w:tabs>
        <w:spacing w:line="274" w:lineRule="exact" w:before="0" w:after="0"/>
        <w:ind w:left="1263" w:right="0" w:hanging="361"/>
        <w:jc w:val="both"/>
        <w:rPr>
          <w:sz w:val="24"/>
        </w:rPr>
      </w:pPr>
      <w:r>
        <w:rPr>
          <w:sz w:val="24"/>
        </w:rPr>
        <w:t>Kreditora pieteikuma pamata</w:t>
      </w:r>
      <w:r>
        <w:rPr>
          <w:spacing w:val="-5"/>
          <w:sz w:val="24"/>
        </w:rPr>
        <w:t> </w:t>
      </w:r>
      <w:r>
        <w:rPr>
          <w:sz w:val="24"/>
        </w:rPr>
        <w:t>(67%);</w:t>
      </w:r>
    </w:p>
    <w:p>
      <w:pPr>
        <w:pStyle w:val="ListParagraph"/>
        <w:numPr>
          <w:ilvl w:val="0"/>
          <w:numId w:val="27"/>
        </w:numPr>
        <w:tabs>
          <w:tab w:pos="1264" w:val="left" w:leader="none"/>
        </w:tabs>
        <w:spacing w:line="240" w:lineRule="auto" w:before="0" w:after="0"/>
        <w:ind w:left="1263" w:right="402" w:hanging="360"/>
        <w:jc w:val="both"/>
        <w:rPr>
          <w:sz w:val="24"/>
        </w:rPr>
      </w:pPr>
      <w:r>
        <w:rPr>
          <w:sz w:val="24"/>
        </w:rPr>
        <w:t>Administratora pieteikuma pamata (29%) – tostarp gandrīz puse no šiem pieteikumiem tiesā iesniegta pēc tiesas informācijas pieprasījuma</w:t>
      </w:r>
      <w:r>
        <w:rPr>
          <w:spacing w:val="-12"/>
          <w:sz w:val="24"/>
        </w:rPr>
        <w:t> </w:t>
      </w:r>
      <w:r>
        <w:rPr>
          <w:sz w:val="24"/>
        </w:rPr>
        <w:t>saņemšanas;</w:t>
      </w:r>
    </w:p>
    <w:p>
      <w:pPr>
        <w:pStyle w:val="ListParagraph"/>
        <w:numPr>
          <w:ilvl w:val="0"/>
          <w:numId w:val="27"/>
        </w:numPr>
        <w:tabs>
          <w:tab w:pos="1264" w:val="left" w:leader="none"/>
        </w:tabs>
        <w:spacing w:line="240" w:lineRule="auto" w:before="0" w:after="0"/>
        <w:ind w:left="1263" w:right="401" w:hanging="360"/>
        <w:jc w:val="both"/>
        <w:rPr>
          <w:sz w:val="16"/>
        </w:rPr>
      </w:pPr>
      <w:r>
        <w:rPr>
          <w:sz w:val="24"/>
        </w:rPr>
        <w:t>Tiesas iniciatīvu, izvērtējot paša parādnieka iesniegtu pieteikumu par saistību dzēšanas plāna izpildi, maksātnespējas procesa izbeigšanu un atbrīvošanu no saistībām (4% jeb 1 lietā). Proti, Kurzemes rajona tiesa 2018.gada 31.jūlija nolēmumā lietā Nr. C19031613 norādījusi, ka apstāklis, ka parādniece pēc saistību dzēšanas plāna termiņa beigām veikusi maksājumus saistību dzēšanas plāna izpildei, neattaisno viņas bezdarbību un nedisciplinētību saistību dzēšanas procedūras laikā, saistību dzēšanas plāna izpildē vairākkārt neveicot maksājumus piecu un sešu mēnešu garumā. Juridiskajā literatūrā atzīts, ka [..] fiziskās personas atbrīvošana no parādsaistībām var notikt tikai gadījumā, kad personai bijusi godprātīga attieksme pret kreditoriem (skat. K.Ābelis. Fiziskās personas maksātnespējas procesa jaunais regulējums. „Jurista vārds” 14.09.2010., Nr.37, 25.lpp.). Līdz ar to maksātnespējas procesā parādniekam ir dota iespēja atbrīvoties no parādsaistībām tikai tādā gadījumā, ja parādnieks ir bijis godprātīgs un izpildījis saistību dzēšanas</w:t>
      </w:r>
      <w:r>
        <w:rPr>
          <w:spacing w:val="-3"/>
          <w:sz w:val="24"/>
        </w:rPr>
        <w:t> </w:t>
      </w:r>
      <w:r>
        <w:rPr>
          <w:sz w:val="24"/>
        </w:rPr>
        <w:t>plānu.</w:t>
      </w:r>
      <w:r>
        <w:rPr>
          <w:position w:val="9"/>
          <w:sz w:val="16"/>
        </w:rPr>
        <w:t>116</w:t>
      </w:r>
    </w:p>
    <w:p>
      <w:pPr>
        <w:pStyle w:val="BodyText"/>
        <w:spacing w:before="1"/>
        <w:jc w:val="left"/>
        <w:rPr>
          <w:sz w:val="23"/>
        </w:rPr>
      </w:pPr>
    </w:p>
    <w:p>
      <w:pPr>
        <w:pStyle w:val="Heading3"/>
        <w:spacing w:before="1"/>
        <w:ind w:left="620"/>
      </w:pPr>
      <w:r>
        <w:rPr/>
        <w:t>Saistību dzēšanas procedūras izbeigšanas pamati:</w:t>
      </w:r>
    </w:p>
    <w:p>
      <w:pPr>
        <w:pStyle w:val="BodyText"/>
        <w:spacing w:before="6"/>
        <w:jc w:val="left"/>
        <w:rPr>
          <w:b/>
          <w:sz w:val="23"/>
        </w:rPr>
      </w:pPr>
    </w:p>
    <w:p>
      <w:pPr>
        <w:spacing w:before="0"/>
        <w:ind w:left="620" w:right="401" w:firstLine="360"/>
        <w:jc w:val="both"/>
        <w:rPr>
          <w:i/>
          <w:sz w:val="24"/>
        </w:rPr>
      </w:pPr>
      <w:r>
        <w:rPr>
          <w:i/>
          <w:sz w:val="24"/>
        </w:rPr>
        <w:t>Visās analizētajās lietās vismaz kā viens no izbeigšanas pamatiem konstatēta saistību </w:t>
      </w:r>
      <w:r>
        <w:rPr>
          <w:i/>
          <w:sz w:val="24"/>
        </w:rPr>
        <w:t>dzēšanas plāna nepildīšana (Maksātnespējas likuma 165.panta), tikai papildus atsevišķās lietās konstatēti saistības dzēšanas procedūras piemērošanas ierobežojumi.</w:t>
      </w:r>
    </w:p>
    <w:p>
      <w:pPr>
        <w:pStyle w:val="ListParagraph"/>
        <w:numPr>
          <w:ilvl w:val="0"/>
          <w:numId w:val="28"/>
        </w:numPr>
        <w:tabs>
          <w:tab w:pos="1340" w:val="left" w:leader="none"/>
        </w:tabs>
        <w:spacing w:line="240" w:lineRule="auto" w:before="0" w:after="0"/>
        <w:ind w:left="1340" w:right="400" w:hanging="360"/>
        <w:jc w:val="both"/>
        <w:rPr>
          <w:sz w:val="24"/>
        </w:rPr>
      </w:pPr>
      <w:r>
        <w:rPr>
          <w:sz w:val="24"/>
        </w:rPr>
        <w:t>Secinot, ka parādnieks ir pārkāpis Maksātnespējas likuma 6.panta 8.punktā nostiprināto labticības principu, ka savas tiesības jāizmanto un pienākumi</w:t>
      </w:r>
      <w:r>
        <w:rPr>
          <w:spacing w:val="-26"/>
          <w:sz w:val="24"/>
        </w:rPr>
        <w:t> </w:t>
      </w:r>
      <w:r>
        <w:rPr>
          <w:sz w:val="24"/>
        </w:rPr>
        <w:t>jāizpilda labā ticībā un ka parādnieks nav izpildījis Maksātnespējas likuma 160.pantā norādīto parādnieka pienākumu pildīt fiziskās personas saistību dzēšanas plānu, tiesa konstatē Maksātnespējas likuma 153.panta pirmās daļas 3.punktā noteikto ierobežojumu, kas paredz, ka saistību dzēšanas procedūru nepiemēro vai</w:t>
      </w:r>
      <w:r>
        <w:rPr>
          <w:spacing w:val="55"/>
          <w:sz w:val="24"/>
        </w:rPr>
        <w:t> </w:t>
      </w:r>
      <w:r>
        <w:rPr>
          <w:sz w:val="24"/>
        </w:rPr>
        <w:t>to</w:t>
      </w:r>
    </w:p>
    <w:p>
      <w:pPr>
        <w:pStyle w:val="BodyText"/>
        <w:jc w:val="left"/>
        <w:rPr>
          <w:sz w:val="20"/>
        </w:rPr>
      </w:pPr>
    </w:p>
    <w:p>
      <w:pPr>
        <w:pStyle w:val="BodyText"/>
        <w:jc w:val="left"/>
        <w:rPr>
          <w:sz w:val="20"/>
        </w:rPr>
      </w:pPr>
    </w:p>
    <w:p>
      <w:pPr>
        <w:pStyle w:val="BodyText"/>
        <w:spacing w:before="7"/>
        <w:jc w:val="left"/>
        <w:rPr>
          <w:sz w:val="16"/>
        </w:rPr>
      </w:pPr>
      <w:r>
        <w:rPr/>
        <w:pict>
          <v:shape style="position:absolute;margin-left:90pt;margin-top:11.827181pt;width:144pt;height:.1pt;mso-position-horizontal-relative:page;mso-position-vertical-relative:paragraph;z-index:-251632640;mso-wrap-distance-left:0;mso-wrap-distance-right:0" coordorigin="1800,237" coordsize="2880,0" path="m1800,237l4680,237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115 </w:t>
      </w:r>
      <w:r>
        <w:rPr>
          <w:sz w:val="20"/>
        </w:rPr>
        <w:t>Rīgas pilsētas Kurzemes rajona tiesas 2014.gada 18.decembra nolēmums lietā Nr. C28346513</w:t>
      </w:r>
    </w:p>
    <w:p>
      <w:pPr>
        <w:spacing w:line="233" w:lineRule="exact" w:before="0"/>
        <w:ind w:left="620" w:right="0" w:firstLine="0"/>
        <w:jc w:val="left"/>
        <w:rPr>
          <w:sz w:val="20"/>
        </w:rPr>
      </w:pPr>
      <w:r>
        <w:rPr>
          <w:position w:val="7"/>
          <w:sz w:val="13"/>
        </w:rPr>
        <w:t>116 </w:t>
      </w:r>
      <w:r>
        <w:rPr>
          <w:sz w:val="20"/>
        </w:rPr>
        <w:t>Kurzemes rajona tiesas 2018.gada 31.jūlija nolēmums lietā Nr. C19031613</w:t>
      </w:r>
    </w:p>
    <w:p>
      <w:pPr>
        <w:spacing w:after="0" w:line="233" w:lineRule="exact"/>
        <w:jc w:val="left"/>
        <w:rPr>
          <w:sz w:val="20"/>
        </w:rPr>
        <w:sectPr>
          <w:pgSz w:w="11910" w:h="16840"/>
          <w:pgMar w:header="0" w:footer="1055" w:top="1340" w:bottom="1240" w:left="1180" w:right="1040"/>
        </w:sectPr>
      </w:pPr>
    </w:p>
    <w:p>
      <w:pPr>
        <w:pStyle w:val="BodyText"/>
        <w:spacing w:line="228" w:lineRule="auto" w:before="84"/>
        <w:ind w:left="980" w:right="763"/>
        <w:rPr>
          <w:sz w:val="16"/>
        </w:rPr>
      </w:pPr>
      <w:r>
        <w:rPr/>
        <w:t>pārtrauc,</w:t>
      </w:r>
      <w:r>
        <w:rPr>
          <w:spacing w:val="-11"/>
        </w:rPr>
        <w:t> </w:t>
      </w:r>
      <w:r>
        <w:rPr/>
        <w:t>ja</w:t>
      </w:r>
      <w:r>
        <w:rPr>
          <w:spacing w:val="-9"/>
        </w:rPr>
        <w:t> </w:t>
      </w:r>
      <w:r>
        <w:rPr/>
        <w:t>parādnieks</w:t>
      </w:r>
      <w:r>
        <w:rPr>
          <w:spacing w:val="-8"/>
        </w:rPr>
        <w:t> </w:t>
      </w:r>
      <w:r>
        <w:rPr/>
        <w:t>nepilda</w:t>
      </w:r>
      <w:r>
        <w:rPr>
          <w:spacing w:val="-11"/>
        </w:rPr>
        <w:t> </w:t>
      </w:r>
      <w:r>
        <w:rPr/>
        <w:t>bankrota</w:t>
      </w:r>
      <w:r>
        <w:rPr>
          <w:spacing w:val="-6"/>
        </w:rPr>
        <w:t> </w:t>
      </w:r>
      <w:r>
        <w:rPr/>
        <w:t>vai</w:t>
      </w:r>
      <w:r>
        <w:rPr>
          <w:spacing w:val="-11"/>
        </w:rPr>
        <w:t> </w:t>
      </w:r>
      <w:r>
        <w:rPr/>
        <w:t>saistību</w:t>
      </w:r>
      <w:r>
        <w:rPr>
          <w:spacing w:val="-8"/>
        </w:rPr>
        <w:t> </w:t>
      </w:r>
      <w:r>
        <w:rPr/>
        <w:t>dzēšanas</w:t>
      </w:r>
      <w:r>
        <w:rPr>
          <w:spacing w:val="-9"/>
        </w:rPr>
        <w:t> </w:t>
      </w:r>
      <w:r>
        <w:rPr/>
        <w:t>procedūrā</w:t>
      </w:r>
      <w:r>
        <w:rPr>
          <w:spacing w:val="-10"/>
        </w:rPr>
        <w:t> </w:t>
      </w:r>
      <w:r>
        <w:rPr/>
        <w:t>paredzētos pienākumus, būtiski apgrūtinot maksātnespējas procesa efektīvu</w:t>
      </w:r>
      <w:r>
        <w:rPr>
          <w:spacing w:val="-6"/>
        </w:rPr>
        <w:t> </w:t>
      </w:r>
      <w:r>
        <w:rPr/>
        <w:t>norisi.</w:t>
      </w:r>
      <w:r>
        <w:rPr>
          <w:position w:val="9"/>
          <w:sz w:val="16"/>
        </w:rPr>
        <w:t>117</w:t>
      </w:r>
    </w:p>
    <w:p>
      <w:pPr>
        <w:pStyle w:val="ListParagraph"/>
        <w:numPr>
          <w:ilvl w:val="0"/>
          <w:numId w:val="28"/>
        </w:numPr>
        <w:tabs>
          <w:tab w:pos="980" w:val="left" w:leader="none"/>
        </w:tabs>
        <w:spacing w:line="235" w:lineRule="auto" w:before="6" w:after="0"/>
        <w:ind w:left="980" w:right="761" w:hanging="360"/>
        <w:jc w:val="both"/>
        <w:rPr>
          <w:sz w:val="16"/>
        </w:rPr>
      </w:pPr>
      <w:r>
        <w:rPr>
          <w:sz w:val="24"/>
        </w:rPr>
        <w:t>Likumdevēja noteikumi, atbilstoši maksātnespējas procesa mērķim </w:t>
      </w:r>
      <w:r>
        <w:rPr>
          <w:spacing w:val="-3"/>
          <w:sz w:val="24"/>
        </w:rPr>
        <w:t>(sk. </w:t>
      </w:r>
      <w:r>
        <w:rPr>
          <w:sz w:val="24"/>
        </w:rPr>
        <w:t>Maksātnespējas likuma 5. pantā), neprasa vērtēt apstākļus, kuru dēļ saistību dzēšanas plāni nav pildīti, secīgi, nav būtiskas nozīmes, vai tie varētu būt attaisnojami vai nē.</w:t>
      </w:r>
      <w:r>
        <w:rPr>
          <w:position w:val="9"/>
          <w:sz w:val="16"/>
        </w:rPr>
        <w:t>118</w:t>
      </w:r>
    </w:p>
    <w:p>
      <w:pPr>
        <w:pStyle w:val="ListParagraph"/>
        <w:numPr>
          <w:ilvl w:val="0"/>
          <w:numId w:val="28"/>
        </w:numPr>
        <w:tabs>
          <w:tab w:pos="980" w:val="left" w:leader="none"/>
        </w:tabs>
        <w:spacing w:line="240" w:lineRule="auto" w:before="2" w:after="0"/>
        <w:ind w:left="980" w:right="764" w:hanging="360"/>
        <w:jc w:val="both"/>
        <w:rPr>
          <w:sz w:val="24"/>
        </w:rPr>
      </w:pPr>
      <w:r>
        <w:rPr>
          <w:b/>
          <w:sz w:val="24"/>
        </w:rPr>
        <w:t>Nav uzsākta plāna izpilde </w:t>
      </w:r>
      <w:r>
        <w:rPr>
          <w:sz w:val="24"/>
        </w:rPr>
        <w:t>(konstatēts vairāk nekā 20% analizētajos lēmumos par saistību dzēšanas procedūras</w:t>
      </w:r>
      <w:r>
        <w:rPr>
          <w:spacing w:val="-4"/>
          <w:sz w:val="24"/>
        </w:rPr>
        <w:t> </w:t>
      </w:r>
      <w:r>
        <w:rPr>
          <w:sz w:val="24"/>
        </w:rPr>
        <w:t>izbeigšanu).</w:t>
      </w:r>
    </w:p>
    <w:p>
      <w:pPr>
        <w:pStyle w:val="ListParagraph"/>
        <w:numPr>
          <w:ilvl w:val="0"/>
          <w:numId w:val="28"/>
        </w:numPr>
        <w:tabs>
          <w:tab w:pos="980" w:val="left" w:leader="none"/>
        </w:tabs>
        <w:spacing w:line="240" w:lineRule="auto" w:before="0" w:after="0"/>
        <w:ind w:left="980" w:right="764" w:hanging="360"/>
        <w:jc w:val="both"/>
        <w:rPr>
          <w:sz w:val="24"/>
        </w:rPr>
      </w:pPr>
      <w:r>
        <w:rPr>
          <w:b/>
          <w:sz w:val="24"/>
        </w:rPr>
        <w:t>Tiek kavēti samaksas termiņi, maksājumi tiek veikti neregulāri </w:t>
      </w:r>
      <w:r>
        <w:rPr>
          <w:sz w:val="24"/>
        </w:rPr>
        <w:t>(konstatēts vismaz 50% analizētajos lēmumos par saistību dzēšanas procedūras</w:t>
      </w:r>
      <w:r>
        <w:rPr>
          <w:spacing w:val="-8"/>
          <w:sz w:val="24"/>
        </w:rPr>
        <w:t> </w:t>
      </w:r>
      <w:r>
        <w:rPr>
          <w:sz w:val="24"/>
        </w:rPr>
        <w:t>izbeigšanu):</w:t>
      </w:r>
    </w:p>
    <w:p>
      <w:pPr>
        <w:pStyle w:val="ListParagraph"/>
        <w:numPr>
          <w:ilvl w:val="1"/>
          <w:numId w:val="28"/>
        </w:numPr>
        <w:tabs>
          <w:tab w:pos="1393" w:val="left" w:leader="none"/>
        </w:tabs>
        <w:spacing w:line="237" w:lineRule="auto" w:before="3" w:after="0"/>
        <w:ind w:left="1392" w:right="764" w:hanging="425"/>
        <w:jc w:val="both"/>
        <w:rPr>
          <w:sz w:val="16"/>
        </w:rPr>
      </w:pPr>
      <w:r>
        <w:rPr>
          <w:sz w:val="24"/>
        </w:rPr>
        <w:t>parādnieks pretēji Maksātnespējas likuma 160.panta 1.punkta noteikumiem nav pienācīgi pildījis tiesas apstiprināto saistību dzēšanas plānu, tādējādi aizskarot kreditora intereses, būtiski apgrūtinot maksātnespējas procesa efektīvu norisi, konstatējot Maksātnespējas likuma 153.pantā minētos gadījumus saistību dzēšanas procedūras</w:t>
      </w:r>
      <w:r>
        <w:rPr>
          <w:spacing w:val="-4"/>
          <w:sz w:val="24"/>
        </w:rPr>
        <w:t> </w:t>
      </w:r>
      <w:r>
        <w:rPr>
          <w:sz w:val="24"/>
        </w:rPr>
        <w:t>pārtraukšanai.</w:t>
      </w:r>
      <w:r>
        <w:rPr>
          <w:position w:val="9"/>
          <w:sz w:val="16"/>
        </w:rPr>
        <w:t>119</w:t>
      </w:r>
    </w:p>
    <w:p>
      <w:pPr>
        <w:pStyle w:val="ListParagraph"/>
        <w:numPr>
          <w:ilvl w:val="1"/>
          <w:numId w:val="28"/>
        </w:numPr>
        <w:tabs>
          <w:tab w:pos="1393" w:val="left" w:leader="none"/>
        </w:tabs>
        <w:spacing w:line="240" w:lineRule="auto" w:before="0" w:after="0"/>
        <w:ind w:left="1392" w:right="765" w:hanging="425"/>
        <w:jc w:val="both"/>
        <w:rPr>
          <w:sz w:val="24"/>
        </w:rPr>
      </w:pPr>
      <w:r>
        <w:rPr>
          <w:sz w:val="24"/>
        </w:rPr>
        <w:t>konstatējams, ka “parādniece patvaļīgi ir noteikusi citus termiņus nekā pašas sastādītajā plānā ir</w:t>
      </w:r>
      <w:r>
        <w:rPr>
          <w:spacing w:val="-2"/>
          <w:sz w:val="24"/>
        </w:rPr>
        <w:t> </w:t>
      </w:r>
      <w:r>
        <w:rPr>
          <w:sz w:val="24"/>
        </w:rPr>
        <w:t>apņēmusies”;</w:t>
      </w:r>
    </w:p>
    <w:p>
      <w:pPr>
        <w:pStyle w:val="ListParagraph"/>
        <w:numPr>
          <w:ilvl w:val="1"/>
          <w:numId w:val="28"/>
        </w:numPr>
        <w:tabs>
          <w:tab w:pos="1393" w:val="left" w:leader="none"/>
        </w:tabs>
        <w:spacing w:line="240" w:lineRule="auto" w:before="0" w:after="0"/>
        <w:ind w:left="1392" w:right="764" w:hanging="425"/>
        <w:jc w:val="both"/>
        <w:rPr>
          <w:sz w:val="24"/>
        </w:rPr>
      </w:pPr>
      <w:r>
        <w:rPr>
          <w:sz w:val="24"/>
        </w:rPr>
        <w:t>Maksātnespējas procesa pasludināšana rada papildus pienākumus fiziskai personai, kurai šis process pasludināts. Parādniekam maksātnespējas procesā ir jāpilda Maksātnespējas likumā noteiktie pienākumi atbilstoši likuma mērķim, savlaicīgi un ievērojot kreditoru</w:t>
      </w:r>
      <w:r>
        <w:rPr>
          <w:spacing w:val="-2"/>
          <w:sz w:val="24"/>
        </w:rPr>
        <w:t> </w:t>
      </w:r>
      <w:r>
        <w:rPr>
          <w:sz w:val="24"/>
        </w:rPr>
        <w:t>intereses.</w:t>
      </w:r>
    </w:p>
    <w:p>
      <w:pPr>
        <w:pStyle w:val="ListParagraph"/>
        <w:numPr>
          <w:ilvl w:val="1"/>
          <w:numId w:val="28"/>
        </w:numPr>
        <w:tabs>
          <w:tab w:pos="1393" w:val="left" w:leader="none"/>
        </w:tabs>
        <w:spacing w:line="240" w:lineRule="auto" w:before="0" w:after="0"/>
        <w:ind w:left="1392" w:right="760" w:hanging="425"/>
        <w:jc w:val="both"/>
        <w:rPr>
          <w:sz w:val="24"/>
        </w:rPr>
      </w:pPr>
      <w:r>
        <w:rPr>
          <w:sz w:val="24"/>
        </w:rPr>
        <w:t>Maksātnespējas procesā iesaistītajām personām, tajā skaitā parādniekam,</w:t>
      </w:r>
      <w:r>
        <w:rPr>
          <w:spacing w:val="-33"/>
          <w:sz w:val="24"/>
        </w:rPr>
        <w:t> </w:t>
      </w:r>
      <w:r>
        <w:rPr>
          <w:sz w:val="24"/>
        </w:rPr>
        <w:t>jābūt sasniedzamam un jārūpējas par to, lai tām Maksātnespējas likumā noteiktie pienākumi tiktu izpildīti un piešķirtās tiesības tiktu realizētas atbilstoši likuma mērķim, savlaicīgi, efektīvi, kā arī ievērojot citu personu, tajā skaitā,</w:t>
      </w:r>
      <w:r>
        <w:rPr>
          <w:spacing w:val="-17"/>
          <w:sz w:val="24"/>
        </w:rPr>
        <w:t> </w:t>
      </w:r>
      <w:r>
        <w:rPr>
          <w:sz w:val="24"/>
        </w:rPr>
        <w:t>kreditoru tiesiskās</w:t>
      </w:r>
      <w:r>
        <w:rPr>
          <w:spacing w:val="-1"/>
          <w:sz w:val="24"/>
        </w:rPr>
        <w:t> </w:t>
      </w:r>
      <w:r>
        <w:rPr>
          <w:sz w:val="24"/>
        </w:rPr>
        <w:t>intereses.</w:t>
      </w:r>
    </w:p>
    <w:p>
      <w:pPr>
        <w:pStyle w:val="ListParagraph"/>
        <w:numPr>
          <w:ilvl w:val="1"/>
          <w:numId w:val="28"/>
        </w:numPr>
        <w:tabs>
          <w:tab w:pos="1393" w:val="left" w:leader="none"/>
        </w:tabs>
        <w:spacing w:line="240" w:lineRule="auto" w:before="0" w:after="0"/>
        <w:ind w:left="1392" w:right="760" w:hanging="425"/>
        <w:jc w:val="both"/>
        <w:rPr>
          <w:sz w:val="24"/>
        </w:rPr>
      </w:pPr>
      <w:r>
        <w:rPr>
          <w:sz w:val="24"/>
        </w:rPr>
        <w:t>Ja parādnieks viņam uzliktos pienākumus nespēj vai nevēlas pildīt, proti, viņš nav godprātīgs, tad viņš nevar baudīt arī īpašo tiesisko aizsardzību, ko paredz Maksātnespējas likuma 164. panta pirmā daļa, proti, parādsaistību dzēšanu un apturēto izpildu lietvedību izbeigšanu par piespriesto, bet nepiedzīto naudas summu piedziņu par labu parādnieka</w:t>
      </w:r>
      <w:r>
        <w:rPr>
          <w:spacing w:val="-6"/>
          <w:sz w:val="24"/>
        </w:rPr>
        <w:t> </w:t>
      </w:r>
      <w:r>
        <w:rPr>
          <w:sz w:val="24"/>
        </w:rPr>
        <w:t>kreditoriem.</w:t>
      </w:r>
    </w:p>
    <w:p>
      <w:pPr>
        <w:pStyle w:val="ListParagraph"/>
        <w:numPr>
          <w:ilvl w:val="1"/>
          <w:numId w:val="28"/>
        </w:numPr>
        <w:tabs>
          <w:tab w:pos="1393" w:val="left" w:leader="none"/>
        </w:tabs>
        <w:spacing w:line="240" w:lineRule="auto" w:before="0" w:after="0"/>
        <w:ind w:left="1392" w:right="764" w:hanging="425"/>
        <w:jc w:val="both"/>
        <w:rPr>
          <w:sz w:val="24"/>
        </w:rPr>
      </w:pPr>
      <w:r>
        <w:rPr>
          <w:sz w:val="24"/>
        </w:rPr>
        <w:t>Saskaņā ar Maksātnespējas likuma 160.pantu, parādniekam saistību dzēšanas procedūrā par pienākumu ir uzlikts pildīt saistību dzēšanas plānu, gūt ienākumus atbilstoši savām iespējām, lai pilnīgāk apmierinātu kreditoru prasījumus, pēc administratora pieprasījuma sniegt informāciju par fiziskās personas saistību dzēšanas plāna izpildi un segt fiziskās personas maksātnespējas procesa</w:t>
      </w:r>
      <w:r>
        <w:rPr>
          <w:spacing w:val="-1"/>
          <w:sz w:val="24"/>
        </w:rPr>
        <w:t> </w:t>
      </w:r>
      <w:r>
        <w:rPr>
          <w:sz w:val="24"/>
        </w:rPr>
        <w:t>izmaksas.</w:t>
      </w:r>
    </w:p>
    <w:p>
      <w:pPr>
        <w:pStyle w:val="ListParagraph"/>
        <w:numPr>
          <w:ilvl w:val="1"/>
          <w:numId w:val="28"/>
        </w:numPr>
        <w:tabs>
          <w:tab w:pos="1393" w:val="left" w:leader="none"/>
        </w:tabs>
        <w:spacing w:line="232" w:lineRule="auto" w:before="3" w:after="0"/>
        <w:ind w:left="1392" w:right="765" w:hanging="425"/>
        <w:jc w:val="both"/>
        <w:rPr>
          <w:sz w:val="16"/>
        </w:rPr>
      </w:pPr>
      <w:r>
        <w:rPr>
          <w:sz w:val="24"/>
        </w:rPr>
        <w:t>Tiesa atzīst, ka, parādniece, neveicot saistību dzēšanas plānā paredzētos maksājumus,</w:t>
      </w:r>
      <w:r>
        <w:rPr>
          <w:spacing w:val="-12"/>
          <w:sz w:val="24"/>
        </w:rPr>
        <w:t> </w:t>
      </w:r>
      <w:r>
        <w:rPr>
          <w:sz w:val="24"/>
        </w:rPr>
        <w:t>nepilda</w:t>
      </w:r>
      <w:r>
        <w:rPr>
          <w:spacing w:val="-12"/>
          <w:sz w:val="24"/>
        </w:rPr>
        <w:t> </w:t>
      </w:r>
      <w:r>
        <w:rPr>
          <w:sz w:val="24"/>
        </w:rPr>
        <w:t>likumā</w:t>
      </w:r>
      <w:r>
        <w:rPr>
          <w:spacing w:val="-12"/>
          <w:sz w:val="24"/>
        </w:rPr>
        <w:t> </w:t>
      </w:r>
      <w:r>
        <w:rPr>
          <w:sz w:val="24"/>
        </w:rPr>
        <w:t>paredzētos</w:t>
      </w:r>
      <w:r>
        <w:rPr>
          <w:spacing w:val="-11"/>
          <w:sz w:val="24"/>
        </w:rPr>
        <w:t> </w:t>
      </w:r>
      <w:r>
        <w:rPr>
          <w:sz w:val="24"/>
        </w:rPr>
        <w:t>pienākumus,</w:t>
      </w:r>
      <w:r>
        <w:rPr>
          <w:spacing w:val="-12"/>
          <w:sz w:val="24"/>
        </w:rPr>
        <w:t> </w:t>
      </w:r>
      <w:r>
        <w:rPr>
          <w:sz w:val="24"/>
        </w:rPr>
        <w:t>kas</w:t>
      </w:r>
      <w:r>
        <w:rPr>
          <w:spacing w:val="-12"/>
          <w:sz w:val="24"/>
        </w:rPr>
        <w:t> </w:t>
      </w:r>
      <w:r>
        <w:rPr>
          <w:sz w:val="24"/>
        </w:rPr>
        <w:t>ir</w:t>
      </w:r>
      <w:r>
        <w:rPr>
          <w:spacing w:val="-11"/>
          <w:sz w:val="24"/>
        </w:rPr>
        <w:t> </w:t>
      </w:r>
      <w:r>
        <w:rPr>
          <w:sz w:val="24"/>
        </w:rPr>
        <w:t>būtiski</w:t>
      </w:r>
      <w:r>
        <w:rPr>
          <w:spacing w:val="-12"/>
          <w:sz w:val="24"/>
        </w:rPr>
        <w:t> </w:t>
      </w:r>
      <w:r>
        <w:rPr>
          <w:sz w:val="24"/>
        </w:rPr>
        <w:t>apgrūtinājis maksātnespējas procesa efektīvu norisi.</w:t>
      </w:r>
      <w:r>
        <w:rPr>
          <w:spacing w:val="-18"/>
          <w:sz w:val="24"/>
        </w:rPr>
        <w:t> </w:t>
      </w:r>
      <w:r>
        <w:rPr>
          <w:position w:val="9"/>
          <w:sz w:val="16"/>
        </w:rPr>
        <w:t>120</w:t>
      </w:r>
    </w:p>
    <w:p>
      <w:pPr>
        <w:pStyle w:val="BodyText"/>
        <w:spacing w:before="3"/>
        <w:jc w:val="left"/>
      </w:pPr>
    </w:p>
    <w:p>
      <w:pPr>
        <w:pStyle w:val="Heading3"/>
        <w:numPr>
          <w:ilvl w:val="0"/>
          <w:numId w:val="28"/>
        </w:numPr>
        <w:tabs>
          <w:tab w:pos="808" w:val="left" w:leader="none"/>
        </w:tabs>
        <w:spacing w:line="244" w:lineRule="auto" w:before="0" w:after="0"/>
        <w:ind w:left="826" w:right="766" w:hanging="284"/>
        <w:jc w:val="both"/>
      </w:pPr>
      <w:r>
        <w:rPr/>
        <w:t>Parādnieks patvaļīgi groza plāna izpildes kārtību – ikmēneša maksājumu vietā veicot vienreizēju</w:t>
      </w:r>
      <w:r>
        <w:rPr>
          <w:spacing w:val="1"/>
        </w:rPr>
        <w:t> </w:t>
      </w:r>
      <w:r>
        <w:rPr/>
        <w:t>maksājumu:</w:t>
      </w:r>
    </w:p>
    <w:p>
      <w:pPr>
        <w:pStyle w:val="ListParagraph"/>
        <w:numPr>
          <w:ilvl w:val="1"/>
          <w:numId w:val="28"/>
        </w:numPr>
        <w:tabs>
          <w:tab w:pos="1393" w:val="left" w:leader="none"/>
        </w:tabs>
        <w:spacing w:line="240" w:lineRule="auto" w:before="0" w:after="0"/>
        <w:ind w:left="1392" w:right="764" w:hanging="425"/>
        <w:jc w:val="both"/>
        <w:rPr>
          <w:sz w:val="24"/>
        </w:rPr>
      </w:pPr>
      <w:r>
        <w:rPr>
          <w:sz w:val="24"/>
        </w:rPr>
        <w:t>Likumdevējs ir noteicis noteiktu kārtību, kādā realizējams maksātnespējas process, tādējādi parādnieka kreditori var paļauties, ka parādnieks labticīgi un atbildīgi pildīs pienākumus saistību dzēšanas procedūrā</w:t>
      </w:r>
      <w:r>
        <w:rPr>
          <w:spacing w:val="50"/>
          <w:sz w:val="24"/>
        </w:rPr>
        <w:t> </w:t>
      </w:r>
      <w:r>
        <w:rPr>
          <w:sz w:val="24"/>
        </w:rPr>
        <w:t>atbilstoši</w:t>
      </w:r>
    </w:p>
    <w:p>
      <w:pPr>
        <w:pStyle w:val="BodyText"/>
        <w:spacing w:before="7"/>
        <w:jc w:val="left"/>
        <w:rPr>
          <w:sz w:val="15"/>
        </w:rPr>
      </w:pPr>
      <w:r>
        <w:rPr/>
        <w:pict>
          <v:shape style="position:absolute;margin-left:72pt;margin-top:11.225047pt;width:144pt;height:.1pt;mso-position-horizontal-relative:page;mso-position-vertical-relative:paragraph;z-index:-251631616;mso-wrap-distance-left:0;mso-wrap-distance-right:0" coordorigin="1440,225" coordsize="2880,0" path="m1440,225l4320,225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117 </w:t>
      </w:r>
      <w:r>
        <w:rPr>
          <w:sz w:val="20"/>
        </w:rPr>
        <w:t>Rīgas pilsētas Pārdaugavas tiesas 2018.gada 26.jūnija nolēmums lietā Nr. C31261116</w:t>
      </w:r>
    </w:p>
    <w:p>
      <w:pPr>
        <w:spacing w:line="235" w:lineRule="auto" w:before="1"/>
        <w:ind w:left="260" w:right="2734" w:firstLine="0"/>
        <w:jc w:val="left"/>
        <w:rPr>
          <w:sz w:val="20"/>
        </w:rPr>
      </w:pPr>
      <w:r>
        <w:rPr>
          <w:position w:val="7"/>
          <w:sz w:val="13"/>
        </w:rPr>
        <w:t>118 </w:t>
      </w:r>
      <w:r>
        <w:rPr>
          <w:sz w:val="20"/>
        </w:rPr>
        <w:t>Zemgales rajona tiesas 2018.gada 18.septembra nolēmums lietā Nr. C15189617 </w:t>
      </w:r>
      <w:r>
        <w:rPr>
          <w:position w:val="7"/>
          <w:sz w:val="13"/>
        </w:rPr>
        <w:t>119 </w:t>
      </w:r>
      <w:r>
        <w:rPr>
          <w:sz w:val="20"/>
        </w:rPr>
        <w:t>Kurzemes rajona tiesas 2018.gada 5.septembra nolēmums lietā Nr. C20194117 </w:t>
      </w:r>
      <w:r>
        <w:rPr>
          <w:position w:val="7"/>
          <w:sz w:val="13"/>
        </w:rPr>
        <w:t>120 </w:t>
      </w:r>
      <w:r>
        <w:rPr>
          <w:sz w:val="20"/>
        </w:rPr>
        <w:t>Zemgales rajona tiesas 2018.gada 4.jūlija nolēmums lietā Nr. C13059917</w:t>
      </w:r>
    </w:p>
    <w:p>
      <w:pPr>
        <w:spacing w:after="0" w:line="235" w:lineRule="auto"/>
        <w:jc w:val="left"/>
        <w:rPr>
          <w:sz w:val="20"/>
        </w:rPr>
        <w:sectPr>
          <w:pgSz w:w="11910" w:h="16840"/>
          <w:pgMar w:header="0" w:footer="1055" w:top="1340" w:bottom="1240" w:left="1180" w:right="1040"/>
        </w:sectPr>
      </w:pPr>
    </w:p>
    <w:p>
      <w:pPr>
        <w:pStyle w:val="BodyText"/>
        <w:spacing w:line="237" w:lineRule="auto" w:before="75"/>
        <w:ind w:left="1752" w:right="405"/>
        <w:rPr>
          <w:sz w:val="16"/>
        </w:rPr>
      </w:pPr>
      <w:r>
        <w:rPr/>
        <w:t>Maksātnespējas likuma 160.pantam, savukārt parādnieks izpildot </w:t>
      </w:r>
      <w:r>
        <w:rPr>
          <w:spacing w:val="-4"/>
        </w:rPr>
        <w:t>šos</w:t>
      </w:r>
      <w:r>
        <w:rPr>
          <w:spacing w:val="52"/>
        </w:rPr>
        <w:t> </w:t>
      </w:r>
      <w:r>
        <w:rPr/>
        <w:t>pienākumus, tiks atbrīvots no saistību dzēšanas plānā norādītajām saistībām. Parādnieks nevar patvaļīgi, subjektīvu vai objektīvu personisku apstākļu dēļ, grozīt saistību dzēšanas plāna izpildes kārtību jeb ilgstoši neveikt maksājumus kreditoriem, tādējādi kreditoram bija tiesisks pamats vērsties tiesā ar pieteikumu par saistību dzēšanas procedūras izbeigšanu.</w:t>
      </w:r>
      <w:r>
        <w:rPr>
          <w:position w:val="9"/>
          <w:sz w:val="16"/>
        </w:rPr>
        <w:t>121</w:t>
      </w:r>
    </w:p>
    <w:p>
      <w:pPr>
        <w:pStyle w:val="ListParagraph"/>
        <w:numPr>
          <w:ilvl w:val="1"/>
          <w:numId w:val="28"/>
        </w:numPr>
        <w:tabs>
          <w:tab w:pos="1754" w:val="left" w:leader="none"/>
        </w:tabs>
        <w:spacing w:line="240" w:lineRule="auto" w:before="0" w:after="0"/>
        <w:ind w:left="1752" w:right="402" w:hanging="425"/>
        <w:jc w:val="both"/>
        <w:rPr>
          <w:sz w:val="16"/>
        </w:rPr>
      </w:pPr>
      <w:r>
        <w:rPr>
          <w:sz w:val="24"/>
        </w:rPr>
        <w:t>Saskaņā ar Maksātnespējas likuma 154. un 155.pantā noteikto likumdevēja griba ir saistību dzēšanas plānā iekļaut ikmēneša maksājumus, </w:t>
      </w:r>
      <w:r>
        <w:rPr>
          <w:spacing w:val="-3"/>
          <w:sz w:val="24"/>
        </w:rPr>
        <w:t>nevis </w:t>
      </w:r>
      <w:r>
        <w:rPr>
          <w:sz w:val="24"/>
        </w:rPr>
        <w:t>vienreizēju maksājumu, tādējādi ļaujot parādniekam pakāpeniski pēc iespējas izpildīt savas parādsaistības, ievērojot mantisko stāvokli, kā arī kreditoram saņemt regulāru saistību izpildījumu. Atbilstoši Maksātnespējas likuma 156.panta otrās daļas nosacījumiem, kreditoram ir tiesības iebilst fiziskās personas izstrādātajam saistību dzēšanas plānam, kā arī paļauties uz to, ka likumā un saistību dzēšanās plānā noteiktajā termiņā, kam kreditors nav cēlis iebildumus, parādnieks segs savas saistības, tādējādi saņemot no parādnieka regulāru</w:t>
      </w:r>
      <w:r>
        <w:rPr>
          <w:spacing w:val="-18"/>
          <w:sz w:val="24"/>
        </w:rPr>
        <w:t> </w:t>
      </w:r>
      <w:r>
        <w:rPr>
          <w:sz w:val="24"/>
        </w:rPr>
        <w:t>ikmēneša</w:t>
      </w:r>
      <w:r>
        <w:rPr>
          <w:spacing w:val="-15"/>
          <w:sz w:val="24"/>
        </w:rPr>
        <w:t> </w:t>
      </w:r>
      <w:r>
        <w:rPr>
          <w:sz w:val="24"/>
        </w:rPr>
        <w:t>saistību</w:t>
      </w:r>
      <w:r>
        <w:rPr>
          <w:spacing w:val="-15"/>
          <w:sz w:val="24"/>
        </w:rPr>
        <w:t> </w:t>
      </w:r>
      <w:r>
        <w:rPr>
          <w:sz w:val="24"/>
        </w:rPr>
        <w:t>izpildījumu.</w:t>
      </w:r>
      <w:r>
        <w:rPr>
          <w:spacing w:val="-16"/>
          <w:sz w:val="24"/>
        </w:rPr>
        <w:t> </w:t>
      </w:r>
      <w:r>
        <w:rPr>
          <w:sz w:val="24"/>
        </w:rPr>
        <w:t>Tiesas</w:t>
      </w:r>
      <w:r>
        <w:rPr>
          <w:spacing w:val="-17"/>
          <w:sz w:val="24"/>
        </w:rPr>
        <w:t> </w:t>
      </w:r>
      <w:r>
        <w:rPr>
          <w:sz w:val="24"/>
        </w:rPr>
        <w:t>ieskatā</w:t>
      </w:r>
      <w:r>
        <w:rPr>
          <w:spacing w:val="-15"/>
          <w:sz w:val="24"/>
        </w:rPr>
        <w:t> </w:t>
      </w:r>
      <w:r>
        <w:rPr>
          <w:sz w:val="24"/>
        </w:rPr>
        <w:t>parādnieku</w:t>
      </w:r>
      <w:r>
        <w:rPr>
          <w:spacing w:val="-15"/>
          <w:sz w:val="24"/>
        </w:rPr>
        <w:t> </w:t>
      </w:r>
      <w:r>
        <w:rPr>
          <w:sz w:val="24"/>
        </w:rPr>
        <w:t>negodprātīga tiesību izlietošana nav samērojama ar likumā noteikto valsts aizsardzības baudīšanu un turpmāku tiesību izmantošanu fiziskai personai atbrīvoties </w:t>
      </w:r>
      <w:r>
        <w:rPr>
          <w:spacing w:val="-6"/>
          <w:sz w:val="24"/>
        </w:rPr>
        <w:t>no </w:t>
      </w:r>
      <w:r>
        <w:rPr>
          <w:sz w:val="24"/>
        </w:rPr>
        <w:t>nedzēstām saistībām.</w:t>
      </w:r>
      <w:r>
        <w:rPr>
          <w:position w:val="9"/>
          <w:sz w:val="16"/>
        </w:rPr>
        <w:t>122</w:t>
      </w:r>
    </w:p>
    <w:p>
      <w:pPr>
        <w:pStyle w:val="BodyText"/>
        <w:spacing w:before="10"/>
        <w:jc w:val="left"/>
        <w:rPr>
          <w:sz w:val="22"/>
        </w:rPr>
      </w:pPr>
    </w:p>
    <w:p>
      <w:pPr>
        <w:pStyle w:val="ListParagraph"/>
        <w:numPr>
          <w:ilvl w:val="0"/>
          <w:numId w:val="28"/>
        </w:numPr>
        <w:tabs>
          <w:tab w:pos="1340" w:val="left" w:leader="none"/>
        </w:tabs>
        <w:spacing w:line="237" w:lineRule="auto" w:before="0" w:after="0"/>
        <w:ind w:left="1340" w:right="402" w:hanging="360"/>
        <w:jc w:val="both"/>
        <w:rPr>
          <w:sz w:val="16"/>
        </w:rPr>
      </w:pPr>
      <w:r>
        <w:rPr>
          <w:sz w:val="24"/>
        </w:rPr>
        <w:t>Parādnieks </w:t>
      </w:r>
      <w:r>
        <w:rPr>
          <w:b/>
          <w:sz w:val="24"/>
        </w:rPr>
        <w:t>plānā norādītos maksājumus pilnībā veic pēc pieteikuma par maksātnespējas procesa izbeigšanu iesniegšanas tiesā</w:t>
      </w:r>
      <w:r>
        <w:rPr>
          <w:sz w:val="24"/>
        </w:rPr>
        <w:t>. Piemēram, Rīgas rajona tiesa</w:t>
      </w:r>
      <w:r>
        <w:rPr>
          <w:spacing w:val="-9"/>
          <w:sz w:val="24"/>
        </w:rPr>
        <w:t> </w:t>
      </w:r>
      <w:r>
        <w:rPr>
          <w:sz w:val="24"/>
        </w:rPr>
        <w:t>2018.gada</w:t>
      </w:r>
      <w:r>
        <w:rPr>
          <w:spacing w:val="-6"/>
          <w:sz w:val="24"/>
        </w:rPr>
        <w:t> </w:t>
      </w:r>
      <w:r>
        <w:rPr>
          <w:sz w:val="24"/>
        </w:rPr>
        <w:t>17.septembra</w:t>
      </w:r>
      <w:r>
        <w:rPr>
          <w:spacing w:val="-8"/>
          <w:sz w:val="24"/>
        </w:rPr>
        <w:t> </w:t>
      </w:r>
      <w:r>
        <w:rPr>
          <w:sz w:val="24"/>
        </w:rPr>
        <w:t>nolēmumā</w:t>
      </w:r>
      <w:r>
        <w:rPr>
          <w:spacing w:val="-8"/>
          <w:sz w:val="24"/>
        </w:rPr>
        <w:t> </w:t>
      </w:r>
      <w:r>
        <w:rPr>
          <w:sz w:val="24"/>
        </w:rPr>
        <w:t>lietā</w:t>
      </w:r>
      <w:r>
        <w:rPr>
          <w:spacing w:val="-7"/>
          <w:sz w:val="24"/>
        </w:rPr>
        <w:t> </w:t>
      </w:r>
      <w:r>
        <w:rPr>
          <w:sz w:val="24"/>
        </w:rPr>
        <w:t>Nr.C33237615</w:t>
      </w:r>
      <w:r>
        <w:rPr>
          <w:spacing w:val="-8"/>
          <w:sz w:val="24"/>
        </w:rPr>
        <w:t> </w:t>
      </w:r>
      <w:r>
        <w:rPr>
          <w:sz w:val="24"/>
        </w:rPr>
        <w:t>norāda,</w:t>
      </w:r>
      <w:r>
        <w:rPr>
          <w:spacing w:val="-8"/>
          <w:sz w:val="24"/>
        </w:rPr>
        <w:t> </w:t>
      </w:r>
      <w:r>
        <w:rPr>
          <w:sz w:val="24"/>
        </w:rPr>
        <w:t>ka</w:t>
      </w:r>
      <w:r>
        <w:rPr>
          <w:spacing w:val="-5"/>
          <w:sz w:val="24"/>
        </w:rPr>
        <w:t> </w:t>
      </w:r>
      <w:r>
        <w:rPr>
          <w:sz w:val="24"/>
        </w:rPr>
        <w:t>apstāklim, ka</w:t>
      </w:r>
      <w:r>
        <w:rPr>
          <w:spacing w:val="-12"/>
          <w:sz w:val="24"/>
        </w:rPr>
        <w:t> </w:t>
      </w:r>
      <w:r>
        <w:rPr>
          <w:sz w:val="24"/>
        </w:rPr>
        <w:t>uz</w:t>
      </w:r>
      <w:r>
        <w:rPr>
          <w:spacing w:val="-11"/>
          <w:sz w:val="24"/>
        </w:rPr>
        <w:t> </w:t>
      </w:r>
      <w:r>
        <w:rPr>
          <w:sz w:val="24"/>
        </w:rPr>
        <w:t>pieteikuma</w:t>
      </w:r>
      <w:r>
        <w:rPr>
          <w:spacing w:val="-12"/>
          <w:sz w:val="24"/>
        </w:rPr>
        <w:t> </w:t>
      </w:r>
      <w:r>
        <w:rPr>
          <w:sz w:val="24"/>
        </w:rPr>
        <w:t>izskatīšanas</w:t>
      </w:r>
      <w:r>
        <w:rPr>
          <w:spacing w:val="-12"/>
          <w:sz w:val="24"/>
        </w:rPr>
        <w:t> </w:t>
      </w:r>
      <w:r>
        <w:rPr>
          <w:sz w:val="24"/>
        </w:rPr>
        <w:t>dienu</w:t>
      </w:r>
      <w:r>
        <w:rPr>
          <w:spacing w:val="-12"/>
          <w:sz w:val="24"/>
        </w:rPr>
        <w:t> </w:t>
      </w:r>
      <w:r>
        <w:rPr>
          <w:sz w:val="24"/>
        </w:rPr>
        <w:t>parādniece</w:t>
      </w:r>
      <w:r>
        <w:rPr>
          <w:spacing w:val="-12"/>
          <w:sz w:val="24"/>
        </w:rPr>
        <w:t> </w:t>
      </w:r>
      <w:r>
        <w:rPr>
          <w:sz w:val="24"/>
        </w:rPr>
        <w:t>ir</w:t>
      </w:r>
      <w:r>
        <w:rPr>
          <w:spacing w:val="-12"/>
          <w:sz w:val="24"/>
        </w:rPr>
        <w:t> </w:t>
      </w:r>
      <w:r>
        <w:rPr>
          <w:sz w:val="24"/>
        </w:rPr>
        <w:t>izpildījusi</w:t>
      </w:r>
      <w:r>
        <w:rPr>
          <w:spacing w:val="-12"/>
          <w:sz w:val="24"/>
        </w:rPr>
        <w:t> </w:t>
      </w:r>
      <w:r>
        <w:rPr>
          <w:sz w:val="24"/>
        </w:rPr>
        <w:t>saistību</w:t>
      </w:r>
      <w:r>
        <w:rPr>
          <w:spacing w:val="-15"/>
          <w:sz w:val="24"/>
        </w:rPr>
        <w:t> </w:t>
      </w:r>
      <w:r>
        <w:rPr>
          <w:sz w:val="24"/>
        </w:rPr>
        <w:t>dzēšanas</w:t>
      </w:r>
      <w:r>
        <w:rPr>
          <w:spacing w:val="-15"/>
          <w:sz w:val="24"/>
        </w:rPr>
        <w:t> </w:t>
      </w:r>
      <w:r>
        <w:rPr>
          <w:spacing w:val="-3"/>
          <w:sz w:val="24"/>
        </w:rPr>
        <w:t>plānu </w:t>
      </w:r>
      <w:r>
        <w:rPr>
          <w:sz w:val="24"/>
        </w:rPr>
        <w:t>attiecībā pret savu kreditoru, nav būtiska nozīme, jo parādnieces pienākums bija pildīt tiesas apstiprināto saistību dzēšanas plānu, maksājumus veicot plānā norādītajā apmērā un</w:t>
      </w:r>
      <w:r>
        <w:rPr>
          <w:spacing w:val="-4"/>
          <w:sz w:val="24"/>
        </w:rPr>
        <w:t> </w:t>
      </w:r>
      <w:r>
        <w:rPr>
          <w:sz w:val="24"/>
        </w:rPr>
        <w:t>termiņā.</w:t>
      </w:r>
      <w:r>
        <w:rPr>
          <w:position w:val="9"/>
          <w:sz w:val="16"/>
        </w:rPr>
        <w:t>123</w:t>
      </w:r>
    </w:p>
    <w:p>
      <w:pPr>
        <w:pStyle w:val="ListParagraph"/>
        <w:numPr>
          <w:ilvl w:val="0"/>
          <w:numId w:val="28"/>
        </w:numPr>
        <w:tabs>
          <w:tab w:pos="1340" w:val="left" w:leader="none"/>
        </w:tabs>
        <w:spacing w:line="240" w:lineRule="auto" w:before="2" w:after="0"/>
        <w:ind w:left="1340" w:right="404" w:hanging="360"/>
        <w:jc w:val="both"/>
        <w:rPr>
          <w:sz w:val="24"/>
        </w:rPr>
      </w:pPr>
      <w:r>
        <w:rPr>
          <w:b/>
          <w:sz w:val="24"/>
        </w:rPr>
        <w:t>Ir iestājies saistību dzēšanas plāna izpildes termiņš</w:t>
      </w:r>
      <w:r>
        <w:rPr>
          <w:sz w:val="24"/>
        </w:rPr>
        <w:t>, taču pieteikums tiesā nav iesniegts.</w:t>
      </w:r>
    </w:p>
    <w:p>
      <w:pPr>
        <w:pStyle w:val="ListParagraph"/>
        <w:numPr>
          <w:ilvl w:val="0"/>
          <w:numId w:val="28"/>
        </w:numPr>
        <w:tabs>
          <w:tab w:pos="1340" w:val="left" w:leader="none"/>
        </w:tabs>
        <w:spacing w:line="240" w:lineRule="auto" w:before="0" w:after="0"/>
        <w:ind w:left="1340" w:right="404" w:hanging="360"/>
        <w:jc w:val="both"/>
        <w:rPr>
          <w:sz w:val="24"/>
        </w:rPr>
      </w:pPr>
      <w:r>
        <w:rPr>
          <w:sz w:val="24"/>
        </w:rPr>
        <w:t>Netiek ievērots pienākums </w:t>
      </w:r>
      <w:r>
        <w:rPr>
          <w:b/>
          <w:sz w:val="24"/>
        </w:rPr>
        <w:t>novirzīt līdzekļus vienas trešdaļas apmērā </w:t>
      </w:r>
      <w:r>
        <w:rPr>
          <w:sz w:val="24"/>
        </w:rPr>
        <w:t>no parādnieka ienākumiem, bet ne mazāk kā vienas trešdaļas apmērā no vienas minimālās mēneša algas mēnesī, </w:t>
      </w:r>
      <w:r>
        <w:rPr>
          <w:b/>
          <w:sz w:val="24"/>
        </w:rPr>
        <w:t>ievērojot tās pieaugumu</w:t>
      </w:r>
      <w:r>
        <w:rPr>
          <w:b/>
          <w:spacing w:val="-3"/>
          <w:sz w:val="24"/>
        </w:rPr>
        <w:t> </w:t>
      </w:r>
      <w:r>
        <w:rPr>
          <w:b/>
          <w:sz w:val="24"/>
        </w:rPr>
        <w:t>valstī</w:t>
      </w:r>
      <w:r>
        <w:rPr>
          <w:sz w:val="24"/>
        </w:rPr>
        <w:t>.</w:t>
      </w:r>
    </w:p>
    <w:p>
      <w:pPr>
        <w:pStyle w:val="ListParagraph"/>
        <w:numPr>
          <w:ilvl w:val="0"/>
          <w:numId w:val="28"/>
        </w:numPr>
        <w:tabs>
          <w:tab w:pos="1340" w:val="left" w:leader="none"/>
        </w:tabs>
        <w:spacing w:line="240" w:lineRule="auto" w:before="0" w:after="0"/>
        <w:ind w:left="1340" w:right="404" w:hanging="360"/>
        <w:jc w:val="both"/>
        <w:rPr>
          <w:sz w:val="24"/>
        </w:rPr>
      </w:pPr>
      <w:r>
        <w:rPr>
          <w:sz w:val="24"/>
        </w:rPr>
        <w:t>Saistību dzēšanas plānā norādītos </w:t>
      </w:r>
      <w:r>
        <w:rPr>
          <w:b/>
          <w:sz w:val="24"/>
        </w:rPr>
        <w:t>maksājumus parādnieka vietā kreditoriem veikusi trešā persona </w:t>
      </w:r>
      <w:r>
        <w:rPr>
          <w:sz w:val="24"/>
        </w:rPr>
        <w:t>(tiesa konstatē Maksātnespējas likuma 153.panta 3.punktā noteikto saistību dzēšanas procedūras pārtraukšanas</w:t>
      </w:r>
      <w:r>
        <w:rPr>
          <w:spacing w:val="-7"/>
          <w:sz w:val="24"/>
        </w:rPr>
        <w:t> </w:t>
      </w:r>
      <w:r>
        <w:rPr>
          <w:sz w:val="24"/>
        </w:rPr>
        <w:t>pamatu):</w:t>
      </w:r>
    </w:p>
    <w:p>
      <w:pPr>
        <w:pStyle w:val="ListParagraph"/>
        <w:numPr>
          <w:ilvl w:val="1"/>
          <w:numId w:val="28"/>
        </w:numPr>
        <w:tabs>
          <w:tab w:pos="1700" w:val="left" w:leader="none"/>
        </w:tabs>
        <w:spacing w:line="240" w:lineRule="auto" w:before="0" w:after="0"/>
        <w:ind w:left="1700" w:right="402" w:hanging="360"/>
        <w:jc w:val="both"/>
        <w:rPr>
          <w:sz w:val="24"/>
        </w:rPr>
      </w:pPr>
      <w:r>
        <w:rPr>
          <w:sz w:val="24"/>
        </w:rPr>
        <w:t>Maksātnespējas procesa pasludināšana rada papildus pienākumus tieši </w:t>
      </w:r>
      <w:r>
        <w:rPr>
          <w:spacing w:val="-3"/>
          <w:sz w:val="24"/>
        </w:rPr>
        <w:t>pašai </w:t>
      </w:r>
      <w:r>
        <w:rPr>
          <w:sz w:val="24"/>
        </w:rPr>
        <w:t>fiziskajai personai, kurai šis process pasludināts (parādniekam). Ja parādnieks šos pienākumus nepilda, proti, nav godprātīgs, tad viņš nevar baudīt arī īpašo tiesisko aizsardzību, ko paredz Maksātnespējas likuma 164.panta pirmā daļa, proti, ja parādnieks veicis fiziskās personas saistību dzēšanas plānā noteiktās darbības, pēc šā plāna darbības beigām atlikušās minētajā plānā norādītās šīs personas saistības tiek dzēstas un apturētās izpildu lietvedības par dzēsto saistību piedziņu tiek</w:t>
      </w:r>
      <w:r>
        <w:rPr>
          <w:spacing w:val="-1"/>
          <w:sz w:val="24"/>
        </w:rPr>
        <w:t> </w:t>
      </w:r>
      <w:r>
        <w:rPr>
          <w:sz w:val="24"/>
        </w:rPr>
        <w:t>izbeigtas.</w:t>
      </w:r>
    </w:p>
    <w:p>
      <w:pPr>
        <w:pStyle w:val="ListParagraph"/>
        <w:numPr>
          <w:ilvl w:val="1"/>
          <w:numId w:val="28"/>
        </w:numPr>
        <w:tabs>
          <w:tab w:pos="1700" w:val="left" w:leader="none"/>
        </w:tabs>
        <w:spacing w:line="240" w:lineRule="auto" w:before="0" w:after="0"/>
        <w:ind w:left="1700" w:right="402" w:hanging="360"/>
        <w:jc w:val="both"/>
        <w:rPr>
          <w:sz w:val="24"/>
        </w:rPr>
      </w:pPr>
      <w:r>
        <w:rPr>
          <w:sz w:val="24"/>
        </w:rPr>
        <w:t>Ņemot vērā, ka parādnieces vietā saistību dzēšanas procedūras ietvaros maksājumus</w:t>
      </w:r>
      <w:r>
        <w:rPr>
          <w:spacing w:val="-12"/>
          <w:sz w:val="24"/>
        </w:rPr>
        <w:t> </w:t>
      </w:r>
      <w:r>
        <w:rPr>
          <w:sz w:val="24"/>
        </w:rPr>
        <w:t>parādnieces</w:t>
      </w:r>
      <w:r>
        <w:rPr>
          <w:spacing w:val="-10"/>
          <w:sz w:val="24"/>
        </w:rPr>
        <w:t> </w:t>
      </w:r>
      <w:r>
        <w:rPr>
          <w:sz w:val="24"/>
        </w:rPr>
        <w:t>vietā</w:t>
      </w:r>
      <w:r>
        <w:rPr>
          <w:spacing w:val="-12"/>
          <w:sz w:val="24"/>
        </w:rPr>
        <w:t> </w:t>
      </w:r>
      <w:r>
        <w:rPr>
          <w:sz w:val="24"/>
        </w:rPr>
        <w:t>ir</w:t>
      </w:r>
      <w:r>
        <w:rPr>
          <w:spacing w:val="-12"/>
          <w:sz w:val="24"/>
        </w:rPr>
        <w:t> </w:t>
      </w:r>
      <w:r>
        <w:rPr>
          <w:sz w:val="24"/>
        </w:rPr>
        <w:t>veikušas,</w:t>
      </w:r>
      <w:r>
        <w:rPr>
          <w:spacing w:val="-12"/>
          <w:sz w:val="24"/>
        </w:rPr>
        <w:t> </w:t>
      </w:r>
      <w:r>
        <w:rPr>
          <w:sz w:val="24"/>
        </w:rPr>
        <w:t>tas</w:t>
      </w:r>
      <w:r>
        <w:rPr>
          <w:spacing w:val="-15"/>
          <w:sz w:val="24"/>
        </w:rPr>
        <w:t> </w:t>
      </w:r>
      <w:r>
        <w:rPr>
          <w:sz w:val="24"/>
        </w:rPr>
        <w:t>ir,</w:t>
      </w:r>
      <w:r>
        <w:rPr>
          <w:spacing w:val="-12"/>
          <w:sz w:val="24"/>
        </w:rPr>
        <w:t> </w:t>
      </w:r>
      <w:r>
        <w:rPr>
          <w:sz w:val="24"/>
        </w:rPr>
        <w:t>saistību</w:t>
      </w:r>
      <w:r>
        <w:rPr>
          <w:spacing w:val="-12"/>
          <w:sz w:val="24"/>
        </w:rPr>
        <w:t> </w:t>
      </w:r>
      <w:r>
        <w:rPr>
          <w:sz w:val="24"/>
        </w:rPr>
        <w:t>dzēšanas</w:t>
      </w:r>
      <w:r>
        <w:rPr>
          <w:spacing w:val="-15"/>
          <w:sz w:val="24"/>
        </w:rPr>
        <w:t> </w:t>
      </w:r>
      <w:r>
        <w:rPr>
          <w:sz w:val="24"/>
        </w:rPr>
        <w:t>plānu</w:t>
      </w:r>
      <w:r>
        <w:rPr>
          <w:spacing w:val="-12"/>
          <w:sz w:val="24"/>
        </w:rPr>
        <w:t> </w:t>
      </w:r>
      <w:r>
        <w:rPr>
          <w:sz w:val="24"/>
        </w:rPr>
        <w:t>pildīja, citas personas, nevar uzskatīt, ka pati parādniece ir pildījusi tiesas apstiprināto saistību dzēšanas</w:t>
      </w:r>
      <w:r>
        <w:rPr>
          <w:spacing w:val="-3"/>
          <w:sz w:val="24"/>
        </w:rPr>
        <w:t> </w:t>
      </w:r>
      <w:r>
        <w:rPr>
          <w:sz w:val="24"/>
        </w:rPr>
        <w:t>plānu.</w:t>
      </w:r>
    </w:p>
    <w:p>
      <w:pPr>
        <w:pStyle w:val="BodyText"/>
        <w:spacing w:before="6"/>
        <w:jc w:val="left"/>
        <w:rPr>
          <w:sz w:val="12"/>
        </w:rPr>
      </w:pPr>
      <w:r>
        <w:rPr/>
        <w:pict>
          <v:shape style="position:absolute;margin-left:90pt;margin-top:9.491934pt;width:144pt;height:.1pt;mso-position-horizontal-relative:page;mso-position-vertical-relative:paragraph;z-index:-251630592;mso-wrap-distance-left:0;mso-wrap-distance-right:0" coordorigin="1800,190" coordsize="2880,0" path="m1800,190l4680,190e" filled="false" stroked="true" strokeweight=".600037pt" strokecolor="#000000">
            <v:path arrowok="t"/>
            <v:stroke dashstyle="solid"/>
            <w10:wrap type="topAndBottom"/>
          </v:shape>
        </w:pict>
      </w:r>
    </w:p>
    <w:p>
      <w:pPr>
        <w:spacing w:line="235" w:lineRule="auto" w:before="73"/>
        <w:ind w:left="620" w:right="2596" w:firstLine="0"/>
        <w:jc w:val="left"/>
        <w:rPr>
          <w:sz w:val="20"/>
        </w:rPr>
      </w:pPr>
      <w:r>
        <w:rPr>
          <w:position w:val="7"/>
          <w:sz w:val="13"/>
        </w:rPr>
        <w:t>121 </w:t>
      </w:r>
      <w:r>
        <w:rPr>
          <w:sz w:val="20"/>
        </w:rPr>
        <w:t>Gulbenes rajona tiesas 2018.gada 15.augusta nolēmums lietā Nr. C14035017 </w:t>
      </w:r>
      <w:r>
        <w:rPr>
          <w:position w:val="7"/>
          <w:sz w:val="13"/>
        </w:rPr>
        <w:t>122 </w:t>
      </w:r>
      <w:r>
        <w:rPr>
          <w:sz w:val="20"/>
        </w:rPr>
        <w:t>Rīgas rajona tiesas 2018.gada 13.septembra nolēmums lietā Nr. C33256815 </w:t>
      </w:r>
      <w:r>
        <w:rPr>
          <w:position w:val="7"/>
          <w:sz w:val="13"/>
        </w:rPr>
        <w:t>123 </w:t>
      </w:r>
      <w:r>
        <w:rPr>
          <w:sz w:val="20"/>
        </w:rPr>
        <w:t>Rīgas rajona tiesas 2018.gada 17.septembra nolēmums lietā Nr. C33237615</w:t>
      </w:r>
    </w:p>
    <w:p>
      <w:pPr>
        <w:spacing w:after="0" w:line="235" w:lineRule="auto"/>
        <w:jc w:val="left"/>
        <w:rPr>
          <w:sz w:val="20"/>
        </w:rPr>
        <w:sectPr>
          <w:pgSz w:w="11910" w:h="16840"/>
          <w:pgMar w:header="0" w:footer="1055" w:top="1340" w:bottom="1240" w:left="1180" w:right="1040"/>
        </w:sectPr>
      </w:pPr>
    </w:p>
    <w:p>
      <w:pPr>
        <w:pStyle w:val="ListParagraph"/>
        <w:numPr>
          <w:ilvl w:val="1"/>
          <w:numId w:val="28"/>
        </w:numPr>
        <w:tabs>
          <w:tab w:pos="1340" w:val="left" w:leader="none"/>
        </w:tabs>
        <w:spacing w:line="237" w:lineRule="auto" w:before="75" w:after="0"/>
        <w:ind w:left="1340" w:right="761" w:hanging="360"/>
        <w:jc w:val="both"/>
        <w:rPr>
          <w:sz w:val="16"/>
        </w:rPr>
      </w:pPr>
      <w:r>
        <w:rPr>
          <w:sz w:val="24"/>
        </w:rPr>
        <w:t>Ievērojot minēto, tiesa atzīst, ka ir konstatējams Maksātnespējas likuma 153.panta 3.punktā noteiktais saistību dzēšanas procedūru pārtraukšanas pamats, proti, parādniece nepilda savus saistību dzēšanas procedūrā paredzētos pienākumus, līdz ar ko saistību dzēšanas procedūra parādniecei izbeidzama, neatbrīvojot parādnieci no atlikušajām parādu saistībām, vienlaikus izbeidzot fiziskās personas maksātnespējas</w:t>
      </w:r>
      <w:r>
        <w:rPr>
          <w:spacing w:val="-1"/>
          <w:sz w:val="24"/>
        </w:rPr>
        <w:t> </w:t>
      </w:r>
      <w:r>
        <w:rPr>
          <w:sz w:val="24"/>
        </w:rPr>
        <w:t>procesus.</w:t>
      </w:r>
      <w:r>
        <w:rPr>
          <w:position w:val="9"/>
          <w:sz w:val="16"/>
        </w:rPr>
        <w:t>124</w:t>
      </w:r>
    </w:p>
    <w:p>
      <w:pPr>
        <w:pStyle w:val="ListParagraph"/>
        <w:numPr>
          <w:ilvl w:val="0"/>
          <w:numId w:val="28"/>
        </w:numPr>
        <w:tabs>
          <w:tab w:pos="980" w:val="left" w:leader="none"/>
        </w:tabs>
        <w:spacing w:line="240" w:lineRule="auto" w:before="0" w:after="0"/>
        <w:ind w:left="980" w:right="761" w:hanging="360"/>
        <w:jc w:val="both"/>
        <w:rPr>
          <w:sz w:val="16"/>
        </w:rPr>
      </w:pPr>
      <w:r>
        <w:rPr>
          <w:b/>
          <w:sz w:val="24"/>
        </w:rPr>
        <w:t>Parādnieks negūst ienākumus </w:t>
      </w:r>
      <w:r>
        <w:rPr>
          <w:sz w:val="24"/>
        </w:rPr>
        <w:t>(viens no papildus pamatojumiem lēmumiem par saistību dzēšanas procedūras izbeigšanu). Piemēram, Rīgas rajona tiesa  2018.gada 13.septembra nolēmumā lietā Nr. C33256815 norādījusi, ka </w:t>
      </w:r>
      <w:r>
        <w:rPr>
          <w:spacing w:val="-4"/>
          <w:sz w:val="24"/>
        </w:rPr>
        <w:t>lai </w:t>
      </w:r>
      <w:r>
        <w:rPr>
          <w:sz w:val="24"/>
        </w:rPr>
        <w:t>parādnieka saistības tiktu dzēstas, jābūt Maksātnespējas likumā noteiktajiem priekšnoteikumiem un parādniekam jāpilda ar Maksātnespējas likumu un saistību dzēšanas plānu uzliktie pienākumi. Sekojoši, fiziskās personas maksātnespējas process nav instruments, kas paredzēts tikai parādnieka maksātspējas atjaunošanai un saistību dzēšanai – būtisks nosacījums ir parādnieka ekonomiskā aktivitāte, saimnieciska rakstura darbību veikšana, no kuras tiek saņemti līdzekļi kreditoru prasījumu segšanai. Fiziskās personas maksātnespējas process ir brīvprātīgs instruments savu saistību dzēšanai, līdz ar ko fiziskajai personai jārēķinās, ka tai būs jāpilda Maksātnespējas likumā ietvertie nosacījumi. Ienākumu gūšanas faktors ir noteicošais fiziskās personas maksātnespējas procesa sekmīgā norisē (Maksātnespējas likuma 155.pants). Likumdevējs ir paredzējis regulējumu gadījumiem, kad fiziskā persona maksātnespējas procesa laikā no savas gribas neatkarīgu iemeslu dēļ nav spējīga veikt paredzētos maksājumus, proti, Maksātnespējas likuma 162.panta sestajā daļā noteikts, ka ar tiesas lēmumu vienu reizi</w:t>
      </w:r>
      <w:r>
        <w:rPr>
          <w:spacing w:val="-10"/>
          <w:sz w:val="24"/>
        </w:rPr>
        <w:t> </w:t>
      </w:r>
      <w:r>
        <w:rPr>
          <w:sz w:val="24"/>
        </w:rPr>
        <w:t>saistību</w:t>
      </w:r>
      <w:r>
        <w:rPr>
          <w:spacing w:val="-13"/>
          <w:sz w:val="24"/>
        </w:rPr>
        <w:t> </w:t>
      </w:r>
      <w:r>
        <w:rPr>
          <w:sz w:val="24"/>
        </w:rPr>
        <w:t>dzēšanas</w:t>
      </w:r>
      <w:r>
        <w:rPr>
          <w:spacing w:val="-14"/>
          <w:sz w:val="24"/>
        </w:rPr>
        <w:t> </w:t>
      </w:r>
      <w:r>
        <w:rPr>
          <w:sz w:val="24"/>
        </w:rPr>
        <w:t>procedūras</w:t>
      </w:r>
      <w:r>
        <w:rPr>
          <w:spacing w:val="-11"/>
          <w:sz w:val="24"/>
        </w:rPr>
        <w:t> </w:t>
      </w:r>
      <w:r>
        <w:rPr>
          <w:sz w:val="24"/>
        </w:rPr>
        <w:t>laikā</w:t>
      </w:r>
      <w:r>
        <w:rPr>
          <w:spacing w:val="-13"/>
          <w:sz w:val="24"/>
        </w:rPr>
        <w:t> </w:t>
      </w:r>
      <w:r>
        <w:rPr>
          <w:sz w:val="24"/>
        </w:rPr>
        <w:t>uz</w:t>
      </w:r>
      <w:r>
        <w:rPr>
          <w:spacing w:val="-11"/>
          <w:sz w:val="24"/>
        </w:rPr>
        <w:t> </w:t>
      </w:r>
      <w:r>
        <w:rPr>
          <w:sz w:val="24"/>
        </w:rPr>
        <w:t>termiņu,</w:t>
      </w:r>
      <w:r>
        <w:rPr>
          <w:spacing w:val="-11"/>
          <w:sz w:val="24"/>
        </w:rPr>
        <w:t> </w:t>
      </w:r>
      <w:r>
        <w:rPr>
          <w:sz w:val="24"/>
        </w:rPr>
        <w:t>kas</w:t>
      </w:r>
      <w:r>
        <w:rPr>
          <w:spacing w:val="-12"/>
          <w:sz w:val="24"/>
        </w:rPr>
        <w:t> </w:t>
      </w:r>
      <w:r>
        <w:rPr>
          <w:sz w:val="24"/>
        </w:rPr>
        <w:t>nepārsniedz</w:t>
      </w:r>
      <w:r>
        <w:rPr>
          <w:spacing w:val="-10"/>
          <w:sz w:val="24"/>
        </w:rPr>
        <w:t> </w:t>
      </w:r>
      <w:r>
        <w:rPr>
          <w:sz w:val="24"/>
        </w:rPr>
        <w:t>vienu</w:t>
      </w:r>
      <w:r>
        <w:rPr>
          <w:spacing w:val="-12"/>
          <w:sz w:val="24"/>
        </w:rPr>
        <w:t> </w:t>
      </w:r>
      <w:r>
        <w:rPr>
          <w:sz w:val="24"/>
        </w:rPr>
        <w:t>gadu,</w:t>
      </w:r>
      <w:r>
        <w:rPr>
          <w:spacing w:val="-11"/>
          <w:sz w:val="24"/>
        </w:rPr>
        <w:t> </w:t>
      </w:r>
      <w:r>
        <w:rPr>
          <w:sz w:val="24"/>
        </w:rPr>
        <w:t>var uz pusi samazināt fiziskās personas saistību dzēšanas plānā paredzētos parādnieka maksājumus kreditoriem, ja viņš saistību dzēšanas procedūras laikā nespēj atrast algotu darbu vai ir kļuvis darbnespējīgs. Juridiskajā literatūrā atzīts, ka (..) fiziskās personas atbrīvošana no parādsaistībām var notikt tikai gadījumā, kad personai bijusi godprātīga attieksme pret kreditoriem un tā izrāda vēlēšanos segt savas parādu saistības (sk. K.Ābelis. Fiziskās personas maksātnespējas procesa jaunais regulējums. “Jurista vārds” 14.09.2010., Nr.37, 25.lpp.).</w:t>
      </w:r>
      <w:r>
        <w:rPr>
          <w:position w:val="9"/>
          <w:sz w:val="16"/>
        </w:rPr>
        <w:t>125</w:t>
      </w:r>
    </w:p>
    <w:p>
      <w:pPr>
        <w:pStyle w:val="ListParagraph"/>
        <w:numPr>
          <w:ilvl w:val="0"/>
          <w:numId w:val="28"/>
        </w:numPr>
        <w:tabs>
          <w:tab w:pos="980" w:val="left" w:leader="none"/>
        </w:tabs>
        <w:spacing w:line="240" w:lineRule="auto" w:before="0" w:after="0"/>
        <w:ind w:left="980" w:right="760" w:hanging="360"/>
        <w:jc w:val="both"/>
        <w:rPr>
          <w:sz w:val="24"/>
        </w:rPr>
      </w:pPr>
      <w:r>
        <w:rPr>
          <w:sz w:val="24"/>
        </w:rPr>
        <w:t>Saistību dzēšanas procedūras laikā </w:t>
      </w:r>
      <w:r>
        <w:rPr>
          <w:b/>
          <w:sz w:val="24"/>
        </w:rPr>
        <w:t>Parādnieks uzņēmies jaunas saistības un sniedz kreditoram nepatiesu informāciju </w:t>
      </w:r>
      <w:r>
        <w:rPr>
          <w:sz w:val="24"/>
        </w:rPr>
        <w:t>(tiesa konstatē Maksātnespējas likuma 153.panta 1.un 2.punktā noteiktos saistību dzēšanas procedūras pārtraukšanas pamatus).</w:t>
      </w:r>
      <w:r>
        <w:rPr>
          <w:spacing w:val="-12"/>
          <w:sz w:val="24"/>
        </w:rPr>
        <w:t> </w:t>
      </w:r>
      <w:r>
        <w:rPr>
          <w:sz w:val="24"/>
        </w:rPr>
        <w:t>Piemēram,</w:t>
      </w:r>
      <w:r>
        <w:rPr>
          <w:spacing w:val="-12"/>
          <w:sz w:val="24"/>
        </w:rPr>
        <w:t> </w:t>
      </w:r>
      <w:r>
        <w:rPr>
          <w:sz w:val="24"/>
        </w:rPr>
        <w:t>Vidzemes</w:t>
      </w:r>
      <w:r>
        <w:rPr>
          <w:spacing w:val="-12"/>
          <w:sz w:val="24"/>
        </w:rPr>
        <w:t> </w:t>
      </w:r>
      <w:r>
        <w:rPr>
          <w:sz w:val="24"/>
        </w:rPr>
        <w:t>rajona</w:t>
      </w:r>
      <w:r>
        <w:rPr>
          <w:spacing w:val="-12"/>
          <w:sz w:val="24"/>
        </w:rPr>
        <w:t> </w:t>
      </w:r>
      <w:r>
        <w:rPr>
          <w:sz w:val="24"/>
        </w:rPr>
        <w:t>tiesa</w:t>
      </w:r>
      <w:r>
        <w:rPr>
          <w:spacing w:val="-12"/>
          <w:sz w:val="24"/>
        </w:rPr>
        <w:t> </w:t>
      </w:r>
      <w:r>
        <w:rPr>
          <w:sz w:val="24"/>
        </w:rPr>
        <w:t>2018.gada</w:t>
      </w:r>
      <w:r>
        <w:rPr>
          <w:spacing w:val="-12"/>
          <w:sz w:val="24"/>
        </w:rPr>
        <w:t> </w:t>
      </w:r>
      <w:r>
        <w:rPr>
          <w:sz w:val="24"/>
        </w:rPr>
        <w:t>6.septembra</w:t>
      </w:r>
      <w:r>
        <w:rPr>
          <w:spacing w:val="-12"/>
          <w:sz w:val="24"/>
        </w:rPr>
        <w:t> </w:t>
      </w:r>
      <w:r>
        <w:rPr>
          <w:sz w:val="24"/>
        </w:rPr>
        <w:t>nolēmumā</w:t>
      </w:r>
      <w:r>
        <w:rPr>
          <w:spacing w:val="-12"/>
          <w:sz w:val="24"/>
        </w:rPr>
        <w:t> </w:t>
      </w:r>
      <w:r>
        <w:rPr>
          <w:spacing w:val="-3"/>
          <w:sz w:val="24"/>
        </w:rPr>
        <w:t>lietā </w:t>
      </w:r>
      <w:r>
        <w:rPr>
          <w:sz w:val="24"/>
        </w:rPr>
        <w:t>Nr.C21032317 norādījusi, ka parādnieks nav ievērojis Maksātnespējas likuma 134.panta otrās daļas 5.punkta noteikumus, ka pēc fiziskās personas maksātnespējas procesa pasludināšanas parādnieks zaudē tiesības bez administratora piekrišanas uzņemties jaunas parādsaistības. Maksātnespējas procesa mērķis vērsts uz saistību izpildi, nevis jaunu saistību uzņemšanos un parādsaistību rašanos. Parādnieks bez administratora piekrišanas ir nodibinājis jaunas parādsaistības, apgrūtinot saistību dzēšanas plāna izpildi. .. Uzņemoties jaunas saistības, parādnieks sniedzis nepatiesu informāciju par saviem ikmēneša izdevumiem (nesniedza ziņas par savām saistībām pret kreditoriem, </w:t>
      </w:r>
      <w:r>
        <w:rPr>
          <w:spacing w:val="-4"/>
          <w:sz w:val="24"/>
        </w:rPr>
        <w:t>par </w:t>
      </w:r>
      <w:r>
        <w:rPr>
          <w:sz w:val="24"/>
        </w:rPr>
        <w:t>maksātnespējas procesu). … Fiziskās personas maksātnespējas process ir veids, kā persona, sertificēta maksātnespējas procesa administratora uzraudzībā un maksātnespējas procesu reglamentējošo normatīvo aktu noteiktajā kārtībā</w:t>
      </w:r>
      <w:r>
        <w:rPr>
          <w:spacing w:val="10"/>
          <w:sz w:val="24"/>
        </w:rPr>
        <w:t> </w:t>
      </w:r>
      <w:r>
        <w:rPr>
          <w:sz w:val="24"/>
        </w:rPr>
        <w:t>var</w:t>
      </w:r>
    </w:p>
    <w:p>
      <w:pPr>
        <w:pStyle w:val="BodyText"/>
        <w:jc w:val="left"/>
        <w:rPr>
          <w:sz w:val="20"/>
        </w:rPr>
      </w:pPr>
    </w:p>
    <w:p>
      <w:pPr>
        <w:pStyle w:val="BodyText"/>
        <w:spacing w:before="3"/>
        <w:jc w:val="left"/>
        <w:rPr>
          <w:sz w:val="11"/>
        </w:rPr>
      </w:pPr>
      <w:r>
        <w:rPr/>
        <w:pict>
          <v:shape style="position:absolute;margin-left:72pt;margin-top:8.762728pt;width:144pt;height:.1pt;mso-position-horizontal-relative:page;mso-position-vertical-relative:paragraph;z-index:-251629568;mso-wrap-distance-left:0;mso-wrap-distance-right:0" coordorigin="1440,175" coordsize="2880,0" path="m1440,175l4320,175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124 </w:t>
      </w:r>
      <w:r>
        <w:rPr>
          <w:sz w:val="20"/>
        </w:rPr>
        <w:t>Zemgales rajona tiesas 2018.gada 13.septembra nolēmums lietā Nr. C16105616</w:t>
      </w:r>
    </w:p>
    <w:p>
      <w:pPr>
        <w:spacing w:line="233" w:lineRule="exact" w:before="0"/>
        <w:ind w:left="260" w:right="0" w:firstLine="0"/>
        <w:jc w:val="left"/>
        <w:rPr>
          <w:sz w:val="20"/>
        </w:rPr>
      </w:pPr>
      <w:r>
        <w:rPr>
          <w:position w:val="7"/>
          <w:sz w:val="13"/>
        </w:rPr>
        <w:t>125 </w:t>
      </w:r>
      <w:r>
        <w:rPr>
          <w:sz w:val="20"/>
        </w:rPr>
        <w:t>Rīgas rajona tiesas 2018.gada 13.septembra nolēmums lietā Nr. C33256815</w:t>
      </w:r>
    </w:p>
    <w:p>
      <w:pPr>
        <w:spacing w:after="0" w:line="233" w:lineRule="exact"/>
        <w:jc w:val="left"/>
        <w:rPr>
          <w:sz w:val="20"/>
        </w:rPr>
        <w:sectPr>
          <w:pgSz w:w="11910" w:h="16840"/>
          <w:pgMar w:header="0" w:footer="1055" w:top="1340" w:bottom="1240" w:left="1180" w:right="1040"/>
        </w:sectPr>
      </w:pPr>
    </w:p>
    <w:p>
      <w:pPr>
        <w:pStyle w:val="BodyText"/>
        <w:spacing w:line="235" w:lineRule="auto" w:before="78"/>
        <w:ind w:left="1340" w:right="403"/>
        <w:rPr>
          <w:sz w:val="16"/>
        </w:rPr>
      </w:pPr>
      <w:r>
        <w:rPr/>
        <w:t>atjaunot savu maksātspēju un pēc saistību dzēšanas procedūras beigām tikt atbrīvota no parādsaistībām. Tomēr šādu tiesisku aizsardzību var baudīt persona, kura pati bijusi godprātīga un uz kuru nevar attiecināt Maksātnespējas likumā noteiktos ierobežojumus.</w:t>
      </w:r>
      <w:r>
        <w:rPr>
          <w:position w:val="9"/>
          <w:sz w:val="16"/>
        </w:rPr>
        <w:t>126</w:t>
      </w:r>
    </w:p>
    <w:p>
      <w:pPr>
        <w:pStyle w:val="ListParagraph"/>
        <w:numPr>
          <w:ilvl w:val="0"/>
          <w:numId w:val="28"/>
        </w:numPr>
        <w:tabs>
          <w:tab w:pos="1340" w:val="left" w:leader="none"/>
        </w:tabs>
        <w:spacing w:line="240" w:lineRule="auto" w:before="2" w:after="0"/>
        <w:ind w:left="1340" w:right="400" w:hanging="360"/>
        <w:jc w:val="both"/>
        <w:rPr>
          <w:sz w:val="24"/>
        </w:rPr>
      </w:pPr>
      <w:r>
        <w:rPr>
          <w:sz w:val="24"/>
        </w:rPr>
        <w:t>Parādnieks saistību dzēšanas procedūras laikā </w:t>
      </w:r>
      <w:r>
        <w:rPr>
          <w:b/>
          <w:sz w:val="24"/>
        </w:rPr>
        <w:t>nav sedzis fiziskās personas maksātnespējas procesa izmaksas</w:t>
      </w:r>
      <w:r>
        <w:rPr>
          <w:sz w:val="24"/>
        </w:rPr>
        <w:t>. Piemēram, Rīgas pilsētas Vidzemes priekšpilsētas tiesa 2018.gada 10.septembra lietā Nr. C32309316 norādījusi, ka saistību dzēšanas procedūras laikā parādnieks nav pienācīgi pildījis fiziskās personas maksātnespējas procesā viņam ar likumu uzlikto pienākumu segt fiziskās personas maksātnespējas procesa izmaksas, konkrēti – nav pienācīgā kārtā un apmērā veicis uzturēšanas izmaksu maksājumus (maksa par komunālajiem pakalpojumiem). Secināms (Maksātnespējas likuma 172.d.1.d., 4.d.4.p., 160.panta 4.punkts),</w:t>
      </w:r>
      <w:r>
        <w:rPr>
          <w:spacing w:val="-6"/>
          <w:sz w:val="24"/>
        </w:rPr>
        <w:t> </w:t>
      </w:r>
      <w:r>
        <w:rPr>
          <w:sz w:val="24"/>
        </w:rPr>
        <w:t>ka</w:t>
      </w:r>
      <w:r>
        <w:rPr>
          <w:spacing w:val="-6"/>
          <w:sz w:val="24"/>
        </w:rPr>
        <w:t> </w:t>
      </w:r>
      <w:r>
        <w:rPr>
          <w:sz w:val="24"/>
        </w:rPr>
        <w:t>uzturēšanas</w:t>
      </w:r>
      <w:r>
        <w:rPr>
          <w:spacing w:val="-8"/>
          <w:sz w:val="24"/>
        </w:rPr>
        <w:t> </w:t>
      </w:r>
      <w:r>
        <w:rPr>
          <w:sz w:val="24"/>
        </w:rPr>
        <w:t>izdevumi</w:t>
      </w:r>
      <w:r>
        <w:rPr>
          <w:spacing w:val="-8"/>
          <w:sz w:val="24"/>
        </w:rPr>
        <w:t> </w:t>
      </w:r>
      <w:r>
        <w:rPr>
          <w:sz w:val="24"/>
        </w:rPr>
        <w:t>ir</w:t>
      </w:r>
      <w:r>
        <w:rPr>
          <w:spacing w:val="-5"/>
          <w:sz w:val="24"/>
        </w:rPr>
        <w:t> </w:t>
      </w:r>
      <w:r>
        <w:rPr>
          <w:sz w:val="24"/>
        </w:rPr>
        <w:t>maksātnespējas</w:t>
      </w:r>
      <w:r>
        <w:rPr>
          <w:spacing w:val="-6"/>
          <w:sz w:val="24"/>
        </w:rPr>
        <w:t> </w:t>
      </w:r>
      <w:r>
        <w:rPr>
          <w:sz w:val="24"/>
        </w:rPr>
        <w:t>procesa</w:t>
      </w:r>
      <w:r>
        <w:rPr>
          <w:spacing w:val="-6"/>
          <w:sz w:val="24"/>
        </w:rPr>
        <w:t> </w:t>
      </w:r>
      <w:r>
        <w:rPr>
          <w:sz w:val="24"/>
        </w:rPr>
        <w:t>netiešās</w:t>
      </w:r>
      <w:r>
        <w:rPr>
          <w:spacing w:val="-8"/>
          <w:sz w:val="24"/>
        </w:rPr>
        <w:t> </w:t>
      </w:r>
      <w:r>
        <w:rPr>
          <w:sz w:val="24"/>
        </w:rPr>
        <w:t>izmaksas</w:t>
      </w:r>
      <w:r>
        <w:rPr>
          <w:spacing w:val="-8"/>
          <w:sz w:val="24"/>
        </w:rPr>
        <w:t> </w:t>
      </w:r>
      <w:r>
        <w:rPr>
          <w:sz w:val="24"/>
        </w:rPr>
        <w:t>un parādniekam bija pienākums pēc saistību dzēšanas plāna apstiprināšanas veikt uzturēšanas</w:t>
      </w:r>
      <w:r>
        <w:rPr>
          <w:spacing w:val="-10"/>
          <w:sz w:val="24"/>
        </w:rPr>
        <w:t> </w:t>
      </w:r>
      <w:r>
        <w:rPr>
          <w:sz w:val="24"/>
        </w:rPr>
        <w:t>izdevumu</w:t>
      </w:r>
      <w:r>
        <w:rPr>
          <w:spacing w:val="-9"/>
          <w:sz w:val="24"/>
        </w:rPr>
        <w:t> </w:t>
      </w:r>
      <w:r>
        <w:rPr>
          <w:sz w:val="24"/>
        </w:rPr>
        <w:t>maksājumus</w:t>
      </w:r>
      <w:r>
        <w:rPr>
          <w:position w:val="9"/>
          <w:sz w:val="16"/>
        </w:rPr>
        <w:t>127</w:t>
      </w:r>
      <w:r>
        <w:rPr>
          <w:sz w:val="24"/>
        </w:rPr>
        <w:t>.</w:t>
      </w:r>
      <w:r>
        <w:rPr>
          <w:spacing w:val="-9"/>
          <w:sz w:val="24"/>
        </w:rPr>
        <w:t> </w:t>
      </w:r>
      <w:r>
        <w:rPr>
          <w:sz w:val="24"/>
        </w:rPr>
        <w:t>Tiesas</w:t>
      </w:r>
      <w:r>
        <w:rPr>
          <w:spacing w:val="-11"/>
          <w:sz w:val="24"/>
        </w:rPr>
        <w:t> </w:t>
      </w:r>
      <w:r>
        <w:rPr>
          <w:sz w:val="24"/>
        </w:rPr>
        <w:t>ieskatā</w:t>
      </w:r>
      <w:r>
        <w:rPr>
          <w:spacing w:val="-9"/>
          <w:sz w:val="24"/>
        </w:rPr>
        <w:t> </w:t>
      </w:r>
      <w:r>
        <w:rPr>
          <w:sz w:val="24"/>
        </w:rPr>
        <w:t>šāda</w:t>
      </w:r>
      <w:r>
        <w:rPr>
          <w:spacing w:val="-11"/>
          <w:sz w:val="24"/>
        </w:rPr>
        <w:t> </w:t>
      </w:r>
      <w:r>
        <w:rPr>
          <w:sz w:val="24"/>
        </w:rPr>
        <w:t>parādnieka</w:t>
      </w:r>
      <w:r>
        <w:rPr>
          <w:spacing w:val="-10"/>
          <w:sz w:val="24"/>
        </w:rPr>
        <w:t> </w:t>
      </w:r>
      <w:r>
        <w:rPr>
          <w:sz w:val="24"/>
        </w:rPr>
        <w:t>rīcība</w:t>
      </w:r>
      <w:r>
        <w:rPr>
          <w:spacing w:val="-6"/>
          <w:sz w:val="24"/>
        </w:rPr>
        <w:t> </w:t>
      </w:r>
      <w:r>
        <w:rPr>
          <w:sz w:val="24"/>
        </w:rPr>
        <w:t>būtiski apgrūtinājis maksātnespējas procesa efektīvu</w:t>
      </w:r>
      <w:r>
        <w:rPr>
          <w:spacing w:val="1"/>
          <w:sz w:val="24"/>
        </w:rPr>
        <w:t> </w:t>
      </w:r>
      <w:r>
        <w:rPr>
          <w:sz w:val="24"/>
        </w:rPr>
        <w:t>norisi.</w:t>
      </w:r>
    </w:p>
    <w:p>
      <w:pPr>
        <w:pStyle w:val="ListParagraph"/>
        <w:numPr>
          <w:ilvl w:val="0"/>
          <w:numId w:val="28"/>
        </w:numPr>
        <w:tabs>
          <w:tab w:pos="1340" w:val="left" w:leader="none"/>
        </w:tabs>
        <w:spacing w:line="261" w:lineRule="exact" w:before="0" w:after="0"/>
        <w:ind w:left="1340" w:right="0" w:hanging="360"/>
        <w:jc w:val="both"/>
        <w:rPr>
          <w:b/>
          <w:sz w:val="24"/>
        </w:rPr>
      </w:pPr>
      <w:r>
        <w:rPr>
          <w:sz w:val="24"/>
        </w:rPr>
        <w:t>Parādnieks </w:t>
      </w:r>
      <w:r>
        <w:rPr>
          <w:b/>
          <w:sz w:val="24"/>
        </w:rPr>
        <w:t>nesadarbojas </w:t>
      </w:r>
      <w:r>
        <w:rPr>
          <w:sz w:val="24"/>
        </w:rPr>
        <w:t>ar administratoru, tiesu, kreditoriem, </w:t>
      </w:r>
      <w:r>
        <w:rPr>
          <w:b/>
          <w:sz w:val="24"/>
        </w:rPr>
        <w:t>nesniedz ziņas</w:t>
      </w:r>
      <w:r>
        <w:rPr>
          <w:b/>
          <w:spacing w:val="31"/>
          <w:sz w:val="24"/>
        </w:rPr>
        <w:t> </w:t>
      </w:r>
      <w:r>
        <w:rPr>
          <w:b/>
          <w:sz w:val="24"/>
        </w:rPr>
        <w:t>un</w:t>
      </w:r>
    </w:p>
    <w:p>
      <w:pPr>
        <w:pStyle w:val="BodyText"/>
        <w:spacing w:line="237" w:lineRule="auto" w:before="2"/>
        <w:ind w:left="1340" w:right="402"/>
        <w:rPr>
          <w:sz w:val="16"/>
        </w:rPr>
      </w:pPr>
      <w:r>
        <w:rPr>
          <w:b/>
        </w:rPr>
        <w:t>paskaidrojumus </w:t>
      </w:r>
      <w:r>
        <w:rPr/>
        <w:t>tiesai par pieteikumu utt. (konstatēts vismaz 45% lēmumu). Piemēram, Zemgales rajona tiesa 2018.gada 18.septembra nolēmumā lietā Nr.C15189617 atzinusi, ka parādnieki nav ziņojuši par saistību dzēšanas plānu izpildes kavējošiem apstākļiem ne kreditoriem, ne administratoram, ne tiesai, -</w:t>
      </w:r>
      <w:r>
        <w:rPr>
          <w:spacing w:val="-34"/>
        </w:rPr>
        <w:t> </w:t>
      </w:r>
      <w:r>
        <w:rPr/>
        <w:t>nav lūguši grozīt saistību izpildes plānus, tam likumā noteiktā kārtībā. No tā secināms, ka parādnieki nav bijuši godprātīgi savu tiesību īstenošanā un pienākumu izpildē, atbilstoši Civillikuma 1. panta un Civilprocesa likuma 74. panta sestās daļas izpratnē. Likumā noteiktā kārtībā savu tiesību, prasīt grozīt saistību dzēšanas plānus, aizsardzību nav īstenojuši. Nepildot pienākumus, ko uzliek saistību dzēšanas plāni, būtiski aizskāruši kreditora tiesības, no kā iestājas ar likumu noteiktas tiesiskās sekas.</w:t>
      </w:r>
      <w:r>
        <w:rPr>
          <w:position w:val="9"/>
          <w:sz w:val="16"/>
        </w:rPr>
        <w:t>128</w:t>
      </w:r>
    </w:p>
    <w:p>
      <w:pPr>
        <w:pStyle w:val="BodyText"/>
        <w:jc w:val="left"/>
        <w:rPr>
          <w:sz w:val="28"/>
        </w:rPr>
      </w:pPr>
    </w:p>
    <w:p>
      <w:pPr>
        <w:pStyle w:val="Heading4"/>
        <w:numPr>
          <w:ilvl w:val="1"/>
          <w:numId w:val="24"/>
        </w:numPr>
        <w:tabs>
          <w:tab w:pos="1401" w:val="left" w:leader="none"/>
        </w:tabs>
        <w:spacing w:line="240" w:lineRule="auto" w:before="248" w:after="0"/>
        <w:ind w:left="1340" w:right="401" w:hanging="360"/>
        <w:jc w:val="both"/>
      </w:pPr>
      <w:r>
        <w:rPr>
          <w:i/>
        </w:rPr>
        <w:t>LR Augstākās tiesas (Senāta) Civillietu departamenta nolēmumi, ar kuriem </w:t>
      </w:r>
      <w:r>
        <w:rPr/>
        <w:t>risināti jautājumi par saistību dzēšanas procedūras izbeigšanu un parādnieka neatbrīvošanu no</w:t>
      </w:r>
      <w:r>
        <w:rPr>
          <w:spacing w:val="1"/>
        </w:rPr>
        <w:t> </w:t>
      </w:r>
      <w:r>
        <w:rPr/>
        <w:t>saistībām</w:t>
      </w:r>
    </w:p>
    <w:p>
      <w:pPr>
        <w:pStyle w:val="BodyText"/>
        <w:spacing w:before="9"/>
        <w:jc w:val="left"/>
        <w:rPr>
          <w:b/>
          <w:i/>
          <w:sz w:val="23"/>
        </w:rPr>
      </w:pPr>
    </w:p>
    <w:p>
      <w:pPr>
        <w:pStyle w:val="ListParagraph"/>
        <w:numPr>
          <w:ilvl w:val="0"/>
          <w:numId w:val="29"/>
        </w:numPr>
        <w:tabs>
          <w:tab w:pos="1408" w:val="left" w:leader="none"/>
        </w:tabs>
        <w:spacing w:line="237" w:lineRule="auto" w:before="0" w:after="0"/>
        <w:ind w:left="1407" w:right="400" w:hanging="360"/>
        <w:jc w:val="both"/>
        <w:rPr>
          <w:sz w:val="16"/>
        </w:rPr>
      </w:pPr>
      <w:r>
        <w:rPr>
          <w:b/>
          <w:i/>
          <w:sz w:val="24"/>
        </w:rPr>
        <w:t>Tiesas pienākums dot vērtējumu pierādījumiem par plāna izpildi. </w:t>
      </w:r>
      <w:r>
        <w:rPr>
          <w:sz w:val="24"/>
        </w:rPr>
        <w:t>LR AT Civillietu departaments 2017.gada 3.februāra lēmumā lietā Nr. SPC-10/2017 norādījis, ka nav pieļaujama saistību dzēšanas procedūras izbeigšana un parādnieka neatbrīvošana no saistībām, nepārbaudot un objektīvi neizvērtējot apstākļus, kuriem ir svarīga nozīme attiecībā uz saistību dzēšanas plāna izpildi. Minētajā lietā Civillietu departaments konstatēja, ka tiesnesis, pārkāpdams Civilprocesa likuma 8. un 97.panta prasības, šiem pierādījumiem (samaksu apliecinoši dokumenti, kuri liecina - maksājumi ir veikti saistību dzēšanas plānā noteiktajos termiņos un apmērā) nav devis vērtējumu, bet savu atzinumu, ka parādnieks neizpildīja saistību dzēšanas plānu, pamatojis vienīgi ar kreditora - Bankas - izteiktajiem apgalvojumiem.</w:t>
      </w:r>
      <w:r>
        <w:rPr>
          <w:position w:val="9"/>
          <w:sz w:val="16"/>
        </w:rPr>
        <w:t>129</w:t>
      </w:r>
    </w:p>
    <w:p>
      <w:pPr>
        <w:pStyle w:val="BodyText"/>
        <w:jc w:val="left"/>
        <w:rPr>
          <w:sz w:val="20"/>
        </w:rPr>
      </w:pPr>
    </w:p>
    <w:p>
      <w:pPr>
        <w:pStyle w:val="BodyText"/>
        <w:spacing w:before="8"/>
        <w:jc w:val="left"/>
        <w:rPr>
          <w:sz w:val="17"/>
        </w:rPr>
      </w:pPr>
      <w:r>
        <w:rPr/>
        <w:pict>
          <v:shape style="position:absolute;margin-left:90pt;margin-top:12.446406pt;width:144pt;height:.1pt;mso-position-horizontal-relative:page;mso-position-vertical-relative:paragraph;z-index:-251628544;mso-wrap-distance-left:0;mso-wrap-distance-right:0" coordorigin="1800,249" coordsize="2880,0" path="m1800,249l4680,249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126 </w:t>
      </w:r>
      <w:r>
        <w:rPr>
          <w:sz w:val="20"/>
        </w:rPr>
        <w:t>Vidzemes rajona tiesas 2018.gada 6.septembra nolēmums lietā Nr. C21032317</w:t>
      </w:r>
    </w:p>
    <w:p>
      <w:pPr>
        <w:spacing w:line="230" w:lineRule="exact" w:before="0"/>
        <w:ind w:left="620" w:right="0" w:firstLine="0"/>
        <w:jc w:val="left"/>
        <w:rPr>
          <w:sz w:val="20"/>
        </w:rPr>
      </w:pPr>
      <w:r>
        <w:rPr>
          <w:position w:val="7"/>
          <w:sz w:val="13"/>
        </w:rPr>
        <w:t>127 </w:t>
      </w:r>
      <w:r>
        <w:rPr>
          <w:sz w:val="20"/>
        </w:rPr>
        <w:t>Rīgas pilsētas Vidzemes priekšpilsētas tiesas 2018.gada 10.septembra nolēmums lietā Nr. C32309316</w:t>
      </w:r>
    </w:p>
    <w:p>
      <w:pPr>
        <w:spacing w:line="224" w:lineRule="exact" w:before="0"/>
        <w:ind w:left="620" w:right="0" w:firstLine="0"/>
        <w:jc w:val="left"/>
        <w:rPr>
          <w:sz w:val="20"/>
        </w:rPr>
      </w:pPr>
      <w:r>
        <w:rPr>
          <w:position w:val="7"/>
          <w:sz w:val="13"/>
        </w:rPr>
        <w:t>128 </w:t>
      </w:r>
      <w:r>
        <w:rPr>
          <w:sz w:val="20"/>
        </w:rPr>
        <w:t>Zemgales rajona tiesas 2018.gada 18.septembra nolēmums lietā Nr. C15189617</w:t>
      </w:r>
    </w:p>
    <w:p>
      <w:pPr>
        <w:spacing w:line="275" w:lineRule="exact" w:before="0"/>
        <w:ind w:left="620" w:right="0" w:firstLine="0"/>
        <w:jc w:val="left"/>
        <w:rPr>
          <w:sz w:val="20"/>
        </w:rPr>
      </w:pPr>
      <w:r>
        <w:rPr>
          <w:position w:val="9"/>
          <w:sz w:val="16"/>
        </w:rPr>
        <w:t>129 </w:t>
      </w:r>
      <w:r>
        <w:rPr>
          <w:sz w:val="20"/>
        </w:rPr>
        <w:t>LR AT Civillietu departamenta 2017.gada 3.februāra lēmums lietā Nr. SPC-10/2017</w:t>
      </w:r>
    </w:p>
    <w:p>
      <w:pPr>
        <w:spacing w:after="0" w:line="275" w:lineRule="exact"/>
        <w:jc w:val="left"/>
        <w:rPr>
          <w:sz w:val="20"/>
        </w:rPr>
        <w:sectPr>
          <w:pgSz w:w="11910" w:h="16840"/>
          <w:pgMar w:header="0" w:footer="1055" w:top="1340" w:bottom="1240" w:left="1180" w:right="1040"/>
        </w:sectPr>
      </w:pPr>
    </w:p>
    <w:p>
      <w:pPr>
        <w:pStyle w:val="ListParagraph"/>
        <w:numPr>
          <w:ilvl w:val="0"/>
          <w:numId w:val="29"/>
        </w:numPr>
        <w:tabs>
          <w:tab w:pos="1048" w:val="left" w:leader="none"/>
        </w:tabs>
        <w:spacing w:line="240" w:lineRule="auto" w:before="78" w:after="0"/>
        <w:ind w:left="1047" w:right="760" w:hanging="360"/>
        <w:jc w:val="both"/>
        <w:rPr>
          <w:sz w:val="16"/>
        </w:rPr>
      </w:pPr>
      <w:r>
        <w:rPr>
          <w:b/>
          <w:i/>
          <w:sz w:val="24"/>
        </w:rPr>
        <w:t>Tiesas pienākums izvērtēt, vai parādnieks veicis fiziskās personas saistību </w:t>
      </w:r>
      <w:r>
        <w:rPr>
          <w:b/>
          <w:i/>
          <w:sz w:val="24"/>
        </w:rPr>
        <w:t>dzēšanas plānā noteiktās darbības (izpildījis saistību dzēšanas plānu)</w:t>
      </w:r>
      <w:r>
        <w:rPr>
          <w:sz w:val="24"/>
        </w:rPr>
        <w:t>. LR AT Civillietu departaments 2015.gada 27.novembra lēmumā lietā Nr. SPC-27/2015 atzinis, ka nav pieļaujama saistību dzēšanas procedūras izbeigšana sakarā ar saistību dzēšanas plāna īstenošanas termiņa iestāšanos uz administratora pieteikuma pamata, nepieprasot informāciju par saistību dzēšanas plāna izpildi. Proti, tiesai, izskatot pieteikumu par saistību dzēšanas procedūras izbeigšanu, jāizvērtē, vai parādnieks veicis fiziskās personas saistību dzēšanas plānā noteiktās darbības (izpildījis saistību dzēšanas plānu). Attiecīgi minētajā lietā Civillietu departaments atzina, ka tiesa kļūdaini administratores iesniegto pieteikumu par parādnieces saistību dzēšanas procedūras izbeigšanu sakarā ar saistību dzēšanas plāna īstenošanas termiņa iestāšanos kvalificējusi kā saistību dzēšanas plāna nepildīšanu,</w:t>
      </w:r>
      <w:r>
        <w:rPr>
          <w:spacing w:val="-9"/>
          <w:sz w:val="24"/>
        </w:rPr>
        <w:t> </w:t>
      </w:r>
      <w:r>
        <w:rPr>
          <w:sz w:val="24"/>
        </w:rPr>
        <w:t>kas</w:t>
      </w:r>
      <w:r>
        <w:rPr>
          <w:spacing w:val="-8"/>
          <w:sz w:val="24"/>
        </w:rPr>
        <w:t> </w:t>
      </w:r>
      <w:r>
        <w:rPr>
          <w:sz w:val="24"/>
        </w:rPr>
        <w:t>savukārt</w:t>
      </w:r>
      <w:r>
        <w:rPr>
          <w:spacing w:val="-6"/>
          <w:sz w:val="24"/>
        </w:rPr>
        <w:t> </w:t>
      </w:r>
      <w:r>
        <w:rPr>
          <w:sz w:val="24"/>
        </w:rPr>
        <w:t>izslēdz</w:t>
      </w:r>
      <w:r>
        <w:rPr>
          <w:spacing w:val="-6"/>
          <w:sz w:val="24"/>
        </w:rPr>
        <w:t> </w:t>
      </w:r>
      <w:r>
        <w:rPr>
          <w:sz w:val="24"/>
        </w:rPr>
        <w:t>parādnieka</w:t>
      </w:r>
      <w:r>
        <w:rPr>
          <w:spacing w:val="-11"/>
          <w:sz w:val="24"/>
        </w:rPr>
        <w:t> </w:t>
      </w:r>
      <w:r>
        <w:rPr>
          <w:sz w:val="24"/>
        </w:rPr>
        <w:t>atbrīvošanu</w:t>
      </w:r>
      <w:r>
        <w:rPr>
          <w:spacing w:val="-8"/>
          <w:sz w:val="24"/>
        </w:rPr>
        <w:t> </w:t>
      </w:r>
      <w:r>
        <w:rPr>
          <w:sz w:val="24"/>
        </w:rPr>
        <w:t>no</w:t>
      </w:r>
      <w:r>
        <w:rPr>
          <w:spacing w:val="-9"/>
          <w:sz w:val="24"/>
        </w:rPr>
        <w:t> </w:t>
      </w:r>
      <w:r>
        <w:rPr>
          <w:sz w:val="24"/>
        </w:rPr>
        <w:t>atlikušajām</w:t>
      </w:r>
      <w:r>
        <w:rPr>
          <w:spacing w:val="-8"/>
          <w:sz w:val="24"/>
        </w:rPr>
        <w:t> </w:t>
      </w:r>
      <w:r>
        <w:rPr>
          <w:sz w:val="24"/>
        </w:rPr>
        <w:t>saistībām. Civillietu departamenta ieskatā, tiesa rīkojusies formāli, jo nav pieprasījusi informāciju par saistību dzēšanas plāna izpildi, lai varētu izlemt jautājumu, vai parādniece atbrīvojama no atlikušajām saistībām, kas ir pretrunā ar Civilprocesa likuma 363.</w:t>
      </w:r>
      <w:r>
        <w:rPr>
          <w:position w:val="9"/>
          <w:sz w:val="16"/>
        </w:rPr>
        <w:t>28 </w:t>
      </w:r>
      <w:r>
        <w:rPr>
          <w:sz w:val="24"/>
        </w:rPr>
        <w:t>panta desmito</w:t>
      </w:r>
      <w:r>
        <w:rPr>
          <w:spacing w:val="-21"/>
          <w:sz w:val="24"/>
        </w:rPr>
        <w:t> </w:t>
      </w:r>
      <w:r>
        <w:rPr>
          <w:sz w:val="24"/>
        </w:rPr>
        <w:t>daļu.</w:t>
      </w:r>
      <w:r>
        <w:rPr>
          <w:position w:val="9"/>
          <w:sz w:val="16"/>
        </w:rPr>
        <w:t>130</w:t>
      </w:r>
    </w:p>
    <w:p>
      <w:pPr>
        <w:pStyle w:val="BodyText"/>
        <w:spacing w:before="8"/>
        <w:jc w:val="left"/>
        <w:rPr>
          <w:sz w:val="22"/>
        </w:rPr>
      </w:pPr>
    </w:p>
    <w:p>
      <w:pPr>
        <w:pStyle w:val="ListParagraph"/>
        <w:numPr>
          <w:ilvl w:val="0"/>
          <w:numId w:val="29"/>
        </w:numPr>
        <w:tabs>
          <w:tab w:pos="1048" w:val="left" w:leader="none"/>
        </w:tabs>
        <w:spacing w:line="240" w:lineRule="auto" w:before="0" w:after="0"/>
        <w:ind w:left="1047" w:right="760" w:hanging="360"/>
        <w:jc w:val="both"/>
        <w:rPr>
          <w:sz w:val="16"/>
        </w:rPr>
      </w:pPr>
      <w:r>
        <w:rPr>
          <w:b/>
          <w:i/>
          <w:sz w:val="24"/>
        </w:rPr>
        <w:t>Parādnieka tiesības veikt mazākus maksājumus par saistību dzēšanas plānā </w:t>
      </w:r>
      <w:r>
        <w:rPr>
          <w:b/>
          <w:i/>
          <w:sz w:val="24"/>
        </w:rPr>
        <w:t>norādīto prognozi, ja faktiskie ienākumi ir bijuši mazāki par prognozēto</w:t>
      </w:r>
      <w:r>
        <w:rPr>
          <w:sz w:val="24"/>
        </w:rPr>
        <w:t>. 2017.gada 28.septembra lēmumā lietā Nr. SPC-19/2017 </w:t>
      </w:r>
      <w:r>
        <w:rPr>
          <w:spacing w:val="-3"/>
          <w:sz w:val="24"/>
        </w:rPr>
        <w:t>LR </w:t>
      </w:r>
      <w:r>
        <w:rPr>
          <w:sz w:val="24"/>
        </w:rPr>
        <w:t>AT Civillietu departaments secināja, ka saistību dzēšanas plāns, kurā ir norādīts, ka saistību dzēšanas procedūras laikā kreditoriem tiks novirzīta viena trešdaļa no parādnieka ienākumiem,</w:t>
      </w:r>
      <w:r>
        <w:rPr>
          <w:spacing w:val="-11"/>
          <w:sz w:val="24"/>
        </w:rPr>
        <w:t> </w:t>
      </w:r>
      <w:r>
        <w:rPr>
          <w:sz w:val="24"/>
        </w:rPr>
        <w:t>ir</w:t>
      </w:r>
      <w:r>
        <w:rPr>
          <w:spacing w:val="-10"/>
          <w:sz w:val="24"/>
        </w:rPr>
        <w:t> </w:t>
      </w:r>
      <w:r>
        <w:rPr>
          <w:sz w:val="24"/>
        </w:rPr>
        <w:t>uzskatāms</w:t>
      </w:r>
      <w:r>
        <w:rPr>
          <w:spacing w:val="-10"/>
          <w:sz w:val="24"/>
        </w:rPr>
        <w:t> </w:t>
      </w:r>
      <w:r>
        <w:rPr>
          <w:sz w:val="24"/>
        </w:rPr>
        <w:t>par</w:t>
      </w:r>
      <w:r>
        <w:rPr>
          <w:spacing w:val="-12"/>
          <w:sz w:val="24"/>
        </w:rPr>
        <w:t> </w:t>
      </w:r>
      <w:r>
        <w:rPr>
          <w:sz w:val="24"/>
        </w:rPr>
        <w:t>izpildītu</w:t>
      </w:r>
      <w:r>
        <w:rPr>
          <w:spacing w:val="-10"/>
          <w:sz w:val="24"/>
        </w:rPr>
        <w:t> </w:t>
      </w:r>
      <w:r>
        <w:rPr>
          <w:sz w:val="24"/>
        </w:rPr>
        <w:t>arī</w:t>
      </w:r>
      <w:r>
        <w:rPr>
          <w:spacing w:val="-10"/>
          <w:sz w:val="24"/>
        </w:rPr>
        <w:t> </w:t>
      </w:r>
      <w:r>
        <w:rPr>
          <w:sz w:val="24"/>
        </w:rPr>
        <w:t>tad,</w:t>
      </w:r>
      <w:r>
        <w:rPr>
          <w:spacing w:val="-10"/>
          <w:sz w:val="24"/>
        </w:rPr>
        <w:t> </w:t>
      </w:r>
      <w:r>
        <w:rPr>
          <w:sz w:val="24"/>
        </w:rPr>
        <w:t>ja</w:t>
      </w:r>
      <w:r>
        <w:rPr>
          <w:spacing w:val="-10"/>
          <w:sz w:val="24"/>
        </w:rPr>
        <w:t> </w:t>
      </w:r>
      <w:r>
        <w:rPr>
          <w:sz w:val="24"/>
        </w:rPr>
        <w:t>parādnieks</w:t>
      </w:r>
      <w:r>
        <w:rPr>
          <w:spacing w:val="-10"/>
          <w:sz w:val="24"/>
        </w:rPr>
        <w:t> </w:t>
      </w:r>
      <w:r>
        <w:rPr>
          <w:sz w:val="24"/>
        </w:rPr>
        <w:t>veicis</w:t>
      </w:r>
      <w:r>
        <w:rPr>
          <w:spacing w:val="-10"/>
          <w:sz w:val="24"/>
        </w:rPr>
        <w:t> </w:t>
      </w:r>
      <w:r>
        <w:rPr>
          <w:sz w:val="24"/>
        </w:rPr>
        <w:t>maksājumus</w:t>
      </w:r>
      <w:r>
        <w:rPr>
          <w:spacing w:val="-10"/>
          <w:sz w:val="24"/>
        </w:rPr>
        <w:t> </w:t>
      </w:r>
      <w:r>
        <w:rPr>
          <w:sz w:val="24"/>
        </w:rPr>
        <w:t>no saviem faktiskajiem ienākumiem, kas bijuši mazāki nekā sākotnēji plānā prognozētie. Šāda atziņa pamatota ar apsvērumu, ka saistību dzēšanas procedūras galvenais mērķis ir, sabalansējot parādnieka un kreditoru intereses, atbrīvot parādnieku no nesegtajām saistībām, ja parādnieks godprātīgi ir novirzījis saistību dzēšanas</w:t>
      </w:r>
      <w:r>
        <w:rPr>
          <w:spacing w:val="-16"/>
          <w:sz w:val="24"/>
        </w:rPr>
        <w:t> </w:t>
      </w:r>
      <w:r>
        <w:rPr>
          <w:sz w:val="24"/>
        </w:rPr>
        <w:t>plānā</w:t>
      </w:r>
      <w:r>
        <w:rPr>
          <w:spacing w:val="-14"/>
          <w:sz w:val="24"/>
        </w:rPr>
        <w:t> </w:t>
      </w:r>
      <w:r>
        <w:rPr>
          <w:sz w:val="24"/>
        </w:rPr>
        <w:t>paredzēto</w:t>
      </w:r>
      <w:r>
        <w:rPr>
          <w:spacing w:val="-12"/>
          <w:sz w:val="24"/>
        </w:rPr>
        <w:t> </w:t>
      </w:r>
      <w:r>
        <w:rPr>
          <w:sz w:val="24"/>
        </w:rPr>
        <w:t>savu</w:t>
      </w:r>
      <w:r>
        <w:rPr>
          <w:spacing w:val="-16"/>
          <w:sz w:val="24"/>
        </w:rPr>
        <w:t> </w:t>
      </w:r>
      <w:r>
        <w:rPr>
          <w:sz w:val="24"/>
        </w:rPr>
        <w:t>ienākumu</w:t>
      </w:r>
      <w:r>
        <w:rPr>
          <w:spacing w:val="-16"/>
          <w:sz w:val="24"/>
        </w:rPr>
        <w:t> </w:t>
      </w:r>
      <w:r>
        <w:rPr>
          <w:sz w:val="24"/>
        </w:rPr>
        <w:t>daļu</w:t>
      </w:r>
      <w:r>
        <w:rPr>
          <w:spacing w:val="-15"/>
          <w:sz w:val="24"/>
        </w:rPr>
        <w:t> </w:t>
      </w:r>
      <w:r>
        <w:rPr>
          <w:sz w:val="24"/>
        </w:rPr>
        <w:t>kreditoru</w:t>
      </w:r>
      <w:r>
        <w:rPr>
          <w:spacing w:val="-16"/>
          <w:sz w:val="24"/>
        </w:rPr>
        <w:t> </w:t>
      </w:r>
      <w:r>
        <w:rPr>
          <w:sz w:val="24"/>
        </w:rPr>
        <w:t>prasījumu</w:t>
      </w:r>
      <w:r>
        <w:rPr>
          <w:spacing w:val="-16"/>
          <w:sz w:val="24"/>
        </w:rPr>
        <w:t> </w:t>
      </w:r>
      <w:r>
        <w:rPr>
          <w:sz w:val="24"/>
        </w:rPr>
        <w:t>daļējai</w:t>
      </w:r>
      <w:r>
        <w:rPr>
          <w:spacing w:val="-12"/>
          <w:sz w:val="24"/>
        </w:rPr>
        <w:t> </w:t>
      </w:r>
      <w:r>
        <w:rPr>
          <w:sz w:val="24"/>
        </w:rPr>
        <w:t>segšanai. Tas nozīmē, ka priekšnoteikums saistību dzēšanas procedūras izbeigšanai un nesegto saistību dzēšanai jeb parādnieka atbrīvošanai no nesegtajām saistībām ir saistību dzēšanas plāna izpilde. Turklāt Civillietu departaments arī norādīja, ka likums neaizliedz parādniekam veikt maksājumu pārrēķinu un labot prognozēs radušos kļūdu.</w:t>
      </w:r>
      <w:r>
        <w:rPr>
          <w:position w:val="9"/>
          <w:sz w:val="16"/>
        </w:rPr>
        <w:t>131</w:t>
      </w:r>
    </w:p>
    <w:p>
      <w:pPr>
        <w:pStyle w:val="BodyText"/>
        <w:spacing w:before="8"/>
        <w:jc w:val="left"/>
        <w:rPr>
          <w:sz w:val="22"/>
        </w:rPr>
      </w:pPr>
    </w:p>
    <w:p>
      <w:pPr>
        <w:pStyle w:val="ListParagraph"/>
        <w:numPr>
          <w:ilvl w:val="0"/>
          <w:numId w:val="29"/>
        </w:numPr>
        <w:tabs>
          <w:tab w:pos="1048" w:val="left" w:leader="none"/>
        </w:tabs>
        <w:spacing w:line="240" w:lineRule="auto" w:before="0" w:after="0"/>
        <w:ind w:left="1047" w:right="761" w:hanging="360"/>
        <w:jc w:val="both"/>
        <w:rPr>
          <w:sz w:val="24"/>
        </w:rPr>
      </w:pPr>
      <w:r>
        <w:rPr>
          <w:b/>
          <w:i/>
          <w:sz w:val="24"/>
        </w:rPr>
        <w:t>Labticīga parādnieka tiesības novērst kļūdu aprēķinos par kreditoriem </w:t>
      </w:r>
      <w:r>
        <w:rPr>
          <w:b/>
          <w:i/>
          <w:sz w:val="24"/>
        </w:rPr>
        <w:t>maksājamo summu</w:t>
      </w:r>
      <w:r>
        <w:rPr>
          <w:sz w:val="24"/>
        </w:rPr>
        <w:t>. LR AT Civillietu departaments 2017.gada 16.februāra lēmumā</w:t>
      </w:r>
      <w:r>
        <w:rPr>
          <w:spacing w:val="-6"/>
          <w:sz w:val="24"/>
        </w:rPr>
        <w:t> </w:t>
      </w:r>
      <w:r>
        <w:rPr>
          <w:sz w:val="24"/>
        </w:rPr>
        <w:t>lietā</w:t>
      </w:r>
      <w:r>
        <w:rPr>
          <w:spacing w:val="-6"/>
          <w:sz w:val="24"/>
        </w:rPr>
        <w:t> </w:t>
      </w:r>
      <w:r>
        <w:rPr>
          <w:sz w:val="24"/>
        </w:rPr>
        <w:t>Nr.</w:t>
      </w:r>
      <w:r>
        <w:rPr>
          <w:spacing w:val="-9"/>
          <w:sz w:val="24"/>
        </w:rPr>
        <w:t> </w:t>
      </w:r>
      <w:r>
        <w:rPr>
          <w:sz w:val="24"/>
        </w:rPr>
        <w:t>SPC–5/2017</w:t>
      </w:r>
      <w:r>
        <w:rPr>
          <w:spacing w:val="-6"/>
          <w:sz w:val="24"/>
        </w:rPr>
        <w:t> </w:t>
      </w:r>
      <w:r>
        <w:rPr>
          <w:sz w:val="24"/>
        </w:rPr>
        <w:t>devis</w:t>
      </w:r>
      <w:r>
        <w:rPr>
          <w:spacing w:val="-6"/>
          <w:sz w:val="24"/>
        </w:rPr>
        <w:t> </w:t>
      </w:r>
      <w:r>
        <w:rPr>
          <w:sz w:val="24"/>
        </w:rPr>
        <w:t>vērtējumu</w:t>
      </w:r>
      <w:r>
        <w:rPr>
          <w:spacing w:val="-6"/>
          <w:sz w:val="24"/>
        </w:rPr>
        <w:t> </w:t>
      </w:r>
      <w:r>
        <w:rPr>
          <w:sz w:val="24"/>
        </w:rPr>
        <w:t>situācijai,</w:t>
      </w:r>
      <w:r>
        <w:rPr>
          <w:spacing w:val="-6"/>
          <w:sz w:val="24"/>
        </w:rPr>
        <w:t> </w:t>
      </w:r>
      <w:r>
        <w:rPr>
          <w:sz w:val="24"/>
        </w:rPr>
        <w:t>kad</w:t>
      </w:r>
      <w:r>
        <w:rPr>
          <w:spacing w:val="-6"/>
          <w:sz w:val="24"/>
        </w:rPr>
        <w:t> </w:t>
      </w:r>
      <w:r>
        <w:rPr>
          <w:sz w:val="24"/>
        </w:rPr>
        <w:t>parādniece</w:t>
      </w:r>
      <w:r>
        <w:rPr>
          <w:spacing w:val="-6"/>
          <w:sz w:val="24"/>
        </w:rPr>
        <w:t> </w:t>
      </w:r>
      <w:r>
        <w:rPr>
          <w:sz w:val="24"/>
        </w:rPr>
        <w:t>kreditoru prasījumu segšanai godprātīgi katru mēnesi pārskaitījusi saistību dzēšanas plānā norādīto summu, lai gan viņas ienākumi bija mainīgi, taču, noskaidrojot, ka atbilstoši Maksātnespējas likuma prasībām kreditoru prasījumu apmierināšanai bija novirzāma viena trešdaļa no parādnieces faktiskajiem ienākumiem, nevis plānā minētā naudas summa konkrētā apmērā, parādniece kļūdu nekavējoties novērsusi, pārskaitot kreditoriem iztrūkstošo naudas summu. Rajona tiesa </w:t>
      </w:r>
      <w:r>
        <w:rPr>
          <w:spacing w:val="-3"/>
          <w:sz w:val="24"/>
        </w:rPr>
        <w:t>bija </w:t>
      </w:r>
      <w:r>
        <w:rPr>
          <w:sz w:val="24"/>
        </w:rPr>
        <w:t>noraidījusi pieteikumu par parādnieka saistību dzēšanas procedūras un maksātnespējas procesa izbeigšanu un atbrīvošanu no saistībām, savukārt Civillietu departaments atcēla rajona tiesas lēmumu, norādot: “Likums</w:t>
      </w:r>
      <w:r>
        <w:rPr>
          <w:spacing w:val="47"/>
          <w:sz w:val="24"/>
        </w:rPr>
        <w:t> </w:t>
      </w:r>
      <w:r>
        <w:rPr>
          <w:sz w:val="24"/>
        </w:rPr>
        <w:t>neaizliedz</w:t>
      </w:r>
    </w:p>
    <w:p>
      <w:pPr>
        <w:pStyle w:val="BodyText"/>
        <w:jc w:val="left"/>
        <w:rPr>
          <w:sz w:val="20"/>
        </w:rPr>
      </w:pPr>
    </w:p>
    <w:p>
      <w:pPr>
        <w:pStyle w:val="BodyText"/>
        <w:spacing w:before="1"/>
        <w:jc w:val="left"/>
        <w:rPr>
          <w:sz w:val="17"/>
        </w:rPr>
      </w:pPr>
    </w:p>
    <w:p>
      <w:pPr>
        <w:spacing w:line="233" w:lineRule="exact" w:before="94"/>
        <w:ind w:left="260" w:right="0" w:firstLine="0"/>
        <w:jc w:val="left"/>
        <w:rPr>
          <w:sz w:val="20"/>
        </w:rPr>
      </w:pPr>
      <w:r>
        <w:rPr>
          <w:position w:val="7"/>
          <w:sz w:val="13"/>
        </w:rPr>
        <w:t>130  </w:t>
      </w:r>
      <w:r>
        <w:rPr>
          <w:sz w:val="20"/>
        </w:rPr>
        <w:t>LR AT Civillietu departamenta 2015.gada 27.novembra lēmums lietā  Nr.</w:t>
      </w:r>
      <w:r>
        <w:rPr>
          <w:spacing w:val="-32"/>
          <w:sz w:val="20"/>
        </w:rPr>
        <w:t> </w:t>
      </w:r>
      <w:r>
        <w:rPr>
          <w:sz w:val="20"/>
        </w:rPr>
        <w:t>SPC-27/2015</w:t>
      </w:r>
    </w:p>
    <w:p>
      <w:pPr>
        <w:spacing w:line="233" w:lineRule="exact" w:before="0"/>
        <w:ind w:left="260" w:right="0" w:firstLine="0"/>
        <w:jc w:val="left"/>
        <w:rPr>
          <w:sz w:val="20"/>
        </w:rPr>
      </w:pPr>
      <w:r>
        <w:rPr>
          <w:position w:val="7"/>
          <w:sz w:val="13"/>
        </w:rPr>
        <w:t>131  </w:t>
      </w:r>
      <w:r>
        <w:rPr>
          <w:sz w:val="20"/>
        </w:rPr>
        <w:t>LR AT Civillietu departamenta 2017.gada 28.septembra lēmums lietā Nr.</w:t>
      </w:r>
      <w:r>
        <w:rPr>
          <w:spacing w:val="-28"/>
          <w:sz w:val="20"/>
        </w:rPr>
        <w:t> </w:t>
      </w:r>
      <w:r>
        <w:rPr>
          <w:sz w:val="20"/>
        </w:rPr>
        <w:t>SPC-19/2017</w:t>
      </w:r>
    </w:p>
    <w:p>
      <w:pPr>
        <w:spacing w:after="0" w:line="233" w:lineRule="exact"/>
        <w:jc w:val="left"/>
        <w:rPr>
          <w:sz w:val="20"/>
        </w:rPr>
        <w:sectPr>
          <w:footerReference w:type="even" r:id="rId30"/>
          <w:footerReference w:type="default" r:id="rId31"/>
          <w:pgSz w:w="11910" w:h="16840"/>
          <w:pgMar w:footer="1165" w:header="0" w:top="1340" w:bottom="1360" w:left="1180" w:right="1040"/>
        </w:sectPr>
      </w:pPr>
    </w:p>
    <w:p>
      <w:pPr>
        <w:pStyle w:val="BodyText"/>
        <w:spacing w:line="237" w:lineRule="auto" w:before="75"/>
        <w:ind w:left="1407" w:right="400"/>
        <w:rPr>
          <w:sz w:val="16"/>
        </w:rPr>
      </w:pPr>
      <w:r>
        <w:rPr/>
        <w:t>parādniekam veikt maksājumu pārrēķinu un labot radušos kļūdu. [..] Tomēr tiesa pamatoti norādījusi, ka Maksātnespējas likumā noteikto prasību neievērošana nav attaisnojama ar likuma nezināšanu. Tāpat ne vienmēr, kad parādnieks vēlāk novērsis konstatēto kļūdu, viņa rīcība būs atzīstama par labticīgu, jo katrā individuālā</w:t>
      </w:r>
      <w:r>
        <w:rPr>
          <w:spacing w:val="-10"/>
        </w:rPr>
        <w:t> </w:t>
      </w:r>
      <w:r>
        <w:rPr/>
        <w:t>gadījumā</w:t>
      </w:r>
      <w:r>
        <w:rPr>
          <w:spacing w:val="-9"/>
        </w:rPr>
        <w:t> </w:t>
      </w:r>
      <w:r>
        <w:rPr/>
        <w:t>tiesai</w:t>
      </w:r>
      <w:r>
        <w:rPr>
          <w:spacing w:val="-12"/>
        </w:rPr>
        <w:t> </w:t>
      </w:r>
      <w:r>
        <w:rPr/>
        <w:t>ir</w:t>
      </w:r>
      <w:r>
        <w:rPr>
          <w:spacing w:val="-9"/>
        </w:rPr>
        <w:t> </w:t>
      </w:r>
      <w:r>
        <w:rPr/>
        <w:t>jāvērtē</w:t>
      </w:r>
      <w:r>
        <w:rPr>
          <w:spacing w:val="-10"/>
        </w:rPr>
        <w:t> </w:t>
      </w:r>
      <w:r>
        <w:rPr/>
        <w:t>attiecīgās</w:t>
      </w:r>
      <w:r>
        <w:rPr>
          <w:spacing w:val="-9"/>
        </w:rPr>
        <w:t> </w:t>
      </w:r>
      <w:r>
        <w:rPr/>
        <w:t>lietas</w:t>
      </w:r>
      <w:r>
        <w:rPr>
          <w:spacing w:val="-9"/>
        </w:rPr>
        <w:t> </w:t>
      </w:r>
      <w:r>
        <w:rPr/>
        <w:t>faktiskie</w:t>
      </w:r>
      <w:r>
        <w:rPr>
          <w:spacing w:val="-10"/>
        </w:rPr>
        <w:t> </w:t>
      </w:r>
      <w:r>
        <w:rPr/>
        <w:t>un</w:t>
      </w:r>
      <w:r>
        <w:rPr>
          <w:spacing w:val="-9"/>
        </w:rPr>
        <w:t> </w:t>
      </w:r>
      <w:r>
        <w:rPr/>
        <w:t>tiesiskie</w:t>
      </w:r>
      <w:r>
        <w:rPr>
          <w:spacing w:val="-10"/>
        </w:rPr>
        <w:t> </w:t>
      </w:r>
      <w:r>
        <w:rPr/>
        <w:t>apstākļi. [..].</w:t>
      </w:r>
      <w:r>
        <w:rPr>
          <w:position w:val="9"/>
          <w:sz w:val="16"/>
        </w:rPr>
        <w:t>132</w:t>
      </w:r>
    </w:p>
    <w:p>
      <w:pPr>
        <w:pStyle w:val="BodyText"/>
        <w:spacing w:before="11"/>
        <w:jc w:val="left"/>
        <w:rPr>
          <w:sz w:val="23"/>
        </w:rPr>
      </w:pPr>
    </w:p>
    <w:p>
      <w:pPr>
        <w:pStyle w:val="ListParagraph"/>
        <w:numPr>
          <w:ilvl w:val="0"/>
          <w:numId w:val="29"/>
        </w:numPr>
        <w:tabs>
          <w:tab w:pos="1408" w:val="left" w:leader="none"/>
        </w:tabs>
        <w:spacing w:line="240" w:lineRule="auto" w:before="0" w:after="0"/>
        <w:ind w:left="1407" w:right="400" w:hanging="360"/>
        <w:jc w:val="both"/>
        <w:rPr>
          <w:sz w:val="24"/>
        </w:rPr>
      </w:pPr>
      <w:r>
        <w:rPr>
          <w:b/>
          <w:i/>
          <w:sz w:val="24"/>
        </w:rPr>
        <w:t>Parādnieka un kreditoru interešu samērošana. </w:t>
      </w:r>
      <w:r>
        <w:rPr>
          <w:sz w:val="24"/>
        </w:rPr>
        <w:t>2017.gada 16.februāra lēmumā lietā Nr. SPC–5/2017 </w:t>
      </w:r>
      <w:r>
        <w:rPr>
          <w:spacing w:val="-3"/>
          <w:sz w:val="24"/>
        </w:rPr>
        <w:t>LR </w:t>
      </w:r>
      <w:r>
        <w:rPr>
          <w:sz w:val="24"/>
        </w:rPr>
        <w:t>AT Civillietu departaments norādījis arī uz to, ka tiesai, lemjot par fiziskas personas atbrīvošanu vai neatbrīvošanu no saistību dzēšanas plānā atlikušajām saistībām, rūpīgi jāizvērtē lietas faktiskie un tiesiskie apstākļi, kā arī samērīgums starp parādnieka un kreditoru interesēm, ievērojot fiziskas personas maksātnespējas procesa mērķi un iesaistīto personu labticību. Civillietu departaments konstatēja, ka tiesa, ievērojot kreditora izteiktos iebildumus, nav vērtējusi, vai trešās personas aizdevumi parādniecei par kopējo summu 35 EUR, nepastāvot pierādījumiem par procentu maksāšanas pienākumu, kreditoru interesēm rada tik ievērojamu kaitējumu, lai liegtu atbrīvošanu no saistību dzēšanas plānā norādītajām atlikušajām saistībām. Fiziskās personas maksātnespējas procesa mērķis ir, ievērojot kreditoru mantiskās intereses, sniegt parādniekam otro iespēju – iespēju atjaunot maksātspēju un atgriezties civiltiesiskajā apritē kā pilnvērtīgam tās dalībniekam.(..) Fiziskās personas maksātnespējas process ir paredzēts parādnieka finansiālo problēmu atrisināšanai un kreditoram tas neapšaubāmi ir finansiāli neizdevīgs. Tomēr, ievērojot, ka likumdevējs šādu labvēlību fiziskajām personām ir sniedzis, </w:t>
      </w:r>
      <w:r>
        <w:rPr>
          <w:sz w:val="24"/>
          <w:u w:val="single"/>
        </w:rPr>
        <w:t>kreditoriem ir jārēķinās, ka savu prasījumu apmierinājumu tie saņems vienīgi Maksātnespējas likumā noteiktajā kārtībā un apmērā</w:t>
      </w:r>
      <w:r>
        <w:rPr>
          <w:sz w:val="24"/>
        </w:rPr>
        <w:t>.” (</w:t>
      </w:r>
      <w:r>
        <w:rPr>
          <w:i/>
          <w:sz w:val="24"/>
        </w:rPr>
        <w:t>Maksātnespējas administrācijas </w:t>
      </w:r>
      <w:r>
        <w:rPr>
          <w:i/>
          <w:sz w:val="24"/>
        </w:rPr>
        <w:t>skaidrojumi un atziņas 2015-2016.05, 69.lpp, </w:t>
      </w:r>
      <w:r>
        <w:rPr>
          <w:i/>
          <w:spacing w:val="-3"/>
          <w:sz w:val="24"/>
        </w:rPr>
        <w:t>pieejams:</w:t>
      </w:r>
      <w:hyperlink r:id="rId32">
        <w:r>
          <w:rPr>
            <w:i/>
            <w:color w:val="0000EF"/>
            <w:spacing w:val="-3"/>
            <w:sz w:val="24"/>
          </w:rPr>
          <w:t> </w:t>
        </w:r>
        <w:r>
          <w:rPr>
            <w:i/>
            <w:color w:val="0000EF"/>
            <w:sz w:val="24"/>
          </w:rPr>
          <w:t>http://www.mna.gov.lv/download/756</w:t>
        </w:r>
      </w:hyperlink>
      <w:r>
        <w:rPr>
          <w:i/>
          <w:color w:val="0000EF"/>
          <w:sz w:val="24"/>
        </w:rPr>
        <w:t> </w:t>
      </w:r>
      <w:r>
        <w:rPr>
          <w:i/>
          <w:sz w:val="24"/>
        </w:rPr>
        <w:t>un Maksātnespējas administrācijas skaidrojumi un atziņas. 2008–2014. Rīga: Tiesu namu aģentūra, 2015,</w:t>
      </w:r>
      <w:r>
        <w:rPr>
          <w:i/>
          <w:spacing w:val="-5"/>
          <w:sz w:val="24"/>
        </w:rPr>
        <w:t> </w:t>
      </w:r>
      <w:r>
        <w:rPr>
          <w:i/>
          <w:sz w:val="24"/>
        </w:rPr>
        <w:t>292.lpp.</w:t>
      </w:r>
      <w:r>
        <w:rPr>
          <w:sz w:val="24"/>
        </w:rPr>
        <w:t>).</w:t>
      </w:r>
    </w:p>
    <w:p>
      <w:pPr>
        <w:pStyle w:val="BodyText"/>
        <w:spacing w:before="8"/>
        <w:jc w:val="left"/>
      </w:pPr>
    </w:p>
    <w:p>
      <w:pPr>
        <w:pStyle w:val="ListParagraph"/>
        <w:numPr>
          <w:ilvl w:val="0"/>
          <w:numId w:val="29"/>
        </w:numPr>
        <w:tabs>
          <w:tab w:pos="1408" w:val="left" w:leader="none"/>
        </w:tabs>
        <w:spacing w:line="237" w:lineRule="auto" w:before="0" w:after="0"/>
        <w:ind w:left="1407" w:right="402" w:hanging="360"/>
        <w:jc w:val="both"/>
        <w:rPr>
          <w:sz w:val="16"/>
        </w:rPr>
      </w:pPr>
      <w:r>
        <w:rPr>
          <w:b/>
          <w:i/>
          <w:sz w:val="24"/>
        </w:rPr>
        <w:t>Parādnieka pienākums veikt kreditoriem maksājumus vienas trešdaļas apmērā </w:t>
      </w:r>
      <w:r>
        <w:rPr>
          <w:b/>
          <w:i/>
          <w:sz w:val="24"/>
        </w:rPr>
        <w:t>no ienākumiem</w:t>
      </w:r>
      <w:r>
        <w:rPr>
          <w:b/>
          <w:sz w:val="24"/>
        </w:rPr>
        <w:t>. </w:t>
      </w:r>
      <w:r>
        <w:rPr>
          <w:spacing w:val="-3"/>
          <w:sz w:val="24"/>
        </w:rPr>
        <w:t>LR </w:t>
      </w:r>
      <w:r>
        <w:rPr>
          <w:sz w:val="24"/>
        </w:rPr>
        <w:t>AT Civillietu departaments 2016.gada 28.decembra lēmumā lietā Nr. SPC-21/2016 atzina, ka rajona tiesa pamatoti noraidīja parādnieka pieteikumu par parādnieka saistību dzēšanas procedūras un maksātnespējas procesa izbeigšanu un atbrīvošanu no saistībām, jo parādnieks saistību dzēšanas procedūras laikā kreditoriem nav novirzījis vienu trešdaļu no saviem</w:t>
      </w:r>
      <w:r>
        <w:rPr>
          <w:spacing w:val="-30"/>
          <w:sz w:val="24"/>
        </w:rPr>
        <w:t> </w:t>
      </w:r>
      <w:r>
        <w:rPr>
          <w:sz w:val="24"/>
        </w:rPr>
        <w:t>ienākumiem, bet gan tikai veicis saistību dzēšanas plānā paredzētos maksājumus, lai gan viņa ienākumi (arī pēc nodokļu nomaksas) bijuši lielāki kā plānā</w:t>
      </w:r>
      <w:r>
        <w:rPr>
          <w:spacing w:val="-1"/>
          <w:sz w:val="24"/>
        </w:rPr>
        <w:t> </w:t>
      </w:r>
      <w:r>
        <w:rPr>
          <w:sz w:val="24"/>
        </w:rPr>
        <w:t>norādītie.</w:t>
      </w:r>
      <w:r>
        <w:rPr>
          <w:position w:val="9"/>
          <w:sz w:val="16"/>
        </w:rPr>
        <w:t>133</w:t>
      </w:r>
    </w:p>
    <w:p>
      <w:pPr>
        <w:pStyle w:val="BodyText"/>
        <w:jc w:val="left"/>
        <w:rPr>
          <w:sz w:val="28"/>
        </w:rPr>
      </w:pPr>
    </w:p>
    <w:p>
      <w:pPr>
        <w:pStyle w:val="Heading4"/>
        <w:numPr>
          <w:ilvl w:val="1"/>
          <w:numId w:val="24"/>
        </w:numPr>
        <w:tabs>
          <w:tab w:pos="1342" w:val="left" w:leader="none"/>
        </w:tabs>
        <w:spacing w:line="240" w:lineRule="auto" w:before="234" w:after="0"/>
        <w:ind w:left="1341" w:right="0" w:hanging="362"/>
        <w:jc w:val="left"/>
        <w:rPr>
          <w:i/>
        </w:rPr>
      </w:pPr>
      <w:bookmarkStart w:name="_TOC_250068" w:id="10"/>
      <w:r>
        <w:rPr>
          <w:i/>
        </w:rPr>
        <w:t>Identificētie</w:t>
      </w:r>
      <w:r>
        <w:rPr>
          <w:i/>
          <w:spacing w:val="-4"/>
        </w:rPr>
        <w:t> </w:t>
      </w:r>
      <w:bookmarkEnd w:id="10"/>
      <w:r>
        <w:rPr>
          <w:i/>
        </w:rPr>
        <w:t>problēmjautājumi</w:t>
      </w:r>
    </w:p>
    <w:p>
      <w:pPr>
        <w:pStyle w:val="BodyText"/>
        <w:spacing w:before="7"/>
        <w:jc w:val="left"/>
        <w:rPr>
          <w:b/>
          <w:i/>
          <w:sz w:val="23"/>
        </w:rPr>
      </w:pPr>
    </w:p>
    <w:p>
      <w:pPr>
        <w:pStyle w:val="ListParagraph"/>
        <w:numPr>
          <w:ilvl w:val="0"/>
          <w:numId w:val="30"/>
        </w:numPr>
        <w:tabs>
          <w:tab w:pos="1340" w:val="left" w:leader="none"/>
        </w:tabs>
        <w:spacing w:line="240" w:lineRule="auto" w:before="0" w:after="0"/>
        <w:ind w:left="1340" w:right="401" w:hanging="360"/>
        <w:jc w:val="both"/>
        <w:rPr>
          <w:sz w:val="24"/>
        </w:rPr>
      </w:pPr>
      <w:r>
        <w:rPr>
          <w:b/>
          <w:sz w:val="24"/>
        </w:rPr>
        <w:t>Kreditoru neieinteresētība </w:t>
      </w:r>
      <w:r>
        <w:rPr>
          <w:sz w:val="24"/>
        </w:rPr>
        <w:t>- kreditori neseko parādnieku saistību dzēšanas plānu izpildei (pieteikumus tiesā par saistību dzēšanas plāna nepildīšanu kreditori iesniedz 3 mēnešus līdz 4 gadus pēc tam, kad parādnieks nav uzsācis pildīt vai uzsācis pildīt nepilnīgi plānā norādītās</w:t>
      </w:r>
      <w:r>
        <w:rPr>
          <w:spacing w:val="-2"/>
          <w:sz w:val="24"/>
        </w:rPr>
        <w:t> </w:t>
      </w:r>
      <w:r>
        <w:rPr>
          <w:sz w:val="24"/>
        </w:rPr>
        <w:t>saistības).</w:t>
      </w:r>
    </w:p>
    <w:p>
      <w:pPr>
        <w:pStyle w:val="BodyText"/>
        <w:jc w:val="left"/>
        <w:rPr>
          <w:sz w:val="20"/>
        </w:rPr>
      </w:pPr>
    </w:p>
    <w:p>
      <w:pPr>
        <w:pStyle w:val="BodyText"/>
        <w:jc w:val="left"/>
        <w:rPr>
          <w:sz w:val="20"/>
        </w:rPr>
      </w:pPr>
    </w:p>
    <w:p>
      <w:pPr>
        <w:pStyle w:val="BodyText"/>
        <w:spacing w:before="7"/>
        <w:jc w:val="left"/>
        <w:rPr>
          <w:sz w:val="16"/>
        </w:rPr>
      </w:pPr>
      <w:r>
        <w:rPr/>
        <w:pict>
          <v:shape style="position:absolute;margin-left:90pt;margin-top:11.815365pt;width:144pt;height:.1pt;mso-position-horizontal-relative:page;mso-position-vertical-relative:paragraph;z-index:-251627520;mso-wrap-distance-left:0;mso-wrap-distance-right:0" coordorigin="1800,236" coordsize="2880,0" path="m1800,236l4680,236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132 </w:t>
      </w:r>
      <w:r>
        <w:rPr>
          <w:sz w:val="20"/>
        </w:rPr>
        <w:t>LR AT Civillietu departamenta 2017.gada 16.februāra lēmums lietā Nr. SPC–5/2017</w:t>
      </w:r>
    </w:p>
    <w:p>
      <w:pPr>
        <w:spacing w:line="233" w:lineRule="exact" w:before="0"/>
        <w:ind w:left="620" w:right="0" w:firstLine="0"/>
        <w:jc w:val="left"/>
        <w:rPr>
          <w:sz w:val="20"/>
        </w:rPr>
      </w:pPr>
      <w:r>
        <w:rPr>
          <w:position w:val="7"/>
          <w:sz w:val="13"/>
        </w:rPr>
        <w:t>133 </w:t>
      </w:r>
      <w:r>
        <w:rPr>
          <w:sz w:val="20"/>
        </w:rPr>
        <w:t>LR AT Civillietu departamenta 2016.gada 28.decembra lēmums lietā Nr. SPC-21/2016</w:t>
      </w:r>
    </w:p>
    <w:p>
      <w:pPr>
        <w:spacing w:after="0" w:line="233" w:lineRule="exact"/>
        <w:jc w:val="left"/>
        <w:rPr>
          <w:sz w:val="20"/>
        </w:rPr>
        <w:sectPr>
          <w:pgSz w:w="11910" w:h="16840"/>
          <w:pgMar w:header="0" w:footer="1055" w:top="1340" w:bottom="1240" w:left="1180" w:right="1040"/>
        </w:sectPr>
      </w:pPr>
    </w:p>
    <w:p>
      <w:pPr>
        <w:pStyle w:val="ListParagraph"/>
        <w:numPr>
          <w:ilvl w:val="0"/>
          <w:numId w:val="30"/>
        </w:numPr>
        <w:tabs>
          <w:tab w:pos="980" w:val="left" w:leader="none"/>
        </w:tabs>
        <w:spacing w:line="240" w:lineRule="auto" w:before="73" w:after="0"/>
        <w:ind w:left="980" w:right="765" w:hanging="360"/>
        <w:jc w:val="both"/>
        <w:rPr>
          <w:sz w:val="24"/>
        </w:rPr>
      </w:pPr>
      <w:r>
        <w:rPr>
          <w:b/>
          <w:sz w:val="24"/>
        </w:rPr>
        <w:t>Procesa ilgais termiņš </w:t>
      </w:r>
      <w:r>
        <w:rPr>
          <w:sz w:val="24"/>
        </w:rPr>
        <w:t>situācijās, kad parādnieks nesniedz pieteikumu tiesā par maksātnespējas</w:t>
      </w:r>
      <w:r>
        <w:rPr>
          <w:spacing w:val="-9"/>
          <w:sz w:val="24"/>
        </w:rPr>
        <w:t> </w:t>
      </w:r>
      <w:r>
        <w:rPr>
          <w:sz w:val="24"/>
        </w:rPr>
        <w:t>procesa</w:t>
      </w:r>
      <w:r>
        <w:rPr>
          <w:spacing w:val="-9"/>
          <w:sz w:val="24"/>
        </w:rPr>
        <w:t> </w:t>
      </w:r>
      <w:r>
        <w:rPr>
          <w:sz w:val="24"/>
        </w:rPr>
        <w:t>izbeigšanu,</w:t>
      </w:r>
      <w:r>
        <w:rPr>
          <w:spacing w:val="-9"/>
          <w:sz w:val="24"/>
        </w:rPr>
        <w:t> </w:t>
      </w:r>
      <w:r>
        <w:rPr>
          <w:sz w:val="24"/>
        </w:rPr>
        <w:t>kreditors</w:t>
      </w:r>
      <w:r>
        <w:rPr>
          <w:spacing w:val="-11"/>
          <w:sz w:val="24"/>
        </w:rPr>
        <w:t> </w:t>
      </w:r>
      <w:r>
        <w:rPr>
          <w:sz w:val="24"/>
        </w:rPr>
        <w:t>neinteresējas</w:t>
      </w:r>
      <w:r>
        <w:rPr>
          <w:spacing w:val="-6"/>
          <w:sz w:val="24"/>
        </w:rPr>
        <w:t> </w:t>
      </w:r>
      <w:r>
        <w:rPr>
          <w:sz w:val="24"/>
        </w:rPr>
        <w:t>un</w:t>
      </w:r>
      <w:r>
        <w:rPr>
          <w:spacing w:val="-9"/>
          <w:sz w:val="24"/>
        </w:rPr>
        <w:t> </w:t>
      </w:r>
      <w:r>
        <w:rPr>
          <w:sz w:val="24"/>
        </w:rPr>
        <w:t>administratoram</w:t>
      </w:r>
      <w:r>
        <w:rPr>
          <w:spacing w:val="-9"/>
          <w:sz w:val="24"/>
        </w:rPr>
        <w:t> </w:t>
      </w:r>
      <w:r>
        <w:rPr>
          <w:sz w:val="24"/>
        </w:rPr>
        <w:t>nav informācijas par plāna izpildi. Nav paredzēta konkrēta kārtība, kā un kas rīkojas, termiņam izbeidzoties.</w:t>
      </w:r>
    </w:p>
    <w:p>
      <w:pPr>
        <w:pStyle w:val="BodyText"/>
        <w:jc w:val="left"/>
      </w:pPr>
    </w:p>
    <w:p>
      <w:pPr>
        <w:pStyle w:val="ListParagraph"/>
        <w:numPr>
          <w:ilvl w:val="0"/>
          <w:numId w:val="30"/>
        </w:numPr>
        <w:tabs>
          <w:tab w:pos="980" w:val="left" w:leader="none"/>
        </w:tabs>
        <w:spacing w:line="240" w:lineRule="auto" w:before="0" w:after="0"/>
        <w:ind w:left="980" w:right="0" w:hanging="360"/>
        <w:jc w:val="left"/>
        <w:rPr>
          <w:sz w:val="24"/>
        </w:rPr>
      </w:pPr>
      <w:r>
        <w:rPr>
          <w:sz w:val="24"/>
        </w:rPr>
        <w:t>Nav noteikts efektīvs </w:t>
      </w:r>
      <w:r>
        <w:rPr>
          <w:b/>
          <w:sz w:val="24"/>
        </w:rPr>
        <w:t>plāna izpildes kontroles</w:t>
      </w:r>
      <w:r>
        <w:rPr>
          <w:b/>
          <w:spacing w:val="-8"/>
          <w:sz w:val="24"/>
        </w:rPr>
        <w:t> </w:t>
      </w:r>
      <w:r>
        <w:rPr>
          <w:b/>
          <w:sz w:val="24"/>
        </w:rPr>
        <w:t>mehānisms</w:t>
      </w:r>
      <w:r>
        <w:rPr>
          <w:sz w:val="24"/>
        </w:rPr>
        <w:t>.</w:t>
      </w:r>
    </w:p>
    <w:p>
      <w:pPr>
        <w:pStyle w:val="BodyText"/>
        <w:jc w:val="left"/>
      </w:pPr>
    </w:p>
    <w:p>
      <w:pPr>
        <w:pStyle w:val="ListParagraph"/>
        <w:numPr>
          <w:ilvl w:val="0"/>
          <w:numId w:val="30"/>
        </w:numPr>
        <w:tabs>
          <w:tab w:pos="980" w:val="left" w:leader="none"/>
        </w:tabs>
        <w:spacing w:line="240" w:lineRule="auto" w:before="0" w:after="0"/>
        <w:ind w:left="980" w:right="763" w:hanging="360"/>
        <w:jc w:val="both"/>
        <w:rPr>
          <w:sz w:val="24"/>
        </w:rPr>
      </w:pPr>
      <w:r>
        <w:rPr>
          <w:b/>
          <w:sz w:val="24"/>
        </w:rPr>
        <w:t>Tiesas kompetence</w:t>
      </w:r>
      <w:r>
        <w:rPr>
          <w:sz w:val="24"/>
        </w:rPr>
        <w:t>. Nav konsekvences jautājumā par to, kā jārīkojas tiesai, ja</w:t>
      </w:r>
      <w:r>
        <w:rPr>
          <w:spacing w:val="-25"/>
          <w:sz w:val="24"/>
        </w:rPr>
        <w:t> </w:t>
      </w:r>
      <w:r>
        <w:rPr>
          <w:sz w:val="24"/>
        </w:rPr>
        <w:t>nav saņemti kreditoru vai administratora iebildumi - vai tiesai plāna izpilde ir jāvērtē formāli (maksājumi norādītajā apmērā ir veikti) vai detalizēti jāvērtē maksājumu veikšanu noteiktajos termiņos utt., reizēm izbeidzot procesu parādnieka nebūtisku kļūdu vai pārpratumu</w:t>
      </w:r>
      <w:r>
        <w:rPr>
          <w:spacing w:val="-1"/>
          <w:sz w:val="24"/>
        </w:rPr>
        <w:t> </w:t>
      </w:r>
      <w:r>
        <w:rPr>
          <w:sz w:val="24"/>
        </w:rPr>
        <w:t>dēļ.</w:t>
      </w:r>
    </w:p>
    <w:p>
      <w:pPr>
        <w:pStyle w:val="BodyText"/>
        <w:jc w:val="left"/>
      </w:pPr>
    </w:p>
    <w:p>
      <w:pPr>
        <w:pStyle w:val="ListParagraph"/>
        <w:numPr>
          <w:ilvl w:val="0"/>
          <w:numId w:val="30"/>
        </w:numPr>
        <w:tabs>
          <w:tab w:pos="980" w:val="left" w:leader="none"/>
        </w:tabs>
        <w:spacing w:line="240" w:lineRule="auto" w:before="1" w:after="0"/>
        <w:ind w:left="980" w:right="761" w:hanging="360"/>
        <w:jc w:val="both"/>
        <w:rPr>
          <w:sz w:val="24"/>
        </w:rPr>
      </w:pPr>
      <w:r>
        <w:rPr>
          <w:b/>
          <w:sz w:val="24"/>
        </w:rPr>
        <w:t>Minimālās algas pieaugums</w:t>
      </w:r>
      <w:r>
        <w:rPr>
          <w:sz w:val="24"/>
        </w:rPr>
        <w:t>. Parādnieks nereti nepareizi interpretē plānā un likumā noteikto pienākumu maksāt 1/3 no minimālās algas, uzskatot, ka </w:t>
      </w:r>
      <w:r>
        <w:rPr>
          <w:spacing w:val="-6"/>
          <w:sz w:val="24"/>
        </w:rPr>
        <w:t>tā </w:t>
      </w:r>
      <w:r>
        <w:rPr>
          <w:sz w:val="24"/>
        </w:rPr>
        <w:t>nosakāma saistību dzēšanas plāna apstiprināšanas brīdī, nevis tieši maksājuma veikšanas</w:t>
      </w:r>
      <w:r>
        <w:rPr>
          <w:spacing w:val="-3"/>
          <w:sz w:val="24"/>
        </w:rPr>
        <w:t> </w:t>
      </w:r>
      <w:r>
        <w:rPr>
          <w:sz w:val="24"/>
        </w:rPr>
        <w:t>brīdī.</w:t>
      </w:r>
    </w:p>
    <w:p>
      <w:pPr>
        <w:pStyle w:val="BodyText"/>
        <w:spacing w:before="11"/>
        <w:jc w:val="left"/>
        <w:rPr>
          <w:sz w:val="23"/>
        </w:rPr>
      </w:pPr>
    </w:p>
    <w:p>
      <w:pPr>
        <w:pStyle w:val="ListParagraph"/>
        <w:numPr>
          <w:ilvl w:val="0"/>
          <w:numId w:val="30"/>
        </w:numPr>
        <w:tabs>
          <w:tab w:pos="980" w:val="left" w:leader="none"/>
        </w:tabs>
        <w:spacing w:line="240" w:lineRule="auto" w:before="0" w:after="0"/>
        <w:ind w:left="980" w:right="766" w:hanging="360"/>
        <w:jc w:val="both"/>
        <w:rPr>
          <w:sz w:val="24"/>
        </w:rPr>
      </w:pPr>
      <w:r>
        <w:rPr>
          <w:sz w:val="24"/>
        </w:rPr>
        <w:t>Parādnieks saistību dzēšanas procedūras laikā </w:t>
      </w:r>
      <w:r>
        <w:rPr>
          <w:b/>
          <w:sz w:val="24"/>
        </w:rPr>
        <w:t>nesadarbojas </w:t>
      </w:r>
      <w:r>
        <w:rPr>
          <w:sz w:val="24"/>
        </w:rPr>
        <w:t>ar administratoru, tiesu, kreditoriem, neatbild uz pieprasījumiem utt.</w:t>
      </w:r>
    </w:p>
    <w:p>
      <w:pPr>
        <w:pStyle w:val="BodyText"/>
        <w:jc w:val="left"/>
      </w:pPr>
    </w:p>
    <w:p>
      <w:pPr>
        <w:pStyle w:val="ListParagraph"/>
        <w:numPr>
          <w:ilvl w:val="0"/>
          <w:numId w:val="30"/>
        </w:numPr>
        <w:tabs>
          <w:tab w:pos="980" w:val="left" w:leader="none"/>
        </w:tabs>
        <w:spacing w:line="240" w:lineRule="auto" w:before="0" w:after="0"/>
        <w:ind w:left="980" w:right="764" w:hanging="360"/>
        <w:jc w:val="both"/>
        <w:rPr>
          <w:sz w:val="24"/>
        </w:rPr>
      </w:pPr>
      <w:r>
        <w:rPr>
          <w:sz w:val="24"/>
        </w:rPr>
        <w:t>Tiesa konstatējusi, ka gadījumā, ja parādnieka vietā maksājumus veic cita</w:t>
      </w:r>
      <w:r>
        <w:rPr>
          <w:spacing w:val="-21"/>
          <w:sz w:val="24"/>
        </w:rPr>
        <w:t> </w:t>
      </w:r>
      <w:r>
        <w:rPr>
          <w:sz w:val="24"/>
        </w:rPr>
        <w:t>persona, ir konstatējams Maksātnespējas likuma 153.pantā noteiktais ierobežojums </w:t>
      </w:r>
      <w:r>
        <w:rPr>
          <w:spacing w:val="-3"/>
          <w:sz w:val="24"/>
        </w:rPr>
        <w:t>(drīzāk </w:t>
      </w:r>
      <w:r>
        <w:rPr>
          <w:sz w:val="24"/>
        </w:rPr>
        <w:t>varētu būt runa par plāna nepildīšanu vai par atbilstošu ziņu nenorādīšanu</w:t>
      </w:r>
      <w:r>
        <w:rPr>
          <w:spacing w:val="-7"/>
          <w:sz w:val="24"/>
        </w:rPr>
        <w:t> </w:t>
      </w:r>
      <w:r>
        <w:rPr>
          <w:sz w:val="24"/>
        </w:rPr>
        <w:t>plānā).</w:t>
      </w:r>
    </w:p>
    <w:p>
      <w:pPr>
        <w:pStyle w:val="BodyText"/>
        <w:jc w:val="left"/>
      </w:pPr>
    </w:p>
    <w:p>
      <w:pPr>
        <w:pStyle w:val="ListParagraph"/>
        <w:numPr>
          <w:ilvl w:val="0"/>
          <w:numId w:val="30"/>
        </w:numPr>
        <w:tabs>
          <w:tab w:pos="980" w:val="left" w:leader="none"/>
        </w:tabs>
        <w:spacing w:line="240" w:lineRule="auto" w:before="0" w:after="0"/>
        <w:ind w:left="980" w:right="763" w:hanging="360"/>
        <w:jc w:val="both"/>
        <w:rPr>
          <w:sz w:val="24"/>
        </w:rPr>
      </w:pPr>
      <w:r>
        <w:rPr>
          <w:sz w:val="24"/>
        </w:rPr>
        <w:t>Līdzīgi ar citu parādniekam noteikto pienākumu neizpildi, piemēram, jaunas parādsaistības uzņemšanās bez administratora piekrišanas, maksātnespējas</w:t>
      </w:r>
      <w:r>
        <w:rPr>
          <w:spacing w:val="-21"/>
          <w:sz w:val="24"/>
        </w:rPr>
        <w:t> </w:t>
      </w:r>
      <w:r>
        <w:rPr>
          <w:sz w:val="24"/>
        </w:rPr>
        <w:t>procesa izmaksu</w:t>
      </w:r>
      <w:r>
        <w:rPr>
          <w:spacing w:val="-9"/>
          <w:sz w:val="24"/>
        </w:rPr>
        <w:t> </w:t>
      </w:r>
      <w:r>
        <w:rPr>
          <w:sz w:val="24"/>
        </w:rPr>
        <w:t>segšanas</w:t>
      </w:r>
      <w:r>
        <w:rPr>
          <w:spacing w:val="-11"/>
          <w:sz w:val="24"/>
        </w:rPr>
        <w:t> </w:t>
      </w:r>
      <w:r>
        <w:rPr>
          <w:sz w:val="24"/>
        </w:rPr>
        <w:t>pienākuma</w:t>
      </w:r>
      <w:r>
        <w:rPr>
          <w:spacing w:val="-11"/>
          <w:sz w:val="24"/>
        </w:rPr>
        <w:t> </w:t>
      </w:r>
      <w:r>
        <w:rPr>
          <w:sz w:val="24"/>
        </w:rPr>
        <w:t>neizpilde.</w:t>
      </w:r>
      <w:r>
        <w:rPr>
          <w:spacing w:val="-11"/>
          <w:sz w:val="24"/>
        </w:rPr>
        <w:t> </w:t>
      </w:r>
      <w:r>
        <w:rPr>
          <w:sz w:val="24"/>
        </w:rPr>
        <w:t>Šādos</w:t>
      </w:r>
      <w:r>
        <w:rPr>
          <w:spacing w:val="-9"/>
          <w:sz w:val="24"/>
        </w:rPr>
        <w:t> </w:t>
      </w:r>
      <w:r>
        <w:rPr>
          <w:sz w:val="24"/>
        </w:rPr>
        <w:t>gadījumos</w:t>
      </w:r>
      <w:r>
        <w:rPr>
          <w:spacing w:val="-9"/>
          <w:sz w:val="24"/>
        </w:rPr>
        <w:t> </w:t>
      </w:r>
      <w:r>
        <w:rPr>
          <w:sz w:val="24"/>
        </w:rPr>
        <w:t>tiesai</w:t>
      </w:r>
      <w:r>
        <w:rPr>
          <w:spacing w:val="-11"/>
          <w:sz w:val="24"/>
        </w:rPr>
        <w:t> </w:t>
      </w:r>
      <w:r>
        <w:rPr>
          <w:sz w:val="24"/>
        </w:rPr>
        <w:t>un</w:t>
      </w:r>
      <w:r>
        <w:rPr>
          <w:spacing w:val="-9"/>
          <w:sz w:val="24"/>
        </w:rPr>
        <w:t> </w:t>
      </w:r>
      <w:r>
        <w:rPr>
          <w:sz w:val="24"/>
        </w:rPr>
        <w:t>administratoram papildus jāpierāda, ka attiecīgā pārkāpuma izdarīšana būtiski apgrūtina maksātnespējas procesa efektīvu</w:t>
      </w:r>
      <w:r>
        <w:rPr>
          <w:spacing w:val="1"/>
          <w:sz w:val="24"/>
        </w:rPr>
        <w:t> </w:t>
      </w:r>
      <w:r>
        <w:rPr>
          <w:sz w:val="24"/>
        </w:rPr>
        <w:t>norisi.</w:t>
      </w:r>
    </w:p>
    <w:p>
      <w:pPr>
        <w:pStyle w:val="BodyText"/>
        <w:jc w:val="left"/>
      </w:pPr>
    </w:p>
    <w:p>
      <w:pPr>
        <w:pStyle w:val="ListParagraph"/>
        <w:numPr>
          <w:ilvl w:val="0"/>
          <w:numId w:val="30"/>
        </w:numPr>
        <w:tabs>
          <w:tab w:pos="980" w:val="left" w:leader="none"/>
        </w:tabs>
        <w:spacing w:line="240" w:lineRule="auto" w:before="0" w:after="0"/>
        <w:ind w:left="980" w:right="761" w:hanging="360"/>
        <w:jc w:val="both"/>
        <w:rPr>
          <w:sz w:val="24"/>
        </w:rPr>
      </w:pPr>
      <w:r>
        <w:rPr>
          <w:sz w:val="24"/>
        </w:rPr>
        <w:t>Mainīgu ikmēneša ienākumu gadījumā, vai arī - ja ir daudz kreditori, ik mēnesi jāveic sarežģīts aprēķins vai ekonomiski neattaisnoti maksājumi (bankas komisijas maksājums ir lielāks par kreditoram maksājamo summu). Respektīvi nav pieļauta iespēja mainīgu ienākumu gadījumā, maksāt vidēju maksājumu, reizi, piemēram, ceturksnī / pusgadā, maksājumus izlīdzinot un veicot attiecīgās piemaksas, kā arī nav pieļauta iespēja apvienot vienā maksājumā salīdzinoši mazos</w:t>
      </w:r>
      <w:r>
        <w:rPr>
          <w:spacing w:val="-2"/>
          <w:sz w:val="24"/>
        </w:rPr>
        <w:t> </w:t>
      </w:r>
      <w:r>
        <w:rPr>
          <w:sz w:val="24"/>
        </w:rPr>
        <w:t>maksājumus.</w:t>
      </w:r>
    </w:p>
    <w:p>
      <w:pPr>
        <w:spacing w:after="0" w:line="240" w:lineRule="auto"/>
        <w:jc w:val="both"/>
        <w:rPr>
          <w:sz w:val="24"/>
        </w:rPr>
        <w:sectPr>
          <w:footerReference w:type="even" r:id="rId33"/>
          <w:footerReference w:type="default" r:id="rId34"/>
          <w:pgSz w:w="11910" w:h="16840"/>
          <w:pgMar w:footer="1055" w:header="0" w:top="1340" w:bottom="1240" w:left="1180" w:right="1040"/>
          <w:pgNumType w:start="50"/>
        </w:sectPr>
      </w:pPr>
    </w:p>
    <w:p>
      <w:pPr>
        <w:pStyle w:val="Heading2"/>
        <w:numPr>
          <w:ilvl w:val="0"/>
          <w:numId w:val="7"/>
        </w:numPr>
        <w:tabs>
          <w:tab w:pos="1700" w:val="left" w:leader="none"/>
        </w:tabs>
        <w:spacing w:line="240" w:lineRule="auto" w:before="59" w:after="0"/>
        <w:ind w:left="1762" w:right="767" w:hanging="423"/>
        <w:jc w:val="left"/>
      </w:pPr>
      <w:r>
        <w:rPr/>
        <w:t>Tiesu nolēmumi, ar kuriem maksātnespējas process izbeigts, dzēšot saistību dzēšanas procedūras </w:t>
      </w:r>
      <w:r>
        <w:rPr>
          <w:spacing w:val="-3"/>
        </w:rPr>
        <w:t>laikā </w:t>
      </w:r>
      <w:r>
        <w:rPr/>
        <w:t>nesegtās</w:t>
      </w:r>
      <w:r>
        <w:rPr>
          <w:spacing w:val="10"/>
        </w:rPr>
        <w:t> </w:t>
      </w:r>
      <w:r>
        <w:rPr/>
        <w:t>saistības</w:t>
      </w:r>
    </w:p>
    <w:p>
      <w:pPr>
        <w:pStyle w:val="BodyText"/>
        <w:jc w:val="left"/>
        <w:rPr>
          <w:b/>
          <w:sz w:val="30"/>
        </w:rPr>
      </w:pPr>
    </w:p>
    <w:p>
      <w:pPr>
        <w:pStyle w:val="Heading4"/>
        <w:numPr>
          <w:ilvl w:val="1"/>
          <w:numId w:val="31"/>
        </w:numPr>
        <w:tabs>
          <w:tab w:pos="1342" w:val="left" w:leader="none"/>
        </w:tabs>
        <w:spacing w:line="240" w:lineRule="auto" w:before="205" w:after="0"/>
        <w:ind w:left="1341" w:right="0" w:hanging="362"/>
        <w:jc w:val="left"/>
        <w:rPr>
          <w:i/>
        </w:rPr>
      </w:pPr>
      <w:bookmarkStart w:name="_TOC_250067" w:id="11"/>
      <w:r>
        <w:rPr>
          <w:i/>
        </w:rPr>
        <w:t>Periods no 2010.gada 1.novembra līdz 2015.gada</w:t>
      </w:r>
      <w:r>
        <w:rPr>
          <w:i/>
          <w:spacing w:val="-1"/>
        </w:rPr>
        <w:t> </w:t>
      </w:r>
      <w:bookmarkEnd w:id="11"/>
      <w:r>
        <w:rPr>
          <w:i/>
        </w:rPr>
        <w:t>28.februārim</w:t>
      </w:r>
    </w:p>
    <w:p>
      <w:pPr>
        <w:pStyle w:val="BodyText"/>
        <w:spacing w:before="7"/>
        <w:jc w:val="left"/>
        <w:rPr>
          <w:b/>
          <w:i/>
          <w:sz w:val="23"/>
        </w:rPr>
      </w:pPr>
    </w:p>
    <w:p>
      <w:pPr>
        <w:pStyle w:val="ListParagraph"/>
        <w:numPr>
          <w:ilvl w:val="2"/>
          <w:numId w:val="31"/>
        </w:numPr>
        <w:tabs>
          <w:tab w:pos="1652" w:val="left" w:leader="none"/>
        </w:tabs>
        <w:spacing w:line="240" w:lineRule="auto" w:before="0" w:after="0"/>
        <w:ind w:left="620" w:right="404" w:firstLine="720"/>
        <w:jc w:val="both"/>
        <w:rPr>
          <w:sz w:val="24"/>
        </w:rPr>
      </w:pPr>
      <w:r>
        <w:rPr>
          <w:b/>
          <w:i/>
          <w:sz w:val="24"/>
        </w:rPr>
        <w:t>Tiesu nolēmumu rezolutīvā daļa. </w:t>
      </w:r>
      <w:r>
        <w:rPr>
          <w:sz w:val="24"/>
        </w:rPr>
        <w:t>Minētajā laika periodā ir konstatējams, ka būtiski atšķiras tas, ko tiesas norāda nolēmumu rezolutīvajā daļā, lemjot par saistību dzēšanu, un</w:t>
      </w:r>
      <w:r>
        <w:rPr>
          <w:spacing w:val="-1"/>
          <w:sz w:val="24"/>
        </w:rPr>
        <w:t> </w:t>
      </w:r>
      <w:r>
        <w:rPr>
          <w:sz w:val="24"/>
        </w:rPr>
        <w:t>tieši:</w:t>
      </w:r>
    </w:p>
    <w:p>
      <w:pPr>
        <w:pStyle w:val="ListParagraph"/>
        <w:numPr>
          <w:ilvl w:val="0"/>
          <w:numId w:val="32"/>
        </w:numPr>
        <w:tabs>
          <w:tab w:pos="1340" w:val="left" w:leader="none"/>
        </w:tabs>
        <w:spacing w:line="276" w:lineRule="exact" w:before="3" w:after="0"/>
        <w:ind w:left="1340" w:right="403" w:hanging="360"/>
        <w:jc w:val="both"/>
        <w:rPr>
          <w:sz w:val="24"/>
        </w:rPr>
      </w:pPr>
      <w:r>
        <w:rPr>
          <w:sz w:val="24"/>
        </w:rPr>
        <w:t>Pabeigt</w:t>
      </w:r>
      <w:r>
        <w:rPr>
          <w:position w:val="9"/>
          <w:sz w:val="16"/>
        </w:rPr>
        <w:t>134 </w:t>
      </w:r>
      <w:r>
        <w:rPr>
          <w:sz w:val="24"/>
        </w:rPr>
        <w:t>(3 lietās no 21) vai izbeigt</w:t>
      </w:r>
      <w:r>
        <w:rPr>
          <w:position w:val="9"/>
          <w:sz w:val="16"/>
        </w:rPr>
        <w:t>135 </w:t>
      </w:r>
      <w:r>
        <w:rPr>
          <w:sz w:val="24"/>
        </w:rPr>
        <w:t>(18 lietās no 21) saistību dzēšanas procedūru;</w:t>
      </w:r>
    </w:p>
    <w:p>
      <w:pPr>
        <w:pStyle w:val="ListParagraph"/>
        <w:numPr>
          <w:ilvl w:val="0"/>
          <w:numId w:val="32"/>
        </w:numPr>
        <w:tabs>
          <w:tab w:pos="1340" w:val="left" w:leader="none"/>
        </w:tabs>
        <w:spacing w:line="228" w:lineRule="auto" w:before="0" w:after="0"/>
        <w:ind w:left="1340" w:right="401" w:hanging="360"/>
        <w:jc w:val="both"/>
        <w:rPr>
          <w:sz w:val="24"/>
        </w:rPr>
      </w:pPr>
      <w:r>
        <w:rPr>
          <w:sz w:val="24"/>
        </w:rPr>
        <w:t>Dzēst parādnieka saistības</w:t>
      </w:r>
      <w:r>
        <w:rPr>
          <w:position w:val="9"/>
          <w:sz w:val="16"/>
        </w:rPr>
        <w:t>136 </w:t>
      </w:r>
      <w:r>
        <w:rPr>
          <w:sz w:val="24"/>
        </w:rPr>
        <w:t>(14 lietās no 25) vai atbrīvot parādnieku no atlikušajām saistībām</w:t>
      </w:r>
      <w:r>
        <w:rPr>
          <w:position w:val="9"/>
          <w:sz w:val="16"/>
        </w:rPr>
        <w:t>137 </w:t>
      </w:r>
      <w:r>
        <w:rPr>
          <w:sz w:val="24"/>
        </w:rPr>
        <w:t>(8 lietās no</w:t>
      </w:r>
      <w:r>
        <w:rPr>
          <w:spacing w:val="-19"/>
          <w:sz w:val="24"/>
        </w:rPr>
        <w:t> </w:t>
      </w:r>
      <w:r>
        <w:rPr>
          <w:sz w:val="24"/>
        </w:rPr>
        <w:t>25):</w:t>
      </w:r>
    </w:p>
    <w:p>
      <w:pPr>
        <w:pStyle w:val="ListParagraph"/>
        <w:numPr>
          <w:ilvl w:val="1"/>
          <w:numId w:val="32"/>
        </w:numPr>
        <w:tabs>
          <w:tab w:pos="1752" w:val="left" w:leader="none"/>
          <w:tab w:pos="1753" w:val="left" w:leader="none"/>
        </w:tabs>
        <w:spacing w:line="240" w:lineRule="auto" w:before="0" w:after="0"/>
        <w:ind w:left="1752" w:right="404" w:hanging="425"/>
        <w:jc w:val="left"/>
        <w:rPr>
          <w:sz w:val="24"/>
        </w:rPr>
      </w:pPr>
      <w:r>
        <w:rPr>
          <w:sz w:val="24"/>
        </w:rPr>
        <w:t>14 lietās no 25 lēmuma rezolutīvajā daļā tiek uzskaitīti kreditori, pret kuriem saistības tiek</w:t>
      </w:r>
      <w:r>
        <w:rPr>
          <w:spacing w:val="-1"/>
          <w:sz w:val="24"/>
        </w:rPr>
        <w:t> </w:t>
      </w:r>
      <w:r>
        <w:rPr>
          <w:sz w:val="24"/>
        </w:rPr>
        <w:t>dzēstas;</w:t>
      </w:r>
    </w:p>
    <w:p>
      <w:pPr>
        <w:pStyle w:val="ListParagraph"/>
        <w:numPr>
          <w:ilvl w:val="1"/>
          <w:numId w:val="32"/>
        </w:numPr>
        <w:tabs>
          <w:tab w:pos="1752" w:val="left" w:leader="none"/>
          <w:tab w:pos="1753" w:val="left" w:leader="none"/>
        </w:tabs>
        <w:spacing w:line="240" w:lineRule="auto" w:before="0" w:after="0"/>
        <w:ind w:left="1752" w:right="0" w:hanging="426"/>
        <w:jc w:val="left"/>
        <w:rPr>
          <w:sz w:val="24"/>
        </w:rPr>
      </w:pPr>
      <w:r>
        <w:rPr>
          <w:sz w:val="24"/>
        </w:rPr>
        <w:t>12 lietās no 25 tiek norādīts kreditora prasījuma apmērs, kas tiek</w:t>
      </w:r>
      <w:r>
        <w:rPr>
          <w:spacing w:val="-6"/>
          <w:sz w:val="24"/>
        </w:rPr>
        <w:t> </w:t>
      </w:r>
      <w:r>
        <w:rPr>
          <w:sz w:val="24"/>
        </w:rPr>
        <w:t>dzēsts;</w:t>
      </w:r>
    </w:p>
    <w:p>
      <w:pPr>
        <w:pStyle w:val="ListParagraph"/>
        <w:numPr>
          <w:ilvl w:val="1"/>
          <w:numId w:val="32"/>
        </w:numPr>
        <w:tabs>
          <w:tab w:pos="1752" w:val="left" w:leader="none"/>
          <w:tab w:pos="1753" w:val="left" w:leader="none"/>
        </w:tabs>
        <w:spacing w:line="240" w:lineRule="auto" w:before="0" w:after="0"/>
        <w:ind w:left="1752" w:right="0" w:hanging="426"/>
        <w:jc w:val="left"/>
        <w:rPr>
          <w:sz w:val="24"/>
        </w:rPr>
      </w:pPr>
      <w:r>
        <w:rPr>
          <w:sz w:val="24"/>
        </w:rPr>
        <w:t>3 lietās no 25 tiek norādīts kopējais dzēšamo kreditoru prasījumu</w:t>
      </w:r>
      <w:r>
        <w:rPr>
          <w:spacing w:val="-4"/>
          <w:sz w:val="24"/>
        </w:rPr>
        <w:t> </w:t>
      </w:r>
      <w:r>
        <w:rPr>
          <w:sz w:val="24"/>
        </w:rPr>
        <w:t>apmērs;</w:t>
      </w:r>
    </w:p>
    <w:p>
      <w:pPr>
        <w:pStyle w:val="ListParagraph"/>
        <w:numPr>
          <w:ilvl w:val="1"/>
          <w:numId w:val="32"/>
        </w:numPr>
        <w:tabs>
          <w:tab w:pos="1753" w:val="left" w:leader="none"/>
        </w:tabs>
        <w:spacing w:line="240" w:lineRule="auto" w:before="0" w:after="0"/>
        <w:ind w:left="1752" w:right="404" w:hanging="425"/>
        <w:jc w:val="both"/>
        <w:rPr>
          <w:sz w:val="24"/>
        </w:rPr>
      </w:pPr>
      <w:r>
        <w:rPr>
          <w:sz w:val="24"/>
        </w:rPr>
        <w:t>lēmumos lielākoties vispārīgi norādīts, ka tiek dzēstas saistības, kas nav izpildītas</w:t>
      </w:r>
      <w:r>
        <w:rPr>
          <w:spacing w:val="-10"/>
          <w:sz w:val="24"/>
        </w:rPr>
        <w:t> </w:t>
      </w:r>
      <w:r>
        <w:rPr>
          <w:sz w:val="24"/>
        </w:rPr>
        <w:t>saistību</w:t>
      </w:r>
      <w:r>
        <w:rPr>
          <w:spacing w:val="-8"/>
          <w:sz w:val="24"/>
        </w:rPr>
        <w:t> </w:t>
      </w:r>
      <w:r>
        <w:rPr>
          <w:sz w:val="24"/>
        </w:rPr>
        <w:t>dzēšanas</w:t>
      </w:r>
      <w:r>
        <w:rPr>
          <w:spacing w:val="-10"/>
          <w:sz w:val="24"/>
        </w:rPr>
        <w:t> </w:t>
      </w:r>
      <w:r>
        <w:rPr>
          <w:sz w:val="24"/>
        </w:rPr>
        <w:t>procesa</w:t>
      </w:r>
      <w:r>
        <w:rPr>
          <w:spacing w:val="-10"/>
          <w:sz w:val="24"/>
        </w:rPr>
        <w:t> </w:t>
      </w:r>
      <w:r>
        <w:rPr>
          <w:sz w:val="24"/>
        </w:rPr>
        <w:t>laikā,</w:t>
      </w:r>
      <w:r>
        <w:rPr>
          <w:spacing w:val="-8"/>
          <w:sz w:val="24"/>
        </w:rPr>
        <w:t> </w:t>
      </w:r>
      <w:r>
        <w:rPr>
          <w:sz w:val="24"/>
        </w:rPr>
        <w:t>vai</w:t>
      </w:r>
      <w:r>
        <w:rPr>
          <w:spacing w:val="-8"/>
          <w:sz w:val="24"/>
        </w:rPr>
        <w:t> </w:t>
      </w:r>
      <w:r>
        <w:rPr>
          <w:sz w:val="24"/>
        </w:rPr>
        <w:t>tiek</w:t>
      </w:r>
      <w:r>
        <w:rPr>
          <w:spacing w:val="-3"/>
          <w:sz w:val="24"/>
        </w:rPr>
        <w:t> </w:t>
      </w:r>
      <w:r>
        <w:rPr>
          <w:sz w:val="24"/>
        </w:rPr>
        <w:t>dzēstas</w:t>
      </w:r>
      <w:r>
        <w:rPr>
          <w:spacing w:val="-8"/>
          <w:sz w:val="24"/>
        </w:rPr>
        <w:t> </w:t>
      </w:r>
      <w:r>
        <w:rPr>
          <w:sz w:val="24"/>
        </w:rPr>
        <w:t>saistības</w:t>
      </w:r>
      <w:r>
        <w:rPr>
          <w:spacing w:val="-10"/>
          <w:sz w:val="24"/>
        </w:rPr>
        <w:t> </w:t>
      </w:r>
      <w:r>
        <w:rPr>
          <w:sz w:val="24"/>
        </w:rPr>
        <w:t>/</w:t>
      </w:r>
      <w:r>
        <w:rPr>
          <w:spacing w:val="-5"/>
          <w:sz w:val="24"/>
        </w:rPr>
        <w:t> </w:t>
      </w:r>
      <w:r>
        <w:rPr>
          <w:sz w:val="24"/>
        </w:rPr>
        <w:t>parādnieks atbrīvots no saistībām, kas norādītas parādnieka saistību dzēšanas plānā</w:t>
      </w:r>
      <w:r>
        <w:rPr>
          <w:spacing w:val="-34"/>
          <w:sz w:val="24"/>
        </w:rPr>
        <w:t> </w:t>
      </w:r>
      <w:r>
        <w:rPr>
          <w:sz w:val="24"/>
        </w:rPr>
        <w:t>(plāna datums vai tā apstiprināšanas datums tiesā norādīts vien 6 lietās no</w:t>
      </w:r>
      <w:r>
        <w:rPr>
          <w:spacing w:val="-7"/>
          <w:sz w:val="24"/>
        </w:rPr>
        <w:t> </w:t>
      </w:r>
      <w:r>
        <w:rPr>
          <w:sz w:val="24"/>
        </w:rPr>
        <w:t>25);</w:t>
      </w:r>
    </w:p>
    <w:p>
      <w:pPr>
        <w:pStyle w:val="ListParagraph"/>
        <w:numPr>
          <w:ilvl w:val="0"/>
          <w:numId w:val="32"/>
        </w:numPr>
        <w:tabs>
          <w:tab w:pos="1340" w:val="left" w:leader="none"/>
        </w:tabs>
        <w:spacing w:line="240" w:lineRule="auto" w:before="0" w:after="0"/>
        <w:ind w:left="1340" w:right="403" w:hanging="360"/>
        <w:jc w:val="both"/>
        <w:rPr>
          <w:sz w:val="24"/>
        </w:rPr>
      </w:pPr>
      <w:r>
        <w:rPr>
          <w:sz w:val="24"/>
        </w:rPr>
        <w:t>Atbrīvot parādnieku no mantas pārdošanas un kreditoru prasījumu apmierināšanas plānā norādītajām atlikušajām saistībām (4 lietās, kas bija uzsāktas un nebija izbeigtas līdz 2010.gada</w:t>
      </w:r>
      <w:r>
        <w:rPr>
          <w:spacing w:val="2"/>
          <w:sz w:val="24"/>
        </w:rPr>
        <w:t> </w:t>
      </w:r>
      <w:r>
        <w:rPr>
          <w:sz w:val="24"/>
        </w:rPr>
        <w:t>31.oktobrim);</w:t>
      </w:r>
    </w:p>
    <w:p>
      <w:pPr>
        <w:pStyle w:val="ListParagraph"/>
        <w:numPr>
          <w:ilvl w:val="0"/>
          <w:numId w:val="32"/>
        </w:numPr>
        <w:tabs>
          <w:tab w:pos="1340" w:val="left" w:leader="none"/>
        </w:tabs>
        <w:spacing w:line="237" w:lineRule="auto" w:before="0" w:after="0"/>
        <w:ind w:left="1340" w:right="400" w:hanging="360"/>
        <w:jc w:val="both"/>
        <w:rPr>
          <w:sz w:val="16"/>
        </w:rPr>
      </w:pPr>
      <w:r>
        <w:rPr>
          <w:sz w:val="24"/>
        </w:rPr>
        <w:t>Izbeigt saistību dzēšanas procesa laikā nedzēsto saistību piedziņu apturētās izpildu lietvedībās</w:t>
      </w:r>
      <w:r>
        <w:rPr>
          <w:position w:val="9"/>
          <w:sz w:val="16"/>
        </w:rPr>
        <w:t>138</w:t>
      </w:r>
      <w:r>
        <w:rPr>
          <w:spacing w:val="8"/>
          <w:position w:val="9"/>
          <w:sz w:val="16"/>
        </w:rPr>
        <w:t> </w:t>
      </w:r>
      <w:r>
        <w:rPr>
          <w:sz w:val="24"/>
        </w:rPr>
        <w:t>(6</w:t>
      </w:r>
      <w:r>
        <w:rPr>
          <w:spacing w:val="-13"/>
          <w:sz w:val="24"/>
        </w:rPr>
        <w:t> </w:t>
      </w:r>
      <w:r>
        <w:rPr>
          <w:sz w:val="24"/>
        </w:rPr>
        <w:t>lietās</w:t>
      </w:r>
      <w:r>
        <w:rPr>
          <w:spacing w:val="-12"/>
          <w:sz w:val="24"/>
        </w:rPr>
        <w:t> </w:t>
      </w:r>
      <w:r>
        <w:rPr>
          <w:sz w:val="24"/>
        </w:rPr>
        <w:t>no</w:t>
      </w:r>
      <w:r>
        <w:rPr>
          <w:spacing w:val="-13"/>
          <w:sz w:val="24"/>
        </w:rPr>
        <w:t> </w:t>
      </w:r>
      <w:r>
        <w:rPr>
          <w:sz w:val="24"/>
        </w:rPr>
        <w:t>25).</w:t>
      </w:r>
      <w:r>
        <w:rPr>
          <w:spacing w:val="-16"/>
          <w:sz w:val="24"/>
        </w:rPr>
        <w:t> </w:t>
      </w:r>
      <w:r>
        <w:rPr>
          <w:sz w:val="24"/>
        </w:rPr>
        <w:t>Piemēram,</w:t>
      </w:r>
      <w:r>
        <w:rPr>
          <w:spacing w:val="-12"/>
          <w:sz w:val="24"/>
        </w:rPr>
        <w:t> </w:t>
      </w:r>
      <w:r>
        <w:rPr>
          <w:sz w:val="24"/>
        </w:rPr>
        <w:t>Rīgas</w:t>
      </w:r>
      <w:r>
        <w:rPr>
          <w:spacing w:val="-16"/>
          <w:sz w:val="24"/>
        </w:rPr>
        <w:t> </w:t>
      </w:r>
      <w:r>
        <w:rPr>
          <w:sz w:val="24"/>
        </w:rPr>
        <w:t>pilsētas</w:t>
      </w:r>
      <w:r>
        <w:rPr>
          <w:spacing w:val="-11"/>
          <w:sz w:val="24"/>
        </w:rPr>
        <w:t> </w:t>
      </w:r>
      <w:r>
        <w:rPr>
          <w:sz w:val="24"/>
        </w:rPr>
        <w:t>Latgales</w:t>
      </w:r>
      <w:r>
        <w:rPr>
          <w:spacing w:val="-15"/>
          <w:sz w:val="24"/>
        </w:rPr>
        <w:t> </w:t>
      </w:r>
      <w:r>
        <w:rPr>
          <w:sz w:val="24"/>
        </w:rPr>
        <w:t>priekšpilsētas</w:t>
      </w:r>
      <w:r>
        <w:rPr>
          <w:spacing w:val="-13"/>
          <w:sz w:val="24"/>
        </w:rPr>
        <w:t> </w:t>
      </w:r>
      <w:r>
        <w:rPr>
          <w:sz w:val="24"/>
        </w:rPr>
        <w:t>tiesa 2015.gada 12.februāra nolēmumā lietā Nr.C29555212 norādījusi: “Ievērojot fiziskas personas maksātnespējas procesa mērķi - pēc iespējas pilnīgāk apmierināt kreditoru</w:t>
      </w:r>
      <w:r>
        <w:rPr>
          <w:spacing w:val="-14"/>
          <w:sz w:val="24"/>
        </w:rPr>
        <w:t> </w:t>
      </w:r>
      <w:r>
        <w:rPr>
          <w:sz w:val="24"/>
        </w:rPr>
        <w:t>prasījumus</w:t>
      </w:r>
      <w:r>
        <w:rPr>
          <w:spacing w:val="-11"/>
          <w:sz w:val="24"/>
        </w:rPr>
        <w:t> </w:t>
      </w:r>
      <w:r>
        <w:rPr>
          <w:sz w:val="24"/>
        </w:rPr>
        <w:t>no</w:t>
      </w:r>
      <w:r>
        <w:rPr>
          <w:spacing w:val="-11"/>
          <w:sz w:val="24"/>
        </w:rPr>
        <w:t> </w:t>
      </w:r>
      <w:r>
        <w:rPr>
          <w:sz w:val="24"/>
        </w:rPr>
        <w:t>parādnieka</w:t>
      </w:r>
      <w:r>
        <w:rPr>
          <w:spacing w:val="-11"/>
          <w:sz w:val="24"/>
        </w:rPr>
        <w:t> </w:t>
      </w:r>
      <w:r>
        <w:rPr>
          <w:sz w:val="24"/>
        </w:rPr>
        <w:t>mantas</w:t>
      </w:r>
      <w:r>
        <w:rPr>
          <w:spacing w:val="-14"/>
          <w:sz w:val="24"/>
        </w:rPr>
        <w:t> </w:t>
      </w:r>
      <w:r>
        <w:rPr>
          <w:sz w:val="24"/>
        </w:rPr>
        <w:t>un</w:t>
      </w:r>
      <w:r>
        <w:rPr>
          <w:spacing w:val="-11"/>
          <w:sz w:val="24"/>
        </w:rPr>
        <w:t> </w:t>
      </w:r>
      <w:r>
        <w:rPr>
          <w:sz w:val="24"/>
        </w:rPr>
        <w:t>dot</w:t>
      </w:r>
      <w:r>
        <w:rPr>
          <w:spacing w:val="-9"/>
          <w:sz w:val="24"/>
        </w:rPr>
        <w:t> </w:t>
      </w:r>
      <w:r>
        <w:rPr>
          <w:sz w:val="24"/>
        </w:rPr>
        <w:t>iespēju</w:t>
      </w:r>
      <w:r>
        <w:rPr>
          <w:spacing w:val="-11"/>
          <w:sz w:val="24"/>
        </w:rPr>
        <w:t> </w:t>
      </w:r>
      <w:r>
        <w:rPr>
          <w:sz w:val="24"/>
        </w:rPr>
        <w:t>parādniekam,</w:t>
      </w:r>
      <w:r>
        <w:rPr>
          <w:spacing w:val="-12"/>
          <w:sz w:val="24"/>
        </w:rPr>
        <w:t> </w:t>
      </w:r>
      <w:r>
        <w:rPr>
          <w:sz w:val="24"/>
        </w:rPr>
        <w:t>kura</w:t>
      </w:r>
      <w:r>
        <w:rPr>
          <w:spacing w:val="-10"/>
          <w:sz w:val="24"/>
        </w:rPr>
        <w:t> </w:t>
      </w:r>
      <w:r>
        <w:rPr>
          <w:sz w:val="24"/>
        </w:rPr>
        <w:t>manta vai ienākumi nav pietiekami visu saistību segšanai, tikt atbrīvotam no neizpildītajām saistībām un atjaunot maksātspēju, tiesa atzīst, ka ir tiesisks pamats atbrīvot parādnieku no visām atlikušajām saistību dzēšanas plānā norādītajām saistībām, kas nav izpildītas saistību dzēšanas procedūras laikā, izbeidzot apturēto izpildu lietvedību par dzēsto saistību</w:t>
      </w:r>
      <w:r>
        <w:rPr>
          <w:spacing w:val="-1"/>
          <w:sz w:val="24"/>
        </w:rPr>
        <w:t> </w:t>
      </w:r>
      <w:r>
        <w:rPr>
          <w:sz w:val="24"/>
        </w:rPr>
        <w:t>piedziņu.”</w:t>
      </w:r>
      <w:r>
        <w:rPr>
          <w:position w:val="9"/>
          <w:sz w:val="16"/>
        </w:rPr>
        <w:t>139</w:t>
      </w:r>
    </w:p>
    <w:p>
      <w:pPr>
        <w:pStyle w:val="ListParagraph"/>
        <w:numPr>
          <w:ilvl w:val="0"/>
          <w:numId w:val="32"/>
        </w:numPr>
        <w:tabs>
          <w:tab w:pos="1340" w:val="left" w:leader="none"/>
        </w:tabs>
        <w:spacing w:line="240" w:lineRule="auto" w:before="0" w:after="0"/>
        <w:ind w:left="1340" w:right="401" w:hanging="360"/>
        <w:jc w:val="both"/>
        <w:rPr>
          <w:sz w:val="24"/>
        </w:rPr>
      </w:pPr>
      <w:r>
        <w:rPr>
          <w:sz w:val="24"/>
        </w:rPr>
        <w:t>Lūgums par zvērināta tiesu izpildītāja lietvedībā esošās izpildu lietas izbeigšanu noraidīts (3 lietās no 25). Piemēram, Ogres rajona tiesa 2014.gada 4.decembra nolēmumā lietā Nr.C24122109 secinājusi, ka tiesības izbeigt izpildu lietvedību ir tam tiesu izpildītājam, kura lietvedībā atrodas pieteikumā norādītais izpildu dokuments, pamatojoties uz Civilprocesa likuma 563.panta pirmās daļas</w:t>
      </w:r>
      <w:r>
        <w:rPr>
          <w:spacing w:val="-30"/>
          <w:sz w:val="24"/>
        </w:rPr>
        <w:t> </w:t>
      </w:r>
      <w:r>
        <w:rPr>
          <w:sz w:val="24"/>
        </w:rPr>
        <w:t>10.punktā un 564.panta pirmajā daļā noteikto, ka izpildu lietvedību pēc ieinteresētās</w:t>
      </w:r>
      <w:r>
        <w:rPr>
          <w:spacing w:val="-43"/>
          <w:sz w:val="24"/>
        </w:rPr>
        <w:t> </w:t>
      </w:r>
      <w:r>
        <w:rPr>
          <w:sz w:val="24"/>
        </w:rPr>
        <w:t>personas lūguma izbeidz tiesu izpildītājs, ja pieņemts tiesas nolēmums par fiziskās personas saistību</w:t>
      </w:r>
      <w:r>
        <w:rPr>
          <w:spacing w:val="18"/>
          <w:sz w:val="24"/>
        </w:rPr>
        <w:t> </w:t>
      </w:r>
      <w:r>
        <w:rPr>
          <w:sz w:val="24"/>
        </w:rPr>
        <w:t>dzēšanas</w:t>
      </w:r>
      <w:r>
        <w:rPr>
          <w:spacing w:val="17"/>
          <w:sz w:val="24"/>
        </w:rPr>
        <w:t> </w:t>
      </w:r>
      <w:r>
        <w:rPr>
          <w:sz w:val="24"/>
        </w:rPr>
        <w:t>procedūras</w:t>
      </w:r>
      <w:r>
        <w:rPr>
          <w:spacing w:val="19"/>
          <w:sz w:val="24"/>
        </w:rPr>
        <w:t> </w:t>
      </w:r>
      <w:r>
        <w:rPr>
          <w:sz w:val="24"/>
        </w:rPr>
        <w:t>izbeigšanu,</w:t>
      </w:r>
      <w:r>
        <w:rPr>
          <w:spacing w:val="20"/>
          <w:sz w:val="24"/>
        </w:rPr>
        <w:t> </w:t>
      </w:r>
      <w:r>
        <w:rPr>
          <w:sz w:val="24"/>
        </w:rPr>
        <w:t>atbrīvojot</w:t>
      </w:r>
      <w:r>
        <w:rPr>
          <w:spacing w:val="21"/>
          <w:sz w:val="24"/>
        </w:rPr>
        <w:t> </w:t>
      </w:r>
      <w:r>
        <w:rPr>
          <w:sz w:val="24"/>
        </w:rPr>
        <w:t>fizisko</w:t>
      </w:r>
      <w:r>
        <w:rPr>
          <w:spacing w:val="19"/>
          <w:sz w:val="24"/>
        </w:rPr>
        <w:t> </w:t>
      </w:r>
      <w:r>
        <w:rPr>
          <w:sz w:val="24"/>
        </w:rPr>
        <w:t>personu</w:t>
      </w:r>
      <w:r>
        <w:rPr>
          <w:spacing w:val="18"/>
          <w:sz w:val="24"/>
        </w:rPr>
        <w:t> </w:t>
      </w:r>
      <w:r>
        <w:rPr>
          <w:sz w:val="24"/>
        </w:rPr>
        <w:t>no</w:t>
      </w:r>
      <w:r>
        <w:rPr>
          <w:spacing w:val="19"/>
          <w:sz w:val="24"/>
        </w:rPr>
        <w:t> </w:t>
      </w:r>
      <w:r>
        <w:rPr>
          <w:sz w:val="24"/>
        </w:rPr>
        <w:t>tās</w:t>
      </w:r>
      <w:r>
        <w:rPr>
          <w:spacing w:val="19"/>
          <w:sz w:val="24"/>
        </w:rPr>
        <w:t> </w:t>
      </w:r>
      <w:r>
        <w:rPr>
          <w:sz w:val="24"/>
        </w:rPr>
        <w:t>parāda</w:t>
      </w:r>
    </w:p>
    <w:p>
      <w:pPr>
        <w:pStyle w:val="BodyText"/>
        <w:jc w:val="left"/>
        <w:rPr>
          <w:sz w:val="20"/>
        </w:rPr>
      </w:pPr>
    </w:p>
    <w:p>
      <w:pPr>
        <w:pStyle w:val="BodyText"/>
        <w:jc w:val="left"/>
      </w:pPr>
      <w:r>
        <w:rPr/>
        <w:pict>
          <v:shape style="position:absolute;margin-left:90pt;margin-top:16.049561pt;width:144pt;height:.1pt;mso-position-horizontal-relative:page;mso-position-vertical-relative:paragraph;z-index:-251626496;mso-wrap-distance-left:0;mso-wrap-distance-right:0" coordorigin="1800,321" coordsize="2880,0" path="m1800,321l4680,321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134 </w:t>
      </w:r>
      <w:r>
        <w:rPr>
          <w:sz w:val="20"/>
        </w:rPr>
        <w:t>Piem., Tukuma rajona tiesas 2015.gada 16.februāra nolēmums lietā Nr. C37100911</w:t>
      </w:r>
    </w:p>
    <w:p>
      <w:pPr>
        <w:spacing w:line="230" w:lineRule="exact" w:before="0"/>
        <w:ind w:left="620" w:right="0" w:firstLine="0"/>
        <w:jc w:val="left"/>
        <w:rPr>
          <w:sz w:val="20"/>
        </w:rPr>
      </w:pPr>
      <w:r>
        <w:rPr>
          <w:position w:val="7"/>
          <w:sz w:val="13"/>
        </w:rPr>
        <w:t>135 </w:t>
      </w:r>
      <w:r>
        <w:rPr>
          <w:sz w:val="20"/>
        </w:rPr>
        <w:t>Piem., Alūksnes rajona tiesas 2014.gada 11.decembra nolēmums lietā Nr. C08013412</w:t>
      </w:r>
    </w:p>
    <w:p>
      <w:pPr>
        <w:spacing w:line="229" w:lineRule="exact" w:before="0"/>
        <w:ind w:left="620" w:right="0" w:firstLine="0"/>
        <w:jc w:val="left"/>
        <w:rPr>
          <w:sz w:val="20"/>
        </w:rPr>
      </w:pPr>
      <w:r>
        <w:rPr>
          <w:position w:val="7"/>
          <w:sz w:val="13"/>
        </w:rPr>
        <w:t>136 </w:t>
      </w:r>
      <w:r>
        <w:rPr>
          <w:sz w:val="20"/>
        </w:rPr>
        <w:t>Piem., Rīgas pilsētas Latgales priekšpilsētas tiesas 2015.gada 13.janvāra nolēmums lietā Nr. C29639012</w:t>
      </w:r>
    </w:p>
    <w:p>
      <w:pPr>
        <w:spacing w:line="240" w:lineRule="auto" w:before="0"/>
        <w:ind w:left="620" w:right="635" w:firstLine="0"/>
        <w:jc w:val="left"/>
        <w:rPr>
          <w:sz w:val="20"/>
        </w:rPr>
      </w:pPr>
      <w:r>
        <w:rPr>
          <w:position w:val="7"/>
          <w:sz w:val="13"/>
        </w:rPr>
        <w:t>137  </w:t>
      </w:r>
      <w:r>
        <w:rPr>
          <w:sz w:val="20"/>
        </w:rPr>
        <w:t>Piem.,  Rīgas  pilsētas  Vidzemes   priekšpilsētas   tiesas   2014.gada   29.decembra   nolēmums   lietā Nr.</w:t>
      </w:r>
      <w:r>
        <w:rPr>
          <w:spacing w:val="-1"/>
          <w:sz w:val="20"/>
        </w:rPr>
        <w:t> </w:t>
      </w:r>
      <w:r>
        <w:rPr>
          <w:sz w:val="20"/>
        </w:rPr>
        <w:t>C30653212</w:t>
      </w:r>
    </w:p>
    <w:p>
      <w:pPr>
        <w:spacing w:line="229" w:lineRule="exact" w:before="0"/>
        <w:ind w:left="620" w:right="0" w:firstLine="0"/>
        <w:jc w:val="left"/>
        <w:rPr>
          <w:sz w:val="20"/>
        </w:rPr>
      </w:pPr>
      <w:r>
        <w:rPr>
          <w:position w:val="7"/>
          <w:sz w:val="13"/>
        </w:rPr>
        <w:t>138 </w:t>
      </w:r>
      <w:r>
        <w:rPr>
          <w:sz w:val="20"/>
        </w:rPr>
        <w:t>Piem., Tukuma rajona tiesas 2015.gada 6.februāra nolēmums lietā Nr. C37132410</w:t>
      </w:r>
    </w:p>
    <w:p>
      <w:pPr>
        <w:spacing w:line="233" w:lineRule="exact" w:before="0"/>
        <w:ind w:left="620" w:right="0" w:firstLine="0"/>
        <w:jc w:val="left"/>
        <w:rPr>
          <w:sz w:val="20"/>
        </w:rPr>
      </w:pPr>
      <w:r>
        <w:rPr>
          <w:position w:val="7"/>
          <w:sz w:val="13"/>
        </w:rPr>
        <w:t>139 </w:t>
      </w:r>
      <w:r>
        <w:rPr>
          <w:sz w:val="20"/>
        </w:rPr>
        <w:t>Rīgas pilsētas Latgales priekšpilsētas tiesas 2015.gada 12.februāra nolēmums lietā Nr. C29555212</w:t>
      </w:r>
    </w:p>
    <w:p>
      <w:pPr>
        <w:spacing w:after="0" w:line="233" w:lineRule="exact"/>
        <w:jc w:val="left"/>
        <w:rPr>
          <w:sz w:val="20"/>
        </w:rPr>
        <w:sectPr>
          <w:pgSz w:w="11910" w:h="16840"/>
          <w:pgMar w:header="0" w:footer="1055" w:top="1360" w:bottom="1240" w:left="1180" w:right="1040"/>
        </w:sectPr>
      </w:pPr>
    </w:p>
    <w:p>
      <w:pPr>
        <w:pStyle w:val="BodyText"/>
        <w:spacing w:line="228" w:lineRule="auto" w:before="84"/>
        <w:ind w:left="980" w:right="762"/>
        <w:rPr>
          <w:sz w:val="16"/>
        </w:rPr>
      </w:pPr>
      <w:r>
        <w:rPr/>
        <w:t>saistībām,</w:t>
      </w:r>
      <w:r>
        <w:rPr>
          <w:spacing w:val="-6"/>
        </w:rPr>
        <w:t> </w:t>
      </w:r>
      <w:r>
        <w:rPr/>
        <w:t>izņemot</w:t>
      </w:r>
      <w:r>
        <w:rPr>
          <w:spacing w:val="-4"/>
        </w:rPr>
        <w:t> </w:t>
      </w:r>
      <w:r>
        <w:rPr/>
        <w:t>izpildu</w:t>
      </w:r>
      <w:r>
        <w:rPr>
          <w:spacing w:val="-5"/>
        </w:rPr>
        <w:t> </w:t>
      </w:r>
      <w:r>
        <w:rPr/>
        <w:t>lietvedību</w:t>
      </w:r>
      <w:r>
        <w:rPr>
          <w:spacing w:val="-6"/>
        </w:rPr>
        <w:t> </w:t>
      </w:r>
      <w:r>
        <w:rPr/>
        <w:t>par</w:t>
      </w:r>
      <w:r>
        <w:rPr>
          <w:spacing w:val="-8"/>
        </w:rPr>
        <w:t> </w:t>
      </w:r>
      <w:r>
        <w:rPr/>
        <w:t>uzturlīdzekļu</w:t>
      </w:r>
      <w:r>
        <w:rPr>
          <w:spacing w:val="-6"/>
        </w:rPr>
        <w:t> </w:t>
      </w:r>
      <w:r>
        <w:rPr/>
        <w:t>piedziņu</w:t>
      </w:r>
      <w:r>
        <w:rPr>
          <w:spacing w:val="-5"/>
        </w:rPr>
        <w:t> </w:t>
      </w:r>
      <w:r>
        <w:rPr/>
        <w:t>un</w:t>
      </w:r>
      <w:r>
        <w:rPr>
          <w:spacing w:val="-6"/>
        </w:rPr>
        <w:t> </w:t>
      </w:r>
      <w:r>
        <w:rPr/>
        <w:t>prasījumiem</w:t>
      </w:r>
      <w:r>
        <w:rPr>
          <w:spacing w:val="-5"/>
        </w:rPr>
        <w:t> </w:t>
      </w:r>
      <w:r>
        <w:rPr/>
        <w:t>no neatļautas darbības.</w:t>
      </w:r>
      <w:r>
        <w:rPr>
          <w:position w:val="9"/>
          <w:sz w:val="16"/>
        </w:rPr>
        <w:t>140</w:t>
      </w:r>
    </w:p>
    <w:p>
      <w:pPr>
        <w:pStyle w:val="ListParagraph"/>
        <w:numPr>
          <w:ilvl w:val="0"/>
          <w:numId w:val="32"/>
        </w:numPr>
        <w:tabs>
          <w:tab w:pos="980" w:val="left" w:leader="none"/>
        </w:tabs>
        <w:spacing w:line="240" w:lineRule="auto" w:before="2" w:after="0"/>
        <w:ind w:left="980" w:right="763" w:hanging="360"/>
        <w:jc w:val="both"/>
        <w:rPr>
          <w:sz w:val="24"/>
        </w:rPr>
      </w:pPr>
      <w:r>
        <w:rPr/>
        <w:pict>
          <v:rect style="position:absolute;margin-left:132.12001pt;margin-top:12.623109pt;width:2.879997pt;height:.599991pt;mso-position-horizontal-relative:page;mso-position-vertical-relative:paragraph;z-index:-262666240" filled="true" fillcolor="#000000" stroked="false">
            <v:fill type="solid"/>
            <w10:wrap type="none"/>
          </v:rect>
        </w:pict>
      </w:r>
      <w:r>
        <w:rPr>
          <w:sz w:val="24"/>
        </w:rPr>
        <w:t>Atzīt, ka maksātnespējīgas fiziskās personas kreditori, kuri līdz saistību dzēšanas plāna sastādīšanai nav pieteikuši savus kreditoru prasījumus, ir zaudējuši savu kreditora statusu un prasījuma tiesības pret parādnieku (1 lietā no 21). Piemēram, Liepājas tiesa 2015.gada 23.februāra nolēmumā lietā Nr. C20310212</w:t>
      </w:r>
      <w:r>
        <w:rPr>
          <w:spacing w:val="-9"/>
          <w:sz w:val="24"/>
        </w:rPr>
        <w:t> </w:t>
      </w:r>
      <w:r>
        <w:rPr>
          <w:sz w:val="24"/>
        </w:rPr>
        <w:t>secinājusi:</w:t>
      </w:r>
    </w:p>
    <w:p>
      <w:pPr>
        <w:pStyle w:val="ListParagraph"/>
        <w:numPr>
          <w:ilvl w:val="1"/>
          <w:numId w:val="32"/>
        </w:numPr>
        <w:tabs>
          <w:tab w:pos="1393" w:val="left" w:leader="none"/>
        </w:tabs>
        <w:spacing w:line="240" w:lineRule="auto" w:before="0" w:after="0"/>
        <w:ind w:left="1392" w:right="763" w:hanging="425"/>
        <w:jc w:val="both"/>
        <w:rPr>
          <w:sz w:val="24"/>
        </w:rPr>
      </w:pPr>
      <w:r>
        <w:rPr>
          <w:sz w:val="24"/>
        </w:rPr>
        <w:t>Tiesa</w:t>
      </w:r>
      <w:r>
        <w:rPr>
          <w:spacing w:val="-9"/>
          <w:sz w:val="24"/>
        </w:rPr>
        <w:t> </w:t>
      </w:r>
      <w:r>
        <w:rPr>
          <w:sz w:val="24"/>
        </w:rPr>
        <w:t>ņem</w:t>
      </w:r>
      <w:r>
        <w:rPr>
          <w:spacing w:val="-6"/>
          <w:sz w:val="24"/>
        </w:rPr>
        <w:t> </w:t>
      </w:r>
      <w:r>
        <w:rPr>
          <w:sz w:val="24"/>
        </w:rPr>
        <w:t>vērā,</w:t>
      </w:r>
      <w:r>
        <w:rPr>
          <w:spacing w:val="-8"/>
          <w:sz w:val="24"/>
        </w:rPr>
        <w:t> </w:t>
      </w:r>
      <w:r>
        <w:rPr>
          <w:sz w:val="24"/>
        </w:rPr>
        <w:t>ka</w:t>
      </w:r>
      <w:r>
        <w:rPr>
          <w:spacing w:val="-6"/>
          <w:sz w:val="24"/>
        </w:rPr>
        <w:t> </w:t>
      </w:r>
      <w:r>
        <w:rPr>
          <w:sz w:val="24"/>
        </w:rPr>
        <w:t>saskaņā</w:t>
      </w:r>
      <w:r>
        <w:rPr>
          <w:spacing w:val="-9"/>
          <w:sz w:val="24"/>
        </w:rPr>
        <w:t> </w:t>
      </w:r>
      <w:r>
        <w:rPr>
          <w:sz w:val="24"/>
        </w:rPr>
        <w:t>ar</w:t>
      </w:r>
      <w:r>
        <w:rPr>
          <w:spacing w:val="-5"/>
          <w:sz w:val="24"/>
        </w:rPr>
        <w:t> </w:t>
      </w:r>
      <w:r>
        <w:rPr>
          <w:sz w:val="24"/>
        </w:rPr>
        <w:t>Maksātnespējas</w:t>
      </w:r>
      <w:r>
        <w:rPr>
          <w:spacing w:val="-6"/>
          <w:sz w:val="24"/>
        </w:rPr>
        <w:t> </w:t>
      </w:r>
      <w:r>
        <w:rPr>
          <w:sz w:val="24"/>
        </w:rPr>
        <w:t>likuma</w:t>
      </w:r>
      <w:r>
        <w:rPr>
          <w:spacing w:val="-8"/>
          <w:sz w:val="24"/>
        </w:rPr>
        <w:t> </w:t>
      </w:r>
      <w:r>
        <w:rPr>
          <w:sz w:val="24"/>
        </w:rPr>
        <w:t>1.pantu</w:t>
      </w:r>
      <w:r>
        <w:rPr>
          <w:spacing w:val="-6"/>
          <w:sz w:val="24"/>
        </w:rPr>
        <w:t> </w:t>
      </w:r>
      <w:r>
        <w:rPr>
          <w:sz w:val="24"/>
        </w:rPr>
        <w:t>likuma</w:t>
      </w:r>
      <w:r>
        <w:rPr>
          <w:spacing w:val="-6"/>
          <w:sz w:val="24"/>
        </w:rPr>
        <w:t> </w:t>
      </w:r>
      <w:r>
        <w:rPr>
          <w:sz w:val="24"/>
        </w:rPr>
        <w:t>mērķis</w:t>
      </w:r>
      <w:r>
        <w:rPr>
          <w:spacing w:val="-3"/>
          <w:sz w:val="24"/>
        </w:rPr>
        <w:t> </w:t>
      </w:r>
      <w:r>
        <w:rPr>
          <w:sz w:val="24"/>
        </w:rPr>
        <w:t>ir veicināt maksātnespējas subjekta maksātspējas atjaunošanu un aizsargāt kreditoru kopuma intereses parādnieka ierobežotas maksātspējas vai maksātnespējas</w:t>
      </w:r>
      <w:r>
        <w:rPr>
          <w:spacing w:val="-14"/>
          <w:sz w:val="24"/>
        </w:rPr>
        <w:t> </w:t>
      </w:r>
      <w:r>
        <w:rPr>
          <w:sz w:val="24"/>
        </w:rPr>
        <w:t>gadījumā.</w:t>
      </w:r>
      <w:r>
        <w:rPr>
          <w:spacing w:val="-16"/>
          <w:sz w:val="24"/>
        </w:rPr>
        <w:t> </w:t>
      </w:r>
      <w:r>
        <w:rPr>
          <w:sz w:val="24"/>
        </w:rPr>
        <w:t>Maksātnespējas</w:t>
      </w:r>
      <w:r>
        <w:rPr>
          <w:spacing w:val="-14"/>
          <w:sz w:val="24"/>
        </w:rPr>
        <w:t> </w:t>
      </w:r>
      <w:r>
        <w:rPr>
          <w:sz w:val="24"/>
        </w:rPr>
        <w:t>procesā</w:t>
      </w:r>
      <w:r>
        <w:rPr>
          <w:spacing w:val="-14"/>
          <w:sz w:val="24"/>
        </w:rPr>
        <w:t> </w:t>
      </w:r>
      <w:r>
        <w:rPr>
          <w:sz w:val="24"/>
        </w:rPr>
        <w:t>zaudēto</w:t>
      </w:r>
      <w:r>
        <w:rPr>
          <w:spacing w:val="-16"/>
          <w:sz w:val="24"/>
        </w:rPr>
        <w:t> </w:t>
      </w:r>
      <w:r>
        <w:rPr>
          <w:sz w:val="24"/>
        </w:rPr>
        <w:t>kreditora</w:t>
      </w:r>
      <w:r>
        <w:rPr>
          <w:spacing w:val="-18"/>
          <w:sz w:val="24"/>
        </w:rPr>
        <w:t> </w:t>
      </w:r>
      <w:r>
        <w:rPr>
          <w:sz w:val="24"/>
        </w:rPr>
        <w:t>statusa</w:t>
      </w:r>
      <w:r>
        <w:rPr>
          <w:spacing w:val="-13"/>
          <w:sz w:val="24"/>
        </w:rPr>
        <w:t> </w:t>
      </w:r>
      <w:r>
        <w:rPr>
          <w:sz w:val="24"/>
        </w:rPr>
        <w:t>un prasījumu tiesību atjaunošana pēc parādnieka maksātspējas atjaunošanas nonāktu pretrunā ar likuma mērķi atjaunot maksātnespējas subjekta maksātspēju.</w:t>
      </w:r>
    </w:p>
    <w:p>
      <w:pPr>
        <w:pStyle w:val="ListParagraph"/>
        <w:numPr>
          <w:ilvl w:val="1"/>
          <w:numId w:val="32"/>
        </w:numPr>
        <w:tabs>
          <w:tab w:pos="1393" w:val="left" w:leader="none"/>
        </w:tabs>
        <w:spacing w:line="240" w:lineRule="auto" w:before="0" w:after="0"/>
        <w:ind w:left="1392" w:right="763" w:hanging="425"/>
        <w:jc w:val="both"/>
        <w:rPr>
          <w:sz w:val="24"/>
        </w:rPr>
      </w:pPr>
      <w:r>
        <w:rPr>
          <w:sz w:val="24"/>
        </w:rPr>
        <w:t>Gadījumā,</w:t>
      </w:r>
      <w:r>
        <w:rPr>
          <w:spacing w:val="-11"/>
          <w:sz w:val="24"/>
        </w:rPr>
        <w:t> </w:t>
      </w:r>
      <w:r>
        <w:rPr>
          <w:sz w:val="24"/>
        </w:rPr>
        <w:t>ja</w:t>
      </w:r>
      <w:r>
        <w:rPr>
          <w:spacing w:val="-7"/>
          <w:sz w:val="24"/>
        </w:rPr>
        <w:t> </w:t>
      </w:r>
      <w:r>
        <w:rPr>
          <w:sz w:val="24"/>
        </w:rPr>
        <w:t>maksātnespējas</w:t>
      </w:r>
      <w:r>
        <w:rPr>
          <w:spacing w:val="-10"/>
          <w:sz w:val="24"/>
        </w:rPr>
        <w:t> </w:t>
      </w:r>
      <w:r>
        <w:rPr>
          <w:sz w:val="24"/>
        </w:rPr>
        <w:t>procesā</w:t>
      </w:r>
      <w:r>
        <w:rPr>
          <w:spacing w:val="-7"/>
          <w:sz w:val="24"/>
        </w:rPr>
        <w:t> </w:t>
      </w:r>
      <w:r>
        <w:rPr>
          <w:sz w:val="24"/>
        </w:rPr>
        <w:t>zaudētais</w:t>
      </w:r>
      <w:r>
        <w:rPr>
          <w:spacing w:val="-5"/>
          <w:sz w:val="24"/>
        </w:rPr>
        <w:t> </w:t>
      </w:r>
      <w:r>
        <w:rPr>
          <w:sz w:val="24"/>
        </w:rPr>
        <w:t>parādnieka</w:t>
      </w:r>
      <w:r>
        <w:rPr>
          <w:spacing w:val="-7"/>
          <w:sz w:val="24"/>
        </w:rPr>
        <w:t> </w:t>
      </w:r>
      <w:r>
        <w:rPr>
          <w:sz w:val="24"/>
        </w:rPr>
        <w:t>kreditora</w:t>
      </w:r>
      <w:r>
        <w:rPr>
          <w:spacing w:val="-11"/>
          <w:sz w:val="24"/>
        </w:rPr>
        <w:t> </w:t>
      </w:r>
      <w:r>
        <w:rPr>
          <w:sz w:val="24"/>
        </w:rPr>
        <w:t>statuss</w:t>
      </w:r>
      <w:r>
        <w:rPr>
          <w:spacing w:val="-5"/>
          <w:sz w:val="24"/>
        </w:rPr>
        <w:t> </w:t>
      </w:r>
      <w:r>
        <w:rPr>
          <w:sz w:val="24"/>
        </w:rPr>
        <w:t>un prasījuma tiesības būtu atjaunojamas, parādniekam kļūstot maksātspējīgam, viņa maksātspēja būtu pakļauta tūlītējam riskam, jo kreditora statusu un prasījuma tiesības atguvušās personas būtu tiesīgas pieprasīt no parādnieka saistību izpildi pilnā apjomā. Šādos apstākļos parādnieks tiktu pakļauts atkārtotas maksātnespējas draudiem, bet iepriekšējais maksātnespējas process un tajā sasniegtais rezultāts – atjaunotā maksātspēja izrādītos</w:t>
      </w:r>
      <w:r>
        <w:rPr>
          <w:spacing w:val="-3"/>
          <w:sz w:val="24"/>
        </w:rPr>
        <w:t> </w:t>
      </w:r>
      <w:r>
        <w:rPr>
          <w:sz w:val="24"/>
        </w:rPr>
        <w:t>veltīgi.</w:t>
      </w:r>
    </w:p>
    <w:p>
      <w:pPr>
        <w:pStyle w:val="ListParagraph"/>
        <w:numPr>
          <w:ilvl w:val="1"/>
          <w:numId w:val="32"/>
        </w:numPr>
        <w:tabs>
          <w:tab w:pos="1393" w:val="left" w:leader="none"/>
        </w:tabs>
        <w:spacing w:line="240" w:lineRule="auto" w:before="0" w:after="0"/>
        <w:ind w:left="1392" w:right="763" w:hanging="425"/>
        <w:jc w:val="both"/>
        <w:rPr>
          <w:sz w:val="24"/>
        </w:rPr>
      </w:pPr>
      <w:r>
        <w:rPr>
          <w:sz w:val="24"/>
        </w:rPr>
        <w:t>Tiesa uzskata, ka Maksātnespējas likuma 73.panta otrajā daļā norādītās tiesiskās sekas ir saistītas tikai ar parādnieka maksātnespējas procesu. Pretējā gadījumā maksātnespējas procesam maksātspējas atjaunošanas gadījumā nebūtu noteikta un noturīga rezultāta. Minētais neatbilst mērķim, ko likumdevējs izvirzījis Maksātnespējas likuma</w:t>
      </w:r>
      <w:r>
        <w:rPr>
          <w:spacing w:val="1"/>
          <w:sz w:val="24"/>
        </w:rPr>
        <w:t> </w:t>
      </w:r>
      <w:r>
        <w:rPr>
          <w:sz w:val="24"/>
        </w:rPr>
        <w:t>1.pantā.</w:t>
      </w:r>
    </w:p>
    <w:p>
      <w:pPr>
        <w:pStyle w:val="ListParagraph"/>
        <w:numPr>
          <w:ilvl w:val="1"/>
          <w:numId w:val="32"/>
        </w:numPr>
        <w:tabs>
          <w:tab w:pos="1393" w:val="left" w:leader="none"/>
        </w:tabs>
        <w:spacing w:line="237" w:lineRule="auto" w:before="2" w:after="0"/>
        <w:ind w:left="1392" w:right="763" w:hanging="425"/>
        <w:jc w:val="both"/>
        <w:rPr>
          <w:sz w:val="16"/>
        </w:rPr>
      </w:pPr>
      <w:r>
        <w:rPr>
          <w:sz w:val="24"/>
        </w:rPr>
        <w:t>Ņemot vērā iepriekš minēto un piemērojot judikatūru (Latvijas Republikas Augstākās tiesas Civillietu departamenta 2014. gada 8.aprīļa spriedums lietā Nr. SKC-117/2014), tiesa atzīst, ka kreditori, kuri līdz saistību dzēšanas plāna sastādīšanai nav pieteikuši savus kreditoru prasījumus, ir zaudējuši savu kreditoru statusu un savas prasījuma tiesības pret</w:t>
      </w:r>
      <w:r>
        <w:rPr>
          <w:spacing w:val="-7"/>
          <w:sz w:val="24"/>
        </w:rPr>
        <w:t> </w:t>
      </w:r>
      <w:r>
        <w:rPr>
          <w:sz w:val="24"/>
        </w:rPr>
        <w:t>parādnieku.</w:t>
      </w:r>
      <w:r>
        <w:rPr>
          <w:position w:val="9"/>
          <w:sz w:val="16"/>
        </w:rPr>
        <w:t>141</w:t>
      </w:r>
    </w:p>
    <w:p>
      <w:pPr>
        <w:pStyle w:val="ListParagraph"/>
        <w:numPr>
          <w:ilvl w:val="0"/>
          <w:numId w:val="32"/>
        </w:numPr>
        <w:tabs>
          <w:tab w:pos="980" w:val="left" w:leader="none"/>
        </w:tabs>
        <w:spacing w:line="235" w:lineRule="auto" w:before="1" w:after="0"/>
        <w:ind w:left="980" w:right="763" w:hanging="360"/>
        <w:jc w:val="both"/>
        <w:rPr>
          <w:sz w:val="24"/>
        </w:rPr>
      </w:pPr>
      <w:r>
        <w:rPr>
          <w:sz w:val="24"/>
        </w:rPr>
        <w:t>Noteikt, ka kreditori, kuri līdz maksātnespējas procesa izbeigšanas datumam nav pieteikuši savus kreditoru prasījumus, zaudē prasījuma tiesības pret parādnieku</w:t>
      </w:r>
      <w:r>
        <w:rPr>
          <w:position w:val="9"/>
          <w:sz w:val="16"/>
        </w:rPr>
        <w:t>142</w:t>
      </w:r>
      <w:r>
        <w:rPr>
          <w:sz w:val="16"/>
        </w:rPr>
        <w:t> </w:t>
      </w:r>
      <w:r>
        <w:rPr>
          <w:sz w:val="24"/>
        </w:rPr>
        <w:t>(2 lietās  no  25  -  procesos,  kas  bija  uzsākti  un  nebija  pabeigti  </w:t>
      </w:r>
      <w:r>
        <w:rPr>
          <w:spacing w:val="-4"/>
          <w:sz w:val="24"/>
        </w:rPr>
        <w:t>līdz</w:t>
      </w:r>
      <w:r>
        <w:rPr>
          <w:spacing w:val="52"/>
          <w:sz w:val="24"/>
        </w:rPr>
        <w:t> </w:t>
      </w:r>
      <w:r>
        <w:rPr>
          <w:sz w:val="24"/>
        </w:rPr>
        <w:t>2010.gada</w:t>
      </w:r>
      <w:r>
        <w:rPr>
          <w:spacing w:val="-3"/>
          <w:sz w:val="24"/>
        </w:rPr>
        <w:t> </w:t>
      </w:r>
      <w:r>
        <w:rPr>
          <w:sz w:val="24"/>
        </w:rPr>
        <w:t>31.oktobrim).</w:t>
      </w:r>
    </w:p>
    <w:p>
      <w:pPr>
        <w:pStyle w:val="ListParagraph"/>
        <w:numPr>
          <w:ilvl w:val="0"/>
          <w:numId w:val="32"/>
        </w:numPr>
        <w:tabs>
          <w:tab w:pos="980" w:val="left" w:leader="none"/>
        </w:tabs>
        <w:spacing w:line="232" w:lineRule="auto" w:before="9" w:after="0"/>
        <w:ind w:left="980" w:right="760" w:hanging="360"/>
        <w:jc w:val="both"/>
        <w:rPr>
          <w:sz w:val="24"/>
        </w:rPr>
      </w:pPr>
      <w:r>
        <w:rPr>
          <w:sz w:val="24"/>
        </w:rPr>
        <w:t>Dzēst visus nepieteiktos kreditoru prasījumus, visas nenokārtotās saistības, un nepieteiktās tiesības atzīt par spēkā neesošām</w:t>
      </w:r>
      <w:r>
        <w:rPr>
          <w:position w:val="9"/>
          <w:sz w:val="16"/>
        </w:rPr>
        <w:t>143 </w:t>
      </w:r>
      <w:r>
        <w:rPr>
          <w:sz w:val="24"/>
        </w:rPr>
        <w:t>(1 lietā no 25 - procesā, kas bija uzsākts un nebija pabeigts līdz 2010.gada 31.oktobrim);</w:t>
      </w:r>
    </w:p>
    <w:p>
      <w:pPr>
        <w:pStyle w:val="ListParagraph"/>
        <w:numPr>
          <w:ilvl w:val="0"/>
          <w:numId w:val="32"/>
        </w:numPr>
        <w:tabs>
          <w:tab w:pos="980" w:val="left" w:leader="none"/>
        </w:tabs>
        <w:spacing w:line="237" w:lineRule="auto" w:before="5" w:after="0"/>
        <w:ind w:left="980" w:right="762" w:hanging="360"/>
        <w:jc w:val="both"/>
        <w:rPr>
          <w:sz w:val="16"/>
        </w:rPr>
      </w:pPr>
      <w:r>
        <w:rPr>
          <w:sz w:val="24"/>
        </w:rPr>
        <w:t>Lūgums par nepieteikto prasījumu dzēšanu noraidīts (1 lietā no 25). Proti, Ogres rajona tiesa 2014.gada 4.decembra nolēmumā lietā Nr.C24122109 noraidījusi administratora pieteikumu daļā par nepieteikto kreditoru prasījumu dzēšanu un nepieteikto tiesību atzīšanu par spēkā neesošām, jo lietā nav pierādījumu par nepieteiktiem kreditoru prasījumiem un nepieteiktām tiesībām, kā arī minētie prasījumi ceļami prasības tiesvedības</w:t>
      </w:r>
      <w:r>
        <w:rPr>
          <w:spacing w:val="-2"/>
          <w:sz w:val="24"/>
        </w:rPr>
        <w:t> </w:t>
      </w:r>
      <w:r>
        <w:rPr>
          <w:sz w:val="24"/>
        </w:rPr>
        <w:t>kārtībā;</w:t>
      </w:r>
      <w:r>
        <w:rPr>
          <w:position w:val="9"/>
          <w:sz w:val="16"/>
        </w:rPr>
        <w:t>144</w:t>
      </w:r>
    </w:p>
    <w:p>
      <w:pPr>
        <w:pStyle w:val="ListParagraph"/>
        <w:numPr>
          <w:ilvl w:val="0"/>
          <w:numId w:val="32"/>
        </w:numPr>
        <w:tabs>
          <w:tab w:pos="980" w:val="left" w:leader="none"/>
        </w:tabs>
        <w:spacing w:line="275" w:lineRule="exact" w:before="0" w:after="0"/>
        <w:ind w:left="980" w:right="0" w:hanging="360"/>
        <w:jc w:val="both"/>
        <w:rPr>
          <w:sz w:val="24"/>
        </w:rPr>
      </w:pPr>
      <w:r>
        <w:rPr>
          <w:sz w:val="24"/>
        </w:rPr>
        <w:t>Izbeigt tiesvedību fiziskās personas maksātnespējas procesa lietā (1 lietā no</w:t>
      </w:r>
      <w:r>
        <w:rPr>
          <w:spacing w:val="-7"/>
          <w:sz w:val="24"/>
        </w:rPr>
        <w:t> </w:t>
      </w:r>
      <w:r>
        <w:rPr>
          <w:sz w:val="24"/>
        </w:rPr>
        <w:t>25).</w:t>
      </w:r>
    </w:p>
    <w:p>
      <w:pPr>
        <w:pStyle w:val="BodyText"/>
        <w:jc w:val="left"/>
        <w:rPr>
          <w:sz w:val="20"/>
        </w:rPr>
      </w:pPr>
    </w:p>
    <w:p>
      <w:pPr>
        <w:pStyle w:val="BodyText"/>
        <w:spacing w:before="8"/>
        <w:jc w:val="left"/>
      </w:pPr>
      <w:r>
        <w:rPr/>
        <w:pict>
          <v:shape style="position:absolute;margin-left:72pt;margin-top:16.480652pt;width:144pt;height:.1pt;mso-position-horizontal-relative:page;mso-position-vertical-relative:paragraph;z-index:-251625472;mso-wrap-distance-left:0;mso-wrap-distance-right:0" coordorigin="1440,330" coordsize="2880,0" path="m1440,330l4320,330e" filled="false" stroked="true" strokeweight=".599991pt" strokecolor="#000000">
            <v:path arrowok="t"/>
            <v:stroke dashstyle="solid"/>
            <w10:wrap type="topAndBottom"/>
          </v:shape>
        </w:pict>
      </w:r>
    </w:p>
    <w:p>
      <w:pPr>
        <w:spacing w:line="231" w:lineRule="exact" w:before="70"/>
        <w:ind w:left="260" w:right="0" w:firstLine="0"/>
        <w:jc w:val="left"/>
        <w:rPr>
          <w:sz w:val="20"/>
        </w:rPr>
      </w:pPr>
      <w:r>
        <w:rPr>
          <w:position w:val="7"/>
          <w:sz w:val="13"/>
        </w:rPr>
        <w:t>140 </w:t>
      </w:r>
      <w:r>
        <w:rPr>
          <w:sz w:val="20"/>
        </w:rPr>
        <w:t>Ogres rajona tiesas 2014.gada 4.decembra nolēmums lietā Nr. C24122109</w:t>
      </w:r>
    </w:p>
    <w:p>
      <w:pPr>
        <w:spacing w:line="229" w:lineRule="exact" w:before="0"/>
        <w:ind w:left="260" w:right="0" w:firstLine="0"/>
        <w:jc w:val="left"/>
        <w:rPr>
          <w:sz w:val="20"/>
        </w:rPr>
      </w:pPr>
      <w:r>
        <w:rPr>
          <w:position w:val="7"/>
          <w:sz w:val="13"/>
        </w:rPr>
        <w:t>141 </w:t>
      </w:r>
      <w:r>
        <w:rPr>
          <w:sz w:val="20"/>
        </w:rPr>
        <w:t>Liepājas tiesas 2015.gada 23.februāra nolēmums lietā Nr. C20310212</w:t>
      </w:r>
    </w:p>
    <w:p>
      <w:pPr>
        <w:spacing w:line="235" w:lineRule="auto" w:before="1"/>
        <w:ind w:left="260" w:right="3090" w:firstLine="0"/>
        <w:jc w:val="left"/>
        <w:rPr>
          <w:sz w:val="20"/>
        </w:rPr>
      </w:pPr>
      <w:r>
        <w:rPr>
          <w:position w:val="7"/>
          <w:sz w:val="13"/>
        </w:rPr>
        <w:t>142 </w:t>
      </w:r>
      <w:r>
        <w:rPr>
          <w:sz w:val="20"/>
        </w:rPr>
        <w:t>Ogres rajona tiesas 2014.gada 10.decembra nolēmums lietā Nr. C24070009 </w:t>
      </w:r>
      <w:r>
        <w:rPr>
          <w:position w:val="7"/>
          <w:sz w:val="13"/>
        </w:rPr>
        <w:t>143 </w:t>
      </w:r>
      <w:r>
        <w:rPr>
          <w:sz w:val="20"/>
        </w:rPr>
        <w:t>Preiļu rajona tiesas 2015.gada 25.februāra nolēmums lietā Nr. C25064609 </w:t>
      </w:r>
      <w:r>
        <w:rPr>
          <w:position w:val="7"/>
          <w:sz w:val="13"/>
        </w:rPr>
        <w:t>144 </w:t>
      </w:r>
      <w:r>
        <w:rPr>
          <w:sz w:val="20"/>
        </w:rPr>
        <w:t>Ogres rajona tiesas 2014.gada 4.decembra nolēmums lietā Nr. C24122109</w:t>
      </w:r>
    </w:p>
    <w:p>
      <w:pPr>
        <w:spacing w:after="0" w:line="235" w:lineRule="auto"/>
        <w:jc w:val="left"/>
        <w:rPr>
          <w:sz w:val="20"/>
        </w:rPr>
        <w:sectPr>
          <w:pgSz w:w="11910" w:h="16840"/>
          <w:pgMar w:header="0" w:footer="1055" w:top="1340" w:bottom="1240" w:left="1180" w:right="1040"/>
        </w:sectPr>
      </w:pPr>
    </w:p>
    <w:p>
      <w:pPr>
        <w:pStyle w:val="ListParagraph"/>
        <w:numPr>
          <w:ilvl w:val="2"/>
          <w:numId w:val="31"/>
        </w:numPr>
        <w:tabs>
          <w:tab w:pos="1287" w:val="left" w:leader="none"/>
        </w:tabs>
        <w:spacing w:line="240" w:lineRule="auto" w:before="109" w:after="0"/>
        <w:ind w:left="620" w:right="405" w:firstLine="360"/>
        <w:jc w:val="both"/>
        <w:rPr>
          <w:sz w:val="24"/>
        </w:rPr>
      </w:pPr>
      <w:r>
        <w:rPr>
          <w:b/>
          <w:i/>
          <w:sz w:val="24"/>
        </w:rPr>
        <w:t>Tiesu nolēmumu motīvi jautājumā par saistību dzēšanas plāna izpildi. </w:t>
      </w:r>
      <w:r>
        <w:rPr>
          <w:sz w:val="24"/>
        </w:rPr>
        <w:t>Vērtējot tiesu nolēmumus, secināms, ka tiesām ir būtiski atšķirīga pieeja jautājumā par to, kā ir konstatējama saistību dzēšanas plāna izpilde, un</w:t>
      </w:r>
      <w:r>
        <w:rPr>
          <w:spacing w:val="-9"/>
          <w:sz w:val="24"/>
        </w:rPr>
        <w:t> </w:t>
      </w:r>
      <w:r>
        <w:rPr>
          <w:sz w:val="24"/>
        </w:rPr>
        <w:t>tieši:</w:t>
      </w:r>
    </w:p>
    <w:p>
      <w:pPr>
        <w:pStyle w:val="ListParagraph"/>
        <w:numPr>
          <w:ilvl w:val="0"/>
          <w:numId w:val="33"/>
        </w:numPr>
        <w:tabs>
          <w:tab w:pos="1473" w:val="left" w:leader="none"/>
        </w:tabs>
        <w:spacing w:line="240" w:lineRule="auto" w:before="0" w:after="0"/>
        <w:ind w:left="1472" w:right="401" w:hanging="425"/>
        <w:jc w:val="both"/>
        <w:rPr>
          <w:sz w:val="24"/>
        </w:rPr>
      </w:pPr>
      <w:r>
        <w:rPr>
          <w:sz w:val="24"/>
        </w:rPr>
        <w:t>Lielākoties tiesa par plāna izpildi pārliecinās no parādnieka norēķinu konta izdrukām,</w:t>
      </w:r>
      <w:r>
        <w:rPr>
          <w:spacing w:val="-5"/>
          <w:sz w:val="24"/>
        </w:rPr>
        <w:t> </w:t>
      </w:r>
      <w:r>
        <w:rPr>
          <w:sz w:val="24"/>
        </w:rPr>
        <w:t>pārbaudot,</w:t>
      </w:r>
      <w:r>
        <w:rPr>
          <w:spacing w:val="-5"/>
          <w:sz w:val="24"/>
        </w:rPr>
        <w:t> </w:t>
      </w:r>
      <w:r>
        <w:rPr>
          <w:sz w:val="24"/>
        </w:rPr>
        <w:t>vai</w:t>
      </w:r>
      <w:r>
        <w:rPr>
          <w:spacing w:val="-3"/>
          <w:sz w:val="24"/>
        </w:rPr>
        <w:t> </w:t>
      </w:r>
      <w:r>
        <w:rPr>
          <w:sz w:val="24"/>
        </w:rPr>
        <w:t>maksājumi</w:t>
      </w:r>
      <w:r>
        <w:rPr>
          <w:spacing w:val="-5"/>
          <w:sz w:val="24"/>
        </w:rPr>
        <w:t> </w:t>
      </w:r>
      <w:r>
        <w:rPr>
          <w:sz w:val="24"/>
        </w:rPr>
        <w:t>veikti</w:t>
      </w:r>
      <w:r>
        <w:rPr>
          <w:spacing w:val="-5"/>
          <w:sz w:val="24"/>
        </w:rPr>
        <w:t> </w:t>
      </w:r>
      <w:r>
        <w:rPr>
          <w:sz w:val="24"/>
        </w:rPr>
        <w:t>plānā</w:t>
      </w:r>
      <w:r>
        <w:rPr>
          <w:spacing w:val="-8"/>
          <w:sz w:val="24"/>
        </w:rPr>
        <w:t> </w:t>
      </w:r>
      <w:r>
        <w:rPr>
          <w:sz w:val="24"/>
        </w:rPr>
        <w:t>norādītajā</w:t>
      </w:r>
      <w:r>
        <w:rPr>
          <w:spacing w:val="-8"/>
          <w:sz w:val="24"/>
        </w:rPr>
        <w:t> </w:t>
      </w:r>
      <w:r>
        <w:rPr>
          <w:sz w:val="24"/>
        </w:rPr>
        <w:t>apmērā,</w:t>
      </w:r>
      <w:r>
        <w:rPr>
          <w:spacing w:val="-5"/>
          <w:sz w:val="24"/>
        </w:rPr>
        <w:t> </w:t>
      </w:r>
      <w:r>
        <w:rPr>
          <w:sz w:val="24"/>
        </w:rPr>
        <w:t>nevērtējot</w:t>
      </w:r>
      <w:r>
        <w:rPr>
          <w:spacing w:val="-5"/>
          <w:sz w:val="24"/>
        </w:rPr>
        <w:t> </w:t>
      </w:r>
      <w:r>
        <w:rPr>
          <w:sz w:val="24"/>
        </w:rPr>
        <w:t>ne minimālās</w:t>
      </w:r>
      <w:r>
        <w:rPr>
          <w:spacing w:val="-13"/>
          <w:sz w:val="24"/>
        </w:rPr>
        <w:t> </w:t>
      </w:r>
      <w:r>
        <w:rPr>
          <w:sz w:val="24"/>
        </w:rPr>
        <w:t>algas</w:t>
      </w:r>
      <w:r>
        <w:rPr>
          <w:spacing w:val="-15"/>
          <w:sz w:val="24"/>
        </w:rPr>
        <w:t> </w:t>
      </w:r>
      <w:r>
        <w:rPr>
          <w:sz w:val="24"/>
        </w:rPr>
        <w:t>pieaugumu,</w:t>
      </w:r>
      <w:r>
        <w:rPr>
          <w:spacing w:val="-13"/>
          <w:sz w:val="24"/>
        </w:rPr>
        <w:t> </w:t>
      </w:r>
      <w:r>
        <w:rPr>
          <w:sz w:val="24"/>
        </w:rPr>
        <w:t>ne</w:t>
      </w:r>
      <w:r>
        <w:rPr>
          <w:spacing w:val="-12"/>
          <w:sz w:val="24"/>
        </w:rPr>
        <w:t> </w:t>
      </w:r>
      <w:r>
        <w:rPr>
          <w:sz w:val="24"/>
        </w:rPr>
        <w:t>faktisko</w:t>
      </w:r>
      <w:r>
        <w:rPr>
          <w:spacing w:val="-13"/>
          <w:sz w:val="24"/>
        </w:rPr>
        <w:t> </w:t>
      </w:r>
      <w:r>
        <w:rPr>
          <w:sz w:val="24"/>
        </w:rPr>
        <w:t>ienākumu</w:t>
      </w:r>
      <w:r>
        <w:rPr>
          <w:spacing w:val="-12"/>
          <w:sz w:val="24"/>
        </w:rPr>
        <w:t> </w:t>
      </w:r>
      <w:r>
        <w:rPr>
          <w:sz w:val="24"/>
        </w:rPr>
        <w:t>atbilstību</w:t>
      </w:r>
      <w:r>
        <w:rPr>
          <w:spacing w:val="-12"/>
          <w:sz w:val="24"/>
        </w:rPr>
        <w:t> </w:t>
      </w:r>
      <w:r>
        <w:rPr>
          <w:sz w:val="24"/>
        </w:rPr>
        <w:t>plānā</w:t>
      </w:r>
      <w:r>
        <w:rPr>
          <w:spacing w:val="-16"/>
          <w:sz w:val="24"/>
        </w:rPr>
        <w:t> </w:t>
      </w:r>
      <w:r>
        <w:rPr>
          <w:sz w:val="24"/>
        </w:rPr>
        <w:t>norādītajam</w:t>
      </w:r>
      <w:r>
        <w:rPr>
          <w:spacing w:val="-12"/>
          <w:sz w:val="24"/>
        </w:rPr>
        <w:t> </w:t>
      </w:r>
      <w:r>
        <w:rPr>
          <w:sz w:val="24"/>
        </w:rPr>
        <w:t>(ja lietā nav saņemti administratora vai kreditoru</w:t>
      </w:r>
      <w:r>
        <w:rPr>
          <w:spacing w:val="-4"/>
          <w:sz w:val="24"/>
        </w:rPr>
        <w:t> </w:t>
      </w:r>
      <w:r>
        <w:rPr>
          <w:sz w:val="24"/>
        </w:rPr>
        <w:t>iebildumi);</w:t>
      </w:r>
    </w:p>
    <w:p>
      <w:pPr>
        <w:pStyle w:val="ListParagraph"/>
        <w:numPr>
          <w:ilvl w:val="0"/>
          <w:numId w:val="33"/>
        </w:numPr>
        <w:tabs>
          <w:tab w:pos="1473" w:val="left" w:leader="none"/>
        </w:tabs>
        <w:spacing w:line="240" w:lineRule="auto" w:before="0" w:after="0"/>
        <w:ind w:left="1472" w:right="402" w:hanging="425"/>
        <w:jc w:val="both"/>
        <w:rPr>
          <w:sz w:val="24"/>
        </w:rPr>
      </w:pPr>
      <w:r>
        <w:rPr>
          <w:sz w:val="24"/>
        </w:rPr>
        <w:t>Atsevišķos gadījums parādnieks iesniedzis tiesai pierādījumus, ka sūtījis paziņojumus kreditoriem par saistību dzēšanas plāna izpildi, </w:t>
      </w:r>
      <w:r>
        <w:rPr>
          <w:spacing w:val="-3"/>
          <w:sz w:val="24"/>
        </w:rPr>
        <w:t>vienlaikus </w:t>
      </w:r>
      <w:r>
        <w:rPr>
          <w:sz w:val="24"/>
        </w:rPr>
        <w:t>pievienojot pieteikumam apliecinājumus no kreditoriem par iebildumu neesamību;</w:t>
      </w:r>
    </w:p>
    <w:p>
      <w:pPr>
        <w:pStyle w:val="ListParagraph"/>
        <w:numPr>
          <w:ilvl w:val="0"/>
          <w:numId w:val="33"/>
        </w:numPr>
        <w:tabs>
          <w:tab w:pos="1473" w:val="left" w:leader="none"/>
        </w:tabs>
        <w:spacing w:line="237" w:lineRule="auto" w:before="3" w:after="0"/>
        <w:ind w:left="1472" w:right="401" w:hanging="425"/>
        <w:jc w:val="both"/>
        <w:rPr>
          <w:sz w:val="16"/>
        </w:rPr>
      </w:pPr>
      <w:r>
        <w:rPr>
          <w:sz w:val="24"/>
        </w:rPr>
        <w:t>Tikai</w:t>
      </w:r>
      <w:r>
        <w:rPr>
          <w:spacing w:val="-11"/>
          <w:sz w:val="24"/>
        </w:rPr>
        <w:t> </w:t>
      </w:r>
      <w:r>
        <w:rPr>
          <w:sz w:val="24"/>
        </w:rPr>
        <w:t>retos</w:t>
      </w:r>
      <w:r>
        <w:rPr>
          <w:spacing w:val="-5"/>
          <w:sz w:val="24"/>
        </w:rPr>
        <w:t> </w:t>
      </w:r>
      <w:r>
        <w:rPr>
          <w:sz w:val="24"/>
        </w:rPr>
        <w:t>gadījumos</w:t>
      </w:r>
      <w:r>
        <w:rPr>
          <w:spacing w:val="-9"/>
          <w:sz w:val="24"/>
        </w:rPr>
        <w:t> </w:t>
      </w:r>
      <w:r>
        <w:rPr>
          <w:sz w:val="24"/>
        </w:rPr>
        <w:t>tiesa</w:t>
      </w:r>
      <w:r>
        <w:rPr>
          <w:spacing w:val="-10"/>
          <w:sz w:val="24"/>
        </w:rPr>
        <w:t> </w:t>
      </w:r>
      <w:r>
        <w:rPr>
          <w:sz w:val="24"/>
        </w:rPr>
        <w:t>izvērtē,</w:t>
      </w:r>
      <w:r>
        <w:rPr>
          <w:spacing w:val="-9"/>
          <w:sz w:val="24"/>
        </w:rPr>
        <w:t> </w:t>
      </w:r>
      <w:r>
        <w:rPr>
          <w:sz w:val="24"/>
        </w:rPr>
        <w:t>vai,</w:t>
      </w:r>
      <w:r>
        <w:rPr>
          <w:spacing w:val="-8"/>
          <w:sz w:val="24"/>
        </w:rPr>
        <w:t> </w:t>
      </w:r>
      <w:r>
        <w:rPr>
          <w:sz w:val="24"/>
        </w:rPr>
        <w:t>izdarot</w:t>
      </w:r>
      <w:r>
        <w:rPr>
          <w:spacing w:val="-6"/>
          <w:sz w:val="24"/>
        </w:rPr>
        <w:t> </w:t>
      </w:r>
      <w:r>
        <w:rPr>
          <w:sz w:val="24"/>
        </w:rPr>
        <w:t>saistību</w:t>
      </w:r>
      <w:r>
        <w:rPr>
          <w:spacing w:val="-8"/>
          <w:sz w:val="24"/>
        </w:rPr>
        <w:t> </w:t>
      </w:r>
      <w:r>
        <w:rPr>
          <w:sz w:val="24"/>
        </w:rPr>
        <w:t>dzēšanas</w:t>
      </w:r>
      <w:r>
        <w:rPr>
          <w:spacing w:val="-9"/>
          <w:sz w:val="24"/>
        </w:rPr>
        <w:t> </w:t>
      </w:r>
      <w:r>
        <w:rPr>
          <w:sz w:val="24"/>
        </w:rPr>
        <w:t>plānā</w:t>
      </w:r>
      <w:r>
        <w:rPr>
          <w:spacing w:val="-10"/>
          <w:sz w:val="24"/>
        </w:rPr>
        <w:t> </w:t>
      </w:r>
      <w:r>
        <w:rPr>
          <w:sz w:val="24"/>
        </w:rPr>
        <w:t>paredzētos maksājumus, parādnieks ir ņēmis vērā valstī noteiktās minimālās algas pieaugumu. Piemēram, Rīgas pilsētas Latgales priekšpilsētas tiesa lietā Nr. C29555212, izvērtējot saņemto parādnieces pieteikumu, pieprasīja papildus pierādījumus</w:t>
      </w:r>
      <w:r>
        <w:rPr>
          <w:spacing w:val="-16"/>
          <w:sz w:val="24"/>
        </w:rPr>
        <w:t> </w:t>
      </w:r>
      <w:r>
        <w:rPr>
          <w:sz w:val="24"/>
        </w:rPr>
        <w:t>tam,</w:t>
      </w:r>
      <w:r>
        <w:rPr>
          <w:spacing w:val="-16"/>
          <w:sz w:val="24"/>
        </w:rPr>
        <w:t> </w:t>
      </w:r>
      <w:r>
        <w:rPr>
          <w:sz w:val="24"/>
        </w:rPr>
        <w:t>ka</w:t>
      </w:r>
      <w:r>
        <w:rPr>
          <w:spacing w:val="-16"/>
          <w:sz w:val="24"/>
        </w:rPr>
        <w:t> </w:t>
      </w:r>
      <w:r>
        <w:rPr>
          <w:sz w:val="24"/>
        </w:rPr>
        <w:t>kopš</w:t>
      </w:r>
      <w:r>
        <w:rPr>
          <w:spacing w:val="-16"/>
          <w:sz w:val="24"/>
        </w:rPr>
        <w:t> </w:t>
      </w:r>
      <w:r>
        <w:rPr>
          <w:sz w:val="24"/>
        </w:rPr>
        <w:t>2014.</w:t>
      </w:r>
      <w:r>
        <w:rPr>
          <w:spacing w:val="-16"/>
          <w:sz w:val="24"/>
        </w:rPr>
        <w:t> </w:t>
      </w:r>
      <w:r>
        <w:rPr>
          <w:sz w:val="24"/>
        </w:rPr>
        <w:t>gada</w:t>
      </w:r>
      <w:r>
        <w:rPr>
          <w:spacing w:val="-16"/>
          <w:sz w:val="24"/>
        </w:rPr>
        <w:t> </w:t>
      </w:r>
      <w:r>
        <w:rPr>
          <w:sz w:val="24"/>
        </w:rPr>
        <w:t>1.</w:t>
      </w:r>
      <w:r>
        <w:rPr>
          <w:spacing w:val="-16"/>
          <w:sz w:val="24"/>
        </w:rPr>
        <w:t> </w:t>
      </w:r>
      <w:r>
        <w:rPr>
          <w:sz w:val="24"/>
        </w:rPr>
        <w:t>janvāra</w:t>
      </w:r>
      <w:r>
        <w:rPr>
          <w:spacing w:val="-16"/>
          <w:sz w:val="24"/>
        </w:rPr>
        <w:t> </w:t>
      </w:r>
      <w:r>
        <w:rPr>
          <w:sz w:val="24"/>
        </w:rPr>
        <w:t>parādniece</w:t>
      </w:r>
      <w:r>
        <w:rPr>
          <w:spacing w:val="-16"/>
          <w:sz w:val="24"/>
        </w:rPr>
        <w:t> </w:t>
      </w:r>
      <w:r>
        <w:rPr>
          <w:sz w:val="24"/>
        </w:rPr>
        <w:t>ir</w:t>
      </w:r>
      <w:r>
        <w:rPr>
          <w:spacing w:val="-16"/>
          <w:sz w:val="24"/>
        </w:rPr>
        <w:t> </w:t>
      </w:r>
      <w:r>
        <w:rPr>
          <w:sz w:val="24"/>
        </w:rPr>
        <w:t>veikusi</w:t>
      </w:r>
      <w:r>
        <w:rPr>
          <w:spacing w:val="-16"/>
          <w:sz w:val="24"/>
        </w:rPr>
        <w:t> </w:t>
      </w:r>
      <w:r>
        <w:rPr>
          <w:sz w:val="24"/>
        </w:rPr>
        <w:t>maksājumus atbilstoši</w:t>
      </w:r>
      <w:r>
        <w:rPr>
          <w:spacing w:val="-12"/>
          <w:sz w:val="24"/>
        </w:rPr>
        <w:t> </w:t>
      </w:r>
      <w:r>
        <w:rPr>
          <w:sz w:val="24"/>
        </w:rPr>
        <w:t>Maksātnespējas</w:t>
      </w:r>
      <w:r>
        <w:rPr>
          <w:spacing w:val="-12"/>
          <w:sz w:val="24"/>
        </w:rPr>
        <w:t> </w:t>
      </w:r>
      <w:r>
        <w:rPr>
          <w:sz w:val="24"/>
        </w:rPr>
        <w:t>likuma</w:t>
      </w:r>
      <w:r>
        <w:rPr>
          <w:spacing w:val="-12"/>
          <w:sz w:val="24"/>
        </w:rPr>
        <w:t> </w:t>
      </w:r>
      <w:r>
        <w:rPr>
          <w:sz w:val="24"/>
        </w:rPr>
        <w:t>155.</w:t>
      </w:r>
      <w:r>
        <w:rPr>
          <w:spacing w:val="-11"/>
          <w:sz w:val="24"/>
        </w:rPr>
        <w:t> </w:t>
      </w:r>
      <w:r>
        <w:rPr>
          <w:sz w:val="24"/>
        </w:rPr>
        <w:t>panta</w:t>
      </w:r>
      <w:r>
        <w:rPr>
          <w:spacing w:val="-10"/>
          <w:sz w:val="24"/>
        </w:rPr>
        <w:t> </w:t>
      </w:r>
      <w:r>
        <w:rPr>
          <w:sz w:val="24"/>
        </w:rPr>
        <w:t>ceturtajā</w:t>
      </w:r>
      <w:r>
        <w:rPr>
          <w:spacing w:val="-12"/>
          <w:sz w:val="24"/>
        </w:rPr>
        <w:t> </w:t>
      </w:r>
      <w:r>
        <w:rPr>
          <w:sz w:val="24"/>
        </w:rPr>
        <w:t>daļā</w:t>
      </w:r>
      <w:r>
        <w:rPr>
          <w:spacing w:val="-14"/>
          <w:sz w:val="24"/>
        </w:rPr>
        <w:t> </w:t>
      </w:r>
      <w:r>
        <w:rPr>
          <w:sz w:val="24"/>
        </w:rPr>
        <w:t>noteiktajam</w:t>
      </w:r>
      <w:r>
        <w:rPr>
          <w:spacing w:val="-14"/>
          <w:sz w:val="24"/>
        </w:rPr>
        <w:t> </w:t>
      </w:r>
      <w:r>
        <w:rPr>
          <w:sz w:val="24"/>
        </w:rPr>
        <w:t>–</w:t>
      </w:r>
      <w:r>
        <w:rPr>
          <w:spacing w:val="-10"/>
          <w:sz w:val="24"/>
        </w:rPr>
        <w:t> </w:t>
      </w:r>
      <w:r>
        <w:rPr>
          <w:sz w:val="24"/>
        </w:rPr>
        <w:t>ne</w:t>
      </w:r>
      <w:r>
        <w:rPr>
          <w:spacing w:val="-9"/>
          <w:sz w:val="24"/>
        </w:rPr>
        <w:t> </w:t>
      </w:r>
      <w:r>
        <w:rPr>
          <w:spacing w:val="-3"/>
          <w:sz w:val="24"/>
        </w:rPr>
        <w:t>mazāk </w:t>
      </w:r>
      <w:r>
        <w:rPr>
          <w:sz w:val="24"/>
        </w:rPr>
        <w:t>kā 1/3 apmērā no minimālās algas. Attiecīgi tiesa no pieteikumā norādītā un tam pievienotajiem dokumentiem, papildus iesniegtajiem dokumentiem konstatēja,</w:t>
      </w:r>
      <w:r>
        <w:rPr>
          <w:spacing w:val="-35"/>
          <w:sz w:val="24"/>
        </w:rPr>
        <w:t> </w:t>
      </w:r>
      <w:r>
        <w:rPr>
          <w:sz w:val="24"/>
        </w:rPr>
        <w:t>ka parādniece ir izpildījusi saistību dzēšanas plānā norādītās saistības un arī ievērojusi Maksātnespējas likuma 155.panta ceturto</w:t>
      </w:r>
      <w:r>
        <w:rPr>
          <w:spacing w:val="-3"/>
          <w:sz w:val="24"/>
        </w:rPr>
        <w:t> </w:t>
      </w:r>
      <w:r>
        <w:rPr>
          <w:sz w:val="24"/>
        </w:rPr>
        <w:t>daļu.</w:t>
      </w:r>
      <w:r>
        <w:rPr>
          <w:position w:val="9"/>
          <w:sz w:val="16"/>
        </w:rPr>
        <w:t>145</w:t>
      </w:r>
    </w:p>
    <w:p>
      <w:pPr>
        <w:pStyle w:val="ListParagraph"/>
        <w:numPr>
          <w:ilvl w:val="0"/>
          <w:numId w:val="33"/>
        </w:numPr>
        <w:tabs>
          <w:tab w:pos="1473" w:val="left" w:leader="none"/>
        </w:tabs>
        <w:spacing w:line="240" w:lineRule="auto" w:before="10" w:after="0"/>
        <w:ind w:left="1472" w:right="400" w:hanging="425"/>
        <w:jc w:val="both"/>
        <w:rPr>
          <w:sz w:val="24"/>
        </w:rPr>
      </w:pPr>
      <w:r>
        <w:rPr>
          <w:sz w:val="24"/>
        </w:rPr>
        <w:t>Nevienā no analizētajiem tiesu nolēmumiem tiesa nebija pieprasījusi un attiecīgi arī</w:t>
      </w:r>
      <w:r>
        <w:rPr>
          <w:spacing w:val="-17"/>
          <w:sz w:val="24"/>
        </w:rPr>
        <w:t> </w:t>
      </w:r>
      <w:r>
        <w:rPr>
          <w:sz w:val="24"/>
        </w:rPr>
        <w:t>nebija</w:t>
      </w:r>
      <w:r>
        <w:rPr>
          <w:spacing w:val="-13"/>
          <w:sz w:val="24"/>
        </w:rPr>
        <w:t> </w:t>
      </w:r>
      <w:r>
        <w:rPr>
          <w:sz w:val="24"/>
        </w:rPr>
        <w:t>vērtējusi</w:t>
      </w:r>
      <w:r>
        <w:rPr>
          <w:spacing w:val="-15"/>
          <w:sz w:val="24"/>
        </w:rPr>
        <w:t> </w:t>
      </w:r>
      <w:r>
        <w:rPr>
          <w:sz w:val="24"/>
        </w:rPr>
        <w:t>parādnieka</w:t>
      </w:r>
      <w:r>
        <w:rPr>
          <w:spacing w:val="-16"/>
          <w:sz w:val="24"/>
        </w:rPr>
        <w:t> </w:t>
      </w:r>
      <w:r>
        <w:rPr>
          <w:sz w:val="24"/>
        </w:rPr>
        <w:t>ienākumus</w:t>
      </w:r>
      <w:r>
        <w:rPr>
          <w:spacing w:val="-12"/>
          <w:sz w:val="24"/>
        </w:rPr>
        <w:t> </w:t>
      </w:r>
      <w:r>
        <w:rPr>
          <w:sz w:val="24"/>
        </w:rPr>
        <w:t>un</w:t>
      </w:r>
      <w:r>
        <w:rPr>
          <w:spacing w:val="-15"/>
          <w:sz w:val="24"/>
        </w:rPr>
        <w:t> </w:t>
      </w:r>
      <w:r>
        <w:rPr>
          <w:sz w:val="24"/>
        </w:rPr>
        <w:t>tos</w:t>
      </w:r>
      <w:r>
        <w:rPr>
          <w:spacing w:val="-14"/>
          <w:sz w:val="24"/>
        </w:rPr>
        <w:t> </w:t>
      </w:r>
      <w:r>
        <w:rPr>
          <w:sz w:val="24"/>
        </w:rPr>
        <w:t>apliecinošos</w:t>
      </w:r>
      <w:r>
        <w:rPr>
          <w:spacing w:val="-15"/>
          <w:sz w:val="24"/>
        </w:rPr>
        <w:t> </w:t>
      </w:r>
      <w:r>
        <w:rPr>
          <w:sz w:val="24"/>
        </w:rPr>
        <w:t>dokumentus</w:t>
      </w:r>
      <w:r>
        <w:rPr>
          <w:spacing w:val="-15"/>
          <w:sz w:val="24"/>
        </w:rPr>
        <w:t> </w:t>
      </w:r>
      <w:r>
        <w:rPr>
          <w:sz w:val="24"/>
        </w:rPr>
        <w:t>(2</w:t>
      </w:r>
      <w:r>
        <w:rPr>
          <w:spacing w:val="-15"/>
          <w:sz w:val="24"/>
        </w:rPr>
        <w:t> </w:t>
      </w:r>
      <w:r>
        <w:rPr>
          <w:sz w:val="24"/>
        </w:rPr>
        <w:t>lietās no 25 parādnieks pats pēc savas iniciatīvas bija iesniedzis pierādījumus </w:t>
      </w:r>
      <w:r>
        <w:rPr>
          <w:spacing w:val="-4"/>
          <w:sz w:val="24"/>
        </w:rPr>
        <w:t>par </w:t>
      </w:r>
      <w:r>
        <w:rPr>
          <w:sz w:val="24"/>
        </w:rPr>
        <w:t>ienākumu</w:t>
      </w:r>
      <w:r>
        <w:rPr>
          <w:spacing w:val="1"/>
          <w:sz w:val="24"/>
        </w:rPr>
        <w:t> </w:t>
      </w:r>
      <w:r>
        <w:rPr>
          <w:sz w:val="24"/>
        </w:rPr>
        <w:t>apmēru);</w:t>
      </w:r>
    </w:p>
    <w:p>
      <w:pPr>
        <w:pStyle w:val="ListParagraph"/>
        <w:numPr>
          <w:ilvl w:val="0"/>
          <w:numId w:val="33"/>
        </w:numPr>
        <w:tabs>
          <w:tab w:pos="1473" w:val="left" w:leader="none"/>
        </w:tabs>
        <w:spacing w:line="240" w:lineRule="auto" w:before="0" w:after="0"/>
        <w:ind w:left="1472" w:right="402" w:hanging="425"/>
        <w:jc w:val="both"/>
        <w:rPr>
          <w:sz w:val="24"/>
        </w:rPr>
      </w:pPr>
      <w:r>
        <w:rPr>
          <w:sz w:val="24"/>
        </w:rPr>
        <w:t>Tiesas pieļauj piemaksu izdarīšanu saistību dzēšanas procedūras beigās gadījumos, ja šāda piemaksa izdarāma sakarā ar parādnieka ienākumu vai valstī noteiktās minimālās mēnešalgas pieaugumu saistību dzēšanas procedūras </w:t>
      </w:r>
      <w:r>
        <w:rPr>
          <w:spacing w:val="-3"/>
          <w:sz w:val="24"/>
        </w:rPr>
        <w:t>laikā </w:t>
      </w:r>
      <w:r>
        <w:rPr>
          <w:sz w:val="24"/>
        </w:rPr>
        <w:t>(vismaz 4 lietās no</w:t>
      </w:r>
      <w:r>
        <w:rPr>
          <w:spacing w:val="1"/>
          <w:sz w:val="24"/>
        </w:rPr>
        <w:t> </w:t>
      </w:r>
      <w:r>
        <w:rPr>
          <w:sz w:val="24"/>
        </w:rPr>
        <w:t>21):</w:t>
      </w:r>
    </w:p>
    <w:p>
      <w:pPr>
        <w:pStyle w:val="ListParagraph"/>
        <w:numPr>
          <w:ilvl w:val="1"/>
          <w:numId w:val="33"/>
        </w:numPr>
        <w:tabs>
          <w:tab w:pos="1897" w:val="left" w:leader="none"/>
        </w:tabs>
        <w:spacing w:line="237" w:lineRule="auto" w:before="2" w:after="0"/>
        <w:ind w:left="1896" w:right="401" w:hanging="425"/>
        <w:jc w:val="both"/>
        <w:rPr>
          <w:sz w:val="16"/>
        </w:rPr>
      </w:pPr>
      <w:r>
        <w:rPr>
          <w:sz w:val="24"/>
        </w:rPr>
        <w:t>Lietā, kur parādniece saistību dzēšanas procedūras beigās veikusi piemaksu kreditoriem, un pieteikumā tiesai lūgusi </w:t>
      </w:r>
      <w:r>
        <w:rPr>
          <w:i/>
          <w:sz w:val="24"/>
        </w:rPr>
        <w:t>viņas kļūdu nevērtēt kā izvairīšanos </w:t>
      </w:r>
      <w:r>
        <w:rPr>
          <w:i/>
          <w:sz w:val="24"/>
        </w:rPr>
        <w:t>no saistību izpildes vai ienākumu slēpšanas</w:t>
      </w:r>
      <w:r>
        <w:rPr>
          <w:sz w:val="24"/>
        </w:rPr>
        <w:t>, tiesa secina, ka parādniece ir izpildījusi maksājumu saistības pret kreditoru kā to paredz Ventspils tiesas apstiprinātais saistību dzēšanas plāns un izmaiņas minimālās mēnešalgas apmērā;</w:t>
      </w:r>
      <w:r>
        <w:rPr>
          <w:position w:val="9"/>
          <w:sz w:val="16"/>
        </w:rPr>
        <w:t>146</w:t>
      </w:r>
    </w:p>
    <w:p>
      <w:pPr>
        <w:pStyle w:val="ListParagraph"/>
        <w:numPr>
          <w:ilvl w:val="1"/>
          <w:numId w:val="33"/>
        </w:numPr>
        <w:tabs>
          <w:tab w:pos="1898" w:val="left" w:leader="none"/>
        </w:tabs>
        <w:spacing w:line="232" w:lineRule="auto" w:before="6" w:after="0"/>
        <w:ind w:left="1896" w:right="403" w:hanging="425"/>
        <w:jc w:val="both"/>
        <w:rPr>
          <w:sz w:val="16"/>
        </w:rPr>
      </w:pPr>
      <w:r>
        <w:rPr>
          <w:sz w:val="24"/>
        </w:rPr>
        <w:t>Ienākumam palielinoties, parādnieks veicis piemaksu par 4 mēnešiem. Šajā lietā</w:t>
      </w:r>
      <w:r>
        <w:rPr>
          <w:spacing w:val="-10"/>
          <w:sz w:val="24"/>
        </w:rPr>
        <w:t> </w:t>
      </w:r>
      <w:r>
        <w:rPr>
          <w:sz w:val="24"/>
        </w:rPr>
        <w:t>tiesa</w:t>
      </w:r>
      <w:r>
        <w:rPr>
          <w:spacing w:val="-10"/>
          <w:sz w:val="24"/>
        </w:rPr>
        <w:t> </w:t>
      </w:r>
      <w:r>
        <w:rPr>
          <w:sz w:val="24"/>
        </w:rPr>
        <w:t>konstatē,</w:t>
      </w:r>
      <w:r>
        <w:rPr>
          <w:spacing w:val="-10"/>
          <w:sz w:val="24"/>
        </w:rPr>
        <w:t> </w:t>
      </w:r>
      <w:r>
        <w:rPr>
          <w:sz w:val="24"/>
        </w:rPr>
        <w:t>ka</w:t>
      </w:r>
      <w:r>
        <w:rPr>
          <w:spacing w:val="-9"/>
          <w:sz w:val="24"/>
        </w:rPr>
        <w:t> </w:t>
      </w:r>
      <w:r>
        <w:rPr>
          <w:sz w:val="24"/>
        </w:rPr>
        <w:t>parādnieks</w:t>
      </w:r>
      <w:r>
        <w:rPr>
          <w:spacing w:val="-10"/>
          <w:sz w:val="24"/>
        </w:rPr>
        <w:t> </w:t>
      </w:r>
      <w:r>
        <w:rPr>
          <w:sz w:val="24"/>
        </w:rPr>
        <w:t>ir</w:t>
      </w:r>
      <w:r>
        <w:rPr>
          <w:spacing w:val="-10"/>
          <w:sz w:val="24"/>
        </w:rPr>
        <w:t> </w:t>
      </w:r>
      <w:r>
        <w:rPr>
          <w:sz w:val="24"/>
        </w:rPr>
        <w:t>nokārtojis</w:t>
      </w:r>
      <w:r>
        <w:rPr>
          <w:spacing w:val="-9"/>
          <w:sz w:val="24"/>
        </w:rPr>
        <w:t> </w:t>
      </w:r>
      <w:r>
        <w:rPr>
          <w:sz w:val="24"/>
        </w:rPr>
        <w:t>visas</w:t>
      </w:r>
      <w:r>
        <w:rPr>
          <w:spacing w:val="-10"/>
          <w:sz w:val="24"/>
        </w:rPr>
        <w:t> </w:t>
      </w:r>
      <w:r>
        <w:rPr>
          <w:sz w:val="24"/>
        </w:rPr>
        <w:t>fiziskās</w:t>
      </w:r>
      <w:r>
        <w:rPr>
          <w:spacing w:val="-10"/>
          <w:sz w:val="24"/>
        </w:rPr>
        <w:t> </w:t>
      </w:r>
      <w:r>
        <w:rPr>
          <w:sz w:val="24"/>
        </w:rPr>
        <w:t>personas</w:t>
      </w:r>
      <w:r>
        <w:rPr>
          <w:spacing w:val="-10"/>
          <w:sz w:val="24"/>
        </w:rPr>
        <w:t> </w:t>
      </w:r>
      <w:r>
        <w:rPr>
          <w:sz w:val="24"/>
        </w:rPr>
        <w:t>saistību dzēšanas</w:t>
      </w:r>
      <w:r>
        <w:rPr>
          <w:spacing w:val="-12"/>
          <w:sz w:val="24"/>
        </w:rPr>
        <w:t> </w:t>
      </w:r>
      <w:r>
        <w:rPr>
          <w:sz w:val="24"/>
        </w:rPr>
        <w:t>plānā</w:t>
      </w:r>
      <w:r>
        <w:rPr>
          <w:spacing w:val="-13"/>
          <w:sz w:val="24"/>
        </w:rPr>
        <w:t> </w:t>
      </w:r>
      <w:r>
        <w:rPr>
          <w:sz w:val="24"/>
        </w:rPr>
        <w:t>iekļautās</w:t>
      </w:r>
      <w:r>
        <w:rPr>
          <w:spacing w:val="-12"/>
          <w:sz w:val="24"/>
        </w:rPr>
        <w:t> </w:t>
      </w:r>
      <w:r>
        <w:rPr>
          <w:sz w:val="24"/>
        </w:rPr>
        <w:t>un</w:t>
      </w:r>
      <w:r>
        <w:rPr>
          <w:spacing w:val="-11"/>
          <w:sz w:val="24"/>
        </w:rPr>
        <w:t> </w:t>
      </w:r>
      <w:r>
        <w:rPr>
          <w:sz w:val="24"/>
        </w:rPr>
        <w:t>ar</w:t>
      </w:r>
      <w:r>
        <w:rPr>
          <w:spacing w:val="-11"/>
          <w:sz w:val="24"/>
        </w:rPr>
        <w:t> </w:t>
      </w:r>
      <w:r>
        <w:rPr>
          <w:sz w:val="24"/>
        </w:rPr>
        <w:t>Maksātnespējas</w:t>
      </w:r>
      <w:r>
        <w:rPr>
          <w:spacing w:val="-14"/>
          <w:sz w:val="24"/>
        </w:rPr>
        <w:t> </w:t>
      </w:r>
      <w:r>
        <w:rPr>
          <w:sz w:val="24"/>
        </w:rPr>
        <w:t>likumu</w:t>
      </w:r>
      <w:r>
        <w:rPr>
          <w:spacing w:val="-11"/>
          <w:sz w:val="24"/>
        </w:rPr>
        <w:t> </w:t>
      </w:r>
      <w:r>
        <w:rPr>
          <w:sz w:val="24"/>
        </w:rPr>
        <w:t>paredzētās</w:t>
      </w:r>
      <w:r>
        <w:rPr>
          <w:spacing w:val="-12"/>
          <w:sz w:val="24"/>
        </w:rPr>
        <w:t> </w:t>
      </w:r>
      <w:r>
        <w:rPr>
          <w:sz w:val="24"/>
        </w:rPr>
        <w:t>saistības;</w:t>
      </w:r>
      <w:r>
        <w:rPr>
          <w:position w:val="9"/>
          <w:sz w:val="16"/>
        </w:rPr>
        <w:t>147</w:t>
      </w:r>
    </w:p>
    <w:p>
      <w:pPr>
        <w:pStyle w:val="ListParagraph"/>
        <w:numPr>
          <w:ilvl w:val="1"/>
          <w:numId w:val="33"/>
        </w:numPr>
        <w:tabs>
          <w:tab w:pos="1897" w:val="left" w:leader="none"/>
        </w:tabs>
        <w:spacing w:line="240" w:lineRule="auto" w:before="3" w:after="0"/>
        <w:ind w:left="1896" w:right="400" w:hanging="425"/>
        <w:jc w:val="both"/>
        <w:rPr>
          <w:sz w:val="24"/>
        </w:rPr>
      </w:pPr>
      <w:r>
        <w:rPr>
          <w:sz w:val="24"/>
        </w:rPr>
        <w:t>Parādnieks saistību dzēšanas procedūras laikā ik mēnesi pārskaitīja kreditoriem</w:t>
      </w:r>
      <w:r>
        <w:rPr>
          <w:spacing w:val="-10"/>
          <w:sz w:val="24"/>
        </w:rPr>
        <w:t> </w:t>
      </w:r>
      <w:r>
        <w:rPr>
          <w:sz w:val="24"/>
        </w:rPr>
        <w:t>plānā</w:t>
      </w:r>
      <w:r>
        <w:rPr>
          <w:spacing w:val="-9"/>
          <w:sz w:val="24"/>
        </w:rPr>
        <w:t> </w:t>
      </w:r>
      <w:r>
        <w:rPr>
          <w:sz w:val="24"/>
        </w:rPr>
        <w:t>norādīto</w:t>
      </w:r>
      <w:r>
        <w:rPr>
          <w:spacing w:val="-9"/>
          <w:sz w:val="24"/>
        </w:rPr>
        <w:t> </w:t>
      </w:r>
      <w:r>
        <w:rPr>
          <w:sz w:val="24"/>
        </w:rPr>
        <w:t>naudas</w:t>
      </w:r>
      <w:r>
        <w:rPr>
          <w:spacing w:val="-9"/>
          <w:sz w:val="24"/>
        </w:rPr>
        <w:t> </w:t>
      </w:r>
      <w:r>
        <w:rPr>
          <w:sz w:val="24"/>
        </w:rPr>
        <w:t>summu</w:t>
      </w:r>
      <w:r>
        <w:rPr>
          <w:spacing w:val="-9"/>
          <w:sz w:val="24"/>
        </w:rPr>
        <w:t> </w:t>
      </w:r>
      <w:r>
        <w:rPr>
          <w:sz w:val="24"/>
        </w:rPr>
        <w:t>–</w:t>
      </w:r>
      <w:r>
        <w:rPr>
          <w:spacing w:val="-9"/>
          <w:sz w:val="24"/>
        </w:rPr>
        <w:t> </w:t>
      </w:r>
      <w:r>
        <w:rPr>
          <w:sz w:val="24"/>
        </w:rPr>
        <w:t>1/3</w:t>
      </w:r>
      <w:r>
        <w:rPr>
          <w:spacing w:val="-10"/>
          <w:sz w:val="24"/>
        </w:rPr>
        <w:t> </w:t>
      </w:r>
      <w:r>
        <w:rPr>
          <w:sz w:val="24"/>
        </w:rPr>
        <w:t>no</w:t>
      </w:r>
      <w:r>
        <w:rPr>
          <w:spacing w:val="-11"/>
          <w:sz w:val="24"/>
        </w:rPr>
        <w:t> </w:t>
      </w:r>
      <w:r>
        <w:rPr>
          <w:sz w:val="24"/>
        </w:rPr>
        <w:t>valstī</w:t>
      </w:r>
      <w:r>
        <w:rPr>
          <w:spacing w:val="-6"/>
          <w:sz w:val="24"/>
        </w:rPr>
        <w:t> </w:t>
      </w:r>
      <w:r>
        <w:rPr>
          <w:sz w:val="24"/>
        </w:rPr>
        <w:t>noteiktās</w:t>
      </w:r>
      <w:r>
        <w:rPr>
          <w:spacing w:val="-11"/>
          <w:sz w:val="24"/>
        </w:rPr>
        <w:t> </w:t>
      </w:r>
      <w:r>
        <w:rPr>
          <w:sz w:val="24"/>
        </w:rPr>
        <w:t>minimālās algas mēnesī, kaut parādnieka ienākumi bija vairāk kā divas reizes lielāki. Saistību dzēšanas procedūras beigās pirms pieteikuma iesniegšanas tiesā parādnieks norāda, ka pēc saistību dzēšanas plānā konstatēto kļūdu</w:t>
      </w:r>
      <w:r>
        <w:rPr>
          <w:spacing w:val="-22"/>
          <w:sz w:val="24"/>
        </w:rPr>
        <w:t> </w:t>
      </w:r>
      <w:r>
        <w:rPr>
          <w:sz w:val="24"/>
        </w:rPr>
        <w:t>pārrēķina tiek veikta trūkstošās starpības EUR 2507,59 EUR samaksa kreditoram.</w:t>
      </w:r>
      <w:r>
        <w:rPr>
          <w:spacing w:val="3"/>
          <w:sz w:val="24"/>
        </w:rPr>
        <w:t> </w:t>
      </w:r>
      <w:r>
        <w:rPr>
          <w:spacing w:val="-3"/>
          <w:sz w:val="24"/>
        </w:rPr>
        <w:t>Šajā</w:t>
      </w:r>
    </w:p>
    <w:p>
      <w:pPr>
        <w:pStyle w:val="BodyText"/>
        <w:jc w:val="left"/>
        <w:rPr>
          <w:sz w:val="20"/>
        </w:rPr>
      </w:pPr>
    </w:p>
    <w:p>
      <w:pPr>
        <w:pStyle w:val="BodyText"/>
        <w:jc w:val="left"/>
        <w:rPr>
          <w:sz w:val="20"/>
        </w:rPr>
      </w:pPr>
    </w:p>
    <w:p>
      <w:pPr>
        <w:pStyle w:val="BodyText"/>
        <w:spacing w:before="6"/>
        <w:jc w:val="left"/>
        <w:rPr>
          <w:sz w:val="20"/>
        </w:rPr>
      </w:pPr>
      <w:r>
        <w:rPr/>
        <w:pict>
          <v:shape style="position:absolute;margin-left:90pt;margin-top:14.096329pt;width:144pt;height:.1pt;mso-position-horizontal-relative:page;mso-position-vertical-relative:paragraph;z-index:-251623424;mso-wrap-distance-left:0;mso-wrap-distance-right:0" coordorigin="1800,282" coordsize="2880,0" path="m1800,282l4680,282e" filled="false" stroked="true" strokeweight=".600037pt" strokecolor="#000000">
            <v:path arrowok="t"/>
            <v:stroke dashstyle="solid"/>
            <w10:wrap type="topAndBottom"/>
          </v:shape>
        </w:pict>
      </w:r>
    </w:p>
    <w:p>
      <w:pPr>
        <w:spacing w:line="233" w:lineRule="exact" w:before="70"/>
        <w:ind w:left="620" w:right="0" w:firstLine="0"/>
        <w:jc w:val="left"/>
        <w:rPr>
          <w:sz w:val="20"/>
        </w:rPr>
      </w:pPr>
      <w:r>
        <w:rPr>
          <w:position w:val="7"/>
          <w:sz w:val="13"/>
        </w:rPr>
        <w:t>145 </w:t>
      </w:r>
      <w:r>
        <w:rPr>
          <w:sz w:val="20"/>
        </w:rPr>
        <w:t>Rīgas pilsētas Latgales priekšpilsētas tiesas 2015.gada 12.februāra nolēmums lietā Nr. C29555212</w:t>
      </w:r>
    </w:p>
    <w:p>
      <w:pPr>
        <w:spacing w:line="230" w:lineRule="exact" w:before="0"/>
        <w:ind w:left="620" w:right="0" w:firstLine="0"/>
        <w:jc w:val="left"/>
        <w:rPr>
          <w:sz w:val="20"/>
        </w:rPr>
      </w:pPr>
      <w:r>
        <w:rPr>
          <w:position w:val="7"/>
          <w:sz w:val="13"/>
        </w:rPr>
        <w:t>146 </w:t>
      </w:r>
      <w:r>
        <w:rPr>
          <w:sz w:val="20"/>
        </w:rPr>
        <w:t>Ventspils tiesas 2015.gada 12.februāra nolēmums lietā Nr. C40072411</w:t>
      </w:r>
    </w:p>
    <w:p>
      <w:pPr>
        <w:spacing w:line="233" w:lineRule="exact" w:before="0"/>
        <w:ind w:left="620" w:right="0" w:firstLine="0"/>
        <w:jc w:val="left"/>
        <w:rPr>
          <w:sz w:val="20"/>
        </w:rPr>
      </w:pPr>
      <w:r>
        <w:rPr>
          <w:position w:val="7"/>
          <w:sz w:val="13"/>
        </w:rPr>
        <w:t>147 </w:t>
      </w:r>
      <w:r>
        <w:rPr>
          <w:sz w:val="20"/>
        </w:rPr>
        <w:t>Rīgas pilsētas Centra rajona tiesas 2015.gada 27.janvāra nolēmums lietā Nr. C27192612</w:t>
      </w:r>
    </w:p>
    <w:p>
      <w:pPr>
        <w:spacing w:after="0" w:line="233" w:lineRule="exact"/>
        <w:jc w:val="left"/>
        <w:rPr>
          <w:sz w:val="20"/>
        </w:rPr>
        <w:sectPr>
          <w:pgSz w:w="11910" w:h="16840"/>
          <w:pgMar w:header="0" w:footer="1055" w:top="1580" w:bottom="1240" w:left="1180" w:right="1040"/>
        </w:sectPr>
      </w:pPr>
    </w:p>
    <w:p>
      <w:pPr>
        <w:pStyle w:val="BodyText"/>
        <w:spacing w:line="228" w:lineRule="auto" w:before="84"/>
        <w:ind w:left="1536" w:right="398"/>
        <w:jc w:val="left"/>
        <w:rPr>
          <w:sz w:val="16"/>
        </w:rPr>
      </w:pPr>
      <w:r>
        <w:rPr/>
        <w:t>lietā tiesa, pārbaudot lietas materiālus, konstatē, ka parādniece ir izpildījusi saistību dzēšanas plānā noteiktās darbības.</w:t>
      </w:r>
      <w:r>
        <w:rPr>
          <w:position w:val="9"/>
          <w:sz w:val="16"/>
        </w:rPr>
        <w:t>148</w:t>
      </w:r>
    </w:p>
    <w:p>
      <w:pPr>
        <w:pStyle w:val="BodyText"/>
        <w:spacing w:before="4"/>
        <w:jc w:val="left"/>
      </w:pPr>
    </w:p>
    <w:p>
      <w:pPr>
        <w:pStyle w:val="ListParagraph"/>
        <w:numPr>
          <w:ilvl w:val="2"/>
          <w:numId w:val="31"/>
        </w:numPr>
        <w:tabs>
          <w:tab w:pos="1256" w:val="left" w:leader="none"/>
        </w:tabs>
        <w:spacing w:line="237" w:lineRule="auto" w:before="0" w:after="0"/>
        <w:ind w:left="260" w:right="761" w:firstLine="720"/>
        <w:jc w:val="both"/>
        <w:rPr>
          <w:sz w:val="16"/>
        </w:rPr>
      </w:pPr>
      <w:r>
        <w:rPr>
          <w:b/>
          <w:i/>
          <w:sz w:val="24"/>
        </w:rPr>
        <w:t>Tiesu</w:t>
      </w:r>
      <w:r>
        <w:rPr>
          <w:b/>
          <w:i/>
          <w:spacing w:val="-8"/>
          <w:sz w:val="24"/>
        </w:rPr>
        <w:t> </w:t>
      </w:r>
      <w:r>
        <w:rPr>
          <w:b/>
          <w:i/>
          <w:sz w:val="24"/>
        </w:rPr>
        <w:t>nolēmumu</w:t>
      </w:r>
      <w:r>
        <w:rPr>
          <w:b/>
          <w:i/>
          <w:spacing w:val="-7"/>
          <w:sz w:val="24"/>
        </w:rPr>
        <w:t> </w:t>
      </w:r>
      <w:r>
        <w:rPr>
          <w:b/>
          <w:i/>
          <w:sz w:val="24"/>
        </w:rPr>
        <w:t>motīvi</w:t>
      </w:r>
      <w:r>
        <w:rPr>
          <w:b/>
          <w:i/>
          <w:spacing w:val="-7"/>
          <w:sz w:val="24"/>
        </w:rPr>
        <w:t> </w:t>
      </w:r>
      <w:r>
        <w:rPr>
          <w:b/>
          <w:i/>
          <w:sz w:val="24"/>
        </w:rPr>
        <w:t>jautājumā</w:t>
      </w:r>
      <w:r>
        <w:rPr>
          <w:b/>
          <w:i/>
          <w:spacing w:val="-7"/>
          <w:sz w:val="24"/>
        </w:rPr>
        <w:t> </w:t>
      </w:r>
      <w:r>
        <w:rPr>
          <w:b/>
          <w:i/>
          <w:sz w:val="24"/>
        </w:rPr>
        <w:t>par</w:t>
      </w:r>
      <w:r>
        <w:rPr>
          <w:b/>
          <w:i/>
          <w:spacing w:val="-9"/>
          <w:sz w:val="24"/>
        </w:rPr>
        <w:t> </w:t>
      </w:r>
      <w:r>
        <w:rPr>
          <w:b/>
          <w:i/>
          <w:sz w:val="24"/>
        </w:rPr>
        <w:t>saistību</w:t>
      </w:r>
      <w:r>
        <w:rPr>
          <w:b/>
          <w:i/>
          <w:spacing w:val="-9"/>
          <w:sz w:val="24"/>
        </w:rPr>
        <w:t> </w:t>
      </w:r>
      <w:r>
        <w:rPr>
          <w:b/>
          <w:i/>
          <w:sz w:val="24"/>
        </w:rPr>
        <w:t>dzēšanu.</w:t>
      </w:r>
      <w:r>
        <w:rPr>
          <w:b/>
          <w:i/>
          <w:spacing w:val="-6"/>
          <w:sz w:val="24"/>
        </w:rPr>
        <w:t> </w:t>
      </w:r>
      <w:r>
        <w:rPr>
          <w:sz w:val="24"/>
        </w:rPr>
        <w:t>Vērtējot</w:t>
      </w:r>
      <w:r>
        <w:rPr>
          <w:spacing w:val="-7"/>
          <w:sz w:val="24"/>
        </w:rPr>
        <w:t> </w:t>
      </w:r>
      <w:r>
        <w:rPr>
          <w:sz w:val="24"/>
        </w:rPr>
        <w:t>analizējamos tiesu nolēmumus, secināms, ka motīvu daļā galvenokārt tiek vērtēta kreditoru iebildumu esamība  vai  neesamība.  Piemēram,  Rīgas  pilsētas  Kurzemes   rajona   tiesa   2015.gada 21.janvāra nolēmumā lietā Nr.C28378511 norāda, ka tiesa ir nosūtījusi parādnieka maksātnespējas administratoram un kreditoriem paziņojumu </w:t>
      </w:r>
      <w:r>
        <w:rPr>
          <w:spacing w:val="-4"/>
          <w:sz w:val="24"/>
        </w:rPr>
        <w:t>par </w:t>
      </w:r>
      <w:r>
        <w:rPr>
          <w:sz w:val="24"/>
        </w:rPr>
        <w:t>maksātnespējīgās fiziskās personas pieteikuma par saistību dzēšanas procedūras izbeigšanu, dzēšot atlikušās saistības un maksātnespējas procesa izbeigšanu izskatīšanas laiku. Līdz pieteikuma izskatīšanas dienai iebildumi vai paziņojumi nedz </w:t>
      </w:r>
      <w:r>
        <w:rPr>
          <w:spacing w:val="-8"/>
          <w:sz w:val="24"/>
        </w:rPr>
        <w:t>no </w:t>
      </w:r>
      <w:r>
        <w:rPr>
          <w:sz w:val="24"/>
        </w:rPr>
        <w:t>administratora, nedz kreditoriem tiesā nav saņemti. Tādējādi tiesa secina, ka ir pamats atlikušo saistību, kuras nav izpildītas saistību dzēšanas procesa laikā, dzēšanai</w:t>
      </w:r>
      <w:r>
        <w:rPr>
          <w:spacing w:val="-24"/>
          <w:sz w:val="24"/>
        </w:rPr>
        <w:t> </w:t>
      </w:r>
      <w:r>
        <w:rPr>
          <w:sz w:val="24"/>
        </w:rPr>
        <w:t>.</w:t>
      </w:r>
      <w:r>
        <w:rPr>
          <w:position w:val="9"/>
          <w:sz w:val="16"/>
        </w:rPr>
        <w:t>149</w:t>
      </w:r>
    </w:p>
    <w:p>
      <w:pPr>
        <w:pStyle w:val="BodyText"/>
        <w:spacing w:line="237" w:lineRule="auto" w:before="12"/>
        <w:ind w:left="260" w:right="762" w:firstLine="720"/>
      </w:pPr>
      <w:r>
        <w:rPr/>
        <w:t>Savukārt informācija par kreditoriem, kuru prasījumi pēc maksātnespējas procesa izbeigšanas</w:t>
      </w:r>
      <w:r>
        <w:rPr>
          <w:spacing w:val="-7"/>
        </w:rPr>
        <w:t> </w:t>
      </w:r>
      <w:r>
        <w:rPr/>
        <w:t>tiek</w:t>
      </w:r>
      <w:r>
        <w:rPr>
          <w:spacing w:val="-4"/>
        </w:rPr>
        <w:t> </w:t>
      </w:r>
      <w:r>
        <w:rPr/>
        <w:t>dzēsti,</w:t>
      </w:r>
      <w:r>
        <w:rPr>
          <w:spacing w:val="-4"/>
        </w:rPr>
        <w:t> </w:t>
      </w:r>
      <w:r>
        <w:rPr/>
        <w:t>kā</w:t>
      </w:r>
      <w:r>
        <w:rPr>
          <w:spacing w:val="-5"/>
        </w:rPr>
        <w:t> </w:t>
      </w:r>
      <w:r>
        <w:rPr/>
        <w:t>arī</w:t>
      </w:r>
      <w:r>
        <w:rPr>
          <w:spacing w:val="-4"/>
        </w:rPr>
        <w:t> </w:t>
      </w:r>
      <w:r>
        <w:rPr/>
        <w:t>dzēšamo</w:t>
      </w:r>
      <w:r>
        <w:rPr>
          <w:spacing w:val="-4"/>
        </w:rPr>
        <w:t> </w:t>
      </w:r>
      <w:r>
        <w:rPr/>
        <w:t>saistību</w:t>
      </w:r>
      <w:r>
        <w:rPr>
          <w:spacing w:val="-4"/>
        </w:rPr>
        <w:t> </w:t>
      </w:r>
      <w:r>
        <w:rPr/>
        <w:t>apmērs</w:t>
      </w:r>
      <w:r>
        <w:rPr>
          <w:spacing w:val="-5"/>
        </w:rPr>
        <w:t> </w:t>
      </w:r>
      <w:r>
        <w:rPr/>
        <w:t>(ne</w:t>
      </w:r>
      <w:r>
        <w:rPr>
          <w:spacing w:val="-7"/>
        </w:rPr>
        <w:t> </w:t>
      </w:r>
      <w:r>
        <w:rPr/>
        <w:t>katram</w:t>
      </w:r>
      <w:r>
        <w:rPr>
          <w:spacing w:val="-2"/>
        </w:rPr>
        <w:t> </w:t>
      </w:r>
      <w:r>
        <w:rPr/>
        <w:t>kreditoram</w:t>
      </w:r>
      <w:r>
        <w:rPr>
          <w:spacing w:val="-6"/>
        </w:rPr>
        <w:t> </w:t>
      </w:r>
      <w:r>
        <w:rPr/>
        <w:t>atsevišķi,</w:t>
      </w:r>
      <w:r>
        <w:rPr>
          <w:spacing w:val="-5"/>
        </w:rPr>
        <w:t> </w:t>
      </w:r>
      <w:r>
        <w:rPr/>
        <w:t>ne kopsumma) tiesu nolēmumu motīvu daļā lielākoties netiek vērtēts. Turklāt, nedz no nolēmumu rezolutīvās, nedz arī motīvu daļas nav izsecināms, vai dzēstas tiek </w:t>
      </w:r>
      <w:r>
        <w:rPr>
          <w:b/>
        </w:rPr>
        <w:t>kopējās saistības</w:t>
      </w:r>
      <w:r>
        <w:rPr>
          <w:b/>
          <w:spacing w:val="-4"/>
        </w:rPr>
        <w:t> </w:t>
      </w:r>
      <w:r>
        <w:rPr>
          <w:b/>
        </w:rPr>
        <w:t>vai</w:t>
      </w:r>
      <w:r>
        <w:rPr>
          <w:b/>
          <w:spacing w:val="-5"/>
        </w:rPr>
        <w:t> </w:t>
      </w:r>
      <w:r>
        <w:rPr>
          <w:b/>
        </w:rPr>
        <w:t>tikai</w:t>
      </w:r>
      <w:r>
        <w:rPr>
          <w:b/>
          <w:spacing w:val="-6"/>
        </w:rPr>
        <w:t> </w:t>
      </w:r>
      <w:r>
        <w:rPr>
          <w:b/>
        </w:rPr>
        <w:t>nesegtie</w:t>
      </w:r>
      <w:r>
        <w:rPr>
          <w:b/>
          <w:spacing w:val="-3"/>
        </w:rPr>
        <w:t> </w:t>
      </w:r>
      <w:r>
        <w:rPr>
          <w:b/>
        </w:rPr>
        <w:t>galvenie</w:t>
      </w:r>
      <w:r>
        <w:rPr>
          <w:b/>
          <w:spacing w:val="-2"/>
        </w:rPr>
        <w:t> </w:t>
      </w:r>
      <w:r>
        <w:rPr>
          <w:b/>
        </w:rPr>
        <w:t>prasījumi</w:t>
      </w:r>
      <w:r>
        <w:rPr>
          <w:b/>
          <w:spacing w:val="-3"/>
        </w:rPr>
        <w:t> </w:t>
      </w:r>
      <w:r>
        <w:rPr/>
        <w:t>(izņemot</w:t>
      </w:r>
      <w:r>
        <w:rPr>
          <w:spacing w:val="-4"/>
        </w:rPr>
        <w:t> </w:t>
      </w:r>
      <w:r>
        <w:rPr/>
        <w:t>1</w:t>
      </w:r>
      <w:r>
        <w:rPr>
          <w:spacing w:val="-3"/>
        </w:rPr>
        <w:t> </w:t>
      </w:r>
      <w:r>
        <w:rPr/>
        <w:t>lietā</w:t>
      </w:r>
      <w:r>
        <w:rPr>
          <w:spacing w:val="-4"/>
        </w:rPr>
        <w:t> </w:t>
      </w:r>
      <w:r>
        <w:rPr/>
        <w:t>no</w:t>
      </w:r>
      <w:r>
        <w:rPr>
          <w:spacing w:val="-3"/>
        </w:rPr>
        <w:t> </w:t>
      </w:r>
      <w:r>
        <w:rPr/>
        <w:t>25,</w:t>
      </w:r>
      <w:r>
        <w:rPr>
          <w:spacing w:val="-6"/>
        </w:rPr>
        <w:t> </w:t>
      </w:r>
      <w:r>
        <w:rPr/>
        <w:t>kur</w:t>
      </w:r>
      <w:r>
        <w:rPr>
          <w:spacing w:val="-5"/>
        </w:rPr>
        <w:t> </w:t>
      </w:r>
      <w:r>
        <w:rPr/>
        <w:t>tiesa</w:t>
      </w:r>
      <w:r>
        <w:rPr>
          <w:spacing w:val="-6"/>
        </w:rPr>
        <w:t> </w:t>
      </w:r>
      <w:r>
        <w:rPr/>
        <w:t>secina,</w:t>
      </w:r>
      <w:r>
        <w:rPr>
          <w:spacing w:val="-3"/>
        </w:rPr>
        <w:t> </w:t>
      </w:r>
      <w:r>
        <w:rPr/>
        <w:t>ka ir</w:t>
      </w:r>
      <w:r>
        <w:rPr>
          <w:spacing w:val="-12"/>
        </w:rPr>
        <w:t> </w:t>
      </w:r>
      <w:r>
        <w:rPr/>
        <w:t>dzēšamas</w:t>
      </w:r>
      <w:r>
        <w:rPr>
          <w:spacing w:val="-11"/>
        </w:rPr>
        <w:t> </w:t>
      </w:r>
      <w:r>
        <w:rPr/>
        <w:t>parādnieka</w:t>
      </w:r>
      <w:r>
        <w:rPr>
          <w:spacing w:val="-12"/>
        </w:rPr>
        <w:t> </w:t>
      </w:r>
      <w:r>
        <w:rPr/>
        <w:t>neizpildītās</w:t>
      </w:r>
      <w:r>
        <w:rPr>
          <w:spacing w:val="-11"/>
        </w:rPr>
        <w:t> </w:t>
      </w:r>
      <w:r>
        <w:rPr/>
        <w:t>saistības,</w:t>
      </w:r>
      <w:r>
        <w:rPr>
          <w:spacing w:val="-12"/>
        </w:rPr>
        <w:t> </w:t>
      </w:r>
      <w:r>
        <w:rPr/>
        <w:t>kuras</w:t>
      </w:r>
      <w:r>
        <w:rPr>
          <w:spacing w:val="-13"/>
        </w:rPr>
        <w:t> </w:t>
      </w:r>
      <w:r>
        <w:rPr/>
        <w:t>nav</w:t>
      </w:r>
      <w:r>
        <w:rPr>
          <w:spacing w:val="-12"/>
        </w:rPr>
        <w:t> </w:t>
      </w:r>
      <w:r>
        <w:rPr/>
        <w:t>izpildītas</w:t>
      </w:r>
      <w:r>
        <w:rPr>
          <w:spacing w:val="-11"/>
        </w:rPr>
        <w:t> </w:t>
      </w:r>
      <w:r>
        <w:rPr/>
        <w:t>saistību</w:t>
      </w:r>
      <w:r>
        <w:rPr>
          <w:spacing w:val="-13"/>
        </w:rPr>
        <w:t> </w:t>
      </w:r>
      <w:r>
        <w:rPr/>
        <w:t>dzēšanas</w:t>
      </w:r>
      <w:r>
        <w:rPr>
          <w:spacing w:val="-14"/>
        </w:rPr>
        <w:t> </w:t>
      </w:r>
      <w:r>
        <w:rPr/>
        <w:t>procesa laikā saskaņā ar saistību dzēšanas plānu nesegtā galvenā prasījuma</w:t>
      </w:r>
      <w:r>
        <w:rPr>
          <w:spacing w:val="-4"/>
        </w:rPr>
        <w:t> </w:t>
      </w:r>
      <w:r>
        <w:rPr/>
        <w:t>apmērā</w:t>
      </w:r>
      <w:r>
        <w:rPr>
          <w:position w:val="9"/>
          <w:sz w:val="16"/>
        </w:rPr>
        <w:t>150</w:t>
      </w:r>
      <w:r>
        <w:rPr/>
        <w:t>).</w:t>
      </w:r>
    </w:p>
    <w:p>
      <w:pPr>
        <w:pStyle w:val="BodyText"/>
        <w:spacing w:before="7"/>
        <w:jc w:val="left"/>
      </w:pPr>
    </w:p>
    <w:p>
      <w:pPr>
        <w:pStyle w:val="ListParagraph"/>
        <w:numPr>
          <w:ilvl w:val="2"/>
          <w:numId w:val="31"/>
        </w:numPr>
        <w:tabs>
          <w:tab w:pos="1305" w:val="left" w:leader="none"/>
        </w:tabs>
        <w:spacing w:line="240" w:lineRule="auto" w:before="0" w:after="0"/>
        <w:ind w:left="260" w:right="761" w:firstLine="720"/>
        <w:jc w:val="both"/>
        <w:rPr>
          <w:sz w:val="16"/>
        </w:rPr>
      </w:pPr>
      <w:r>
        <w:rPr>
          <w:b/>
          <w:i/>
          <w:sz w:val="24"/>
        </w:rPr>
        <w:t>Saistību dzēšamības izvērtējums (Maksātnespējas likuma 164.panta ceturtā </w:t>
      </w:r>
      <w:r>
        <w:rPr>
          <w:b/>
          <w:i/>
          <w:sz w:val="24"/>
        </w:rPr>
        <w:t>daļa).</w:t>
      </w:r>
      <w:r>
        <w:rPr>
          <w:b/>
          <w:i/>
          <w:spacing w:val="-7"/>
          <w:sz w:val="24"/>
        </w:rPr>
        <w:t> </w:t>
      </w:r>
      <w:r>
        <w:rPr>
          <w:sz w:val="24"/>
        </w:rPr>
        <w:t>Analizējot</w:t>
      </w:r>
      <w:r>
        <w:rPr>
          <w:spacing w:val="-6"/>
          <w:sz w:val="24"/>
        </w:rPr>
        <w:t> </w:t>
      </w:r>
      <w:r>
        <w:rPr>
          <w:sz w:val="24"/>
        </w:rPr>
        <w:t>pētāmos</w:t>
      </w:r>
      <w:r>
        <w:rPr>
          <w:spacing w:val="-5"/>
          <w:sz w:val="24"/>
        </w:rPr>
        <w:t> </w:t>
      </w:r>
      <w:r>
        <w:rPr>
          <w:sz w:val="24"/>
        </w:rPr>
        <w:t>nolēmumus,</w:t>
      </w:r>
      <w:r>
        <w:rPr>
          <w:spacing w:val="-4"/>
          <w:sz w:val="24"/>
        </w:rPr>
        <w:t> </w:t>
      </w:r>
      <w:r>
        <w:rPr>
          <w:sz w:val="24"/>
        </w:rPr>
        <w:t>secināms,</w:t>
      </w:r>
      <w:r>
        <w:rPr>
          <w:spacing w:val="-4"/>
          <w:sz w:val="24"/>
        </w:rPr>
        <w:t> </w:t>
      </w:r>
      <w:r>
        <w:rPr>
          <w:sz w:val="24"/>
        </w:rPr>
        <w:t>ka</w:t>
      </w:r>
      <w:r>
        <w:rPr>
          <w:spacing w:val="-6"/>
          <w:sz w:val="24"/>
        </w:rPr>
        <w:t> </w:t>
      </w:r>
      <w:r>
        <w:rPr>
          <w:sz w:val="24"/>
        </w:rPr>
        <w:t>nolēmumos</w:t>
      </w:r>
      <w:r>
        <w:rPr>
          <w:spacing w:val="-5"/>
          <w:sz w:val="24"/>
        </w:rPr>
        <w:t> </w:t>
      </w:r>
      <w:r>
        <w:rPr>
          <w:sz w:val="24"/>
        </w:rPr>
        <w:t>faktiski</w:t>
      </w:r>
      <w:r>
        <w:rPr>
          <w:spacing w:val="-6"/>
          <w:sz w:val="24"/>
        </w:rPr>
        <w:t> </w:t>
      </w:r>
      <w:r>
        <w:rPr>
          <w:sz w:val="24"/>
        </w:rPr>
        <w:t>netiek</w:t>
      </w:r>
      <w:r>
        <w:rPr>
          <w:spacing w:val="-6"/>
          <w:sz w:val="24"/>
        </w:rPr>
        <w:t> </w:t>
      </w:r>
      <w:r>
        <w:rPr>
          <w:sz w:val="24"/>
        </w:rPr>
        <w:t>vērtēts</w:t>
      </w:r>
      <w:r>
        <w:rPr>
          <w:spacing w:val="-5"/>
          <w:sz w:val="24"/>
        </w:rPr>
        <w:t> </w:t>
      </w:r>
      <w:r>
        <w:rPr>
          <w:sz w:val="24"/>
        </w:rPr>
        <w:t>tas, vai saistību dzēšanas plānā norādītās un saistību procedūras laikā nesegtās saistības ir dzēšamas Maksātnespējas likuma 164.panta ceturtās daļas izpratnē. Proti, tikai vienā </w:t>
      </w:r>
      <w:r>
        <w:rPr>
          <w:spacing w:val="-6"/>
          <w:sz w:val="24"/>
        </w:rPr>
        <w:t>no </w:t>
      </w:r>
      <w:r>
        <w:rPr>
          <w:sz w:val="24"/>
        </w:rPr>
        <w:t>analizētajām lietām, vērtējot saņemtos iebildumus, tiesa norādījusi motivāciju saistību dzēšamībai Maksātnespējas likuma 164.panta ceturtās daļas izpratnē. Un tieši, lietā </w:t>
      </w:r>
      <w:r>
        <w:rPr>
          <w:spacing w:val="-3"/>
          <w:sz w:val="24"/>
        </w:rPr>
        <w:t>bija </w:t>
      </w:r>
      <w:r>
        <w:rPr>
          <w:sz w:val="24"/>
        </w:rPr>
        <w:t>saņemts parādnieka kreditora maksātnespējīgas SIA administratora iesniegums, kurā norādīts, ka parādnieks nav atbrīvojams no saistībām pret kreditoru, jo tās radušās no neatļautas darbības. Parādnieks, būdams MSIA valdes loceklis, laikā no 2009.gada 1.janvāra</w:t>
      </w:r>
      <w:r>
        <w:rPr>
          <w:spacing w:val="-14"/>
          <w:sz w:val="24"/>
        </w:rPr>
        <w:t> </w:t>
      </w:r>
      <w:r>
        <w:rPr>
          <w:sz w:val="24"/>
        </w:rPr>
        <w:t>līdz</w:t>
      </w:r>
      <w:r>
        <w:rPr>
          <w:spacing w:val="-13"/>
          <w:sz w:val="24"/>
        </w:rPr>
        <w:t> </w:t>
      </w:r>
      <w:r>
        <w:rPr>
          <w:sz w:val="24"/>
        </w:rPr>
        <w:t>2009.gada</w:t>
      </w:r>
      <w:r>
        <w:rPr>
          <w:spacing w:val="-13"/>
          <w:sz w:val="24"/>
        </w:rPr>
        <w:t> </w:t>
      </w:r>
      <w:r>
        <w:rPr>
          <w:sz w:val="24"/>
        </w:rPr>
        <w:t>31.decembrim</w:t>
      </w:r>
      <w:r>
        <w:rPr>
          <w:spacing w:val="-15"/>
          <w:sz w:val="24"/>
        </w:rPr>
        <w:t> </w:t>
      </w:r>
      <w:r>
        <w:rPr>
          <w:sz w:val="24"/>
        </w:rPr>
        <w:t>bez</w:t>
      </w:r>
      <w:r>
        <w:rPr>
          <w:spacing w:val="-13"/>
          <w:sz w:val="24"/>
        </w:rPr>
        <w:t> </w:t>
      </w:r>
      <w:r>
        <w:rPr>
          <w:sz w:val="24"/>
        </w:rPr>
        <w:t>jebkāda</w:t>
      </w:r>
      <w:r>
        <w:rPr>
          <w:spacing w:val="-18"/>
          <w:sz w:val="24"/>
        </w:rPr>
        <w:t> </w:t>
      </w:r>
      <w:r>
        <w:rPr>
          <w:sz w:val="24"/>
        </w:rPr>
        <w:t>tiesiska</w:t>
      </w:r>
      <w:r>
        <w:rPr>
          <w:spacing w:val="-15"/>
          <w:sz w:val="24"/>
        </w:rPr>
        <w:t> </w:t>
      </w:r>
      <w:r>
        <w:rPr>
          <w:sz w:val="24"/>
        </w:rPr>
        <w:t>pamata</w:t>
      </w:r>
      <w:r>
        <w:rPr>
          <w:spacing w:val="-15"/>
          <w:sz w:val="24"/>
        </w:rPr>
        <w:t> </w:t>
      </w:r>
      <w:r>
        <w:rPr>
          <w:sz w:val="24"/>
        </w:rPr>
        <w:t>izņēmis</w:t>
      </w:r>
      <w:r>
        <w:rPr>
          <w:spacing w:val="-16"/>
          <w:sz w:val="24"/>
        </w:rPr>
        <w:t> </w:t>
      </w:r>
      <w:r>
        <w:rPr>
          <w:sz w:val="24"/>
        </w:rPr>
        <w:t>no</w:t>
      </w:r>
      <w:r>
        <w:rPr>
          <w:spacing w:val="-15"/>
          <w:sz w:val="24"/>
        </w:rPr>
        <w:t> </w:t>
      </w:r>
      <w:r>
        <w:rPr>
          <w:sz w:val="24"/>
        </w:rPr>
        <w:t>SIA</w:t>
      </w:r>
      <w:r>
        <w:rPr>
          <w:spacing w:val="-13"/>
          <w:sz w:val="24"/>
        </w:rPr>
        <w:t> </w:t>
      </w:r>
      <w:r>
        <w:rPr>
          <w:sz w:val="24"/>
        </w:rPr>
        <w:t>bankas konta naudas līdzekļus 12 963,11 latu apmērā. Minētie fakti konstatēti ar spēkā stājušos tiesas spiedumu. Tomēr tiesa, vērtējot saņemtos iebildumus, norādījusi: “No Rīgas rajona tiesas 2011.gada 17.oktobra spieduma nevar izdarīt viennozīmīgu secinājumu par to, vai konkrētais prasījums uzskatāms par tādu, kas cēlies no neatļautas darbības. Spriedums pamatots vien ar Komerclikuma 169.pantu, un no sprieduma izriet, ka parādnieks,</w:t>
      </w:r>
      <w:r>
        <w:rPr>
          <w:spacing w:val="-36"/>
          <w:sz w:val="24"/>
        </w:rPr>
        <w:t> </w:t>
      </w:r>
      <w:r>
        <w:rPr>
          <w:sz w:val="24"/>
        </w:rPr>
        <w:t>būdams SIA valdes loceklis, savus pienākumus nav pildījis kā krietns un rūpīgs saimnieks, jo nav iesniedzis</w:t>
      </w:r>
      <w:r>
        <w:rPr>
          <w:spacing w:val="-7"/>
          <w:sz w:val="24"/>
        </w:rPr>
        <w:t> </w:t>
      </w:r>
      <w:r>
        <w:rPr>
          <w:sz w:val="24"/>
        </w:rPr>
        <w:t>pierādījumus,</w:t>
      </w:r>
      <w:r>
        <w:rPr>
          <w:spacing w:val="-9"/>
          <w:sz w:val="24"/>
        </w:rPr>
        <w:t> </w:t>
      </w:r>
      <w:r>
        <w:rPr>
          <w:sz w:val="24"/>
        </w:rPr>
        <w:t>ka</w:t>
      </w:r>
      <w:r>
        <w:rPr>
          <w:spacing w:val="-7"/>
          <w:sz w:val="24"/>
        </w:rPr>
        <w:t> </w:t>
      </w:r>
      <w:r>
        <w:rPr>
          <w:sz w:val="24"/>
        </w:rPr>
        <w:t>naudu</w:t>
      </w:r>
      <w:r>
        <w:rPr>
          <w:spacing w:val="-6"/>
          <w:sz w:val="24"/>
        </w:rPr>
        <w:t> </w:t>
      </w:r>
      <w:r>
        <w:rPr>
          <w:sz w:val="24"/>
        </w:rPr>
        <w:t>izlietojis</w:t>
      </w:r>
      <w:r>
        <w:rPr>
          <w:spacing w:val="-7"/>
          <w:sz w:val="24"/>
        </w:rPr>
        <w:t> </w:t>
      </w:r>
      <w:r>
        <w:rPr>
          <w:sz w:val="24"/>
        </w:rPr>
        <w:t>sabiedrības</w:t>
      </w:r>
      <w:r>
        <w:rPr>
          <w:spacing w:val="-6"/>
          <w:sz w:val="24"/>
        </w:rPr>
        <w:t> </w:t>
      </w:r>
      <w:r>
        <w:rPr>
          <w:sz w:val="24"/>
        </w:rPr>
        <w:t>vajadzībām.</w:t>
      </w:r>
      <w:r>
        <w:rPr>
          <w:spacing w:val="-7"/>
          <w:sz w:val="24"/>
        </w:rPr>
        <w:t> </w:t>
      </w:r>
      <w:r>
        <w:rPr>
          <w:sz w:val="24"/>
        </w:rPr>
        <w:t>Civillikuma</w:t>
      </w:r>
      <w:r>
        <w:rPr>
          <w:spacing w:val="-6"/>
          <w:sz w:val="24"/>
        </w:rPr>
        <w:t> </w:t>
      </w:r>
      <w:r>
        <w:rPr>
          <w:sz w:val="24"/>
        </w:rPr>
        <w:t>vispārējie noteikumi par delikttiesisko atbildību paredz trīs civiltiesiskās atbildības priekšnoteikumus:</w:t>
      </w:r>
      <w:r>
        <w:rPr>
          <w:spacing w:val="-6"/>
          <w:sz w:val="24"/>
        </w:rPr>
        <w:t> </w:t>
      </w:r>
      <w:r>
        <w:rPr>
          <w:sz w:val="24"/>
        </w:rPr>
        <w:t>1)</w:t>
      </w:r>
      <w:r>
        <w:rPr>
          <w:spacing w:val="-6"/>
          <w:sz w:val="24"/>
        </w:rPr>
        <w:t> </w:t>
      </w:r>
      <w:r>
        <w:rPr>
          <w:sz w:val="24"/>
        </w:rPr>
        <w:t>prettiesiska</w:t>
      </w:r>
      <w:r>
        <w:rPr>
          <w:spacing w:val="-9"/>
          <w:sz w:val="24"/>
        </w:rPr>
        <w:t> </w:t>
      </w:r>
      <w:r>
        <w:rPr>
          <w:sz w:val="24"/>
        </w:rPr>
        <w:t>vainojama</w:t>
      </w:r>
      <w:r>
        <w:rPr>
          <w:spacing w:val="-6"/>
          <w:sz w:val="24"/>
        </w:rPr>
        <w:t> </w:t>
      </w:r>
      <w:r>
        <w:rPr>
          <w:sz w:val="24"/>
        </w:rPr>
        <w:t>rīcība,</w:t>
      </w:r>
      <w:r>
        <w:rPr>
          <w:spacing w:val="-4"/>
          <w:sz w:val="24"/>
        </w:rPr>
        <w:t> </w:t>
      </w:r>
      <w:r>
        <w:rPr>
          <w:sz w:val="24"/>
        </w:rPr>
        <w:t>2)</w:t>
      </w:r>
      <w:r>
        <w:rPr>
          <w:spacing w:val="-6"/>
          <w:sz w:val="24"/>
        </w:rPr>
        <w:t> </w:t>
      </w:r>
      <w:r>
        <w:rPr>
          <w:sz w:val="24"/>
        </w:rPr>
        <w:t>kaitējuma</w:t>
      </w:r>
      <w:r>
        <w:rPr>
          <w:spacing w:val="-6"/>
          <w:sz w:val="24"/>
        </w:rPr>
        <w:t> </w:t>
      </w:r>
      <w:r>
        <w:rPr>
          <w:sz w:val="24"/>
        </w:rPr>
        <w:t>esamība</w:t>
      </w:r>
      <w:r>
        <w:rPr>
          <w:spacing w:val="-8"/>
          <w:sz w:val="24"/>
        </w:rPr>
        <w:t> </w:t>
      </w:r>
      <w:r>
        <w:rPr>
          <w:sz w:val="24"/>
        </w:rPr>
        <w:t>un</w:t>
      </w:r>
      <w:r>
        <w:rPr>
          <w:spacing w:val="-4"/>
          <w:sz w:val="24"/>
        </w:rPr>
        <w:t> </w:t>
      </w:r>
      <w:r>
        <w:rPr>
          <w:sz w:val="24"/>
        </w:rPr>
        <w:t>3)</w:t>
      </w:r>
      <w:r>
        <w:rPr>
          <w:spacing w:val="-6"/>
          <w:sz w:val="24"/>
        </w:rPr>
        <w:t> </w:t>
      </w:r>
      <w:r>
        <w:rPr>
          <w:sz w:val="24"/>
        </w:rPr>
        <w:t>cēloniskais sakars</w:t>
      </w:r>
      <w:r>
        <w:rPr>
          <w:spacing w:val="-6"/>
          <w:sz w:val="24"/>
        </w:rPr>
        <w:t> </w:t>
      </w:r>
      <w:r>
        <w:rPr>
          <w:sz w:val="24"/>
        </w:rPr>
        <w:t>starp</w:t>
      </w:r>
      <w:r>
        <w:rPr>
          <w:spacing w:val="-8"/>
          <w:sz w:val="24"/>
        </w:rPr>
        <w:t> </w:t>
      </w:r>
      <w:r>
        <w:rPr>
          <w:sz w:val="24"/>
        </w:rPr>
        <w:t>prettiesisko</w:t>
      </w:r>
      <w:r>
        <w:rPr>
          <w:spacing w:val="-6"/>
          <w:sz w:val="24"/>
        </w:rPr>
        <w:t> </w:t>
      </w:r>
      <w:r>
        <w:rPr>
          <w:sz w:val="24"/>
        </w:rPr>
        <w:t>rīcību</w:t>
      </w:r>
      <w:r>
        <w:rPr>
          <w:spacing w:val="-5"/>
          <w:sz w:val="24"/>
        </w:rPr>
        <w:t> </w:t>
      </w:r>
      <w:r>
        <w:rPr>
          <w:sz w:val="24"/>
        </w:rPr>
        <w:t>un</w:t>
      </w:r>
      <w:r>
        <w:rPr>
          <w:spacing w:val="-6"/>
          <w:sz w:val="24"/>
        </w:rPr>
        <w:t> </w:t>
      </w:r>
      <w:r>
        <w:rPr>
          <w:sz w:val="24"/>
        </w:rPr>
        <w:t>kaitējumu,</w:t>
      </w:r>
      <w:r>
        <w:rPr>
          <w:spacing w:val="-5"/>
          <w:sz w:val="24"/>
        </w:rPr>
        <w:t> </w:t>
      </w:r>
      <w:r>
        <w:rPr>
          <w:sz w:val="24"/>
        </w:rPr>
        <w:t>kas</w:t>
      </w:r>
      <w:r>
        <w:rPr>
          <w:spacing w:val="-5"/>
          <w:sz w:val="24"/>
        </w:rPr>
        <w:t> </w:t>
      </w:r>
      <w:r>
        <w:rPr>
          <w:sz w:val="24"/>
        </w:rPr>
        <w:t>spriedumā</w:t>
      </w:r>
      <w:r>
        <w:rPr>
          <w:spacing w:val="-5"/>
          <w:sz w:val="24"/>
        </w:rPr>
        <w:t> </w:t>
      </w:r>
      <w:r>
        <w:rPr>
          <w:sz w:val="24"/>
        </w:rPr>
        <w:t>nav</w:t>
      </w:r>
      <w:r>
        <w:rPr>
          <w:spacing w:val="-8"/>
          <w:sz w:val="24"/>
        </w:rPr>
        <w:t> </w:t>
      </w:r>
      <w:r>
        <w:rPr>
          <w:sz w:val="24"/>
        </w:rPr>
        <w:t>konstatēti.</w:t>
      </w:r>
      <w:r>
        <w:rPr>
          <w:spacing w:val="-4"/>
          <w:sz w:val="24"/>
        </w:rPr>
        <w:t> </w:t>
      </w:r>
      <w:r>
        <w:rPr>
          <w:sz w:val="24"/>
        </w:rPr>
        <w:t>Šo</w:t>
      </w:r>
      <w:r>
        <w:rPr>
          <w:spacing w:val="-3"/>
          <w:sz w:val="24"/>
        </w:rPr>
        <w:t> </w:t>
      </w:r>
      <w:r>
        <w:rPr>
          <w:sz w:val="24"/>
        </w:rPr>
        <w:t>apstākļu</w:t>
      </w:r>
      <w:r>
        <w:rPr>
          <w:spacing w:val="-5"/>
          <w:sz w:val="24"/>
        </w:rPr>
        <w:t> </w:t>
      </w:r>
      <w:r>
        <w:rPr>
          <w:sz w:val="24"/>
        </w:rPr>
        <w:t>dēļ tiesas ieskatā no sprieduma neizriet, ka SIA prasījums izriet no neatļautas</w:t>
      </w:r>
      <w:r>
        <w:rPr>
          <w:spacing w:val="-6"/>
          <w:sz w:val="24"/>
        </w:rPr>
        <w:t> </w:t>
      </w:r>
      <w:r>
        <w:rPr>
          <w:sz w:val="24"/>
        </w:rPr>
        <w:t>darbības.”</w:t>
      </w:r>
      <w:r>
        <w:rPr>
          <w:position w:val="9"/>
          <w:sz w:val="16"/>
        </w:rPr>
        <w:t>151</w:t>
      </w:r>
    </w:p>
    <w:p>
      <w:pPr>
        <w:pStyle w:val="BodyText"/>
        <w:spacing w:before="10"/>
        <w:jc w:val="left"/>
        <w:rPr>
          <w:sz w:val="22"/>
        </w:rPr>
      </w:pPr>
    </w:p>
    <w:p>
      <w:pPr>
        <w:pStyle w:val="ListParagraph"/>
        <w:numPr>
          <w:ilvl w:val="2"/>
          <w:numId w:val="31"/>
        </w:numPr>
        <w:tabs>
          <w:tab w:pos="1285" w:val="left" w:leader="none"/>
        </w:tabs>
        <w:spacing w:line="237" w:lineRule="auto" w:before="1" w:after="0"/>
        <w:ind w:left="260" w:right="761" w:firstLine="720"/>
        <w:jc w:val="both"/>
        <w:rPr>
          <w:sz w:val="24"/>
        </w:rPr>
      </w:pPr>
      <w:r>
        <w:rPr>
          <w:b/>
          <w:i/>
          <w:sz w:val="24"/>
        </w:rPr>
        <w:t>Administratora viedoklis, izbeidzot parādnieka saistību dzēšanas procedūru. </w:t>
      </w:r>
      <w:r>
        <w:rPr>
          <w:sz w:val="24"/>
        </w:rPr>
        <w:t>Analizējot pētāmos tiesu nolēmumus, secināms, ka 13 lietās no 25 administrators </w:t>
      </w:r>
      <w:r>
        <w:rPr>
          <w:spacing w:val="-7"/>
          <w:sz w:val="24"/>
        </w:rPr>
        <w:t>ir </w:t>
      </w:r>
      <w:r>
        <w:rPr>
          <w:sz w:val="24"/>
        </w:rPr>
        <w:t>informējis tiesu par saistību dzēšanas procedūras norisi (tai skaitā 4 lietas, kurās</w:t>
      </w:r>
      <w:r>
        <w:rPr>
          <w:spacing w:val="44"/>
          <w:sz w:val="24"/>
        </w:rPr>
        <w:t> </w:t>
      </w:r>
      <w:r>
        <w:rPr>
          <w:sz w:val="24"/>
        </w:rPr>
        <w:t>atbilstoši</w:t>
      </w:r>
    </w:p>
    <w:p>
      <w:pPr>
        <w:pStyle w:val="BodyText"/>
        <w:spacing w:before="7"/>
        <w:jc w:val="left"/>
        <w:rPr>
          <w:sz w:val="16"/>
        </w:rPr>
      </w:pPr>
      <w:r>
        <w:rPr/>
        <w:pict>
          <v:shape style="position:absolute;margin-left:72pt;margin-top:11.800926pt;width:144pt;height:.1pt;mso-position-horizontal-relative:page;mso-position-vertical-relative:paragraph;z-index:-251622400;mso-wrap-distance-left:0;mso-wrap-distance-right:0" coordorigin="1440,236" coordsize="2880,0" path="m1440,236l4320,236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148 </w:t>
      </w:r>
      <w:r>
        <w:rPr>
          <w:sz w:val="20"/>
        </w:rPr>
        <w:t>Liepājas tiesas 2014.gada 22.decembra nolēmums lietā Nr. C20477211</w:t>
      </w:r>
    </w:p>
    <w:p>
      <w:pPr>
        <w:spacing w:line="230" w:lineRule="exact" w:before="0"/>
        <w:ind w:left="260" w:right="0" w:firstLine="0"/>
        <w:jc w:val="left"/>
        <w:rPr>
          <w:sz w:val="20"/>
        </w:rPr>
      </w:pPr>
      <w:r>
        <w:rPr>
          <w:position w:val="7"/>
          <w:sz w:val="13"/>
        </w:rPr>
        <w:t>149 </w:t>
      </w:r>
      <w:r>
        <w:rPr>
          <w:sz w:val="20"/>
        </w:rPr>
        <w:t>Rīgas pilsētas Kurzemes rajona tiesas 2015.gada 21.janvāra nolēmums lietā Nr. C28378511</w:t>
      </w:r>
    </w:p>
    <w:p>
      <w:pPr>
        <w:spacing w:line="230" w:lineRule="exact" w:before="0"/>
        <w:ind w:left="260" w:right="0" w:firstLine="0"/>
        <w:jc w:val="left"/>
        <w:rPr>
          <w:sz w:val="20"/>
        </w:rPr>
      </w:pPr>
      <w:r>
        <w:rPr>
          <w:position w:val="7"/>
          <w:sz w:val="13"/>
        </w:rPr>
        <w:t>150 </w:t>
      </w:r>
      <w:r>
        <w:rPr>
          <w:sz w:val="20"/>
        </w:rPr>
        <w:t>Rīgas pilsētas Vidzemes priekšpilsētas tiesas 2015.gada 6.janvāra nolēmums lietā Nr. C30795311</w:t>
      </w:r>
    </w:p>
    <w:p>
      <w:pPr>
        <w:spacing w:line="233" w:lineRule="exact" w:before="0"/>
        <w:ind w:left="260" w:right="0" w:firstLine="0"/>
        <w:jc w:val="left"/>
        <w:rPr>
          <w:sz w:val="20"/>
        </w:rPr>
      </w:pPr>
      <w:r>
        <w:rPr>
          <w:position w:val="7"/>
          <w:sz w:val="13"/>
        </w:rPr>
        <w:t>151 </w:t>
      </w:r>
      <w:r>
        <w:rPr>
          <w:sz w:val="20"/>
        </w:rPr>
        <w:t>Rīgas rajona tiesas 2015.gada 13.februāra nolēmums lietā Nr. C33375612</w:t>
      </w:r>
    </w:p>
    <w:p>
      <w:pPr>
        <w:spacing w:after="0" w:line="233" w:lineRule="exact"/>
        <w:jc w:val="left"/>
        <w:rPr>
          <w:sz w:val="20"/>
        </w:rPr>
        <w:sectPr>
          <w:pgSz w:w="11910" w:h="16840"/>
          <w:pgMar w:header="0" w:footer="1055" w:top="1340" w:bottom="1240" w:left="1180" w:right="1040"/>
        </w:sectPr>
      </w:pPr>
    </w:p>
    <w:p>
      <w:pPr>
        <w:pStyle w:val="BodyText"/>
        <w:spacing w:before="73"/>
        <w:ind w:left="620" w:right="402"/>
      </w:pPr>
      <w:r>
        <w:rPr/>
        <w:t>iepriekšējam maksātnespējas regulējumam pienākums iesniegt pieteikumu tiesā bija tieši administratoram):</w:t>
      </w:r>
    </w:p>
    <w:p>
      <w:pPr>
        <w:pStyle w:val="ListParagraph"/>
        <w:numPr>
          <w:ilvl w:val="3"/>
          <w:numId w:val="31"/>
        </w:numPr>
        <w:tabs>
          <w:tab w:pos="1754" w:val="left" w:leader="none"/>
        </w:tabs>
        <w:spacing w:line="240" w:lineRule="auto" w:before="0" w:after="0"/>
        <w:ind w:left="1752" w:right="403" w:hanging="413"/>
        <w:jc w:val="both"/>
        <w:rPr>
          <w:sz w:val="24"/>
        </w:rPr>
      </w:pPr>
      <w:r>
        <w:rPr>
          <w:sz w:val="24"/>
        </w:rPr>
        <w:t>visbiežāk tiesa nosūta administratoram (atsevišķos gadījumos arī kreditoriem) paziņojumu par parādnieka pieteikumu un, nesaņemot iebildumus, secina, ka ne kreditoriem, ne administratoram nav iebildumu par maksātnespējas</w:t>
      </w:r>
      <w:r>
        <w:rPr>
          <w:spacing w:val="-20"/>
          <w:sz w:val="24"/>
        </w:rPr>
        <w:t> </w:t>
      </w:r>
      <w:r>
        <w:rPr>
          <w:sz w:val="24"/>
        </w:rPr>
        <w:t>procesa izbeigšanu un parādnieka atbrīvošanu no saistībām;</w:t>
      </w:r>
    </w:p>
    <w:p>
      <w:pPr>
        <w:pStyle w:val="ListParagraph"/>
        <w:numPr>
          <w:ilvl w:val="3"/>
          <w:numId w:val="31"/>
        </w:numPr>
        <w:tabs>
          <w:tab w:pos="1754" w:val="left" w:leader="none"/>
        </w:tabs>
        <w:spacing w:line="240" w:lineRule="auto" w:before="0" w:after="0"/>
        <w:ind w:left="1752" w:right="404" w:hanging="413"/>
        <w:jc w:val="both"/>
        <w:rPr>
          <w:sz w:val="24"/>
        </w:rPr>
      </w:pPr>
      <w:r>
        <w:rPr>
          <w:sz w:val="24"/>
        </w:rPr>
        <w:t>nereti tiesa pieprasa administratora viedokli pēc parādnieka pieteikuma saņemšanas;</w:t>
      </w:r>
    </w:p>
    <w:p>
      <w:pPr>
        <w:pStyle w:val="ListParagraph"/>
        <w:numPr>
          <w:ilvl w:val="3"/>
          <w:numId w:val="31"/>
        </w:numPr>
        <w:tabs>
          <w:tab w:pos="1699" w:val="left" w:leader="none"/>
        </w:tabs>
        <w:spacing w:line="240" w:lineRule="auto" w:before="0" w:after="0"/>
        <w:ind w:left="1752" w:right="406" w:hanging="413"/>
        <w:jc w:val="both"/>
        <w:rPr>
          <w:sz w:val="24"/>
        </w:rPr>
      </w:pPr>
      <w:r>
        <w:rPr>
          <w:sz w:val="24"/>
        </w:rPr>
        <w:t>atsevišķos gadījumos administratora atzinums tiek pievienots parādnieka pieteikumam tiesai,</w:t>
      </w:r>
    </w:p>
    <w:p>
      <w:pPr>
        <w:pStyle w:val="ListParagraph"/>
        <w:numPr>
          <w:ilvl w:val="3"/>
          <w:numId w:val="31"/>
        </w:numPr>
        <w:tabs>
          <w:tab w:pos="1706" w:val="left" w:leader="none"/>
        </w:tabs>
        <w:spacing w:line="228" w:lineRule="auto" w:before="12" w:after="0"/>
        <w:ind w:left="1752" w:right="403" w:hanging="413"/>
        <w:jc w:val="both"/>
        <w:rPr>
          <w:sz w:val="16"/>
        </w:rPr>
      </w:pPr>
      <w:r>
        <w:rPr>
          <w:sz w:val="24"/>
        </w:rPr>
        <w:t>administrators iesniedz atsevišķu pieteikumu tiesai (papildus parādnieka pieteikumam), pamatojoties uz Maksātnespējas likuma 165.panta otro daļu.</w:t>
      </w:r>
      <w:r>
        <w:rPr>
          <w:spacing w:val="-33"/>
          <w:sz w:val="24"/>
        </w:rPr>
        <w:t> </w:t>
      </w:r>
      <w:r>
        <w:rPr>
          <w:position w:val="9"/>
          <w:sz w:val="16"/>
        </w:rPr>
        <w:t>152</w:t>
      </w:r>
    </w:p>
    <w:p>
      <w:pPr>
        <w:pStyle w:val="BodyText"/>
        <w:jc w:val="left"/>
        <w:rPr>
          <w:sz w:val="28"/>
        </w:rPr>
      </w:pPr>
    </w:p>
    <w:p>
      <w:pPr>
        <w:pStyle w:val="Heading4"/>
        <w:numPr>
          <w:ilvl w:val="1"/>
          <w:numId w:val="31"/>
        </w:numPr>
        <w:tabs>
          <w:tab w:pos="1041" w:val="left" w:leader="none"/>
        </w:tabs>
        <w:spacing w:line="240" w:lineRule="auto" w:before="236" w:after="0"/>
        <w:ind w:left="1040" w:right="0" w:hanging="421"/>
        <w:jc w:val="left"/>
        <w:rPr>
          <w:i/>
        </w:rPr>
      </w:pPr>
      <w:bookmarkStart w:name="_TOC_250066" w:id="12"/>
      <w:bookmarkEnd w:id="12"/>
      <w:r>
        <w:rPr>
          <w:i/>
        </w:rPr>
        <w:t>Periods no 2015.gada 1.marta</w:t>
      </w:r>
    </w:p>
    <w:p>
      <w:pPr>
        <w:pStyle w:val="BodyText"/>
        <w:spacing w:before="6"/>
        <w:jc w:val="left"/>
        <w:rPr>
          <w:b/>
          <w:i/>
          <w:sz w:val="23"/>
        </w:rPr>
      </w:pPr>
    </w:p>
    <w:p>
      <w:pPr>
        <w:pStyle w:val="ListParagraph"/>
        <w:numPr>
          <w:ilvl w:val="2"/>
          <w:numId w:val="31"/>
        </w:numPr>
        <w:tabs>
          <w:tab w:pos="1613" w:val="left" w:leader="none"/>
        </w:tabs>
        <w:spacing w:line="240" w:lineRule="auto" w:before="0" w:after="0"/>
        <w:ind w:left="620" w:right="404" w:firstLine="720"/>
        <w:jc w:val="both"/>
        <w:rPr>
          <w:sz w:val="24"/>
        </w:rPr>
      </w:pPr>
      <w:r>
        <w:rPr>
          <w:b/>
          <w:i/>
          <w:sz w:val="24"/>
        </w:rPr>
        <w:t>Tiesu</w:t>
      </w:r>
      <w:r>
        <w:rPr>
          <w:b/>
          <w:i/>
          <w:spacing w:val="-6"/>
          <w:sz w:val="24"/>
        </w:rPr>
        <w:t> </w:t>
      </w:r>
      <w:r>
        <w:rPr>
          <w:b/>
          <w:i/>
          <w:sz w:val="24"/>
        </w:rPr>
        <w:t>nolēmumu</w:t>
      </w:r>
      <w:r>
        <w:rPr>
          <w:b/>
          <w:i/>
          <w:spacing w:val="-8"/>
          <w:sz w:val="24"/>
        </w:rPr>
        <w:t> </w:t>
      </w:r>
      <w:r>
        <w:rPr>
          <w:b/>
          <w:i/>
          <w:sz w:val="24"/>
        </w:rPr>
        <w:t>rezolutīvā</w:t>
      </w:r>
      <w:r>
        <w:rPr>
          <w:b/>
          <w:i/>
          <w:spacing w:val="-8"/>
          <w:sz w:val="24"/>
        </w:rPr>
        <w:t> </w:t>
      </w:r>
      <w:r>
        <w:rPr>
          <w:b/>
          <w:i/>
          <w:sz w:val="24"/>
        </w:rPr>
        <w:t>daļa.</w:t>
      </w:r>
      <w:r>
        <w:rPr>
          <w:b/>
          <w:i/>
          <w:spacing w:val="-8"/>
          <w:sz w:val="24"/>
        </w:rPr>
        <w:t> </w:t>
      </w:r>
      <w:r>
        <w:rPr>
          <w:sz w:val="24"/>
        </w:rPr>
        <w:t>Arī</w:t>
      </w:r>
      <w:r>
        <w:rPr>
          <w:spacing w:val="-10"/>
          <w:sz w:val="24"/>
        </w:rPr>
        <w:t> </w:t>
      </w:r>
      <w:r>
        <w:rPr>
          <w:sz w:val="24"/>
        </w:rPr>
        <w:t>pēc</w:t>
      </w:r>
      <w:r>
        <w:rPr>
          <w:spacing w:val="-8"/>
          <w:sz w:val="24"/>
        </w:rPr>
        <w:t> </w:t>
      </w:r>
      <w:r>
        <w:rPr>
          <w:sz w:val="24"/>
        </w:rPr>
        <w:t>2015.gada</w:t>
      </w:r>
      <w:r>
        <w:rPr>
          <w:spacing w:val="-8"/>
          <w:sz w:val="24"/>
        </w:rPr>
        <w:t> </w:t>
      </w:r>
      <w:r>
        <w:rPr>
          <w:sz w:val="24"/>
        </w:rPr>
        <w:t>1.marta</w:t>
      </w:r>
      <w:r>
        <w:rPr>
          <w:spacing w:val="-8"/>
          <w:sz w:val="24"/>
        </w:rPr>
        <w:t> </w:t>
      </w:r>
      <w:r>
        <w:rPr>
          <w:sz w:val="24"/>
        </w:rPr>
        <w:t>ir</w:t>
      </w:r>
      <w:r>
        <w:rPr>
          <w:spacing w:val="-8"/>
          <w:sz w:val="24"/>
        </w:rPr>
        <w:t> </w:t>
      </w:r>
      <w:r>
        <w:rPr>
          <w:sz w:val="24"/>
        </w:rPr>
        <w:t>konstatējams,</w:t>
      </w:r>
      <w:r>
        <w:rPr>
          <w:spacing w:val="-8"/>
          <w:sz w:val="24"/>
        </w:rPr>
        <w:t> </w:t>
      </w:r>
      <w:r>
        <w:rPr>
          <w:sz w:val="24"/>
        </w:rPr>
        <w:t>ka būtiski atšķiras tas, ko tiesas norāda nolēmumu rezolutīvajā daļā, lemjot par saistību dzēšanu, un</w:t>
      </w:r>
      <w:r>
        <w:rPr>
          <w:spacing w:val="-1"/>
          <w:sz w:val="24"/>
        </w:rPr>
        <w:t> </w:t>
      </w:r>
      <w:r>
        <w:rPr>
          <w:sz w:val="24"/>
        </w:rPr>
        <w:t>tieši:</w:t>
      </w:r>
    </w:p>
    <w:p>
      <w:pPr>
        <w:pStyle w:val="ListParagraph"/>
        <w:numPr>
          <w:ilvl w:val="0"/>
          <w:numId w:val="34"/>
        </w:numPr>
        <w:tabs>
          <w:tab w:pos="1303" w:val="left" w:leader="none"/>
        </w:tabs>
        <w:spacing w:line="235" w:lineRule="auto" w:before="0" w:after="0"/>
        <w:ind w:left="1327" w:right="403" w:hanging="281"/>
        <w:jc w:val="both"/>
        <w:rPr>
          <w:sz w:val="24"/>
        </w:rPr>
      </w:pPr>
      <w:r>
        <w:rPr>
          <w:sz w:val="24"/>
        </w:rPr>
        <w:t>Dzēst parādnieka saistības</w:t>
      </w:r>
      <w:r>
        <w:rPr>
          <w:position w:val="9"/>
          <w:sz w:val="16"/>
        </w:rPr>
        <w:t>153 </w:t>
      </w:r>
      <w:r>
        <w:rPr>
          <w:sz w:val="24"/>
        </w:rPr>
        <w:t>(9 lietās no 25) vai atbrīvot parādnieku no</w:t>
      </w:r>
      <w:r>
        <w:rPr>
          <w:spacing w:val="-42"/>
          <w:sz w:val="24"/>
        </w:rPr>
        <w:t> </w:t>
      </w:r>
      <w:r>
        <w:rPr>
          <w:sz w:val="24"/>
        </w:rPr>
        <w:t>atlikušajām saistību dzēšanas plānā norādītajām saistībām</w:t>
      </w:r>
      <w:r>
        <w:rPr>
          <w:position w:val="9"/>
          <w:sz w:val="16"/>
        </w:rPr>
        <w:t>154 </w:t>
      </w:r>
      <w:r>
        <w:rPr>
          <w:sz w:val="24"/>
        </w:rPr>
        <w:t>(17 lietās no 25). Turklāt nolēmuma rezolutīvajā daļā tiek izmantoti dažādi formulējumi lēmumam </w:t>
      </w:r>
      <w:r>
        <w:rPr>
          <w:spacing w:val="-4"/>
          <w:sz w:val="24"/>
        </w:rPr>
        <w:t>par </w:t>
      </w:r>
      <w:r>
        <w:rPr>
          <w:sz w:val="24"/>
        </w:rPr>
        <w:t>saistību dzēšanu:</w:t>
      </w:r>
    </w:p>
    <w:p>
      <w:pPr>
        <w:pStyle w:val="ListParagraph"/>
        <w:numPr>
          <w:ilvl w:val="1"/>
          <w:numId w:val="34"/>
        </w:numPr>
        <w:tabs>
          <w:tab w:pos="1753" w:val="left" w:leader="none"/>
        </w:tabs>
        <w:spacing w:line="240" w:lineRule="auto" w:before="0" w:after="0"/>
        <w:ind w:left="1752" w:right="405" w:hanging="425"/>
        <w:jc w:val="both"/>
        <w:rPr>
          <w:sz w:val="24"/>
        </w:rPr>
      </w:pPr>
      <w:r>
        <w:rPr>
          <w:sz w:val="24"/>
        </w:rPr>
        <w:t>Atbrīvot parādnieku no neizpildītajām saistībām, kuras norādītas parādnieka saistību dzēšanas</w:t>
      </w:r>
      <w:r>
        <w:rPr>
          <w:spacing w:val="-3"/>
          <w:sz w:val="24"/>
        </w:rPr>
        <w:t> </w:t>
      </w:r>
      <w:r>
        <w:rPr>
          <w:sz w:val="24"/>
        </w:rPr>
        <w:t>plānā;</w:t>
      </w:r>
    </w:p>
    <w:p>
      <w:pPr>
        <w:pStyle w:val="ListParagraph"/>
        <w:numPr>
          <w:ilvl w:val="1"/>
          <w:numId w:val="34"/>
        </w:numPr>
        <w:tabs>
          <w:tab w:pos="1753" w:val="left" w:leader="none"/>
        </w:tabs>
        <w:spacing w:line="240" w:lineRule="auto" w:before="0" w:after="0"/>
        <w:ind w:left="1752" w:right="405" w:hanging="425"/>
        <w:jc w:val="both"/>
        <w:rPr>
          <w:sz w:val="24"/>
        </w:rPr>
      </w:pPr>
      <w:r>
        <w:rPr>
          <w:sz w:val="24"/>
        </w:rPr>
        <w:t>Atbrīvot parādnieku no atlikušajām saistību dzēšanas plānā norādītajām saistībām;</w:t>
      </w:r>
    </w:p>
    <w:p>
      <w:pPr>
        <w:pStyle w:val="ListParagraph"/>
        <w:numPr>
          <w:ilvl w:val="1"/>
          <w:numId w:val="34"/>
        </w:numPr>
        <w:tabs>
          <w:tab w:pos="1753" w:val="left" w:leader="none"/>
        </w:tabs>
        <w:spacing w:line="240" w:lineRule="auto" w:before="0" w:after="0"/>
        <w:ind w:left="1752" w:right="405" w:hanging="425"/>
        <w:jc w:val="both"/>
        <w:rPr>
          <w:sz w:val="24"/>
        </w:rPr>
      </w:pPr>
      <w:r>
        <w:rPr>
          <w:sz w:val="24"/>
        </w:rPr>
        <w:t>Atbrīvot parādnieku no atlikušajām saistību dzēšanas plānā norādītajām saistībām, dzēšot parādnieka saistības pret</w:t>
      </w:r>
      <w:r>
        <w:rPr>
          <w:spacing w:val="-8"/>
          <w:sz w:val="24"/>
        </w:rPr>
        <w:t> </w:t>
      </w:r>
      <w:r>
        <w:rPr>
          <w:sz w:val="24"/>
        </w:rPr>
        <w:t>kreditoriem;</w:t>
      </w:r>
    </w:p>
    <w:p>
      <w:pPr>
        <w:pStyle w:val="ListParagraph"/>
        <w:numPr>
          <w:ilvl w:val="1"/>
          <w:numId w:val="34"/>
        </w:numPr>
        <w:tabs>
          <w:tab w:pos="1753" w:val="left" w:leader="none"/>
        </w:tabs>
        <w:spacing w:line="240" w:lineRule="auto" w:before="0" w:after="0"/>
        <w:ind w:left="1752" w:right="405" w:hanging="425"/>
        <w:jc w:val="both"/>
        <w:rPr>
          <w:sz w:val="24"/>
        </w:rPr>
      </w:pPr>
      <w:r>
        <w:rPr>
          <w:sz w:val="24"/>
        </w:rPr>
        <w:t>Atbrīvot parādnieku no atlikušajām saistību dzēšanas plānā norādītajām saistībām, kuras nav izpildītas saistību dzēšanas procedūras</w:t>
      </w:r>
      <w:r>
        <w:rPr>
          <w:spacing w:val="-9"/>
          <w:sz w:val="24"/>
        </w:rPr>
        <w:t> </w:t>
      </w:r>
      <w:r>
        <w:rPr>
          <w:sz w:val="24"/>
        </w:rPr>
        <w:t>laikā;</w:t>
      </w:r>
    </w:p>
    <w:p>
      <w:pPr>
        <w:pStyle w:val="ListParagraph"/>
        <w:numPr>
          <w:ilvl w:val="1"/>
          <w:numId w:val="34"/>
        </w:numPr>
        <w:tabs>
          <w:tab w:pos="1753" w:val="left" w:leader="none"/>
        </w:tabs>
        <w:spacing w:line="240" w:lineRule="auto" w:before="0" w:after="0"/>
        <w:ind w:left="1752" w:right="401" w:hanging="425"/>
        <w:jc w:val="both"/>
        <w:rPr>
          <w:sz w:val="24"/>
        </w:rPr>
      </w:pPr>
      <w:r>
        <w:rPr>
          <w:sz w:val="24"/>
        </w:rPr>
        <w:t>Atbrīvot parādnieku no atlikušajām saistībām, kas nav izpildītas </w:t>
      </w:r>
      <w:r>
        <w:rPr>
          <w:spacing w:val="-3"/>
          <w:sz w:val="24"/>
        </w:rPr>
        <w:t>saistību </w:t>
      </w:r>
      <w:r>
        <w:rPr>
          <w:sz w:val="24"/>
        </w:rPr>
        <w:t>dzēšanas procesa</w:t>
      </w:r>
      <w:r>
        <w:rPr>
          <w:spacing w:val="-1"/>
          <w:sz w:val="24"/>
        </w:rPr>
        <w:t> </w:t>
      </w:r>
      <w:r>
        <w:rPr>
          <w:sz w:val="24"/>
        </w:rPr>
        <w:t>laikā;</w:t>
      </w:r>
    </w:p>
    <w:p>
      <w:pPr>
        <w:pStyle w:val="ListParagraph"/>
        <w:numPr>
          <w:ilvl w:val="1"/>
          <w:numId w:val="34"/>
        </w:numPr>
        <w:tabs>
          <w:tab w:pos="1753" w:val="left" w:leader="none"/>
        </w:tabs>
        <w:spacing w:line="240" w:lineRule="auto" w:before="0" w:after="0"/>
        <w:ind w:left="1752" w:right="407" w:hanging="425"/>
        <w:jc w:val="both"/>
        <w:rPr>
          <w:sz w:val="24"/>
        </w:rPr>
      </w:pPr>
      <w:r>
        <w:rPr>
          <w:sz w:val="24"/>
        </w:rPr>
        <w:t>Atbrīvot parādnieku no atlikušajām saistībām, kas norādītas fiziskās personas saistību dzēšanas</w:t>
      </w:r>
      <w:r>
        <w:rPr>
          <w:spacing w:val="-3"/>
          <w:sz w:val="24"/>
        </w:rPr>
        <w:t> </w:t>
      </w:r>
      <w:r>
        <w:rPr>
          <w:sz w:val="24"/>
        </w:rPr>
        <w:t>plānā;</w:t>
      </w:r>
    </w:p>
    <w:p>
      <w:pPr>
        <w:pStyle w:val="ListParagraph"/>
        <w:numPr>
          <w:ilvl w:val="1"/>
          <w:numId w:val="34"/>
        </w:numPr>
        <w:tabs>
          <w:tab w:pos="1753" w:val="left" w:leader="none"/>
        </w:tabs>
        <w:spacing w:line="240" w:lineRule="auto" w:before="0" w:after="0"/>
        <w:ind w:left="1752" w:right="404" w:hanging="425"/>
        <w:jc w:val="both"/>
        <w:rPr>
          <w:sz w:val="24"/>
        </w:rPr>
      </w:pPr>
      <w:r>
        <w:rPr>
          <w:sz w:val="24"/>
        </w:rPr>
        <w:t>Atbrīvot</w:t>
      </w:r>
      <w:r>
        <w:rPr>
          <w:spacing w:val="-14"/>
          <w:sz w:val="24"/>
        </w:rPr>
        <w:t> </w:t>
      </w:r>
      <w:r>
        <w:rPr>
          <w:sz w:val="24"/>
        </w:rPr>
        <w:t>parādnieku</w:t>
      </w:r>
      <w:r>
        <w:rPr>
          <w:spacing w:val="-14"/>
          <w:sz w:val="24"/>
        </w:rPr>
        <w:t> </w:t>
      </w:r>
      <w:r>
        <w:rPr>
          <w:sz w:val="24"/>
        </w:rPr>
        <w:t>no</w:t>
      </w:r>
      <w:r>
        <w:rPr>
          <w:spacing w:val="-14"/>
          <w:sz w:val="24"/>
        </w:rPr>
        <w:t> </w:t>
      </w:r>
      <w:r>
        <w:rPr>
          <w:sz w:val="24"/>
        </w:rPr>
        <w:t>parādu</w:t>
      </w:r>
      <w:r>
        <w:rPr>
          <w:spacing w:val="-13"/>
          <w:sz w:val="24"/>
        </w:rPr>
        <w:t> </w:t>
      </w:r>
      <w:r>
        <w:rPr>
          <w:sz w:val="24"/>
        </w:rPr>
        <w:t>saistībām,</w:t>
      </w:r>
      <w:r>
        <w:rPr>
          <w:spacing w:val="-14"/>
          <w:sz w:val="24"/>
        </w:rPr>
        <w:t> </w:t>
      </w:r>
      <w:r>
        <w:rPr>
          <w:sz w:val="24"/>
        </w:rPr>
        <w:t>kas</w:t>
      </w:r>
      <w:r>
        <w:rPr>
          <w:spacing w:val="-14"/>
          <w:sz w:val="24"/>
        </w:rPr>
        <w:t> </w:t>
      </w:r>
      <w:r>
        <w:rPr>
          <w:sz w:val="24"/>
        </w:rPr>
        <w:t>norādītas</w:t>
      </w:r>
      <w:r>
        <w:rPr>
          <w:spacing w:val="-14"/>
          <w:sz w:val="24"/>
        </w:rPr>
        <w:t> </w:t>
      </w:r>
      <w:r>
        <w:rPr>
          <w:sz w:val="24"/>
        </w:rPr>
        <w:t>saistību</w:t>
      </w:r>
      <w:r>
        <w:rPr>
          <w:spacing w:val="-16"/>
          <w:sz w:val="24"/>
        </w:rPr>
        <w:t> </w:t>
      </w:r>
      <w:r>
        <w:rPr>
          <w:sz w:val="24"/>
        </w:rPr>
        <w:t>dzēšanas</w:t>
      </w:r>
      <w:r>
        <w:rPr>
          <w:spacing w:val="-14"/>
          <w:sz w:val="24"/>
        </w:rPr>
        <w:t> </w:t>
      </w:r>
      <w:r>
        <w:rPr>
          <w:sz w:val="24"/>
        </w:rPr>
        <w:t>plānā, un kas nav izpildītas saistību dzēšanas procedūras laikā, atzīstot tās par dzēstām;</w:t>
      </w:r>
    </w:p>
    <w:p>
      <w:pPr>
        <w:pStyle w:val="ListParagraph"/>
        <w:numPr>
          <w:ilvl w:val="1"/>
          <w:numId w:val="34"/>
        </w:numPr>
        <w:tabs>
          <w:tab w:pos="1753" w:val="left" w:leader="none"/>
        </w:tabs>
        <w:spacing w:line="240" w:lineRule="auto" w:before="0" w:after="0"/>
        <w:ind w:left="1752" w:right="406" w:hanging="425"/>
        <w:jc w:val="both"/>
        <w:rPr>
          <w:sz w:val="24"/>
        </w:rPr>
      </w:pPr>
      <w:r>
        <w:rPr>
          <w:sz w:val="24"/>
        </w:rPr>
        <w:t>Dzēst parādnieka saistības, kas nav izpildītas saistību dzēšanas procedūras laikā;</w:t>
      </w:r>
    </w:p>
    <w:p>
      <w:pPr>
        <w:pStyle w:val="ListParagraph"/>
        <w:numPr>
          <w:ilvl w:val="1"/>
          <w:numId w:val="34"/>
        </w:numPr>
        <w:tabs>
          <w:tab w:pos="1753" w:val="left" w:leader="none"/>
        </w:tabs>
        <w:spacing w:line="240" w:lineRule="auto" w:before="0" w:after="0"/>
        <w:ind w:left="1752" w:right="404" w:hanging="425"/>
        <w:jc w:val="both"/>
        <w:rPr>
          <w:sz w:val="24"/>
        </w:rPr>
      </w:pPr>
      <w:r>
        <w:rPr>
          <w:sz w:val="24"/>
        </w:rPr>
        <w:t>Dzēst parādnieka saistību dzēšanas plānā norādītās saistības, kas nav</w:t>
      </w:r>
      <w:r>
        <w:rPr>
          <w:spacing w:val="-29"/>
          <w:sz w:val="24"/>
        </w:rPr>
        <w:t> </w:t>
      </w:r>
      <w:r>
        <w:rPr>
          <w:sz w:val="24"/>
        </w:rPr>
        <w:t>izpildītas saistību dzēšanas procesa</w:t>
      </w:r>
      <w:r>
        <w:rPr>
          <w:spacing w:val="-3"/>
          <w:sz w:val="24"/>
        </w:rPr>
        <w:t> </w:t>
      </w:r>
      <w:r>
        <w:rPr>
          <w:sz w:val="24"/>
        </w:rPr>
        <w:t>laikā;</w:t>
      </w:r>
    </w:p>
    <w:p>
      <w:pPr>
        <w:pStyle w:val="ListParagraph"/>
        <w:numPr>
          <w:ilvl w:val="1"/>
          <w:numId w:val="34"/>
        </w:numPr>
        <w:tabs>
          <w:tab w:pos="1753" w:val="left" w:leader="none"/>
        </w:tabs>
        <w:spacing w:line="240" w:lineRule="auto" w:before="0" w:after="0"/>
        <w:ind w:left="1752" w:right="403" w:hanging="425"/>
        <w:jc w:val="both"/>
        <w:rPr>
          <w:sz w:val="24"/>
        </w:rPr>
      </w:pPr>
      <w:r>
        <w:rPr>
          <w:sz w:val="24"/>
        </w:rPr>
        <w:t>Dzēst parādnieka saistību dzēšanas plānā norādītās atlikušas saistības, kuras nav izpildītas saistību dzēšanas procesa</w:t>
      </w:r>
      <w:r>
        <w:rPr>
          <w:spacing w:val="-4"/>
          <w:sz w:val="24"/>
        </w:rPr>
        <w:t> </w:t>
      </w:r>
      <w:r>
        <w:rPr>
          <w:sz w:val="24"/>
        </w:rPr>
        <w:t>laikā;</w:t>
      </w:r>
    </w:p>
    <w:p>
      <w:pPr>
        <w:pStyle w:val="BodyText"/>
        <w:jc w:val="left"/>
        <w:rPr>
          <w:sz w:val="20"/>
        </w:rPr>
      </w:pPr>
    </w:p>
    <w:p>
      <w:pPr>
        <w:pStyle w:val="BodyText"/>
        <w:jc w:val="left"/>
      </w:pPr>
      <w:r>
        <w:rPr/>
        <w:pict>
          <v:shape style="position:absolute;margin-left:90pt;margin-top:16.083387pt;width:144pt;height:.1pt;mso-position-horizontal-relative:page;mso-position-vertical-relative:paragraph;z-index:-251621376;mso-wrap-distance-left:0;mso-wrap-distance-right:0" coordorigin="1800,322" coordsize="2880,0" path="m1800,322l4680,322e" filled="false" stroked="true" strokeweight=".599991pt" strokecolor="#000000">
            <v:path arrowok="t"/>
            <v:stroke dashstyle="solid"/>
            <w10:wrap type="topAndBottom"/>
          </v:shape>
        </w:pict>
      </w:r>
    </w:p>
    <w:p>
      <w:pPr>
        <w:spacing w:line="231" w:lineRule="exact" w:before="70"/>
        <w:ind w:left="620" w:right="0" w:firstLine="0"/>
        <w:jc w:val="left"/>
        <w:rPr>
          <w:sz w:val="20"/>
        </w:rPr>
      </w:pPr>
      <w:r>
        <w:rPr>
          <w:position w:val="7"/>
          <w:sz w:val="13"/>
        </w:rPr>
        <w:t>152 </w:t>
      </w:r>
      <w:r>
        <w:rPr>
          <w:sz w:val="20"/>
        </w:rPr>
        <w:t>Rīgas pilsētas Vidzemes priekšpilsētas tiesas 2015.gada 6.janvāra nolēmums lietā Nr. C30795311</w:t>
      </w:r>
    </w:p>
    <w:p>
      <w:pPr>
        <w:spacing w:line="240" w:lineRule="auto" w:before="0"/>
        <w:ind w:left="620" w:right="635" w:firstLine="0"/>
        <w:jc w:val="left"/>
        <w:rPr>
          <w:sz w:val="20"/>
        </w:rPr>
      </w:pPr>
      <w:r>
        <w:rPr>
          <w:position w:val="7"/>
          <w:sz w:val="13"/>
        </w:rPr>
        <w:t>153  </w:t>
      </w:r>
      <w:r>
        <w:rPr>
          <w:sz w:val="20"/>
        </w:rPr>
        <w:t>Piem.,  Rīgas  pilsētas  Vidzemes  priekšpilsētas   tiesas   2018.gada   12.septembra   nolēmums   lietā Nr.</w:t>
      </w:r>
      <w:r>
        <w:rPr>
          <w:spacing w:val="-1"/>
          <w:sz w:val="20"/>
        </w:rPr>
        <w:t> </w:t>
      </w:r>
      <w:r>
        <w:rPr>
          <w:sz w:val="20"/>
        </w:rPr>
        <w:t>C30523616</w:t>
      </w:r>
    </w:p>
    <w:p>
      <w:pPr>
        <w:spacing w:line="240" w:lineRule="auto" w:before="0"/>
        <w:ind w:left="620" w:right="635" w:firstLine="0"/>
        <w:jc w:val="left"/>
        <w:rPr>
          <w:sz w:val="20"/>
        </w:rPr>
      </w:pPr>
      <w:r>
        <w:rPr>
          <w:position w:val="7"/>
          <w:sz w:val="13"/>
        </w:rPr>
        <w:t>154  </w:t>
      </w:r>
      <w:r>
        <w:rPr>
          <w:sz w:val="20"/>
        </w:rPr>
        <w:t>Piem.,  Rīgas  pilsētas  Vidzemes   priekšpilsētas   tiesas   2018.gada   4.septembra   nolēmums   lietā  Nr.</w:t>
      </w:r>
      <w:r>
        <w:rPr>
          <w:spacing w:val="-1"/>
          <w:sz w:val="20"/>
        </w:rPr>
        <w:t> </w:t>
      </w:r>
      <w:r>
        <w:rPr>
          <w:sz w:val="20"/>
        </w:rPr>
        <w:t>C30474116</w:t>
      </w:r>
    </w:p>
    <w:p>
      <w:pPr>
        <w:spacing w:after="0" w:line="240" w:lineRule="auto"/>
        <w:jc w:val="left"/>
        <w:rPr>
          <w:sz w:val="20"/>
        </w:rPr>
        <w:sectPr>
          <w:pgSz w:w="11910" w:h="16840"/>
          <w:pgMar w:header="0" w:footer="1055" w:top="1340" w:bottom="1240" w:left="1180" w:right="1040"/>
        </w:sectPr>
      </w:pPr>
    </w:p>
    <w:p>
      <w:pPr>
        <w:pStyle w:val="ListParagraph"/>
        <w:numPr>
          <w:ilvl w:val="1"/>
          <w:numId w:val="34"/>
        </w:numPr>
        <w:tabs>
          <w:tab w:pos="1393" w:val="left" w:leader="none"/>
        </w:tabs>
        <w:spacing w:line="240" w:lineRule="auto" w:before="73" w:after="0"/>
        <w:ind w:left="1392" w:right="765" w:hanging="425"/>
        <w:jc w:val="both"/>
        <w:rPr>
          <w:sz w:val="24"/>
        </w:rPr>
      </w:pPr>
      <w:r>
        <w:rPr>
          <w:sz w:val="24"/>
        </w:rPr>
        <w:t>Dzēst parādnieka uzņemtās, neizpildītās saistības pret kreditoriem atbilstoši saistību dzēšanas</w:t>
      </w:r>
      <w:r>
        <w:rPr>
          <w:spacing w:val="-3"/>
          <w:sz w:val="24"/>
        </w:rPr>
        <w:t> </w:t>
      </w:r>
      <w:r>
        <w:rPr>
          <w:sz w:val="24"/>
        </w:rPr>
        <w:t>plānam;</w:t>
      </w:r>
    </w:p>
    <w:p>
      <w:pPr>
        <w:pStyle w:val="ListParagraph"/>
        <w:numPr>
          <w:ilvl w:val="1"/>
          <w:numId w:val="34"/>
        </w:numPr>
        <w:tabs>
          <w:tab w:pos="1393" w:val="left" w:leader="none"/>
        </w:tabs>
        <w:spacing w:line="240" w:lineRule="auto" w:before="0" w:after="0"/>
        <w:ind w:left="1392" w:right="764" w:hanging="425"/>
        <w:jc w:val="both"/>
        <w:rPr>
          <w:sz w:val="24"/>
        </w:rPr>
      </w:pPr>
      <w:r>
        <w:rPr>
          <w:sz w:val="24"/>
        </w:rPr>
        <w:t>Izbeigt parādnieka saistību dzēšanas procedūru, atbrīvojot parādnieku no atlikušajām saistībām, kas norādītas saistību dzēšanas plānā pēc kreditoru prasījumiem;</w:t>
      </w:r>
    </w:p>
    <w:p>
      <w:pPr>
        <w:pStyle w:val="ListParagraph"/>
        <w:numPr>
          <w:ilvl w:val="1"/>
          <w:numId w:val="34"/>
        </w:numPr>
        <w:tabs>
          <w:tab w:pos="1393" w:val="left" w:leader="none"/>
        </w:tabs>
        <w:spacing w:line="240" w:lineRule="auto" w:before="0" w:after="0"/>
        <w:ind w:left="1392" w:right="764" w:hanging="425"/>
        <w:jc w:val="both"/>
        <w:rPr>
          <w:sz w:val="24"/>
        </w:rPr>
      </w:pPr>
      <w:r>
        <w:rPr>
          <w:sz w:val="24"/>
        </w:rPr>
        <w:t>Izbeigt parādnieka saistību dzēšanas procedūru, atbrīvojot parādnieku no atlikušajām saistībām, kas norādītas parādnieka saistību dzēšanas</w:t>
      </w:r>
      <w:r>
        <w:rPr>
          <w:spacing w:val="-7"/>
          <w:sz w:val="24"/>
        </w:rPr>
        <w:t> </w:t>
      </w:r>
      <w:r>
        <w:rPr>
          <w:sz w:val="24"/>
        </w:rPr>
        <w:t>plānā.</w:t>
      </w:r>
    </w:p>
    <w:p>
      <w:pPr>
        <w:pStyle w:val="ListParagraph"/>
        <w:numPr>
          <w:ilvl w:val="0"/>
          <w:numId w:val="34"/>
        </w:numPr>
        <w:tabs>
          <w:tab w:pos="968" w:val="left" w:leader="none"/>
        </w:tabs>
        <w:spacing w:line="240" w:lineRule="auto" w:before="0" w:after="0"/>
        <w:ind w:left="967" w:right="767" w:hanging="360"/>
        <w:jc w:val="both"/>
        <w:rPr>
          <w:sz w:val="24"/>
        </w:rPr>
      </w:pPr>
      <w:r>
        <w:rPr>
          <w:sz w:val="24"/>
        </w:rPr>
        <w:t>15 lietās no 25 lēmuma rezolutīvajā daļā tiek uzskaitīti kreditori, pret kuriem saistības tiek</w:t>
      </w:r>
      <w:r>
        <w:rPr>
          <w:spacing w:val="-1"/>
          <w:sz w:val="24"/>
        </w:rPr>
        <w:t> </w:t>
      </w:r>
      <w:r>
        <w:rPr>
          <w:sz w:val="24"/>
        </w:rPr>
        <w:t>dzēstas:</w:t>
      </w:r>
    </w:p>
    <w:p>
      <w:pPr>
        <w:pStyle w:val="ListParagraph"/>
        <w:numPr>
          <w:ilvl w:val="1"/>
          <w:numId w:val="34"/>
        </w:numPr>
        <w:tabs>
          <w:tab w:pos="1340" w:val="left" w:leader="none"/>
        </w:tabs>
        <w:spacing w:line="240" w:lineRule="auto" w:before="0" w:after="0"/>
        <w:ind w:left="1340" w:right="0" w:hanging="360"/>
        <w:jc w:val="both"/>
        <w:rPr>
          <w:sz w:val="24"/>
        </w:rPr>
      </w:pPr>
      <w:r>
        <w:rPr>
          <w:sz w:val="24"/>
        </w:rPr>
        <w:t>6 lietās no 25 tiek norādīts kreditora prasījuma apmērs, kas tiek</w:t>
      </w:r>
      <w:r>
        <w:rPr>
          <w:spacing w:val="-9"/>
          <w:sz w:val="24"/>
        </w:rPr>
        <w:t> </w:t>
      </w:r>
      <w:r>
        <w:rPr>
          <w:sz w:val="24"/>
        </w:rPr>
        <w:t>dzēsts;</w:t>
      </w:r>
    </w:p>
    <w:p>
      <w:pPr>
        <w:pStyle w:val="ListParagraph"/>
        <w:numPr>
          <w:ilvl w:val="1"/>
          <w:numId w:val="34"/>
        </w:numPr>
        <w:tabs>
          <w:tab w:pos="1340" w:val="left" w:leader="none"/>
        </w:tabs>
        <w:spacing w:line="240" w:lineRule="auto" w:before="0" w:after="0"/>
        <w:ind w:left="1340" w:right="763" w:hanging="360"/>
        <w:jc w:val="both"/>
        <w:rPr>
          <w:sz w:val="24"/>
        </w:rPr>
      </w:pPr>
      <w:r>
        <w:rPr>
          <w:sz w:val="24"/>
        </w:rPr>
        <w:t>vairumā</w:t>
      </w:r>
      <w:r>
        <w:rPr>
          <w:spacing w:val="-11"/>
          <w:sz w:val="24"/>
        </w:rPr>
        <w:t> </w:t>
      </w:r>
      <w:r>
        <w:rPr>
          <w:sz w:val="24"/>
        </w:rPr>
        <w:t>gadījumu</w:t>
      </w:r>
      <w:r>
        <w:rPr>
          <w:spacing w:val="-8"/>
          <w:sz w:val="24"/>
        </w:rPr>
        <w:t> </w:t>
      </w:r>
      <w:r>
        <w:rPr>
          <w:sz w:val="24"/>
        </w:rPr>
        <w:t>lēmumos</w:t>
      </w:r>
      <w:r>
        <w:rPr>
          <w:spacing w:val="-10"/>
          <w:sz w:val="24"/>
        </w:rPr>
        <w:t> </w:t>
      </w:r>
      <w:r>
        <w:rPr>
          <w:sz w:val="24"/>
        </w:rPr>
        <w:t>vispārīgi</w:t>
      </w:r>
      <w:r>
        <w:rPr>
          <w:spacing w:val="-8"/>
          <w:sz w:val="24"/>
        </w:rPr>
        <w:t> </w:t>
      </w:r>
      <w:r>
        <w:rPr>
          <w:sz w:val="24"/>
        </w:rPr>
        <w:t>norādīts,</w:t>
      </w:r>
      <w:r>
        <w:rPr>
          <w:spacing w:val="-10"/>
          <w:sz w:val="24"/>
        </w:rPr>
        <w:t> </w:t>
      </w:r>
      <w:r>
        <w:rPr>
          <w:sz w:val="24"/>
        </w:rPr>
        <w:t>ka</w:t>
      </w:r>
      <w:r>
        <w:rPr>
          <w:spacing w:val="-9"/>
          <w:sz w:val="24"/>
        </w:rPr>
        <w:t> </w:t>
      </w:r>
      <w:r>
        <w:rPr>
          <w:sz w:val="24"/>
        </w:rPr>
        <w:t>tiek</w:t>
      </w:r>
      <w:r>
        <w:rPr>
          <w:spacing w:val="-11"/>
          <w:sz w:val="24"/>
        </w:rPr>
        <w:t> </w:t>
      </w:r>
      <w:r>
        <w:rPr>
          <w:sz w:val="24"/>
        </w:rPr>
        <w:t>dzēstas</w:t>
      </w:r>
      <w:r>
        <w:rPr>
          <w:spacing w:val="-10"/>
          <w:sz w:val="24"/>
        </w:rPr>
        <w:t> </w:t>
      </w:r>
      <w:r>
        <w:rPr>
          <w:sz w:val="24"/>
        </w:rPr>
        <w:t>saistības,</w:t>
      </w:r>
      <w:r>
        <w:rPr>
          <w:spacing w:val="-10"/>
          <w:sz w:val="24"/>
        </w:rPr>
        <w:t> </w:t>
      </w:r>
      <w:r>
        <w:rPr>
          <w:sz w:val="24"/>
        </w:rPr>
        <w:t>kas</w:t>
      </w:r>
      <w:r>
        <w:rPr>
          <w:spacing w:val="-7"/>
          <w:sz w:val="24"/>
        </w:rPr>
        <w:t> </w:t>
      </w:r>
      <w:r>
        <w:rPr>
          <w:sz w:val="24"/>
        </w:rPr>
        <w:t>nav izpildītas saistību dzēšanas procesa laikā, vai parādnieks atbrīvots no nesegtajām saistībām, kas norādītas parādnieka saistību dzēšanas plānā (plāna datums vai tā apstiprināšanas datums tiesā norādīts vien 6 lietās no</w:t>
      </w:r>
      <w:r>
        <w:rPr>
          <w:spacing w:val="-7"/>
          <w:sz w:val="24"/>
        </w:rPr>
        <w:t> </w:t>
      </w:r>
      <w:r>
        <w:rPr>
          <w:sz w:val="24"/>
        </w:rPr>
        <w:t>25).</w:t>
      </w:r>
    </w:p>
    <w:p>
      <w:pPr>
        <w:pStyle w:val="ListParagraph"/>
        <w:numPr>
          <w:ilvl w:val="0"/>
          <w:numId w:val="34"/>
        </w:numPr>
        <w:tabs>
          <w:tab w:pos="980" w:val="left" w:leader="none"/>
        </w:tabs>
        <w:spacing w:line="240" w:lineRule="auto" w:before="1" w:after="0"/>
        <w:ind w:left="980" w:right="763" w:hanging="360"/>
        <w:jc w:val="both"/>
        <w:rPr>
          <w:sz w:val="24"/>
        </w:rPr>
      </w:pPr>
      <w:r>
        <w:rPr>
          <w:sz w:val="24"/>
        </w:rPr>
        <w:t>Tiesa nolemj neatbrīvot parādnieku no saistībām, kas norādītas Maksātnespējas likuma 164.panta ceturtajā daļā, tas ir, no saistībām, kas izriet pēc Uzturlīdzekļu garantijas fonda pieteiktā prasījuma (1 lietā no</w:t>
      </w:r>
      <w:r>
        <w:rPr>
          <w:spacing w:val="-3"/>
          <w:sz w:val="24"/>
        </w:rPr>
        <w:t> </w:t>
      </w:r>
      <w:r>
        <w:rPr>
          <w:sz w:val="24"/>
        </w:rPr>
        <w:t>25);</w:t>
      </w:r>
    </w:p>
    <w:p>
      <w:pPr>
        <w:pStyle w:val="ListParagraph"/>
        <w:numPr>
          <w:ilvl w:val="0"/>
          <w:numId w:val="34"/>
        </w:numPr>
        <w:tabs>
          <w:tab w:pos="980" w:val="left" w:leader="none"/>
        </w:tabs>
        <w:spacing w:line="228" w:lineRule="auto" w:before="11" w:after="0"/>
        <w:ind w:left="980" w:right="763" w:hanging="360"/>
        <w:jc w:val="both"/>
        <w:rPr>
          <w:sz w:val="16"/>
        </w:rPr>
      </w:pPr>
      <w:r>
        <w:rPr>
          <w:sz w:val="24"/>
        </w:rPr>
        <w:t>Izbeigt saistību dzēšanas procesa laikā nedzēsto saistību piedziņu apturētās izpildu lietvedībās (6 lietās no</w:t>
      </w:r>
      <w:r>
        <w:rPr>
          <w:spacing w:val="-3"/>
          <w:sz w:val="24"/>
        </w:rPr>
        <w:t> </w:t>
      </w:r>
      <w:r>
        <w:rPr>
          <w:sz w:val="24"/>
        </w:rPr>
        <w:t>25);</w:t>
      </w:r>
      <w:r>
        <w:rPr>
          <w:position w:val="9"/>
          <w:sz w:val="16"/>
        </w:rPr>
        <w:t>155</w:t>
      </w:r>
    </w:p>
    <w:p>
      <w:pPr>
        <w:pStyle w:val="ListParagraph"/>
        <w:numPr>
          <w:ilvl w:val="0"/>
          <w:numId w:val="34"/>
        </w:numPr>
        <w:tabs>
          <w:tab w:pos="980" w:val="left" w:leader="none"/>
        </w:tabs>
        <w:spacing w:line="240" w:lineRule="auto" w:before="1" w:after="0"/>
        <w:ind w:left="980" w:right="0" w:hanging="360"/>
        <w:jc w:val="both"/>
        <w:rPr>
          <w:sz w:val="24"/>
        </w:rPr>
      </w:pPr>
      <w:r>
        <w:rPr>
          <w:sz w:val="24"/>
        </w:rPr>
        <w:t>Izbeigt tiesvedību fiziskās personas maksātnespējas procesa lietā (7 lietās no</w:t>
      </w:r>
      <w:r>
        <w:rPr>
          <w:spacing w:val="-9"/>
          <w:sz w:val="24"/>
        </w:rPr>
        <w:t> </w:t>
      </w:r>
      <w:r>
        <w:rPr>
          <w:sz w:val="24"/>
        </w:rPr>
        <w:t>25).</w:t>
      </w:r>
    </w:p>
    <w:p>
      <w:pPr>
        <w:pStyle w:val="BodyText"/>
        <w:jc w:val="left"/>
        <w:rPr>
          <w:sz w:val="26"/>
        </w:rPr>
      </w:pPr>
    </w:p>
    <w:p>
      <w:pPr>
        <w:pStyle w:val="BodyText"/>
        <w:jc w:val="left"/>
        <w:rPr>
          <w:sz w:val="22"/>
        </w:rPr>
      </w:pPr>
    </w:p>
    <w:p>
      <w:pPr>
        <w:pStyle w:val="ListParagraph"/>
        <w:numPr>
          <w:ilvl w:val="2"/>
          <w:numId w:val="31"/>
        </w:numPr>
        <w:tabs>
          <w:tab w:pos="920" w:val="left" w:leader="none"/>
        </w:tabs>
        <w:spacing w:line="240" w:lineRule="auto" w:before="0" w:after="0"/>
        <w:ind w:left="260" w:right="763" w:firstLine="360"/>
        <w:jc w:val="both"/>
        <w:rPr>
          <w:sz w:val="24"/>
        </w:rPr>
      </w:pPr>
      <w:r>
        <w:rPr>
          <w:b/>
          <w:i/>
          <w:sz w:val="24"/>
        </w:rPr>
        <w:t>Tiesu nolēmumu motīvi jautājumā par saistību dzēšanas plāna izpildi</w:t>
      </w:r>
      <w:r>
        <w:rPr>
          <w:sz w:val="24"/>
        </w:rPr>
        <w:t>. Arī tiesu nolēmumos, kas pieņemti pēc 2015.gada 1.novembra, ir konstatējama būtiski atšķirīga pieeja jautājumā par saistību dzēšanas plāna izpildi, un</w:t>
      </w:r>
      <w:r>
        <w:rPr>
          <w:spacing w:val="-3"/>
          <w:sz w:val="24"/>
        </w:rPr>
        <w:t> </w:t>
      </w:r>
      <w:r>
        <w:rPr>
          <w:sz w:val="24"/>
        </w:rPr>
        <w:t>tieši:</w:t>
      </w:r>
    </w:p>
    <w:p>
      <w:pPr>
        <w:pStyle w:val="ListParagraph"/>
        <w:numPr>
          <w:ilvl w:val="0"/>
          <w:numId w:val="35"/>
        </w:numPr>
        <w:tabs>
          <w:tab w:pos="876" w:val="left" w:leader="none"/>
        </w:tabs>
        <w:spacing w:line="235" w:lineRule="auto" w:before="5" w:after="0"/>
        <w:ind w:left="967" w:right="763" w:hanging="348"/>
        <w:jc w:val="both"/>
        <w:rPr>
          <w:sz w:val="24"/>
        </w:rPr>
      </w:pPr>
      <w:r>
        <w:rPr>
          <w:sz w:val="24"/>
        </w:rPr>
        <w:t>lielākoties</w:t>
      </w:r>
      <w:r>
        <w:rPr>
          <w:spacing w:val="-5"/>
          <w:sz w:val="24"/>
        </w:rPr>
        <w:t> </w:t>
      </w:r>
      <w:r>
        <w:rPr>
          <w:sz w:val="24"/>
        </w:rPr>
        <w:t>par</w:t>
      </w:r>
      <w:r>
        <w:rPr>
          <w:spacing w:val="-8"/>
          <w:sz w:val="24"/>
        </w:rPr>
        <w:t> </w:t>
      </w:r>
      <w:r>
        <w:rPr>
          <w:sz w:val="24"/>
        </w:rPr>
        <w:t>plāna</w:t>
      </w:r>
      <w:r>
        <w:rPr>
          <w:spacing w:val="-8"/>
          <w:sz w:val="24"/>
        </w:rPr>
        <w:t> </w:t>
      </w:r>
      <w:r>
        <w:rPr>
          <w:sz w:val="24"/>
        </w:rPr>
        <w:t>izpildi</w:t>
      </w:r>
      <w:r>
        <w:rPr>
          <w:spacing w:val="-5"/>
          <w:sz w:val="24"/>
        </w:rPr>
        <w:t> </w:t>
      </w:r>
      <w:r>
        <w:rPr>
          <w:sz w:val="24"/>
        </w:rPr>
        <w:t>tiesa</w:t>
      </w:r>
      <w:r>
        <w:rPr>
          <w:spacing w:val="-5"/>
          <w:sz w:val="24"/>
        </w:rPr>
        <w:t> </w:t>
      </w:r>
      <w:r>
        <w:rPr>
          <w:sz w:val="24"/>
        </w:rPr>
        <w:t>pārliecinās</w:t>
      </w:r>
      <w:r>
        <w:rPr>
          <w:spacing w:val="-5"/>
          <w:sz w:val="24"/>
        </w:rPr>
        <w:t> </w:t>
      </w:r>
      <w:r>
        <w:rPr>
          <w:sz w:val="24"/>
        </w:rPr>
        <w:t>no</w:t>
      </w:r>
      <w:r>
        <w:rPr>
          <w:spacing w:val="-3"/>
          <w:sz w:val="24"/>
        </w:rPr>
        <w:t> </w:t>
      </w:r>
      <w:r>
        <w:rPr>
          <w:sz w:val="24"/>
        </w:rPr>
        <w:t>parādnieka</w:t>
      </w:r>
      <w:r>
        <w:rPr>
          <w:spacing w:val="-5"/>
          <w:sz w:val="24"/>
        </w:rPr>
        <w:t> </w:t>
      </w:r>
      <w:r>
        <w:rPr>
          <w:sz w:val="24"/>
        </w:rPr>
        <w:t>norēķinu</w:t>
      </w:r>
      <w:r>
        <w:rPr>
          <w:spacing w:val="-5"/>
          <w:sz w:val="24"/>
        </w:rPr>
        <w:t> </w:t>
      </w:r>
      <w:r>
        <w:rPr>
          <w:sz w:val="24"/>
        </w:rPr>
        <w:t>konta</w:t>
      </w:r>
      <w:r>
        <w:rPr>
          <w:spacing w:val="-8"/>
          <w:sz w:val="24"/>
        </w:rPr>
        <w:t> </w:t>
      </w:r>
      <w:r>
        <w:rPr>
          <w:sz w:val="24"/>
        </w:rPr>
        <w:t>izdrukām (vai maksājumi veikti plānā norādītajā apmērā, nevērtējot ne minimālās algas pieaugumu, ne faktisko ienākumu atbilstību plānā norādītajam) un secinājuma, ka lietā nav saņemti administratora vai kreditoru</w:t>
      </w:r>
      <w:r>
        <w:rPr>
          <w:spacing w:val="-3"/>
          <w:sz w:val="24"/>
        </w:rPr>
        <w:t> </w:t>
      </w:r>
      <w:r>
        <w:rPr>
          <w:sz w:val="24"/>
        </w:rPr>
        <w:t>iebildumi</w:t>
      </w:r>
      <w:r>
        <w:rPr>
          <w:position w:val="9"/>
          <w:sz w:val="16"/>
        </w:rPr>
        <w:t>156</w:t>
      </w:r>
      <w:r>
        <w:rPr>
          <w:sz w:val="24"/>
        </w:rPr>
        <w:t>:</w:t>
      </w:r>
    </w:p>
    <w:p>
      <w:pPr>
        <w:pStyle w:val="ListParagraph"/>
        <w:numPr>
          <w:ilvl w:val="1"/>
          <w:numId w:val="35"/>
        </w:numPr>
        <w:tabs>
          <w:tab w:pos="1393" w:val="left" w:leader="none"/>
        </w:tabs>
        <w:spacing w:line="237" w:lineRule="auto" w:before="4" w:after="0"/>
        <w:ind w:left="1392" w:right="762" w:hanging="425"/>
        <w:jc w:val="both"/>
        <w:rPr>
          <w:sz w:val="16"/>
        </w:rPr>
      </w:pPr>
      <w:r>
        <w:rPr>
          <w:sz w:val="24"/>
        </w:rPr>
        <w:t>Ņemot vērā apstākli, ka kreditori saistību dzēšanas plāna izpildes laikā, kā arī saņemot tiesas paziņojumu par parādnieces pieteikumu par saistību dzēšanas procedūras izbeigšanu, līdz pieteikuma izskatīšanas dienai, iebildumus nav cēluši ne parādniecei, ne tiesai, atzīstams, ka parādniece saistību dzēšanas procedūras</w:t>
      </w:r>
      <w:r>
        <w:rPr>
          <w:spacing w:val="-9"/>
          <w:sz w:val="24"/>
        </w:rPr>
        <w:t> </w:t>
      </w:r>
      <w:r>
        <w:rPr>
          <w:sz w:val="24"/>
        </w:rPr>
        <w:t>ietvaros</w:t>
      </w:r>
      <w:r>
        <w:rPr>
          <w:spacing w:val="-9"/>
          <w:sz w:val="24"/>
        </w:rPr>
        <w:t> </w:t>
      </w:r>
      <w:r>
        <w:rPr>
          <w:sz w:val="24"/>
        </w:rPr>
        <w:t>izpildījusi</w:t>
      </w:r>
      <w:r>
        <w:rPr>
          <w:spacing w:val="-9"/>
          <w:sz w:val="24"/>
        </w:rPr>
        <w:t> </w:t>
      </w:r>
      <w:r>
        <w:rPr>
          <w:sz w:val="24"/>
        </w:rPr>
        <w:t>savus</w:t>
      </w:r>
      <w:r>
        <w:rPr>
          <w:spacing w:val="-9"/>
          <w:sz w:val="24"/>
        </w:rPr>
        <w:t> </w:t>
      </w:r>
      <w:r>
        <w:rPr>
          <w:sz w:val="24"/>
        </w:rPr>
        <w:t>pienākumus</w:t>
      </w:r>
      <w:r>
        <w:rPr>
          <w:spacing w:val="-4"/>
          <w:sz w:val="24"/>
        </w:rPr>
        <w:t> </w:t>
      </w:r>
      <w:r>
        <w:rPr>
          <w:sz w:val="24"/>
        </w:rPr>
        <w:t>(Maksātnespējas</w:t>
      </w:r>
      <w:r>
        <w:rPr>
          <w:spacing w:val="-8"/>
          <w:sz w:val="24"/>
        </w:rPr>
        <w:t> </w:t>
      </w:r>
      <w:r>
        <w:rPr>
          <w:sz w:val="24"/>
        </w:rPr>
        <w:t>likuma</w:t>
      </w:r>
      <w:r>
        <w:rPr>
          <w:spacing w:val="-6"/>
          <w:sz w:val="24"/>
        </w:rPr>
        <w:t> </w:t>
      </w:r>
      <w:r>
        <w:rPr>
          <w:sz w:val="24"/>
        </w:rPr>
        <w:t>160. pants), līdz ar to, izbeidzama saistību dzēšanas procedūra (Maksātnespējas likuma 165. pants). Pēc tiesību normu analoģijas, piemērojot Civilprocesa likuma 363.</w:t>
      </w:r>
      <w:r>
        <w:rPr>
          <w:position w:val="9"/>
          <w:sz w:val="16"/>
        </w:rPr>
        <w:t>31 </w:t>
      </w:r>
      <w:r>
        <w:rPr>
          <w:sz w:val="24"/>
        </w:rPr>
        <w:t>panta piekto daļu, secināms, ka saistību izpildes plāna izpilde pieņemta bez</w:t>
      </w:r>
      <w:r>
        <w:rPr>
          <w:spacing w:val="1"/>
          <w:sz w:val="24"/>
        </w:rPr>
        <w:t> </w:t>
      </w:r>
      <w:r>
        <w:rPr>
          <w:sz w:val="24"/>
        </w:rPr>
        <w:t>iebildumiem;</w:t>
      </w:r>
      <w:r>
        <w:rPr>
          <w:position w:val="9"/>
          <w:sz w:val="16"/>
        </w:rPr>
        <w:t>157</w:t>
      </w:r>
    </w:p>
    <w:p>
      <w:pPr>
        <w:pStyle w:val="ListParagraph"/>
        <w:numPr>
          <w:ilvl w:val="1"/>
          <w:numId w:val="35"/>
        </w:numPr>
        <w:tabs>
          <w:tab w:pos="1393" w:val="left" w:leader="none"/>
        </w:tabs>
        <w:spacing w:line="235" w:lineRule="auto" w:before="0" w:after="0"/>
        <w:ind w:left="1392" w:right="762" w:hanging="425"/>
        <w:jc w:val="both"/>
        <w:rPr>
          <w:sz w:val="16"/>
        </w:rPr>
      </w:pPr>
      <w:r>
        <w:rPr>
          <w:sz w:val="24"/>
        </w:rPr>
        <w:t>Tiesai nav pamata apšaubīt parādnieka norādīto, ka kreditoru iebildumi par saistību</w:t>
      </w:r>
      <w:r>
        <w:rPr>
          <w:spacing w:val="-5"/>
          <w:sz w:val="24"/>
        </w:rPr>
        <w:t> </w:t>
      </w:r>
      <w:r>
        <w:rPr>
          <w:sz w:val="24"/>
        </w:rPr>
        <w:t>dzēšanas</w:t>
      </w:r>
      <w:r>
        <w:rPr>
          <w:spacing w:val="-6"/>
          <w:sz w:val="24"/>
        </w:rPr>
        <w:t> </w:t>
      </w:r>
      <w:r>
        <w:rPr>
          <w:sz w:val="24"/>
        </w:rPr>
        <w:t>plāna</w:t>
      </w:r>
      <w:r>
        <w:rPr>
          <w:spacing w:val="-3"/>
          <w:sz w:val="24"/>
        </w:rPr>
        <w:t> </w:t>
      </w:r>
      <w:r>
        <w:rPr>
          <w:sz w:val="24"/>
        </w:rPr>
        <w:t>izpildi</w:t>
      </w:r>
      <w:r>
        <w:rPr>
          <w:spacing w:val="-4"/>
          <w:sz w:val="24"/>
        </w:rPr>
        <w:t> </w:t>
      </w:r>
      <w:r>
        <w:rPr>
          <w:sz w:val="24"/>
        </w:rPr>
        <w:t>nav</w:t>
      </w:r>
      <w:r>
        <w:rPr>
          <w:spacing w:val="-5"/>
          <w:sz w:val="24"/>
        </w:rPr>
        <w:t> </w:t>
      </w:r>
      <w:r>
        <w:rPr>
          <w:sz w:val="24"/>
        </w:rPr>
        <w:t>saņemti.</w:t>
      </w:r>
      <w:r>
        <w:rPr>
          <w:spacing w:val="-4"/>
          <w:sz w:val="24"/>
        </w:rPr>
        <w:t> </w:t>
      </w:r>
      <w:r>
        <w:rPr>
          <w:sz w:val="24"/>
        </w:rPr>
        <w:t>Tāpat</w:t>
      </w:r>
      <w:r>
        <w:rPr>
          <w:spacing w:val="-4"/>
          <w:sz w:val="24"/>
        </w:rPr>
        <w:t> </w:t>
      </w:r>
      <w:r>
        <w:rPr>
          <w:sz w:val="24"/>
        </w:rPr>
        <w:t>lietā</w:t>
      </w:r>
      <w:r>
        <w:rPr>
          <w:spacing w:val="-8"/>
          <w:sz w:val="24"/>
        </w:rPr>
        <w:t> </w:t>
      </w:r>
      <w:r>
        <w:rPr>
          <w:sz w:val="24"/>
        </w:rPr>
        <w:t>nav</w:t>
      </w:r>
      <w:r>
        <w:rPr>
          <w:spacing w:val="-4"/>
          <w:sz w:val="24"/>
        </w:rPr>
        <w:t> </w:t>
      </w:r>
      <w:r>
        <w:rPr>
          <w:sz w:val="24"/>
        </w:rPr>
        <w:t>ziņu</w:t>
      </w:r>
      <w:r>
        <w:rPr>
          <w:spacing w:val="-4"/>
          <w:sz w:val="24"/>
        </w:rPr>
        <w:t> </w:t>
      </w:r>
      <w:r>
        <w:rPr>
          <w:sz w:val="24"/>
        </w:rPr>
        <w:t>par</w:t>
      </w:r>
      <w:r>
        <w:rPr>
          <w:spacing w:val="-4"/>
          <w:sz w:val="24"/>
        </w:rPr>
        <w:t> </w:t>
      </w:r>
      <w:r>
        <w:rPr>
          <w:sz w:val="24"/>
        </w:rPr>
        <w:t>to,</w:t>
      </w:r>
      <w:r>
        <w:rPr>
          <w:spacing w:val="-4"/>
          <w:sz w:val="24"/>
        </w:rPr>
        <w:t> </w:t>
      </w:r>
      <w:r>
        <w:rPr>
          <w:sz w:val="24"/>
        </w:rPr>
        <w:t>ka</w:t>
      </w:r>
      <w:r>
        <w:rPr>
          <w:spacing w:val="-5"/>
          <w:sz w:val="24"/>
        </w:rPr>
        <w:t> </w:t>
      </w:r>
      <w:r>
        <w:rPr>
          <w:sz w:val="24"/>
        </w:rPr>
        <w:t>būtu iesniegtas un vēl neizlemtas kādas kreditoru sūdzības par saistību dzēšanas plānu;</w:t>
      </w:r>
      <w:r>
        <w:rPr>
          <w:position w:val="9"/>
          <w:sz w:val="16"/>
        </w:rPr>
        <w:t>158</w:t>
      </w:r>
    </w:p>
    <w:p>
      <w:pPr>
        <w:pStyle w:val="ListParagraph"/>
        <w:numPr>
          <w:ilvl w:val="1"/>
          <w:numId w:val="35"/>
        </w:numPr>
        <w:tabs>
          <w:tab w:pos="1393" w:val="left" w:leader="none"/>
        </w:tabs>
        <w:spacing w:line="228" w:lineRule="auto" w:before="10" w:after="0"/>
        <w:ind w:left="1392" w:right="763" w:hanging="425"/>
        <w:jc w:val="both"/>
        <w:rPr>
          <w:sz w:val="16"/>
        </w:rPr>
      </w:pPr>
      <w:r>
        <w:rPr>
          <w:sz w:val="24"/>
        </w:rPr>
        <w:t>Tiesai nav pamata apšaubīt, ka nav saņemti kreditoru iebildumi par saistību dzēšanas plāna izpildi, jo nav iesniegti pierādījumi par</w:t>
      </w:r>
      <w:r>
        <w:rPr>
          <w:spacing w:val="-8"/>
          <w:sz w:val="24"/>
        </w:rPr>
        <w:t> </w:t>
      </w:r>
      <w:r>
        <w:rPr>
          <w:sz w:val="24"/>
        </w:rPr>
        <w:t>pretējo.</w:t>
      </w:r>
      <w:r>
        <w:rPr>
          <w:position w:val="9"/>
          <w:sz w:val="16"/>
        </w:rPr>
        <w:t>159</w:t>
      </w:r>
    </w:p>
    <w:p>
      <w:pPr>
        <w:pStyle w:val="BodyText"/>
        <w:spacing w:before="9"/>
        <w:jc w:val="left"/>
      </w:pPr>
      <w:r>
        <w:rPr/>
        <w:pict>
          <v:shape style="position:absolute;margin-left:72pt;margin-top:16.517256pt;width:144pt;height:.1pt;mso-position-horizontal-relative:page;mso-position-vertical-relative:paragraph;z-index:-251620352;mso-wrap-distance-left:0;mso-wrap-distance-right:0" coordorigin="1440,330" coordsize="2880,0" path="m1440,330l4320,330e" filled="false" stroked="true" strokeweight=".59999pt" strokecolor="#000000">
            <v:path arrowok="t"/>
            <v:stroke dashstyle="solid"/>
            <w10:wrap type="topAndBottom"/>
          </v:shape>
        </w:pict>
      </w:r>
    </w:p>
    <w:p>
      <w:pPr>
        <w:spacing w:line="233" w:lineRule="exact" w:before="70"/>
        <w:ind w:left="260" w:right="0" w:firstLine="0"/>
        <w:jc w:val="left"/>
        <w:rPr>
          <w:sz w:val="20"/>
        </w:rPr>
      </w:pPr>
      <w:r>
        <w:rPr>
          <w:position w:val="7"/>
          <w:sz w:val="13"/>
        </w:rPr>
        <w:t>155 </w:t>
      </w:r>
      <w:r>
        <w:rPr>
          <w:sz w:val="20"/>
        </w:rPr>
        <w:t>Piem., Tukuma rajona tiesas 2015.gada 6.februāra nolēmums lietā Nr. C37132410</w:t>
      </w:r>
    </w:p>
    <w:p>
      <w:pPr>
        <w:spacing w:line="237" w:lineRule="auto" w:before="0"/>
        <w:ind w:left="260" w:right="882" w:firstLine="0"/>
        <w:jc w:val="left"/>
        <w:rPr>
          <w:sz w:val="20"/>
        </w:rPr>
      </w:pPr>
      <w:r>
        <w:rPr>
          <w:position w:val="7"/>
          <w:sz w:val="13"/>
        </w:rPr>
        <w:t>156  </w:t>
      </w:r>
      <w:r>
        <w:rPr>
          <w:sz w:val="20"/>
        </w:rPr>
        <w:t>Piem.,  Rīgas  pilsētas  Vidzemes   priekšpilsētas   tiesas   2018.gada   3.septembra   nolēmums   lietā  Nr.</w:t>
      </w:r>
      <w:r>
        <w:rPr>
          <w:spacing w:val="-1"/>
          <w:sz w:val="20"/>
        </w:rPr>
        <w:t> </w:t>
      </w:r>
      <w:r>
        <w:rPr>
          <w:sz w:val="20"/>
        </w:rPr>
        <w:t>C30419314</w:t>
      </w:r>
    </w:p>
    <w:p>
      <w:pPr>
        <w:spacing w:line="235" w:lineRule="auto" w:before="0"/>
        <w:ind w:left="260" w:right="2734" w:firstLine="0"/>
        <w:jc w:val="left"/>
        <w:rPr>
          <w:sz w:val="20"/>
        </w:rPr>
      </w:pPr>
      <w:r>
        <w:rPr>
          <w:position w:val="7"/>
          <w:sz w:val="13"/>
        </w:rPr>
        <w:t>157 </w:t>
      </w:r>
      <w:r>
        <w:rPr>
          <w:sz w:val="20"/>
        </w:rPr>
        <w:t>Zemgales rajona tiesas 2018.gada 4.septembra nolēmums lietā Nr. C15171316 </w:t>
      </w:r>
      <w:r>
        <w:rPr>
          <w:position w:val="7"/>
          <w:sz w:val="13"/>
        </w:rPr>
        <w:t>158 </w:t>
      </w:r>
      <w:r>
        <w:rPr>
          <w:sz w:val="20"/>
        </w:rPr>
        <w:t>Vidzemes rajona tiesas 2018.gada 19.septembra nolēmums lietā Nr. C39054914 </w:t>
      </w:r>
      <w:r>
        <w:rPr>
          <w:position w:val="7"/>
          <w:sz w:val="13"/>
        </w:rPr>
        <w:t>159 </w:t>
      </w:r>
      <w:r>
        <w:rPr>
          <w:sz w:val="20"/>
        </w:rPr>
        <w:t>Zemgales rajona tiesas 2018.gada 4.septembra nolēmums lietā Nr. C13067816</w:t>
      </w:r>
    </w:p>
    <w:p>
      <w:pPr>
        <w:spacing w:after="0" w:line="235" w:lineRule="auto"/>
        <w:jc w:val="left"/>
        <w:rPr>
          <w:sz w:val="20"/>
        </w:rPr>
        <w:sectPr>
          <w:pgSz w:w="11910" w:h="16840"/>
          <w:pgMar w:header="0" w:footer="1055" w:top="1340" w:bottom="1240" w:left="1180" w:right="1040"/>
        </w:sectPr>
      </w:pPr>
    </w:p>
    <w:p>
      <w:pPr>
        <w:pStyle w:val="ListParagraph"/>
        <w:numPr>
          <w:ilvl w:val="0"/>
          <w:numId w:val="35"/>
        </w:numPr>
        <w:tabs>
          <w:tab w:pos="1340" w:val="left" w:leader="none"/>
        </w:tabs>
        <w:spacing w:line="232" w:lineRule="auto" w:before="80" w:after="0"/>
        <w:ind w:left="1340" w:right="401" w:hanging="360"/>
        <w:jc w:val="both"/>
        <w:rPr>
          <w:sz w:val="16"/>
        </w:rPr>
      </w:pPr>
      <w:r>
        <w:rPr>
          <w:sz w:val="24"/>
        </w:rPr>
        <w:t>Atsevišķos gadījums parādnieks iesniedzis tiesai pierādījumus, ka sūtījis paziņojumus kreditoriem par saistību dzēšanas plāna izpildi, uz ko nav saņēmis iebildumus;</w:t>
      </w:r>
      <w:r>
        <w:rPr>
          <w:position w:val="9"/>
          <w:sz w:val="16"/>
        </w:rPr>
        <w:t>160</w:t>
      </w:r>
    </w:p>
    <w:p>
      <w:pPr>
        <w:pStyle w:val="ListParagraph"/>
        <w:numPr>
          <w:ilvl w:val="0"/>
          <w:numId w:val="35"/>
        </w:numPr>
        <w:tabs>
          <w:tab w:pos="1340" w:val="left" w:leader="none"/>
        </w:tabs>
        <w:spacing w:line="240" w:lineRule="auto" w:before="3" w:after="0"/>
        <w:ind w:left="1340" w:right="402" w:hanging="360"/>
        <w:jc w:val="both"/>
        <w:rPr>
          <w:sz w:val="24"/>
        </w:rPr>
      </w:pPr>
      <w:r>
        <w:rPr>
          <w:sz w:val="24"/>
        </w:rPr>
        <w:t>Retos</w:t>
      </w:r>
      <w:r>
        <w:rPr>
          <w:spacing w:val="-5"/>
          <w:sz w:val="24"/>
        </w:rPr>
        <w:t> </w:t>
      </w:r>
      <w:r>
        <w:rPr>
          <w:sz w:val="24"/>
        </w:rPr>
        <w:t>gadījumos</w:t>
      </w:r>
      <w:r>
        <w:rPr>
          <w:spacing w:val="-2"/>
          <w:sz w:val="24"/>
        </w:rPr>
        <w:t> </w:t>
      </w:r>
      <w:r>
        <w:rPr>
          <w:sz w:val="24"/>
        </w:rPr>
        <w:t>(5</w:t>
      </w:r>
      <w:r>
        <w:rPr>
          <w:spacing w:val="-7"/>
          <w:sz w:val="24"/>
        </w:rPr>
        <w:t> </w:t>
      </w:r>
      <w:r>
        <w:rPr>
          <w:sz w:val="24"/>
        </w:rPr>
        <w:t>lēmumos</w:t>
      </w:r>
      <w:r>
        <w:rPr>
          <w:spacing w:val="-4"/>
          <w:sz w:val="24"/>
        </w:rPr>
        <w:t> </w:t>
      </w:r>
      <w:r>
        <w:rPr>
          <w:sz w:val="24"/>
        </w:rPr>
        <w:t>no</w:t>
      </w:r>
      <w:r>
        <w:rPr>
          <w:spacing w:val="-4"/>
          <w:sz w:val="24"/>
        </w:rPr>
        <w:t> </w:t>
      </w:r>
      <w:r>
        <w:rPr>
          <w:sz w:val="24"/>
        </w:rPr>
        <w:t>25)</w:t>
      </w:r>
      <w:r>
        <w:rPr>
          <w:spacing w:val="-8"/>
          <w:sz w:val="24"/>
        </w:rPr>
        <w:t> </w:t>
      </w:r>
      <w:r>
        <w:rPr>
          <w:sz w:val="24"/>
        </w:rPr>
        <w:t>tiesa</w:t>
      </w:r>
      <w:r>
        <w:rPr>
          <w:spacing w:val="-4"/>
          <w:sz w:val="24"/>
        </w:rPr>
        <w:t> </w:t>
      </w:r>
      <w:r>
        <w:rPr>
          <w:sz w:val="24"/>
        </w:rPr>
        <w:t>ir</w:t>
      </w:r>
      <w:r>
        <w:rPr>
          <w:spacing w:val="-3"/>
          <w:sz w:val="24"/>
        </w:rPr>
        <w:t> </w:t>
      </w:r>
      <w:r>
        <w:rPr>
          <w:sz w:val="24"/>
        </w:rPr>
        <w:t>vērtējusi,</w:t>
      </w:r>
      <w:r>
        <w:rPr>
          <w:spacing w:val="-4"/>
          <w:sz w:val="24"/>
        </w:rPr>
        <w:t> </w:t>
      </w:r>
      <w:r>
        <w:rPr>
          <w:sz w:val="24"/>
        </w:rPr>
        <w:t>vai,</w:t>
      </w:r>
      <w:r>
        <w:rPr>
          <w:spacing w:val="-4"/>
          <w:sz w:val="24"/>
        </w:rPr>
        <w:t> </w:t>
      </w:r>
      <w:r>
        <w:rPr>
          <w:sz w:val="24"/>
        </w:rPr>
        <w:t>izdarot</w:t>
      </w:r>
      <w:r>
        <w:rPr>
          <w:spacing w:val="-5"/>
          <w:sz w:val="24"/>
        </w:rPr>
        <w:t> </w:t>
      </w:r>
      <w:r>
        <w:rPr>
          <w:sz w:val="24"/>
        </w:rPr>
        <w:t>saistību</w:t>
      </w:r>
      <w:r>
        <w:rPr>
          <w:spacing w:val="-4"/>
          <w:sz w:val="24"/>
        </w:rPr>
        <w:t> </w:t>
      </w:r>
      <w:r>
        <w:rPr>
          <w:sz w:val="24"/>
        </w:rPr>
        <w:t>dzēšanas plānā paredzētos maksājumus, parādnieks ir ņēmis vērā valstī noteiktās minimālās algas</w:t>
      </w:r>
      <w:r>
        <w:rPr>
          <w:spacing w:val="-4"/>
          <w:sz w:val="24"/>
        </w:rPr>
        <w:t> </w:t>
      </w:r>
      <w:r>
        <w:rPr>
          <w:sz w:val="24"/>
        </w:rPr>
        <w:t>pieaugumu:</w:t>
      </w:r>
    </w:p>
    <w:p>
      <w:pPr>
        <w:pStyle w:val="ListParagraph"/>
        <w:numPr>
          <w:ilvl w:val="1"/>
          <w:numId w:val="35"/>
        </w:numPr>
        <w:tabs>
          <w:tab w:pos="1700" w:val="left" w:leader="none"/>
        </w:tabs>
        <w:spacing w:line="240" w:lineRule="auto" w:before="0" w:after="0"/>
        <w:ind w:left="1700" w:right="401" w:hanging="360"/>
        <w:jc w:val="both"/>
        <w:rPr>
          <w:sz w:val="24"/>
        </w:rPr>
      </w:pPr>
      <w:r>
        <w:rPr>
          <w:sz w:val="24"/>
        </w:rPr>
        <w:t>Ņemot vērā minēto, neatkarīgi no perioda, par kuru parādnieks ir saņēmis ienākumus un no saistību dzēšanas plānā paredzētā, palielinoties parādnieka ienākumiem, parādniekam jānovirza kreditoru prasījumu segšanai līdzekļi ne mazāk kā vienas trešdaļas apmērā no parādnieka ienākumiem (ņemot vērā arī izmaiņas minimālās mēnešalgas apmērā saistību dzēšanas plāna izpildes</w:t>
      </w:r>
      <w:r>
        <w:rPr>
          <w:spacing w:val="-38"/>
          <w:sz w:val="24"/>
        </w:rPr>
        <w:t> </w:t>
      </w:r>
      <w:r>
        <w:rPr>
          <w:sz w:val="24"/>
        </w:rPr>
        <w:t>laikā).</w:t>
      </w:r>
    </w:p>
    <w:p>
      <w:pPr>
        <w:pStyle w:val="BodyText"/>
        <w:spacing w:line="276" w:lineRule="exact"/>
        <w:ind w:left="1700"/>
        <w:rPr>
          <w:sz w:val="16"/>
        </w:rPr>
      </w:pPr>
      <w:r>
        <w:rPr/>
        <w:t>Minētais izriet no Maksātnespējas likuma 155.panta ceturtās daļas;</w:t>
      </w:r>
      <w:r>
        <w:rPr>
          <w:position w:val="9"/>
          <w:sz w:val="16"/>
        </w:rPr>
        <w:t>161</w:t>
      </w:r>
    </w:p>
    <w:p>
      <w:pPr>
        <w:pStyle w:val="ListParagraph"/>
        <w:numPr>
          <w:ilvl w:val="1"/>
          <w:numId w:val="35"/>
        </w:numPr>
        <w:tabs>
          <w:tab w:pos="1700" w:val="left" w:leader="none"/>
        </w:tabs>
        <w:spacing w:line="232" w:lineRule="auto" w:before="7" w:after="0"/>
        <w:ind w:left="1700" w:right="402" w:hanging="360"/>
        <w:jc w:val="both"/>
        <w:rPr>
          <w:sz w:val="16"/>
        </w:rPr>
      </w:pPr>
      <w:r>
        <w:rPr>
          <w:sz w:val="24"/>
        </w:rPr>
        <w:t>Tiesa ņem vērā, ka parādniece labprātīgi palielinājusi ikmēneša maksājumus</w:t>
      </w:r>
      <w:r>
        <w:rPr>
          <w:spacing w:val="-25"/>
          <w:sz w:val="24"/>
        </w:rPr>
        <w:t> </w:t>
      </w:r>
      <w:r>
        <w:rPr>
          <w:sz w:val="24"/>
        </w:rPr>
        <w:t>ar 2018. gada 1. janvāri, kad palielinājusies valstī noteiktā minimālā mēneša alga;</w:t>
      </w:r>
      <w:r>
        <w:rPr>
          <w:position w:val="9"/>
          <w:sz w:val="16"/>
        </w:rPr>
        <w:t>162</w:t>
      </w:r>
    </w:p>
    <w:p>
      <w:pPr>
        <w:pStyle w:val="ListParagraph"/>
        <w:numPr>
          <w:ilvl w:val="1"/>
          <w:numId w:val="35"/>
        </w:numPr>
        <w:tabs>
          <w:tab w:pos="1700" w:val="left" w:leader="none"/>
        </w:tabs>
        <w:spacing w:line="240" w:lineRule="auto" w:before="3" w:after="0"/>
        <w:ind w:left="1700" w:right="403" w:hanging="360"/>
        <w:jc w:val="both"/>
        <w:rPr>
          <w:sz w:val="24"/>
        </w:rPr>
      </w:pPr>
      <w:r>
        <w:rPr>
          <w:sz w:val="24"/>
        </w:rPr>
        <w:t>Atsevišķos</w:t>
      </w:r>
      <w:r>
        <w:rPr>
          <w:spacing w:val="-11"/>
          <w:sz w:val="24"/>
        </w:rPr>
        <w:t> </w:t>
      </w:r>
      <w:r>
        <w:rPr>
          <w:sz w:val="24"/>
        </w:rPr>
        <w:t>gadījumos</w:t>
      </w:r>
      <w:r>
        <w:rPr>
          <w:spacing w:val="-10"/>
          <w:sz w:val="24"/>
        </w:rPr>
        <w:t> </w:t>
      </w:r>
      <w:r>
        <w:rPr>
          <w:sz w:val="24"/>
        </w:rPr>
        <w:t>no</w:t>
      </w:r>
      <w:r>
        <w:rPr>
          <w:spacing w:val="-8"/>
          <w:sz w:val="24"/>
        </w:rPr>
        <w:t> </w:t>
      </w:r>
      <w:r>
        <w:rPr>
          <w:sz w:val="24"/>
        </w:rPr>
        <w:t>tiesas</w:t>
      </w:r>
      <w:r>
        <w:rPr>
          <w:spacing w:val="-11"/>
          <w:sz w:val="24"/>
        </w:rPr>
        <w:t> </w:t>
      </w:r>
      <w:r>
        <w:rPr>
          <w:sz w:val="24"/>
        </w:rPr>
        <w:t>lēmuma</w:t>
      </w:r>
      <w:r>
        <w:rPr>
          <w:spacing w:val="-10"/>
          <w:sz w:val="24"/>
        </w:rPr>
        <w:t> </w:t>
      </w:r>
      <w:r>
        <w:rPr>
          <w:sz w:val="24"/>
        </w:rPr>
        <w:t>nav</w:t>
      </w:r>
      <w:r>
        <w:rPr>
          <w:spacing w:val="-10"/>
          <w:sz w:val="24"/>
        </w:rPr>
        <w:t> </w:t>
      </w:r>
      <w:r>
        <w:rPr>
          <w:sz w:val="24"/>
        </w:rPr>
        <w:t>izsecināms,</w:t>
      </w:r>
      <w:r>
        <w:rPr>
          <w:spacing w:val="-11"/>
          <w:sz w:val="24"/>
        </w:rPr>
        <w:t> </w:t>
      </w:r>
      <w:r>
        <w:rPr>
          <w:sz w:val="24"/>
        </w:rPr>
        <w:t>vai</w:t>
      </w:r>
      <w:r>
        <w:rPr>
          <w:spacing w:val="-10"/>
          <w:sz w:val="24"/>
        </w:rPr>
        <w:t> </w:t>
      </w:r>
      <w:r>
        <w:rPr>
          <w:sz w:val="24"/>
        </w:rPr>
        <w:t>parādnieks,</w:t>
      </w:r>
      <w:r>
        <w:rPr>
          <w:spacing w:val="-8"/>
          <w:sz w:val="24"/>
        </w:rPr>
        <w:t> </w:t>
      </w:r>
      <w:r>
        <w:rPr>
          <w:sz w:val="24"/>
        </w:rPr>
        <w:t>izdarot saistību dzēšanas plānā paredzētos maksājumus, ir ņēmis vērā valstī noteiktās minimālās algas</w:t>
      </w:r>
      <w:r>
        <w:rPr>
          <w:spacing w:val="-4"/>
          <w:sz w:val="24"/>
        </w:rPr>
        <w:t> </w:t>
      </w:r>
      <w:r>
        <w:rPr>
          <w:sz w:val="24"/>
        </w:rPr>
        <w:t>pieaugumu;</w:t>
      </w:r>
    </w:p>
    <w:p>
      <w:pPr>
        <w:pStyle w:val="ListParagraph"/>
        <w:numPr>
          <w:ilvl w:val="0"/>
          <w:numId w:val="35"/>
        </w:numPr>
        <w:tabs>
          <w:tab w:pos="1340" w:val="left" w:leader="none"/>
        </w:tabs>
        <w:spacing w:line="240" w:lineRule="auto" w:before="0" w:after="0"/>
        <w:ind w:left="1340" w:right="403" w:hanging="360"/>
        <w:jc w:val="both"/>
        <w:rPr>
          <w:sz w:val="24"/>
        </w:rPr>
      </w:pPr>
      <w:r>
        <w:rPr>
          <w:sz w:val="24"/>
        </w:rPr>
        <w:t>No</w:t>
      </w:r>
      <w:r>
        <w:rPr>
          <w:spacing w:val="-6"/>
          <w:sz w:val="24"/>
        </w:rPr>
        <w:t> </w:t>
      </w:r>
      <w:r>
        <w:rPr>
          <w:sz w:val="24"/>
        </w:rPr>
        <w:t>parādniekiem</w:t>
      </w:r>
      <w:r>
        <w:rPr>
          <w:spacing w:val="-7"/>
          <w:sz w:val="24"/>
        </w:rPr>
        <w:t> </w:t>
      </w:r>
      <w:r>
        <w:rPr>
          <w:sz w:val="24"/>
        </w:rPr>
        <w:t>lielākoties</w:t>
      </w:r>
      <w:r>
        <w:rPr>
          <w:spacing w:val="-5"/>
          <w:sz w:val="24"/>
        </w:rPr>
        <w:t> </w:t>
      </w:r>
      <w:r>
        <w:rPr>
          <w:sz w:val="24"/>
        </w:rPr>
        <w:t>netiek</w:t>
      </w:r>
      <w:r>
        <w:rPr>
          <w:spacing w:val="-5"/>
          <w:sz w:val="24"/>
        </w:rPr>
        <w:t> </w:t>
      </w:r>
      <w:r>
        <w:rPr>
          <w:sz w:val="24"/>
        </w:rPr>
        <w:t>pieprasīti</w:t>
      </w:r>
      <w:r>
        <w:rPr>
          <w:spacing w:val="-2"/>
          <w:sz w:val="24"/>
        </w:rPr>
        <w:t> </w:t>
      </w:r>
      <w:r>
        <w:rPr>
          <w:sz w:val="24"/>
        </w:rPr>
        <w:t>un</w:t>
      </w:r>
      <w:r>
        <w:rPr>
          <w:spacing w:val="-5"/>
          <w:sz w:val="24"/>
        </w:rPr>
        <w:t> </w:t>
      </w:r>
      <w:r>
        <w:rPr>
          <w:sz w:val="24"/>
        </w:rPr>
        <w:t>lēmumos</w:t>
      </w:r>
      <w:r>
        <w:rPr>
          <w:spacing w:val="-5"/>
          <w:sz w:val="24"/>
        </w:rPr>
        <w:t> </w:t>
      </w:r>
      <w:r>
        <w:rPr>
          <w:sz w:val="24"/>
        </w:rPr>
        <w:t>netiek</w:t>
      </w:r>
      <w:r>
        <w:rPr>
          <w:spacing w:val="-5"/>
          <w:sz w:val="24"/>
        </w:rPr>
        <w:t> </w:t>
      </w:r>
      <w:r>
        <w:rPr>
          <w:sz w:val="24"/>
        </w:rPr>
        <w:t>vērtēti</w:t>
      </w:r>
      <w:r>
        <w:rPr>
          <w:spacing w:val="-5"/>
          <w:sz w:val="24"/>
        </w:rPr>
        <w:t> </w:t>
      </w:r>
      <w:r>
        <w:rPr>
          <w:sz w:val="24"/>
        </w:rPr>
        <w:t>parādnieka ienākumi un to apliecinoši</w:t>
      </w:r>
      <w:r>
        <w:rPr>
          <w:spacing w:val="1"/>
          <w:sz w:val="24"/>
        </w:rPr>
        <w:t> </w:t>
      </w:r>
      <w:r>
        <w:rPr>
          <w:sz w:val="24"/>
        </w:rPr>
        <w:t>dokumenti:</w:t>
      </w:r>
    </w:p>
    <w:p>
      <w:pPr>
        <w:pStyle w:val="ListParagraph"/>
        <w:numPr>
          <w:ilvl w:val="1"/>
          <w:numId w:val="35"/>
        </w:numPr>
        <w:tabs>
          <w:tab w:pos="1700" w:val="left" w:leader="none"/>
        </w:tabs>
        <w:spacing w:line="235" w:lineRule="auto" w:before="4" w:after="0"/>
        <w:ind w:left="1700" w:right="402" w:hanging="360"/>
        <w:jc w:val="both"/>
        <w:rPr>
          <w:sz w:val="16"/>
        </w:rPr>
      </w:pPr>
      <w:r>
        <w:rPr>
          <w:sz w:val="24"/>
        </w:rPr>
        <w:t>Tiesai</w:t>
      </w:r>
      <w:r>
        <w:rPr>
          <w:spacing w:val="-13"/>
          <w:sz w:val="24"/>
        </w:rPr>
        <w:t> </w:t>
      </w:r>
      <w:r>
        <w:rPr>
          <w:sz w:val="24"/>
        </w:rPr>
        <w:t>nav</w:t>
      </w:r>
      <w:r>
        <w:rPr>
          <w:spacing w:val="-8"/>
          <w:sz w:val="24"/>
        </w:rPr>
        <w:t> </w:t>
      </w:r>
      <w:r>
        <w:rPr>
          <w:sz w:val="24"/>
        </w:rPr>
        <w:t>pamata</w:t>
      </w:r>
      <w:r>
        <w:rPr>
          <w:spacing w:val="-10"/>
          <w:sz w:val="24"/>
        </w:rPr>
        <w:t> </w:t>
      </w:r>
      <w:r>
        <w:rPr>
          <w:sz w:val="24"/>
        </w:rPr>
        <w:t>apšaubīt</w:t>
      </w:r>
      <w:r>
        <w:rPr>
          <w:spacing w:val="-10"/>
          <w:sz w:val="24"/>
        </w:rPr>
        <w:t> </w:t>
      </w:r>
      <w:r>
        <w:rPr>
          <w:sz w:val="24"/>
        </w:rPr>
        <w:t>parādnieka</w:t>
      </w:r>
      <w:r>
        <w:rPr>
          <w:spacing w:val="-11"/>
          <w:sz w:val="24"/>
        </w:rPr>
        <w:t> </w:t>
      </w:r>
      <w:r>
        <w:rPr>
          <w:sz w:val="24"/>
        </w:rPr>
        <w:t>gūto</w:t>
      </w:r>
      <w:r>
        <w:rPr>
          <w:spacing w:val="-10"/>
          <w:sz w:val="24"/>
        </w:rPr>
        <w:t> </w:t>
      </w:r>
      <w:r>
        <w:rPr>
          <w:sz w:val="24"/>
        </w:rPr>
        <w:t>ienākumu</w:t>
      </w:r>
      <w:r>
        <w:rPr>
          <w:spacing w:val="-10"/>
          <w:sz w:val="24"/>
        </w:rPr>
        <w:t> </w:t>
      </w:r>
      <w:r>
        <w:rPr>
          <w:sz w:val="24"/>
        </w:rPr>
        <w:t>apmēru.</w:t>
      </w:r>
      <w:r>
        <w:rPr>
          <w:spacing w:val="-9"/>
          <w:sz w:val="24"/>
        </w:rPr>
        <w:t> </w:t>
      </w:r>
      <w:r>
        <w:rPr>
          <w:sz w:val="24"/>
        </w:rPr>
        <w:t>Tiesa,</w:t>
      </w:r>
      <w:r>
        <w:rPr>
          <w:spacing w:val="-8"/>
          <w:sz w:val="24"/>
        </w:rPr>
        <w:t> </w:t>
      </w:r>
      <w:r>
        <w:rPr>
          <w:sz w:val="24"/>
        </w:rPr>
        <w:t>izvērtējot kreditoriem</w:t>
      </w:r>
      <w:r>
        <w:rPr>
          <w:spacing w:val="-10"/>
          <w:sz w:val="24"/>
        </w:rPr>
        <w:t> </w:t>
      </w:r>
      <w:r>
        <w:rPr>
          <w:sz w:val="24"/>
        </w:rPr>
        <w:t>veiktos</w:t>
      </w:r>
      <w:r>
        <w:rPr>
          <w:spacing w:val="-9"/>
          <w:sz w:val="24"/>
        </w:rPr>
        <w:t> </w:t>
      </w:r>
      <w:r>
        <w:rPr>
          <w:sz w:val="24"/>
        </w:rPr>
        <w:t>maksājumus,</w:t>
      </w:r>
      <w:r>
        <w:rPr>
          <w:spacing w:val="-10"/>
          <w:sz w:val="24"/>
        </w:rPr>
        <w:t> </w:t>
      </w:r>
      <w:r>
        <w:rPr>
          <w:sz w:val="24"/>
        </w:rPr>
        <w:t>atzīst,</w:t>
      </w:r>
      <w:r>
        <w:rPr>
          <w:spacing w:val="-6"/>
          <w:sz w:val="24"/>
        </w:rPr>
        <w:t> </w:t>
      </w:r>
      <w:r>
        <w:rPr>
          <w:sz w:val="24"/>
        </w:rPr>
        <w:t>ka</w:t>
      </w:r>
      <w:r>
        <w:rPr>
          <w:spacing w:val="-11"/>
          <w:sz w:val="24"/>
        </w:rPr>
        <w:t> </w:t>
      </w:r>
      <w:r>
        <w:rPr>
          <w:sz w:val="24"/>
        </w:rPr>
        <w:t>tie</w:t>
      </w:r>
      <w:r>
        <w:rPr>
          <w:spacing w:val="-8"/>
          <w:sz w:val="24"/>
        </w:rPr>
        <w:t> </w:t>
      </w:r>
      <w:r>
        <w:rPr>
          <w:sz w:val="24"/>
        </w:rPr>
        <w:t>veikti</w:t>
      </w:r>
      <w:r>
        <w:rPr>
          <w:spacing w:val="-6"/>
          <w:sz w:val="24"/>
        </w:rPr>
        <w:t> </w:t>
      </w:r>
      <w:r>
        <w:rPr>
          <w:sz w:val="24"/>
        </w:rPr>
        <w:t>atbilstoši</w:t>
      </w:r>
      <w:r>
        <w:rPr>
          <w:spacing w:val="-10"/>
          <w:sz w:val="24"/>
        </w:rPr>
        <w:t> </w:t>
      </w:r>
      <w:r>
        <w:rPr>
          <w:sz w:val="24"/>
        </w:rPr>
        <w:t>saistību</w:t>
      </w:r>
      <w:r>
        <w:rPr>
          <w:spacing w:val="-9"/>
          <w:sz w:val="24"/>
        </w:rPr>
        <w:t> </w:t>
      </w:r>
      <w:r>
        <w:rPr>
          <w:sz w:val="24"/>
        </w:rPr>
        <w:t>dzēšanas plānam. Tiesai nav ziņu, ka parādnieks saistību dzēšanas procedūras laikā būtu guvis lielākus ienākumus kā paredzēts saistību dzēšanas</w:t>
      </w:r>
      <w:r>
        <w:rPr>
          <w:spacing w:val="-3"/>
          <w:sz w:val="24"/>
        </w:rPr>
        <w:t> </w:t>
      </w:r>
      <w:r>
        <w:rPr>
          <w:sz w:val="24"/>
        </w:rPr>
        <w:t>plānā;</w:t>
      </w:r>
      <w:r>
        <w:rPr>
          <w:position w:val="9"/>
          <w:sz w:val="16"/>
        </w:rPr>
        <w:t>163</w:t>
      </w:r>
    </w:p>
    <w:p>
      <w:pPr>
        <w:pStyle w:val="ListParagraph"/>
        <w:numPr>
          <w:ilvl w:val="1"/>
          <w:numId w:val="35"/>
        </w:numPr>
        <w:tabs>
          <w:tab w:pos="1700" w:val="left" w:leader="none"/>
        </w:tabs>
        <w:spacing w:line="240" w:lineRule="auto" w:before="2" w:after="0"/>
        <w:ind w:left="1700" w:right="402" w:hanging="360"/>
        <w:jc w:val="both"/>
        <w:rPr>
          <w:sz w:val="24"/>
        </w:rPr>
      </w:pPr>
      <w:r>
        <w:rPr>
          <w:sz w:val="24"/>
        </w:rPr>
        <w:t>Tikai dažās lietās secināms, ka parādnieks pieteikumā tiesu ir informējis par ienākumu izmaiņām (vēl retāk – par to pievienojis</w:t>
      </w:r>
      <w:r>
        <w:rPr>
          <w:spacing w:val="-3"/>
          <w:sz w:val="24"/>
        </w:rPr>
        <w:t> </w:t>
      </w:r>
      <w:r>
        <w:rPr>
          <w:sz w:val="24"/>
        </w:rPr>
        <w:t>pierādījumus);</w:t>
      </w:r>
    </w:p>
    <w:p>
      <w:pPr>
        <w:pStyle w:val="ListParagraph"/>
        <w:numPr>
          <w:ilvl w:val="1"/>
          <w:numId w:val="35"/>
        </w:numPr>
        <w:tabs>
          <w:tab w:pos="1700" w:val="left" w:leader="none"/>
        </w:tabs>
        <w:spacing w:line="240" w:lineRule="auto" w:before="1" w:after="0"/>
        <w:ind w:left="1700" w:right="401" w:hanging="360"/>
        <w:jc w:val="both"/>
        <w:rPr>
          <w:sz w:val="24"/>
        </w:rPr>
      </w:pPr>
      <w:r>
        <w:rPr>
          <w:sz w:val="24"/>
        </w:rPr>
        <w:t>Vienā no lietām administrators pirms parādnieka pieteikuma iesniegšanas tiesā pieprasījis no parādnieka konta pārskatu, lai pārbaudītu parādnieka</w:t>
      </w:r>
      <w:r>
        <w:rPr>
          <w:spacing w:val="-36"/>
          <w:sz w:val="24"/>
        </w:rPr>
        <w:t> </w:t>
      </w:r>
      <w:r>
        <w:rPr>
          <w:sz w:val="24"/>
        </w:rPr>
        <w:t>kreditoriem veikto maksājumu atbilstību saistību dzēšanas plānam. Pēc pieprasīto dokumentu saņemšanas administrators izvērtēja parādnieka ienākumus, kreditoriem veiktos maksājumus, tai skaitā, ņemot vērā administratora rīcībā esošo</w:t>
      </w:r>
      <w:r>
        <w:rPr>
          <w:spacing w:val="-12"/>
          <w:sz w:val="24"/>
        </w:rPr>
        <w:t> </w:t>
      </w:r>
      <w:r>
        <w:rPr>
          <w:sz w:val="24"/>
        </w:rPr>
        <w:t>informāciju</w:t>
      </w:r>
      <w:r>
        <w:rPr>
          <w:spacing w:val="-11"/>
          <w:sz w:val="24"/>
        </w:rPr>
        <w:t> </w:t>
      </w:r>
      <w:r>
        <w:rPr>
          <w:sz w:val="24"/>
        </w:rPr>
        <w:t>par</w:t>
      </w:r>
      <w:r>
        <w:rPr>
          <w:spacing w:val="-14"/>
          <w:sz w:val="24"/>
        </w:rPr>
        <w:t> </w:t>
      </w:r>
      <w:r>
        <w:rPr>
          <w:sz w:val="24"/>
        </w:rPr>
        <w:t>kreditoru</w:t>
      </w:r>
      <w:r>
        <w:rPr>
          <w:spacing w:val="-15"/>
          <w:sz w:val="24"/>
        </w:rPr>
        <w:t> </w:t>
      </w:r>
      <w:r>
        <w:rPr>
          <w:sz w:val="24"/>
        </w:rPr>
        <w:t>prasījumu</w:t>
      </w:r>
      <w:r>
        <w:rPr>
          <w:spacing w:val="-11"/>
          <w:sz w:val="24"/>
        </w:rPr>
        <w:t> </w:t>
      </w:r>
      <w:r>
        <w:rPr>
          <w:sz w:val="24"/>
        </w:rPr>
        <w:t>proporcijas</w:t>
      </w:r>
      <w:r>
        <w:rPr>
          <w:spacing w:val="-14"/>
          <w:sz w:val="24"/>
        </w:rPr>
        <w:t> </w:t>
      </w:r>
      <w:r>
        <w:rPr>
          <w:sz w:val="24"/>
        </w:rPr>
        <w:t>izmaiņām</w:t>
      </w:r>
      <w:r>
        <w:rPr>
          <w:spacing w:val="-13"/>
          <w:sz w:val="24"/>
        </w:rPr>
        <w:t> </w:t>
      </w:r>
      <w:r>
        <w:rPr>
          <w:sz w:val="24"/>
        </w:rPr>
        <w:t>sakarā</w:t>
      </w:r>
      <w:r>
        <w:rPr>
          <w:spacing w:val="-9"/>
          <w:sz w:val="24"/>
        </w:rPr>
        <w:t> </w:t>
      </w:r>
      <w:r>
        <w:rPr>
          <w:sz w:val="24"/>
        </w:rPr>
        <w:t>ar</w:t>
      </w:r>
      <w:r>
        <w:rPr>
          <w:spacing w:val="-16"/>
          <w:sz w:val="24"/>
        </w:rPr>
        <w:t> </w:t>
      </w:r>
      <w:r>
        <w:rPr>
          <w:sz w:val="24"/>
        </w:rPr>
        <w:t>viena kreditora prasījuma samazināšanos, un konstatēja, ka, ņemot vērā parādnieka faktiski gūtos ienākumus, nepieciešams veikt piemaksu kreditoriem 885,85 EUR</w:t>
      </w:r>
      <w:r>
        <w:rPr>
          <w:spacing w:val="-1"/>
          <w:sz w:val="24"/>
        </w:rPr>
        <w:t> </w:t>
      </w:r>
      <w:r>
        <w:rPr>
          <w:sz w:val="24"/>
        </w:rPr>
        <w:t>apmērā.</w:t>
      </w:r>
    </w:p>
    <w:p>
      <w:pPr>
        <w:pStyle w:val="ListParagraph"/>
        <w:numPr>
          <w:ilvl w:val="0"/>
          <w:numId w:val="35"/>
        </w:numPr>
        <w:tabs>
          <w:tab w:pos="1340" w:val="left" w:leader="none"/>
        </w:tabs>
        <w:spacing w:line="232" w:lineRule="auto" w:before="6" w:after="0"/>
        <w:ind w:left="1340" w:right="403" w:hanging="360"/>
        <w:jc w:val="both"/>
        <w:rPr>
          <w:sz w:val="16"/>
        </w:rPr>
      </w:pPr>
      <w:r>
        <w:rPr>
          <w:sz w:val="24"/>
        </w:rPr>
        <w:t>Tiek pieļauta piemaksu izdarīšana saistību dzēšanas procedūras beigās gadījumos, ja šāda piemaksa izdarāma sakarā ar parādnieka ienākumu vai valstī noteiktās minimālās mēnešalgas pieaugumu saistību dzēšanas procedūras</w:t>
      </w:r>
      <w:r>
        <w:rPr>
          <w:spacing w:val="-3"/>
          <w:sz w:val="24"/>
        </w:rPr>
        <w:t> </w:t>
      </w:r>
      <w:r>
        <w:rPr>
          <w:sz w:val="24"/>
        </w:rPr>
        <w:t>laikā;</w:t>
      </w:r>
      <w:r>
        <w:rPr>
          <w:position w:val="9"/>
          <w:sz w:val="16"/>
        </w:rPr>
        <w:t>164</w:t>
      </w:r>
    </w:p>
    <w:p>
      <w:pPr>
        <w:pStyle w:val="ListParagraph"/>
        <w:numPr>
          <w:ilvl w:val="0"/>
          <w:numId w:val="35"/>
        </w:numPr>
        <w:tabs>
          <w:tab w:pos="1340" w:val="left" w:leader="none"/>
        </w:tabs>
        <w:spacing w:line="240" w:lineRule="auto" w:before="3" w:after="0"/>
        <w:ind w:left="1340" w:right="401" w:hanging="360"/>
        <w:jc w:val="both"/>
        <w:rPr>
          <w:sz w:val="24"/>
        </w:rPr>
      </w:pPr>
      <w:r>
        <w:rPr>
          <w:sz w:val="24"/>
        </w:rPr>
        <w:t>Tiek pieļauti saistību dzēšanas plānā noteikto maksājumu kavējumi. Piemēram, Rīgas rajona tiesa 2018.gada 7.septembra nolēmumā lietā Nr. </w:t>
      </w:r>
      <w:r>
        <w:rPr>
          <w:spacing w:val="-3"/>
          <w:sz w:val="24"/>
        </w:rPr>
        <w:t>C33361613 </w:t>
      </w:r>
      <w:r>
        <w:rPr>
          <w:sz w:val="24"/>
        </w:rPr>
        <w:t>norādījusi,</w:t>
      </w:r>
      <w:r>
        <w:rPr>
          <w:spacing w:val="-4"/>
          <w:sz w:val="24"/>
        </w:rPr>
        <w:t> </w:t>
      </w:r>
      <w:r>
        <w:rPr>
          <w:sz w:val="24"/>
        </w:rPr>
        <w:t>ka</w:t>
      </w:r>
      <w:r>
        <w:rPr>
          <w:spacing w:val="-5"/>
          <w:sz w:val="24"/>
        </w:rPr>
        <w:t> </w:t>
      </w:r>
      <w:r>
        <w:rPr>
          <w:sz w:val="24"/>
        </w:rPr>
        <w:t>ņem</w:t>
      </w:r>
      <w:r>
        <w:rPr>
          <w:spacing w:val="-4"/>
          <w:sz w:val="24"/>
        </w:rPr>
        <w:t> </w:t>
      </w:r>
      <w:r>
        <w:rPr>
          <w:sz w:val="24"/>
        </w:rPr>
        <w:t>vērā,</w:t>
      </w:r>
      <w:r>
        <w:rPr>
          <w:spacing w:val="-5"/>
          <w:sz w:val="24"/>
        </w:rPr>
        <w:t> </w:t>
      </w:r>
      <w:r>
        <w:rPr>
          <w:sz w:val="24"/>
        </w:rPr>
        <w:t>ka</w:t>
      </w:r>
      <w:r>
        <w:rPr>
          <w:spacing w:val="-3"/>
          <w:sz w:val="24"/>
        </w:rPr>
        <w:t> </w:t>
      </w:r>
      <w:r>
        <w:rPr>
          <w:sz w:val="24"/>
        </w:rPr>
        <w:t>Maksātnespējas</w:t>
      </w:r>
      <w:r>
        <w:rPr>
          <w:spacing w:val="-6"/>
          <w:sz w:val="24"/>
        </w:rPr>
        <w:t> </w:t>
      </w:r>
      <w:r>
        <w:rPr>
          <w:sz w:val="24"/>
        </w:rPr>
        <w:t>procesā</w:t>
      </w:r>
      <w:r>
        <w:rPr>
          <w:spacing w:val="-3"/>
          <w:sz w:val="24"/>
        </w:rPr>
        <w:t> </w:t>
      </w:r>
      <w:r>
        <w:rPr>
          <w:sz w:val="24"/>
        </w:rPr>
        <w:t>no</w:t>
      </w:r>
      <w:r>
        <w:rPr>
          <w:spacing w:val="-3"/>
          <w:sz w:val="24"/>
        </w:rPr>
        <w:t> </w:t>
      </w:r>
      <w:r>
        <w:rPr>
          <w:sz w:val="24"/>
        </w:rPr>
        <w:t>kreditora</w:t>
      </w:r>
      <w:r>
        <w:rPr>
          <w:spacing w:val="-7"/>
          <w:sz w:val="24"/>
        </w:rPr>
        <w:t> </w:t>
      </w:r>
      <w:r>
        <w:rPr>
          <w:sz w:val="24"/>
        </w:rPr>
        <w:t>tiek</w:t>
      </w:r>
      <w:r>
        <w:rPr>
          <w:spacing w:val="-5"/>
          <w:sz w:val="24"/>
        </w:rPr>
        <w:t> </w:t>
      </w:r>
      <w:r>
        <w:rPr>
          <w:sz w:val="24"/>
        </w:rPr>
        <w:t>gaidīta</w:t>
      </w:r>
      <w:r>
        <w:rPr>
          <w:spacing w:val="-3"/>
          <w:sz w:val="24"/>
        </w:rPr>
        <w:t> </w:t>
      </w:r>
      <w:r>
        <w:rPr>
          <w:sz w:val="24"/>
        </w:rPr>
        <w:t>aktīva rīcība attiecībā uz viņa prasījuma apmierināšanu, un lietā nav saņemti kreditoru iebildumi par saistību dzēšanas procedūras norisi. Pie šādiem apstākļiem, lai gan parādnieks pieļāvis saistību dzēšanas plānā noteikto maksājumu kavējumus, tiesas ieskatā</w:t>
      </w:r>
      <w:r>
        <w:rPr>
          <w:spacing w:val="-16"/>
          <w:sz w:val="24"/>
        </w:rPr>
        <w:t> </w:t>
      </w:r>
      <w:r>
        <w:rPr>
          <w:sz w:val="24"/>
        </w:rPr>
        <w:t>maksājumu</w:t>
      </w:r>
      <w:r>
        <w:rPr>
          <w:spacing w:val="-13"/>
          <w:sz w:val="24"/>
        </w:rPr>
        <w:t> </w:t>
      </w:r>
      <w:r>
        <w:rPr>
          <w:sz w:val="24"/>
        </w:rPr>
        <w:t>kavējums</w:t>
      </w:r>
      <w:r>
        <w:rPr>
          <w:spacing w:val="-12"/>
          <w:sz w:val="24"/>
        </w:rPr>
        <w:t> </w:t>
      </w:r>
      <w:r>
        <w:rPr>
          <w:sz w:val="24"/>
        </w:rPr>
        <w:t>šobrīd</w:t>
      </w:r>
      <w:r>
        <w:rPr>
          <w:spacing w:val="-13"/>
          <w:sz w:val="24"/>
        </w:rPr>
        <w:t> </w:t>
      </w:r>
      <w:r>
        <w:rPr>
          <w:sz w:val="24"/>
        </w:rPr>
        <w:t>vairs</w:t>
      </w:r>
      <w:r>
        <w:rPr>
          <w:spacing w:val="-13"/>
          <w:sz w:val="24"/>
        </w:rPr>
        <w:t> </w:t>
      </w:r>
      <w:r>
        <w:rPr>
          <w:sz w:val="24"/>
        </w:rPr>
        <w:t>nav</w:t>
      </w:r>
      <w:r>
        <w:rPr>
          <w:spacing w:val="-15"/>
          <w:sz w:val="24"/>
        </w:rPr>
        <w:t> </w:t>
      </w:r>
      <w:r>
        <w:rPr>
          <w:sz w:val="24"/>
        </w:rPr>
        <w:t>uzskatāms</w:t>
      </w:r>
      <w:r>
        <w:rPr>
          <w:spacing w:val="-13"/>
          <w:sz w:val="24"/>
        </w:rPr>
        <w:t> </w:t>
      </w:r>
      <w:r>
        <w:rPr>
          <w:sz w:val="24"/>
        </w:rPr>
        <w:t>par</w:t>
      </w:r>
      <w:r>
        <w:rPr>
          <w:spacing w:val="-15"/>
          <w:sz w:val="24"/>
        </w:rPr>
        <w:t> </w:t>
      </w:r>
      <w:r>
        <w:rPr>
          <w:sz w:val="24"/>
        </w:rPr>
        <w:t>tik</w:t>
      </w:r>
      <w:r>
        <w:rPr>
          <w:spacing w:val="-13"/>
          <w:sz w:val="24"/>
        </w:rPr>
        <w:t> </w:t>
      </w:r>
      <w:r>
        <w:rPr>
          <w:sz w:val="24"/>
        </w:rPr>
        <w:t>būtisku</w:t>
      </w:r>
      <w:r>
        <w:rPr>
          <w:spacing w:val="-16"/>
          <w:sz w:val="24"/>
        </w:rPr>
        <w:t> </w:t>
      </w:r>
      <w:r>
        <w:rPr>
          <w:sz w:val="24"/>
        </w:rPr>
        <w:t>kā</w:t>
      </w:r>
      <w:r>
        <w:rPr>
          <w:spacing w:val="-12"/>
          <w:sz w:val="24"/>
        </w:rPr>
        <w:t> </w:t>
      </w:r>
      <w:r>
        <w:rPr>
          <w:sz w:val="24"/>
        </w:rPr>
        <w:t>rezultātā</w:t>
      </w:r>
    </w:p>
    <w:p>
      <w:pPr>
        <w:pStyle w:val="BodyText"/>
        <w:spacing w:before="7"/>
        <w:jc w:val="left"/>
        <w:rPr>
          <w:sz w:val="25"/>
        </w:rPr>
      </w:pPr>
    </w:p>
    <w:p>
      <w:pPr>
        <w:spacing w:line="231" w:lineRule="exact" w:before="94"/>
        <w:ind w:left="620" w:right="0" w:firstLine="0"/>
        <w:jc w:val="left"/>
        <w:rPr>
          <w:sz w:val="20"/>
        </w:rPr>
      </w:pPr>
      <w:r>
        <w:rPr>
          <w:position w:val="7"/>
          <w:sz w:val="13"/>
        </w:rPr>
        <w:t>160 </w:t>
      </w:r>
      <w:r>
        <w:rPr>
          <w:sz w:val="20"/>
        </w:rPr>
        <w:t>Piem., Vidzemes rajona tiesas 2018.gada 19.septembra nolēmums lietā Nr. C39054914</w:t>
      </w:r>
    </w:p>
    <w:p>
      <w:pPr>
        <w:spacing w:line="229" w:lineRule="exact" w:before="0"/>
        <w:ind w:left="620" w:right="0" w:firstLine="0"/>
        <w:jc w:val="left"/>
        <w:rPr>
          <w:sz w:val="20"/>
        </w:rPr>
      </w:pPr>
      <w:r>
        <w:rPr>
          <w:position w:val="7"/>
          <w:sz w:val="13"/>
        </w:rPr>
        <w:t>161 </w:t>
      </w:r>
      <w:r>
        <w:rPr>
          <w:sz w:val="20"/>
        </w:rPr>
        <w:t>Rēzeknes tiesas 2018.gada 10.septembra nolēmums lietā Nr. C22023914</w:t>
      </w:r>
    </w:p>
    <w:p>
      <w:pPr>
        <w:spacing w:line="230" w:lineRule="exact" w:before="0"/>
        <w:ind w:left="620" w:right="0" w:firstLine="0"/>
        <w:jc w:val="left"/>
        <w:rPr>
          <w:sz w:val="20"/>
        </w:rPr>
      </w:pPr>
      <w:r>
        <w:rPr>
          <w:position w:val="7"/>
          <w:sz w:val="13"/>
        </w:rPr>
        <w:t>162 </w:t>
      </w:r>
      <w:r>
        <w:rPr>
          <w:sz w:val="20"/>
        </w:rPr>
        <w:t>Rīgas pilsētas Pārdaugavas tiesas 2018.gada 18.septembra nolēmums lietā Nr. C68315117</w:t>
      </w:r>
    </w:p>
    <w:p>
      <w:pPr>
        <w:spacing w:line="230" w:lineRule="exact" w:before="0"/>
        <w:ind w:left="620" w:right="0" w:firstLine="0"/>
        <w:jc w:val="left"/>
        <w:rPr>
          <w:sz w:val="20"/>
        </w:rPr>
      </w:pPr>
      <w:r>
        <w:rPr>
          <w:position w:val="7"/>
          <w:sz w:val="13"/>
        </w:rPr>
        <w:t>163 </w:t>
      </w:r>
      <w:r>
        <w:rPr>
          <w:sz w:val="20"/>
        </w:rPr>
        <w:t>Zemgales rajona tiesas 2018.gada 31.augusta nolēmums lietā Nr. C37106516</w:t>
      </w:r>
    </w:p>
    <w:p>
      <w:pPr>
        <w:spacing w:line="233" w:lineRule="exact" w:before="0"/>
        <w:ind w:left="620" w:right="0" w:firstLine="0"/>
        <w:jc w:val="left"/>
        <w:rPr>
          <w:sz w:val="20"/>
        </w:rPr>
      </w:pPr>
      <w:r>
        <w:rPr>
          <w:position w:val="7"/>
          <w:sz w:val="13"/>
        </w:rPr>
        <w:t>164 </w:t>
      </w:r>
      <w:r>
        <w:rPr>
          <w:sz w:val="20"/>
        </w:rPr>
        <w:t>Piem., Rēzeknes tiesas 2018.gada 10.septembra nolēmums lietā Nr. C26091817</w:t>
      </w:r>
    </w:p>
    <w:p>
      <w:pPr>
        <w:spacing w:after="0" w:line="233" w:lineRule="exact"/>
        <w:jc w:val="left"/>
        <w:rPr>
          <w:sz w:val="20"/>
        </w:rPr>
        <w:sectPr>
          <w:footerReference w:type="default" r:id="rId35"/>
          <w:footerReference w:type="even" r:id="rId36"/>
          <w:pgSz w:w="11910" w:h="16840"/>
          <w:pgMar w:footer="1165" w:header="0" w:top="1340" w:bottom="1360" w:left="1180" w:right="1040"/>
          <w:pgNumType w:start="57"/>
        </w:sectPr>
      </w:pPr>
    </w:p>
    <w:p>
      <w:pPr>
        <w:pStyle w:val="BodyText"/>
        <w:spacing w:line="235" w:lineRule="auto" w:before="78"/>
        <w:ind w:left="980" w:right="763"/>
        <w:rPr>
          <w:sz w:val="16"/>
        </w:rPr>
      </w:pPr>
      <w:r>
        <w:rPr/>
        <w:t>pieņemams lēmums par saistību dzēšanas procedūras izbeigšanu. Tiesas ieskatā pieļautais, taču novērstais saistību dzēšanas plāna izpildes kavējums, nav pietiekams pamats izbeigt saistību dzēšanas procedūru, jo aizskārums pret kreditoriem ir novērsts;</w:t>
      </w:r>
      <w:r>
        <w:rPr>
          <w:position w:val="9"/>
          <w:sz w:val="16"/>
        </w:rPr>
        <w:t>165</w:t>
      </w:r>
    </w:p>
    <w:p>
      <w:pPr>
        <w:pStyle w:val="ListParagraph"/>
        <w:numPr>
          <w:ilvl w:val="0"/>
          <w:numId w:val="35"/>
        </w:numPr>
        <w:tabs>
          <w:tab w:pos="980" w:val="left" w:leader="none"/>
        </w:tabs>
        <w:spacing w:line="237" w:lineRule="auto" w:before="4" w:after="0"/>
        <w:ind w:left="980" w:right="761" w:hanging="360"/>
        <w:jc w:val="both"/>
        <w:rPr>
          <w:sz w:val="16"/>
        </w:rPr>
      </w:pPr>
      <w:r>
        <w:rPr>
          <w:sz w:val="24"/>
        </w:rPr>
        <w:t>Lietās, kur tiesa pieņem lēmumu par saistību dzēšanas procedūras izbeigšanu, jo parādnieks ir izpildījis saistību dzēšanas plānu (Maksātnespējas likuma 165.panta pirmās daļas 2.punkts), tiesa motīvu daļā atsaucas uz Maksātnespējas likuma 165.pata pirmās daļas 1.punktu, kas noteic, ka “parādnieks iesniedz tiesai pieteikumu par saistību dzēšanas procedūras izbeigšanu, ja viņš pilnā apmērā ir nokārtojis visas fiziskās personas saistību dzēšanas plānā iekļautās saistības” (7 lietās no 25).</w:t>
      </w:r>
      <w:r>
        <w:rPr>
          <w:position w:val="9"/>
          <w:sz w:val="16"/>
        </w:rPr>
        <w:t>166</w:t>
      </w:r>
    </w:p>
    <w:p>
      <w:pPr>
        <w:pStyle w:val="BodyText"/>
        <w:spacing w:before="2"/>
        <w:jc w:val="left"/>
      </w:pPr>
    </w:p>
    <w:p>
      <w:pPr>
        <w:pStyle w:val="ListParagraph"/>
        <w:numPr>
          <w:ilvl w:val="2"/>
          <w:numId w:val="31"/>
        </w:numPr>
        <w:tabs>
          <w:tab w:pos="1256" w:val="left" w:leader="none"/>
        </w:tabs>
        <w:spacing w:line="240" w:lineRule="auto" w:before="0" w:after="0"/>
        <w:ind w:left="260" w:right="763" w:firstLine="720"/>
        <w:jc w:val="both"/>
        <w:rPr>
          <w:sz w:val="24"/>
        </w:rPr>
      </w:pPr>
      <w:r>
        <w:rPr>
          <w:b/>
          <w:i/>
          <w:sz w:val="24"/>
        </w:rPr>
        <w:t>Tiesu</w:t>
      </w:r>
      <w:r>
        <w:rPr>
          <w:b/>
          <w:i/>
          <w:spacing w:val="-8"/>
          <w:sz w:val="24"/>
        </w:rPr>
        <w:t> </w:t>
      </w:r>
      <w:r>
        <w:rPr>
          <w:b/>
          <w:i/>
          <w:sz w:val="24"/>
        </w:rPr>
        <w:t>nolēmumu</w:t>
      </w:r>
      <w:r>
        <w:rPr>
          <w:b/>
          <w:i/>
          <w:spacing w:val="-7"/>
          <w:sz w:val="24"/>
        </w:rPr>
        <w:t> </w:t>
      </w:r>
      <w:r>
        <w:rPr>
          <w:b/>
          <w:i/>
          <w:sz w:val="24"/>
        </w:rPr>
        <w:t>motīvi</w:t>
      </w:r>
      <w:r>
        <w:rPr>
          <w:b/>
          <w:i/>
          <w:spacing w:val="-7"/>
          <w:sz w:val="24"/>
        </w:rPr>
        <w:t> </w:t>
      </w:r>
      <w:r>
        <w:rPr>
          <w:b/>
          <w:i/>
          <w:sz w:val="24"/>
        </w:rPr>
        <w:t>jautājumā</w:t>
      </w:r>
      <w:r>
        <w:rPr>
          <w:b/>
          <w:i/>
          <w:spacing w:val="-7"/>
          <w:sz w:val="24"/>
        </w:rPr>
        <w:t> </w:t>
      </w:r>
      <w:r>
        <w:rPr>
          <w:b/>
          <w:i/>
          <w:sz w:val="24"/>
        </w:rPr>
        <w:t>par</w:t>
      </w:r>
      <w:r>
        <w:rPr>
          <w:b/>
          <w:i/>
          <w:spacing w:val="-9"/>
          <w:sz w:val="24"/>
        </w:rPr>
        <w:t> </w:t>
      </w:r>
      <w:r>
        <w:rPr>
          <w:b/>
          <w:i/>
          <w:sz w:val="24"/>
        </w:rPr>
        <w:t>saistību</w:t>
      </w:r>
      <w:r>
        <w:rPr>
          <w:b/>
          <w:i/>
          <w:spacing w:val="-9"/>
          <w:sz w:val="24"/>
        </w:rPr>
        <w:t> </w:t>
      </w:r>
      <w:r>
        <w:rPr>
          <w:b/>
          <w:i/>
          <w:sz w:val="24"/>
        </w:rPr>
        <w:t>dzēšanu.</w:t>
      </w:r>
      <w:r>
        <w:rPr>
          <w:b/>
          <w:i/>
          <w:spacing w:val="-6"/>
          <w:sz w:val="24"/>
        </w:rPr>
        <w:t> </w:t>
      </w:r>
      <w:r>
        <w:rPr>
          <w:sz w:val="24"/>
        </w:rPr>
        <w:t>Vērtējot</w:t>
      </w:r>
      <w:r>
        <w:rPr>
          <w:spacing w:val="-7"/>
          <w:sz w:val="24"/>
        </w:rPr>
        <w:t> </w:t>
      </w:r>
      <w:r>
        <w:rPr>
          <w:sz w:val="24"/>
        </w:rPr>
        <w:t>analizējamos tiesu nolēmumus, secināms, ka motīvu daļā bieži netiek norādīti kreditori, kuru prasījumi pēc maksātnespējas procesa izbeigšanas tiek dzēsti. Tāpat tiesas bieži lēmumos nenorāda dzēšamo saistību apmēru (ne katram kreditoram atsevišķi, ne kopsummu). Savukārt</w:t>
      </w:r>
      <w:r>
        <w:rPr>
          <w:spacing w:val="-21"/>
          <w:sz w:val="24"/>
        </w:rPr>
        <w:t> </w:t>
      </w:r>
      <w:r>
        <w:rPr>
          <w:sz w:val="24"/>
        </w:rPr>
        <w:t>lietās, kur dzēšamā prasījuma apmērs lēmumā tiek norādīts, no lēmuma nav izsecināms, vai dzēstas</w:t>
      </w:r>
      <w:r>
        <w:rPr>
          <w:spacing w:val="-11"/>
          <w:sz w:val="24"/>
        </w:rPr>
        <w:t> </w:t>
      </w:r>
      <w:r>
        <w:rPr>
          <w:sz w:val="24"/>
        </w:rPr>
        <w:t>tiek</w:t>
      </w:r>
      <w:r>
        <w:rPr>
          <w:spacing w:val="-10"/>
          <w:sz w:val="24"/>
        </w:rPr>
        <w:t> </w:t>
      </w:r>
      <w:r>
        <w:rPr>
          <w:sz w:val="24"/>
        </w:rPr>
        <w:t>kopējās</w:t>
      </w:r>
      <w:r>
        <w:rPr>
          <w:spacing w:val="-11"/>
          <w:sz w:val="24"/>
        </w:rPr>
        <w:t> </w:t>
      </w:r>
      <w:r>
        <w:rPr>
          <w:sz w:val="24"/>
        </w:rPr>
        <w:t>saistības</w:t>
      </w:r>
      <w:r>
        <w:rPr>
          <w:spacing w:val="-10"/>
          <w:sz w:val="24"/>
        </w:rPr>
        <w:t> </w:t>
      </w:r>
      <w:r>
        <w:rPr>
          <w:sz w:val="24"/>
        </w:rPr>
        <w:t>vai</w:t>
      </w:r>
      <w:r>
        <w:rPr>
          <w:spacing w:val="-11"/>
          <w:sz w:val="24"/>
        </w:rPr>
        <w:t> </w:t>
      </w:r>
      <w:r>
        <w:rPr>
          <w:sz w:val="24"/>
        </w:rPr>
        <w:t>tikai</w:t>
      </w:r>
      <w:r>
        <w:rPr>
          <w:spacing w:val="-10"/>
          <w:sz w:val="24"/>
        </w:rPr>
        <w:t> </w:t>
      </w:r>
      <w:r>
        <w:rPr>
          <w:sz w:val="24"/>
        </w:rPr>
        <w:t>nesegtie</w:t>
      </w:r>
      <w:r>
        <w:rPr>
          <w:spacing w:val="-8"/>
          <w:sz w:val="24"/>
        </w:rPr>
        <w:t> </w:t>
      </w:r>
      <w:r>
        <w:rPr>
          <w:sz w:val="24"/>
        </w:rPr>
        <w:t>galvenie</w:t>
      </w:r>
      <w:r>
        <w:rPr>
          <w:spacing w:val="-10"/>
          <w:sz w:val="24"/>
        </w:rPr>
        <w:t> </w:t>
      </w:r>
      <w:r>
        <w:rPr>
          <w:sz w:val="24"/>
        </w:rPr>
        <w:t>prasījumi,</w:t>
      </w:r>
      <w:r>
        <w:rPr>
          <w:spacing w:val="-10"/>
          <w:sz w:val="24"/>
        </w:rPr>
        <w:t> </w:t>
      </w:r>
      <w:r>
        <w:rPr>
          <w:sz w:val="24"/>
        </w:rPr>
        <w:t>izņemot</w:t>
      </w:r>
      <w:r>
        <w:rPr>
          <w:spacing w:val="-11"/>
          <w:sz w:val="24"/>
        </w:rPr>
        <w:t> </w:t>
      </w:r>
      <w:r>
        <w:rPr>
          <w:sz w:val="24"/>
        </w:rPr>
        <w:t>divās</w:t>
      </w:r>
      <w:r>
        <w:rPr>
          <w:spacing w:val="-12"/>
          <w:sz w:val="24"/>
        </w:rPr>
        <w:t> </w:t>
      </w:r>
      <w:r>
        <w:rPr>
          <w:sz w:val="24"/>
        </w:rPr>
        <w:t>lietās,</w:t>
      </w:r>
      <w:r>
        <w:rPr>
          <w:spacing w:val="-10"/>
          <w:sz w:val="24"/>
        </w:rPr>
        <w:t> </w:t>
      </w:r>
      <w:r>
        <w:rPr>
          <w:sz w:val="24"/>
        </w:rPr>
        <w:t>kur pieņemti atšķirīgi</w:t>
      </w:r>
      <w:r>
        <w:rPr>
          <w:spacing w:val="1"/>
          <w:sz w:val="24"/>
        </w:rPr>
        <w:t> </w:t>
      </w:r>
      <w:r>
        <w:rPr>
          <w:sz w:val="24"/>
        </w:rPr>
        <w:t>lēmumi:</w:t>
      </w:r>
    </w:p>
    <w:p>
      <w:pPr>
        <w:pStyle w:val="ListParagraph"/>
        <w:numPr>
          <w:ilvl w:val="0"/>
          <w:numId w:val="36"/>
        </w:numPr>
        <w:tabs>
          <w:tab w:pos="980" w:val="left" w:leader="none"/>
        </w:tabs>
        <w:spacing w:line="237" w:lineRule="auto" w:before="3" w:after="0"/>
        <w:ind w:left="980" w:right="762" w:hanging="360"/>
        <w:jc w:val="both"/>
        <w:rPr>
          <w:sz w:val="16"/>
        </w:rPr>
      </w:pPr>
      <w:r>
        <w:rPr>
          <w:sz w:val="24"/>
        </w:rPr>
        <w:t>Ņemot</w:t>
      </w:r>
      <w:r>
        <w:rPr>
          <w:spacing w:val="-4"/>
          <w:sz w:val="24"/>
        </w:rPr>
        <w:t> </w:t>
      </w:r>
      <w:r>
        <w:rPr>
          <w:sz w:val="24"/>
        </w:rPr>
        <w:t>vērā</w:t>
      </w:r>
      <w:r>
        <w:rPr>
          <w:spacing w:val="-5"/>
          <w:sz w:val="24"/>
        </w:rPr>
        <w:t> </w:t>
      </w:r>
      <w:r>
        <w:rPr>
          <w:sz w:val="24"/>
        </w:rPr>
        <w:t>fiziskās</w:t>
      </w:r>
      <w:r>
        <w:rPr>
          <w:spacing w:val="-5"/>
          <w:sz w:val="24"/>
        </w:rPr>
        <w:t> </w:t>
      </w:r>
      <w:r>
        <w:rPr>
          <w:sz w:val="24"/>
        </w:rPr>
        <w:t>personas</w:t>
      </w:r>
      <w:r>
        <w:rPr>
          <w:spacing w:val="-8"/>
          <w:sz w:val="24"/>
        </w:rPr>
        <w:t> </w:t>
      </w:r>
      <w:r>
        <w:rPr>
          <w:sz w:val="24"/>
        </w:rPr>
        <w:t>maksātnespējas</w:t>
      </w:r>
      <w:r>
        <w:rPr>
          <w:spacing w:val="-5"/>
          <w:sz w:val="24"/>
        </w:rPr>
        <w:t> </w:t>
      </w:r>
      <w:r>
        <w:rPr>
          <w:sz w:val="24"/>
        </w:rPr>
        <w:t>procesa</w:t>
      </w:r>
      <w:r>
        <w:rPr>
          <w:spacing w:val="-5"/>
          <w:sz w:val="24"/>
        </w:rPr>
        <w:t> </w:t>
      </w:r>
      <w:r>
        <w:rPr>
          <w:sz w:val="24"/>
        </w:rPr>
        <w:t>mērķi</w:t>
      </w:r>
      <w:r>
        <w:rPr>
          <w:spacing w:val="-4"/>
          <w:sz w:val="24"/>
        </w:rPr>
        <w:t> </w:t>
      </w:r>
      <w:r>
        <w:rPr>
          <w:sz w:val="24"/>
        </w:rPr>
        <w:t>-</w:t>
      </w:r>
      <w:r>
        <w:rPr>
          <w:spacing w:val="-8"/>
          <w:sz w:val="24"/>
        </w:rPr>
        <w:t> </w:t>
      </w:r>
      <w:r>
        <w:rPr>
          <w:sz w:val="24"/>
        </w:rPr>
        <w:t>pēc</w:t>
      </w:r>
      <w:r>
        <w:rPr>
          <w:spacing w:val="-6"/>
          <w:sz w:val="24"/>
        </w:rPr>
        <w:t> </w:t>
      </w:r>
      <w:r>
        <w:rPr>
          <w:sz w:val="24"/>
        </w:rPr>
        <w:t>iespējas</w:t>
      </w:r>
      <w:r>
        <w:rPr>
          <w:spacing w:val="-3"/>
          <w:sz w:val="24"/>
        </w:rPr>
        <w:t> </w:t>
      </w:r>
      <w:r>
        <w:rPr>
          <w:sz w:val="24"/>
        </w:rPr>
        <w:t>pilnīgāk apmierināt</w:t>
      </w:r>
      <w:r>
        <w:rPr>
          <w:spacing w:val="-8"/>
          <w:sz w:val="24"/>
        </w:rPr>
        <w:t> </w:t>
      </w:r>
      <w:r>
        <w:rPr>
          <w:sz w:val="24"/>
        </w:rPr>
        <w:t>kreditoru</w:t>
      </w:r>
      <w:r>
        <w:rPr>
          <w:spacing w:val="-8"/>
          <w:sz w:val="24"/>
        </w:rPr>
        <w:t> </w:t>
      </w:r>
      <w:r>
        <w:rPr>
          <w:sz w:val="24"/>
        </w:rPr>
        <w:t>prasījumus</w:t>
      </w:r>
      <w:r>
        <w:rPr>
          <w:spacing w:val="-8"/>
          <w:sz w:val="24"/>
        </w:rPr>
        <w:t> </w:t>
      </w:r>
      <w:r>
        <w:rPr>
          <w:sz w:val="24"/>
        </w:rPr>
        <w:t>no</w:t>
      </w:r>
      <w:r>
        <w:rPr>
          <w:spacing w:val="-8"/>
          <w:sz w:val="24"/>
        </w:rPr>
        <w:t> </w:t>
      </w:r>
      <w:r>
        <w:rPr>
          <w:sz w:val="24"/>
        </w:rPr>
        <w:t>parādnieka</w:t>
      </w:r>
      <w:r>
        <w:rPr>
          <w:spacing w:val="-10"/>
          <w:sz w:val="24"/>
        </w:rPr>
        <w:t> </w:t>
      </w:r>
      <w:r>
        <w:rPr>
          <w:sz w:val="24"/>
        </w:rPr>
        <w:t>mantas</w:t>
      </w:r>
      <w:r>
        <w:rPr>
          <w:spacing w:val="-8"/>
          <w:sz w:val="24"/>
        </w:rPr>
        <w:t> </w:t>
      </w:r>
      <w:r>
        <w:rPr>
          <w:sz w:val="24"/>
        </w:rPr>
        <w:t>un</w:t>
      </w:r>
      <w:r>
        <w:rPr>
          <w:spacing w:val="-8"/>
          <w:sz w:val="24"/>
        </w:rPr>
        <w:t> </w:t>
      </w:r>
      <w:r>
        <w:rPr>
          <w:sz w:val="24"/>
        </w:rPr>
        <w:t>dot</w:t>
      </w:r>
      <w:r>
        <w:rPr>
          <w:spacing w:val="-8"/>
          <w:sz w:val="24"/>
        </w:rPr>
        <w:t> </w:t>
      </w:r>
      <w:r>
        <w:rPr>
          <w:sz w:val="24"/>
        </w:rPr>
        <w:t>iespēju</w:t>
      </w:r>
      <w:r>
        <w:rPr>
          <w:spacing w:val="-5"/>
          <w:sz w:val="24"/>
        </w:rPr>
        <w:t> </w:t>
      </w:r>
      <w:r>
        <w:rPr>
          <w:sz w:val="24"/>
        </w:rPr>
        <w:t>parādniekam, kura manta vai ienākumi nav pietiekami visu saistību segšanai, tikt atbrīvotam no neizpildītajām saistībām un atjaunot maksātspēju, tiesa atzīst, ka ir tiesisks pamats atbrīvot parādnieku no visām atlikušajām saistību dzēšanas plānā norādītajām saistībām, kas nav izpildītas saistību dzēšanas procedūras laikā, izbeidzot apturēto izpildu lietvedību par dzēsto saistību piedziņu. Līdz ar to parādnieks ir</w:t>
      </w:r>
      <w:r>
        <w:rPr>
          <w:spacing w:val="-25"/>
          <w:sz w:val="24"/>
        </w:rPr>
        <w:t> </w:t>
      </w:r>
      <w:r>
        <w:rPr>
          <w:sz w:val="24"/>
        </w:rPr>
        <w:t>atbrīvojams no saistībām, kas sastāv no galvenā parāda pret kreditoriem, kas nav izpildītas saistību dzēšanas procedūras</w:t>
      </w:r>
      <w:r>
        <w:rPr>
          <w:spacing w:val="-3"/>
          <w:sz w:val="24"/>
        </w:rPr>
        <w:t> </w:t>
      </w:r>
      <w:r>
        <w:rPr>
          <w:sz w:val="24"/>
        </w:rPr>
        <w:t>laikā.</w:t>
      </w:r>
      <w:r>
        <w:rPr>
          <w:position w:val="9"/>
          <w:sz w:val="16"/>
        </w:rPr>
        <w:t>167</w:t>
      </w:r>
    </w:p>
    <w:p>
      <w:pPr>
        <w:pStyle w:val="ListParagraph"/>
        <w:numPr>
          <w:ilvl w:val="0"/>
          <w:numId w:val="36"/>
        </w:numPr>
        <w:tabs>
          <w:tab w:pos="980" w:val="left" w:leader="none"/>
        </w:tabs>
        <w:spacing w:line="232" w:lineRule="auto" w:before="14" w:after="0"/>
        <w:ind w:left="980" w:right="761" w:hanging="360"/>
        <w:jc w:val="both"/>
        <w:rPr>
          <w:sz w:val="16"/>
        </w:rPr>
      </w:pPr>
      <w:r>
        <w:rPr>
          <w:sz w:val="24"/>
        </w:rPr>
        <w:t>No iesniegtā aprēķina redzams, ka atlikušās saistības, kuras nav izpildītas saistību dzēšanas procedūras laikā un kas ir dzēšamas, sastāda EUR 278 255,02, tajā skaitā galvenais prasījums EUR 261</w:t>
      </w:r>
      <w:r>
        <w:rPr>
          <w:spacing w:val="2"/>
          <w:sz w:val="24"/>
        </w:rPr>
        <w:t> </w:t>
      </w:r>
      <w:r>
        <w:rPr>
          <w:sz w:val="24"/>
        </w:rPr>
        <w:t>826,51.</w:t>
      </w:r>
      <w:r>
        <w:rPr>
          <w:position w:val="9"/>
          <w:sz w:val="16"/>
        </w:rPr>
        <w:t>168</w:t>
      </w:r>
    </w:p>
    <w:p>
      <w:pPr>
        <w:pStyle w:val="BodyText"/>
        <w:spacing w:before="3"/>
        <w:jc w:val="left"/>
      </w:pPr>
    </w:p>
    <w:p>
      <w:pPr>
        <w:pStyle w:val="ListParagraph"/>
        <w:numPr>
          <w:ilvl w:val="2"/>
          <w:numId w:val="31"/>
        </w:numPr>
        <w:tabs>
          <w:tab w:pos="1283" w:val="left" w:leader="none"/>
        </w:tabs>
        <w:spacing w:line="240" w:lineRule="auto" w:before="0" w:after="0"/>
        <w:ind w:left="260" w:right="761" w:firstLine="720"/>
        <w:jc w:val="both"/>
        <w:rPr>
          <w:sz w:val="24"/>
        </w:rPr>
      </w:pPr>
      <w:r>
        <w:rPr>
          <w:b/>
          <w:i/>
          <w:sz w:val="24"/>
        </w:rPr>
        <w:t>Kreditora statusa zaudēšana. </w:t>
      </w:r>
      <w:r>
        <w:rPr>
          <w:sz w:val="24"/>
        </w:rPr>
        <w:t>Divās no analizējamajām 25 lietām tiesa motīvu daļā norādījusi informāciju par kreditora statusa zaudēšanu attiecībā uz nepieteiktajiem prasījumiem:</w:t>
      </w:r>
    </w:p>
    <w:p>
      <w:pPr>
        <w:pStyle w:val="ListParagraph"/>
        <w:numPr>
          <w:ilvl w:val="0"/>
          <w:numId w:val="37"/>
        </w:numPr>
        <w:tabs>
          <w:tab w:pos="936" w:val="left" w:leader="none"/>
        </w:tabs>
        <w:spacing w:line="240" w:lineRule="auto" w:before="0" w:after="0"/>
        <w:ind w:left="935" w:right="0" w:hanging="249"/>
        <w:jc w:val="both"/>
        <w:rPr>
          <w:sz w:val="24"/>
        </w:rPr>
      </w:pPr>
      <w:r>
        <w:rPr>
          <w:sz w:val="24"/>
        </w:rPr>
        <w:t>Tiesa</w:t>
      </w:r>
      <w:r>
        <w:rPr>
          <w:spacing w:val="-13"/>
          <w:sz w:val="24"/>
        </w:rPr>
        <w:t> </w:t>
      </w:r>
      <w:r>
        <w:rPr>
          <w:sz w:val="24"/>
        </w:rPr>
        <w:t>atzīst,</w:t>
      </w:r>
      <w:r>
        <w:rPr>
          <w:spacing w:val="-12"/>
          <w:sz w:val="24"/>
        </w:rPr>
        <w:t> </w:t>
      </w:r>
      <w:r>
        <w:rPr>
          <w:sz w:val="24"/>
        </w:rPr>
        <w:t>ka</w:t>
      </w:r>
      <w:r>
        <w:rPr>
          <w:spacing w:val="-12"/>
          <w:sz w:val="24"/>
        </w:rPr>
        <w:t> </w:t>
      </w:r>
      <w:r>
        <w:rPr>
          <w:sz w:val="24"/>
        </w:rPr>
        <w:t>citi</w:t>
      </w:r>
      <w:r>
        <w:rPr>
          <w:spacing w:val="-12"/>
          <w:sz w:val="24"/>
        </w:rPr>
        <w:t> </w:t>
      </w:r>
      <w:r>
        <w:rPr>
          <w:sz w:val="24"/>
        </w:rPr>
        <w:t>parādnieces</w:t>
      </w:r>
      <w:r>
        <w:rPr>
          <w:spacing w:val="-12"/>
          <w:sz w:val="24"/>
        </w:rPr>
        <w:t> </w:t>
      </w:r>
      <w:r>
        <w:rPr>
          <w:sz w:val="24"/>
        </w:rPr>
        <w:t>kreditori,</w:t>
      </w:r>
      <w:r>
        <w:rPr>
          <w:spacing w:val="-12"/>
          <w:sz w:val="24"/>
        </w:rPr>
        <w:t> </w:t>
      </w:r>
      <w:r>
        <w:rPr>
          <w:sz w:val="24"/>
        </w:rPr>
        <w:t>kuri</w:t>
      </w:r>
      <w:r>
        <w:rPr>
          <w:spacing w:val="-13"/>
          <w:sz w:val="24"/>
        </w:rPr>
        <w:t> </w:t>
      </w:r>
      <w:r>
        <w:rPr>
          <w:sz w:val="24"/>
        </w:rPr>
        <w:t>nav</w:t>
      </w:r>
      <w:r>
        <w:rPr>
          <w:spacing w:val="-12"/>
          <w:sz w:val="24"/>
        </w:rPr>
        <w:t> </w:t>
      </w:r>
      <w:r>
        <w:rPr>
          <w:sz w:val="24"/>
        </w:rPr>
        <w:t>izlietojuši</w:t>
      </w:r>
      <w:r>
        <w:rPr>
          <w:spacing w:val="-10"/>
          <w:sz w:val="24"/>
        </w:rPr>
        <w:t> </w:t>
      </w:r>
      <w:r>
        <w:rPr>
          <w:sz w:val="24"/>
        </w:rPr>
        <w:t>Maksātnespējas</w:t>
      </w:r>
      <w:r>
        <w:rPr>
          <w:spacing w:val="-15"/>
          <w:sz w:val="24"/>
        </w:rPr>
        <w:t> </w:t>
      </w:r>
      <w:r>
        <w:rPr>
          <w:sz w:val="24"/>
        </w:rPr>
        <w:t>likuma</w:t>
      </w:r>
    </w:p>
    <w:p>
      <w:pPr>
        <w:pStyle w:val="BodyText"/>
        <w:spacing w:line="237" w:lineRule="auto" w:before="2"/>
        <w:ind w:left="967" w:right="763"/>
        <w:rPr>
          <w:sz w:val="16"/>
        </w:rPr>
      </w:pPr>
      <w:r>
        <w:rPr/>
        <w:t>141. panta pirmajā daļā noteiktā termiņā noteiktās tiesības pieteikt kreditora prasījumus maksātnespējas procesā, zaudējuši kreditora statusu un prasījuma tiesības uz likuma pamata, gan fiziskās personas maksātnespējas procesa ietvaros, gan pēc tam, kad parādniece ir atbrīvota no saistībām maksātnespējas likuma izpratnē, kā tas noteikts Maksātnespējas likuma 141. pantā, izņemot tie kreditori, kuru</w:t>
      </w:r>
      <w:r>
        <w:rPr>
          <w:spacing w:val="-8"/>
        </w:rPr>
        <w:t> </w:t>
      </w:r>
      <w:r>
        <w:rPr/>
        <w:t>prasības</w:t>
      </w:r>
      <w:r>
        <w:rPr>
          <w:spacing w:val="-10"/>
        </w:rPr>
        <w:t> </w:t>
      </w:r>
      <w:r>
        <w:rPr/>
        <w:t>nenoilgst</w:t>
      </w:r>
      <w:r>
        <w:rPr>
          <w:spacing w:val="-3"/>
        </w:rPr>
        <w:t> </w:t>
      </w:r>
      <w:r>
        <w:rPr/>
        <w:t>Maksātnespējas</w:t>
      </w:r>
      <w:r>
        <w:rPr>
          <w:spacing w:val="-10"/>
        </w:rPr>
        <w:t> </w:t>
      </w:r>
      <w:r>
        <w:rPr/>
        <w:t>likuma</w:t>
      </w:r>
      <w:r>
        <w:rPr>
          <w:spacing w:val="-10"/>
        </w:rPr>
        <w:t> </w:t>
      </w:r>
      <w:r>
        <w:rPr/>
        <w:t>164.</w:t>
      </w:r>
      <w:r>
        <w:rPr>
          <w:spacing w:val="-8"/>
        </w:rPr>
        <w:t> </w:t>
      </w:r>
      <w:r>
        <w:rPr/>
        <w:t>panta</w:t>
      </w:r>
      <w:r>
        <w:rPr>
          <w:spacing w:val="-8"/>
        </w:rPr>
        <w:t> </w:t>
      </w:r>
      <w:r>
        <w:rPr/>
        <w:t>ceturtās</w:t>
      </w:r>
      <w:r>
        <w:rPr>
          <w:spacing w:val="-8"/>
        </w:rPr>
        <w:t> </w:t>
      </w:r>
      <w:r>
        <w:rPr/>
        <w:t>daļas</w:t>
      </w:r>
      <w:r>
        <w:rPr>
          <w:spacing w:val="-8"/>
        </w:rPr>
        <w:t> </w:t>
      </w:r>
      <w:r>
        <w:rPr/>
        <w:t>1.,</w:t>
      </w:r>
      <w:r>
        <w:rPr>
          <w:spacing w:val="-8"/>
        </w:rPr>
        <w:t> </w:t>
      </w:r>
      <w:r>
        <w:rPr/>
        <w:t>2.</w:t>
      </w:r>
      <w:r>
        <w:rPr>
          <w:spacing w:val="-8"/>
        </w:rPr>
        <w:t> </w:t>
      </w:r>
      <w:r>
        <w:rPr/>
        <w:t>un</w:t>
      </w:r>
      <w:r>
        <w:rPr>
          <w:spacing w:val="-8"/>
        </w:rPr>
        <w:t> </w:t>
      </w:r>
      <w:r>
        <w:rPr/>
        <w:t>4. punkta izpratnē;</w:t>
      </w:r>
      <w:r>
        <w:rPr>
          <w:position w:val="9"/>
          <w:sz w:val="16"/>
        </w:rPr>
        <w:t>169</w:t>
      </w:r>
    </w:p>
    <w:p>
      <w:pPr>
        <w:pStyle w:val="ListParagraph"/>
        <w:numPr>
          <w:ilvl w:val="0"/>
          <w:numId w:val="37"/>
        </w:numPr>
        <w:tabs>
          <w:tab w:pos="940" w:val="left" w:leader="none"/>
        </w:tabs>
        <w:spacing w:line="240" w:lineRule="auto" w:before="0" w:after="0"/>
        <w:ind w:left="967" w:right="766" w:hanging="281"/>
        <w:jc w:val="both"/>
        <w:rPr>
          <w:sz w:val="24"/>
        </w:rPr>
      </w:pPr>
      <w:r>
        <w:rPr>
          <w:sz w:val="24"/>
        </w:rPr>
        <w:t>Civilprocesa</w:t>
      </w:r>
      <w:r>
        <w:rPr>
          <w:spacing w:val="-10"/>
          <w:sz w:val="24"/>
        </w:rPr>
        <w:t> </w:t>
      </w:r>
      <w:r>
        <w:rPr>
          <w:sz w:val="24"/>
        </w:rPr>
        <w:t>likuma</w:t>
      </w:r>
      <w:r>
        <w:rPr>
          <w:spacing w:val="-8"/>
          <w:sz w:val="24"/>
        </w:rPr>
        <w:t> </w:t>
      </w:r>
      <w:r>
        <w:rPr>
          <w:sz w:val="24"/>
        </w:rPr>
        <w:t>363.</w:t>
      </w:r>
      <w:r>
        <w:rPr>
          <w:position w:val="9"/>
          <w:sz w:val="16"/>
        </w:rPr>
        <w:t>28</w:t>
      </w:r>
      <w:r>
        <w:rPr>
          <w:spacing w:val="13"/>
          <w:position w:val="9"/>
          <w:sz w:val="16"/>
        </w:rPr>
        <w:t> </w:t>
      </w:r>
      <w:r>
        <w:rPr>
          <w:sz w:val="24"/>
        </w:rPr>
        <w:t>pants,</w:t>
      </w:r>
      <w:r>
        <w:rPr>
          <w:spacing w:val="-8"/>
          <w:sz w:val="24"/>
        </w:rPr>
        <w:t> </w:t>
      </w:r>
      <w:r>
        <w:rPr>
          <w:sz w:val="24"/>
        </w:rPr>
        <w:t>kas</w:t>
      </w:r>
      <w:r>
        <w:rPr>
          <w:spacing w:val="-8"/>
          <w:sz w:val="24"/>
        </w:rPr>
        <w:t> </w:t>
      </w:r>
      <w:r>
        <w:rPr>
          <w:sz w:val="24"/>
        </w:rPr>
        <w:t>noteic</w:t>
      </w:r>
      <w:r>
        <w:rPr>
          <w:spacing w:val="-8"/>
          <w:sz w:val="24"/>
        </w:rPr>
        <w:t> </w:t>
      </w:r>
      <w:r>
        <w:rPr>
          <w:sz w:val="24"/>
        </w:rPr>
        <w:t>jautājumus,</w:t>
      </w:r>
      <w:r>
        <w:rPr>
          <w:spacing w:val="-8"/>
          <w:sz w:val="24"/>
        </w:rPr>
        <w:t> </w:t>
      </w:r>
      <w:r>
        <w:rPr>
          <w:sz w:val="24"/>
        </w:rPr>
        <w:t>kurus</w:t>
      </w:r>
      <w:r>
        <w:rPr>
          <w:spacing w:val="-8"/>
          <w:sz w:val="24"/>
        </w:rPr>
        <w:t> </w:t>
      </w:r>
      <w:r>
        <w:rPr>
          <w:sz w:val="24"/>
        </w:rPr>
        <w:t>tiesa</w:t>
      </w:r>
      <w:r>
        <w:rPr>
          <w:spacing w:val="-8"/>
          <w:sz w:val="24"/>
        </w:rPr>
        <w:t> </w:t>
      </w:r>
      <w:r>
        <w:rPr>
          <w:sz w:val="24"/>
        </w:rPr>
        <w:t>ir</w:t>
      </w:r>
      <w:r>
        <w:rPr>
          <w:spacing w:val="-6"/>
          <w:sz w:val="24"/>
        </w:rPr>
        <w:t> </w:t>
      </w:r>
      <w:r>
        <w:rPr>
          <w:sz w:val="24"/>
        </w:rPr>
        <w:t>tiesīga</w:t>
      </w:r>
      <w:r>
        <w:rPr>
          <w:spacing w:val="-8"/>
          <w:sz w:val="24"/>
        </w:rPr>
        <w:t> </w:t>
      </w:r>
      <w:r>
        <w:rPr>
          <w:sz w:val="24"/>
        </w:rPr>
        <w:t>izlemt maksātnespējas procesa lietā pēc fiziskās personas maksātnespējas</w:t>
      </w:r>
      <w:r>
        <w:rPr>
          <w:spacing w:val="30"/>
          <w:sz w:val="24"/>
        </w:rPr>
        <w:t> </w:t>
      </w:r>
      <w:r>
        <w:rPr>
          <w:sz w:val="24"/>
        </w:rPr>
        <w:t>procesa</w:t>
      </w:r>
    </w:p>
    <w:p>
      <w:pPr>
        <w:pStyle w:val="BodyText"/>
        <w:spacing w:before="6"/>
        <w:jc w:val="left"/>
        <w:rPr>
          <w:sz w:val="19"/>
        </w:rPr>
      </w:pPr>
      <w:r>
        <w:rPr/>
        <w:pict>
          <v:shape style="position:absolute;margin-left:72pt;margin-top:13.498475pt;width:144pt;height:.1pt;mso-position-horizontal-relative:page;mso-position-vertical-relative:paragraph;z-index:-251619328;mso-wrap-distance-left:0;mso-wrap-distance-right:0" coordorigin="1440,270" coordsize="2880,0" path="m1440,270l4320,270e" filled="false" stroked="true" strokeweight=".599991pt" strokecolor="#000000">
            <v:path arrowok="t"/>
            <v:stroke dashstyle="solid"/>
            <w10:wrap type="topAndBottom"/>
          </v:shape>
        </w:pict>
      </w:r>
    </w:p>
    <w:p>
      <w:pPr>
        <w:spacing w:line="231" w:lineRule="exact" w:before="70"/>
        <w:ind w:left="260" w:right="0" w:firstLine="0"/>
        <w:jc w:val="left"/>
        <w:rPr>
          <w:sz w:val="20"/>
        </w:rPr>
      </w:pPr>
      <w:r>
        <w:rPr>
          <w:position w:val="7"/>
          <w:sz w:val="13"/>
        </w:rPr>
        <w:t>165 </w:t>
      </w:r>
      <w:r>
        <w:rPr>
          <w:sz w:val="20"/>
        </w:rPr>
        <w:t>Rīgas rajona tiesas 2018.gada 7.septembra nolēmums lietā Nr. C33361613</w:t>
      </w:r>
    </w:p>
    <w:p>
      <w:pPr>
        <w:spacing w:line="229" w:lineRule="exact" w:before="0"/>
        <w:ind w:left="260" w:right="0" w:firstLine="0"/>
        <w:jc w:val="left"/>
        <w:rPr>
          <w:sz w:val="20"/>
        </w:rPr>
      </w:pPr>
      <w:r>
        <w:rPr>
          <w:position w:val="7"/>
          <w:sz w:val="13"/>
        </w:rPr>
        <w:t>166 </w:t>
      </w:r>
      <w:r>
        <w:rPr>
          <w:sz w:val="20"/>
        </w:rPr>
        <w:t>Piem., Rīgas pilsētas Pārdaugavas tiesas 2018.gada 20.septembra nolēmums lietā Nr. C31356515</w:t>
      </w:r>
    </w:p>
    <w:p>
      <w:pPr>
        <w:spacing w:line="230" w:lineRule="exact" w:before="0"/>
        <w:ind w:left="260" w:right="0" w:firstLine="0"/>
        <w:jc w:val="left"/>
        <w:rPr>
          <w:sz w:val="20"/>
        </w:rPr>
      </w:pPr>
      <w:r>
        <w:rPr>
          <w:position w:val="7"/>
          <w:sz w:val="13"/>
        </w:rPr>
        <w:t>167 </w:t>
      </w:r>
      <w:r>
        <w:rPr>
          <w:sz w:val="20"/>
        </w:rPr>
        <w:t>Rīgas pilsētas Pārdaugavas tiesas 2018.gada 17.septembra nolēmums lietā Nr. C31228916</w:t>
      </w:r>
    </w:p>
    <w:p>
      <w:pPr>
        <w:spacing w:line="230" w:lineRule="exact" w:before="0"/>
        <w:ind w:left="260" w:right="0" w:firstLine="0"/>
        <w:jc w:val="left"/>
        <w:rPr>
          <w:sz w:val="20"/>
        </w:rPr>
      </w:pPr>
      <w:r>
        <w:rPr>
          <w:position w:val="7"/>
          <w:sz w:val="13"/>
        </w:rPr>
        <w:t>168 </w:t>
      </w:r>
      <w:r>
        <w:rPr>
          <w:sz w:val="20"/>
        </w:rPr>
        <w:t>Vidzemes rajona tiesas 2018.gada 19.septembra nolēmums lietā Nr. C39054914</w:t>
      </w:r>
    </w:p>
    <w:p>
      <w:pPr>
        <w:spacing w:line="233" w:lineRule="exact" w:before="0"/>
        <w:ind w:left="260" w:right="0" w:firstLine="0"/>
        <w:jc w:val="left"/>
        <w:rPr>
          <w:sz w:val="20"/>
        </w:rPr>
      </w:pPr>
      <w:r>
        <w:rPr>
          <w:position w:val="7"/>
          <w:sz w:val="13"/>
        </w:rPr>
        <w:t>169 </w:t>
      </w:r>
      <w:r>
        <w:rPr>
          <w:sz w:val="20"/>
        </w:rPr>
        <w:t>Zemgales rajona tiesas 2018.gada 4.septembra nolēmums lietā Nr. C15171316</w:t>
      </w:r>
    </w:p>
    <w:p>
      <w:pPr>
        <w:spacing w:after="0" w:line="233" w:lineRule="exact"/>
        <w:jc w:val="left"/>
        <w:rPr>
          <w:sz w:val="20"/>
        </w:rPr>
        <w:sectPr>
          <w:pgSz w:w="11910" w:h="16840"/>
          <w:pgMar w:header="0" w:footer="1055" w:top="1340" w:bottom="1240" w:left="1180" w:right="1040"/>
        </w:sectPr>
      </w:pPr>
    </w:p>
    <w:p>
      <w:pPr>
        <w:pStyle w:val="BodyText"/>
        <w:spacing w:line="237" w:lineRule="auto" w:before="80"/>
        <w:ind w:left="1327" w:right="404"/>
        <w:rPr>
          <w:sz w:val="16"/>
        </w:rPr>
      </w:pPr>
      <w:r>
        <w:rPr/>
        <w:t>pasludināšanas, un Civilprocesa likuma 363.</w:t>
      </w:r>
      <w:r>
        <w:rPr>
          <w:position w:val="9"/>
          <w:sz w:val="16"/>
        </w:rPr>
        <w:t>36 </w:t>
      </w:r>
      <w:r>
        <w:rPr/>
        <w:t>pants, kas noteic jautājumus, kurus tiesa ir tiesīga izlemt, lemjot par fiziskās personas maksātnespējas procesa izbeigšanu, nenoteic tiesai tiesības izlemt jautājumu par parādnieka kreditoru, kas Maksātnespējas likuma 73.pantā noteiktajā termiņā nav pieteikuši savus prasījumus,</w:t>
      </w:r>
      <w:r>
        <w:rPr>
          <w:spacing w:val="-12"/>
        </w:rPr>
        <w:t> </w:t>
      </w:r>
      <w:r>
        <w:rPr/>
        <w:t>prasījuma</w:t>
      </w:r>
      <w:r>
        <w:rPr>
          <w:spacing w:val="-13"/>
        </w:rPr>
        <w:t> </w:t>
      </w:r>
      <w:r>
        <w:rPr/>
        <w:t>tiesību</w:t>
      </w:r>
      <w:r>
        <w:rPr>
          <w:spacing w:val="-12"/>
        </w:rPr>
        <w:t> </w:t>
      </w:r>
      <w:r>
        <w:rPr/>
        <w:t>zaudēšanu,</w:t>
      </w:r>
      <w:r>
        <w:rPr>
          <w:spacing w:val="-11"/>
        </w:rPr>
        <w:t> </w:t>
      </w:r>
      <w:r>
        <w:rPr/>
        <w:t>tāpēc</w:t>
      </w:r>
      <w:r>
        <w:rPr>
          <w:spacing w:val="-15"/>
        </w:rPr>
        <w:t> </w:t>
      </w:r>
      <w:r>
        <w:rPr/>
        <w:t>tiesa</w:t>
      </w:r>
      <w:r>
        <w:rPr>
          <w:spacing w:val="-13"/>
        </w:rPr>
        <w:t> </w:t>
      </w:r>
      <w:r>
        <w:rPr/>
        <w:t>pieteikumā</w:t>
      </w:r>
      <w:r>
        <w:rPr>
          <w:spacing w:val="-10"/>
        </w:rPr>
        <w:t> </w:t>
      </w:r>
      <w:r>
        <w:rPr/>
        <w:t>ietverto</w:t>
      </w:r>
      <w:r>
        <w:rPr>
          <w:spacing w:val="-12"/>
        </w:rPr>
        <w:t> </w:t>
      </w:r>
      <w:r>
        <w:rPr/>
        <w:t>parādnieka lūgumu šajā lietā</w:t>
      </w:r>
      <w:r>
        <w:rPr>
          <w:spacing w:val="-3"/>
        </w:rPr>
        <w:t> </w:t>
      </w:r>
      <w:r>
        <w:rPr/>
        <w:t>nelemj.</w:t>
      </w:r>
      <w:r>
        <w:rPr>
          <w:position w:val="9"/>
          <w:sz w:val="16"/>
        </w:rPr>
        <w:t>170</w:t>
      </w:r>
    </w:p>
    <w:p>
      <w:pPr>
        <w:pStyle w:val="BodyText"/>
        <w:spacing w:before="6"/>
        <w:jc w:val="left"/>
      </w:pPr>
    </w:p>
    <w:p>
      <w:pPr>
        <w:pStyle w:val="ListParagraph"/>
        <w:numPr>
          <w:ilvl w:val="2"/>
          <w:numId w:val="31"/>
        </w:numPr>
        <w:tabs>
          <w:tab w:pos="1258" w:val="left" w:leader="none"/>
        </w:tabs>
        <w:spacing w:line="237" w:lineRule="auto" w:before="0" w:after="0"/>
        <w:ind w:left="620" w:right="402" w:firstLine="360"/>
        <w:jc w:val="both"/>
        <w:rPr>
          <w:sz w:val="24"/>
        </w:rPr>
      </w:pPr>
      <w:r>
        <w:rPr>
          <w:b/>
          <w:i/>
          <w:sz w:val="24"/>
        </w:rPr>
        <w:t>Saistību dzēšamības izvērtējums (Maksātnespējas likuma 164.panta ceturtā</w:t>
      </w:r>
      <w:r>
        <w:rPr>
          <w:b/>
          <w:i/>
          <w:spacing w:val="-35"/>
          <w:sz w:val="24"/>
        </w:rPr>
        <w:t> </w:t>
      </w:r>
      <w:r>
        <w:rPr>
          <w:b/>
          <w:i/>
          <w:sz w:val="24"/>
        </w:rPr>
        <w:t>daļa). </w:t>
      </w:r>
      <w:r>
        <w:rPr>
          <w:sz w:val="24"/>
        </w:rPr>
        <w:t>Analizējot</w:t>
      </w:r>
      <w:r>
        <w:rPr>
          <w:spacing w:val="-5"/>
          <w:sz w:val="24"/>
        </w:rPr>
        <w:t> </w:t>
      </w:r>
      <w:r>
        <w:rPr>
          <w:sz w:val="24"/>
        </w:rPr>
        <w:t>pētāmos</w:t>
      </w:r>
      <w:r>
        <w:rPr>
          <w:spacing w:val="-4"/>
          <w:sz w:val="24"/>
        </w:rPr>
        <w:t> </w:t>
      </w:r>
      <w:r>
        <w:rPr>
          <w:sz w:val="24"/>
        </w:rPr>
        <w:t>nolēmumus,</w:t>
      </w:r>
      <w:r>
        <w:rPr>
          <w:spacing w:val="-5"/>
          <w:sz w:val="24"/>
        </w:rPr>
        <w:t> </w:t>
      </w:r>
      <w:r>
        <w:rPr>
          <w:sz w:val="24"/>
        </w:rPr>
        <w:t>secināms,</w:t>
      </w:r>
      <w:r>
        <w:rPr>
          <w:spacing w:val="-4"/>
          <w:sz w:val="24"/>
        </w:rPr>
        <w:t> </w:t>
      </w:r>
      <w:r>
        <w:rPr>
          <w:sz w:val="24"/>
        </w:rPr>
        <w:t>ka</w:t>
      </w:r>
      <w:r>
        <w:rPr>
          <w:spacing w:val="-4"/>
          <w:sz w:val="24"/>
        </w:rPr>
        <w:t> </w:t>
      </w:r>
      <w:r>
        <w:rPr>
          <w:sz w:val="24"/>
        </w:rPr>
        <w:t>nolēmumos</w:t>
      </w:r>
      <w:r>
        <w:rPr>
          <w:spacing w:val="-4"/>
          <w:sz w:val="24"/>
        </w:rPr>
        <w:t> </w:t>
      </w:r>
      <w:r>
        <w:rPr>
          <w:sz w:val="24"/>
        </w:rPr>
        <w:t>lielākoties</w:t>
      </w:r>
      <w:r>
        <w:rPr>
          <w:spacing w:val="-4"/>
          <w:sz w:val="24"/>
        </w:rPr>
        <w:t> </w:t>
      </w:r>
      <w:r>
        <w:rPr>
          <w:sz w:val="24"/>
        </w:rPr>
        <w:t>netiek</w:t>
      </w:r>
      <w:r>
        <w:rPr>
          <w:spacing w:val="-8"/>
          <w:sz w:val="24"/>
        </w:rPr>
        <w:t> </w:t>
      </w:r>
      <w:r>
        <w:rPr>
          <w:sz w:val="24"/>
        </w:rPr>
        <w:t>vērtēts</w:t>
      </w:r>
      <w:r>
        <w:rPr>
          <w:spacing w:val="-4"/>
          <w:sz w:val="24"/>
        </w:rPr>
        <w:t> </w:t>
      </w:r>
      <w:r>
        <w:rPr>
          <w:sz w:val="24"/>
        </w:rPr>
        <w:t>tas,</w:t>
      </w:r>
      <w:r>
        <w:rPr>
          <w:spacing w:val="-5"/>
          <w:sz w:val="24"/>
        </w:rPr>
        <w:t> </w:t>
      </w:r>
      <w:r>
        <w:rPr>
          <w:sz w:val="24"/>
        </w:rPr>
        <w:t>vai saistību dzēšanas plānā norādītās un saistību procedūras laikā nesegtās saistības ir dzēšamas Maksātnespējas likuma 164.panta ceturtās daļas izpratnē:</w:t>
      </w:r>
    </w:p>
    <w:p>
      <w:pPr>
        <w:pStyle w:val="ListParagraph"/>
        <w:numPr>
          <w:ilvl w:val="0"/>
          <w:numId w:val="38"/>
        </w:numPr>
        <w:tabs>
          <w:tab w:pos="1236" w:val="left" w:leader="none"/>
        </w:tabs>
        <w:spacing w:line="240" w:lineRule="auto" w:before="4" w:after="0"/>
        <w:ind w:left="1327" w:right="405" w:hanging="348"/>
        <w:jc w:val="both"/>
        <w:rPr>
          <w:sz w:val="24"/>
        </w:rPr>
      </w:pPr>
      <w:r>
        <w:rPr>
          <w:sz w:val="24"/>
        </w:rPr>
        <w:t>trīs</w:t>
      </w:r>
      <w:r>
        <w:rPr>
          <w:spacing w:val="-5"/>
          <w:sz w:val="24"/>
        </w:rPr>
        <w:t> </w:t>
      </w:r>
      <w:r>
        <w:rPr>
          <w:sz w:val="24"/>
        </w:rPr>
        <w:t>lietās</w:t>
      </w:r>
      <w:r>
        <w:rPr>
          <w:spacing w:val="-5"/>
          <w:sz w:val="24"/>
        </w:rPr>
        <w:t> </w:t>
      </w:r>
      <w:r>
        <w:rPr>
          <w:sz w:val="24"/>
        </w:rPr>
        <w:t>no</w:t>
      </w:r>
      <w:r>
        <w:rPr>
          <w:spacing w:val="-5"/>
          <w:sz w:val="24"/>
        </w:rPr>
        <w:t> </w:t>
      </w:r>
      <w:r>
        <w:rPr>
          <w:sz w:val="24"/>
        </w:rPr>
        <w:t>25</w:t>
      </w:r>
      <w:r>
        <w:rPr>
          <w:spacing w:val="-5"/>
          <w:sz w:val="24"/>
        </w:rPr>
        <w:t> </w:t>
      </w:r>
      <w:r>
        <w:rPr>
          <w:sz w:val="24"/>
        </w:rPr>
        <w:t>tiesa</w:t>
      </w:r>
      <w:r>
        <w:rPr>
          <w:spacing w:val="-5"/>
          <w:sz w:val="24"/>
        </w:rPr>
        <w:t> </w:t>
      </w:r>
      <w:r>
        <w:rPr>
          <w:sz w:val="24"/>
        </w:rPr>
        <w:t>norāda,</w:t>
      </w:r>
      <w:r>
        <w:rPr>
          <w:spacing w:val="-5"/>
          <w:sz w:val="24"/>
        </w:rPr>
        <w:t> </w:t>
      </w:r>
      <w:r>
        <w:rPr>
          <w:sz w:val="24"/>
        </w:rPr>
        <w:t>ka</w:t>
      </w:r>
      <w:r>
        <w:rPr>
          <w:spacing w:val="-4"/>
          <w:sz w:val="24"/>
        </w:rPr>
        <w:t> </w:t>
      </w:r>
      <w:r>
        <w:rPr>
          <w:sz w:val="24"/>
        </w:rPr>
        <w:t>lietā</w:t>
      </w:r>
      <w:r>
        <w:rPr>
          <w:spacing w:val="-8"/>
          <w:sz w:val="24"/>
        </w:rPr>
        <w:t> </w:t>
      </w:r>
      <w:r>
        <w:rPr>
          <w:sz w:val="24"/>
        </w:rPr>
        <w:t>nav</w:t>
      </w:r>
      <w:r>
        <w:rPr>
          <w:spacing w:val="-5"/>
          <w:sz w:val="24"/>
        </w:rPr>
        <w:t> </w:t>
      </w:r>
      <w:r>
        <w:rPr>
          <w:sz w:val="24"/>
        </w:rPr>
        <w:t>ziņu</w:t>
      </w:r>
      <w:r>
        <w:rPr>
          <w:spacing w:val="-5"/>
          <w:sz w:val="24"/>
        </w:rPr>
        <w:t> </w:t>
      </w:r>
      <w:r>
        <w:rPr>
          <w:sz w:val="24"/>
        </w:rPr>
        <w:t>par</w:t>
      </w:r>
      <w:r>
        <w:rPr>
          <w:spacing w:val="-5"/>
          <w:sz w:val="24"/>
        </w:rPr>
        <w:t> </w:t>
      </w:r>
      <w:r>
        <w:rPr>
          <w:sz w:val="24"/>
        </w:rPr>
        <w:t>saistību</w:t>
      </w:r>
      <w:r>
        <w:rPr>
          <w:spacing w:val="-5"/>
          <w:sz w:val="24"/>
        </w:rPr>
        <w:t> </w:t>
      </w:r>
      <w:r>
        <w:rPr>
          <w:sz w:val="24"/>
        </w:rPr>
        <w:t>dzēšanas</w:t>
      </w:r>
      <w:r>
        <w:rPr>
          <w:spacing w:val="-7"/>
          <w:sz w:val="24"/>
        </w:rPr>
        <w:t> </w:t>
      </w:r>
      <w:r>
        <w:rPr>
          <w:sz w:val="24"/>
        </w:rPr>
        <w:t>plānā</w:t>
      </w:r>
      <w:r>
        <w:rPr>
          <w:spacing w:val="-8"/>
          <w:sz w:val="24"/>
        </w:rPr>
        <w:t> </w:t>
      </w:r>
      <w:r>
        <w:rPr>
          <w:sz w:val="24"/>
        </w:rPr>
        <w:t>iekļautiem Maksātnespējas likuma 164.panta ceturtajā daļā norādītiem</w:t>
      </w:r>
      <w:r>
        <w:rPr>
          <w:spacing w:val="-4"/>
          <w:sz w:val="24"/>
        </w:rPr>
        <w:t> </w:t>
      </w:r>
      <w:r>
        <w:rPr>
          <w:sz w:val="24"/>
        </w:rPr>
        <w:t>prasījumiem:</w:t>
      </w:r>
    </w:p>
    <w:p>
      <w:pPr>
        <w:pStyle w:val="ListParagraph"/>
        <w:numPr>
          <w:ilvl w:val="1"/>
          <w:numId w:val="38"/>
        </w:numPr>
        <w:tabs>
          <w:tab w:pos="1753" w:val="left" w:leader="none"/>
        </w:tabs>
        <w:spacing w:line="235" w:lineRule="auto" w:before="5" w:after="0"/>
        <w:ind w:left="1752" w:right="403" w:hanging="425"/>
        <w:jc w:val="both"/>
        <w:rPr>
          <w:sz w:val="16"/>
        </w:rPr>
      </w:pPr>
      <w:r>
        <w:rPr>
          <w:sz w:val="24"/>
        </w:rPr>
        <w:t>Lietā nav ziņu, ka saistību dzēšanas plānā iekļauti Maksātnespējas likuma 164.panta ceturtajā daļā norādītie prasījumi, kas netiek dzēsti pēc saistību dzēšanas</w:t>
      </w:r>
      <w:r>
        <w:rPr>
          <w:spacing w:val="-14"/>
          <w:sz w:val="24"/>
        </w:rPr>
        <w:t> </w:t>
      </w:r>
      <w:r>
        <w:rPr>
          <w:sz w:val="24"/>
        </w:rPr>
        <w:t>procedūras</w:t>
      </w:r>
      <w:r>
        <w:rPr>
          <w:spacing w:val="-12"/>
          <w:sz w:val="24"/>
        </w:rPr>
        <w:t> </w:t>
      </w:r>
      <w:r>
        <w:rPr>
          <w:sz w:val="24"/>
        </w:rPr>
        <w:t>pabeigšanas,</w:t>
      </w:r>
      <w:r>
        <w:rPr>
          <w:spacing w:val="-12"/>
          <w:sz w:val="24"/>
        </w:rPr>
        <w:t> </w:t>
      </w:r>
      <w:r>
        <w:rPr>
          <w:sz w:val="24"/>
        </w:rPr>
        <w:t>tāpēc</w:t>
      </w:r>
      <w:r>
        <w:rPr>
          <w:spacing w:val="-14"/>
          <w:sz w:val="24"/>
        </w:rPr>
        <w:t> </w:t>
      </w:r>
      <w:r>
        <w:rPr>
          <w:sz w:val="24"/>
        </w:rPr>
        <w:t>dzēšamas</w:t>
      </w:r>
      <w:r>
        <w:rPr>
          <w:spacing w:val="-11"/>
          <w:sz w:val="24"/>
        </w:rPr>
        <w:t> </w:t>
      </w:r>
      <w:r>
        <w:rPr>
          <w:sz w:val="24"/>
        </w:rPr>
        <w:t>visas</w:t>
      </w:r>
      <w:r>
        <w:rPr>
          <w:spacing w:val="-14"/>
          <w:sz w:val="24"/>
        </w:rPr>
        <w:t> </w:t>
      </w:r>
      <w:r>
        <w:rPr>
          <w:sz w:val="24"/>
        </w:rPr>
        <w:t>saistību</w:t>
      </w:r>
      <w:r>
        <w:rPr>
          <w:spacing w:val="-14"/>
          <w:sz w:val="24"/>
        </w:rPr>
        <w:t> </w:t>
      </w:r>
      <w:r>
        <w:rPr>
          <w:sz w:val="24"/>
        </w:rPr>
        <w:t>dzēšanas</w:t>
      </w:r>
      <w:r>
        <w:rPr>
          <w:spacing w:val="-14"/>
          <w:sz w:val="24"/>
        </w:rPr>
        <w:t> </w:t>
      </w:r>
      <w:r>
        <w:rPr>
          <w:sz w:val="24"/>
        </w:rPr>
        <w:t>plānā norādītās atlikušās</w:t>
      </w:r>
      <w:r>
        <w:rPr>
          <w:spacing w:val="-3"/>
          <w:sz w:val="24"/>
        </w:rPr>
        <w:t> </w:t>
      </w:r>
      <w:r>
        <w:rPr>
          <w:sz w:val="24"/>
        </w:rPr>
        <w:t>saistības;</w:t>
      </w:r>
      <w:r>
        <w:rPr>
          <w:position w:val="9"/>
          <w:sz w:val="16"/>
        </w:rPr>
        <w:t>171</w:t>
      </w:r>
    </w:p>
    <w:p>
      <w:pPr>
        <w:pStyle w:val="ListParagraph"/>
        <w:numPr>
          <w:ilvl w:val="1"/>
          <w:numId w:val="38"/>
        </w:numPr>
        <w:tabs>
          <w:tab w:pos="1753" w:val="left" w:leader="none"/>
        </w:tabs>
        <w:spacing w:line="237" w:lineRule="auto" w:before="5" w:after="0"/>
        <w:ind w:left="1752" w:right="404" w:hanging="425"/>
        <w:jc w:val="both"/>
        <w:rPr>
          <w:sz w:val="16"/>
        </w:rPr>
      </w:pPr>
      <w:r>
        <w:rPr>
          <w:sz w:val="24"/>
        </w:rPr>
        <w:t>No lietas materiāliem un saistību dzēšanas plāna kopumā nav konstatējams,</w:t>
      </w:r>
      <w:r>
        <w:rPr>
          <w:spacing w:val="-30"/>
          <w:sz w:val="24"/>
        </w:rPr>
        <w:t> </w:t>
      </w:r>
      <w:r>
        <w:rPr>
          <w:sz w:val="24"/>
        </w:rPr>
        <w:t>ka parādniecei pastāvētu Maksātnespējas likuma 164. panta ceturtajā daļā norādītās</w:t>
      </w:r>
      <w:r>
        <w:rPr>
          <w:spacing w:val="-8"/>
          <w:sz w:val="24"/>
        </w:rPr>
        <w:t> </w:t>
      </w:r>
      <w:r>
        <w:rPr>
          <w:sz w:val="24"/>
        </w:rPr>
        <w:t>saistības</w:t>
      </w:r>
      <w:r>
        <w:rPr>
          <w:spacing w:val="-7"/>
          <w:sz w:val="24"/>
        </w:rPr>
        <w:t> </w:t>
      </w:r>
      <w:r>
        <w:rPr>
          <w:sz w:val="24"/>
        </w:rPr>
        <w:t>pret</w:t>
      </w:r>
      <w:r>
        <w:rPr>
          <w:spacing w:val="-8"/>
          <w:sz w:val="24"/>
        </w:rPr>
        <w:t> </w:t>
      </w:r>
      <w:r>
        <w:rPr>
          <w:sz w:val="24"/>
        </w:rPr>
        <w:t>kādu</w:t>
      </w:r>
      <w:r>
        <w:rPr>
          <w:spacing w:val="-5"/>
          <w:sz w:val="24"/>
        </w:rPr>
        <w:t> </w:t>
      </w:r>
      <w:r>
        <w:rPr>
          <w:sz w:val="24"/>
        </w:rPr>
        <w:t>no</w:t>
      </w:r>
      <w:r>
        <w:rPr>
          <w:spacing w:val="-5"/>
          <w:sz w:val="24"/>
        </w:rPr>
        <w:t> </w:t>
      </w:r>
      <w:r>
        <w:rPr>
          <w:sz w:val="24"/>
        </w:rPr>
        <w:t>kreditoriem,</w:t>
      </w:r>
      <w:r>
        <w:rPr>
          <w:spacing w:val="-6"/>
          <w:sz w:val="24"/>
        </w:rPr>
        <w:t> </w:t>
      </w:r>
      <w:r>
        <w:rPr>
          <w:sz w:val="24"/>
        </w:rPr>
        <w:t>līdz</w:t>
      </w:r>
      <w:r>
        <w:rPr>
          <w:spacing w:val="-4"/>
          <w:sz w:val="24"/>
        </w:rPr>
        <w:t> </w:t>
      </w:r>
      <w:r>
        <w:rPr>
          <w:sz w:val="24"/>
        </w:rPr>
        <w:t>ar</w:t>
      </w:r>
      <w:r>
        <w:rPr>
          <w:spacing w:val="-8"/>
          <w:sz w:val="24"/>
        </w:rPr>
        <w:t> </w:t>
      </w:r>
      <w:r>
        <w:rPr>
          <w:sz w:val="24"/>
        </w:rPr>
        <w:t>to</w:t>
      </w:r>
      <w:r>
        <w:rPr>
          <w:spacing w:val="-4"/>
          <w:sz w:val="24"/>
        </w:rPr>
        <w:t> </w:t>
      </w:r>
      <w:r>
        <w:rPr>
          <w:sz w:val="24"/>
        </w:rPr>
        <w:t>tiesa</w:t>
      </w:r>
      <w:r>
        <w:rPr>
          <w:spacing w:val="-8"/>
          <w:sz w:val="24"/>
        </w:rPr>
        <w:t> </w:t>
      </w:r>
      <w:r>
        <w:rPr>
          <w:sz w:val="24"/>
        </w:rPr>
        <w:t>nekonstatē</w:t>
      </w:r>
      <w:r>
        <w:rPr>
          <w:spacing w:val="-5"/>
          <w:sz w:val="24"/>
        </w:rPr>
        <w:t> </w:t>
      </w:r>
      <w:r>
        <w:rPr>
          <w:sz w:val="24"/>
        </w:rPr>
        <w:t>šķēršļus atbrīvot    parādnieci    no    atlikušajām     saistībām,     kas     norādītas  2017. gada 22. maija fiziskās persona saistību dzēšanas</w:t>
      </w:r>
      <w:r>
        <w:rPr>
          <w:spacing w:val="-6"/>
          <w:sz w:val="24"/>
        </w:rPr>
        <w:t> </w:t>
      </w:r>
      <w:r>
        <w:rPr>
          <w:sz w:val="24"/>
        </w:rPr>
        <w:t>plānā;</w:t>
      </w:r>
      <w:r>
        <w:rPr>
          <w:position w:val="9"/>
          <w:sz w:val="16"/>
        </w:rPr>
        <w:t>172</w:t>
      </w:r>
    </w:p>
    <w:p>
      <w:pPr>
        <w:pStyle w:val="ListParagraph"/>
        <w:numPr>
          <w:ilvl w:val="0"/>
          <w:numId w:val="38"/>
        </w:numPr>
        <w:tabs>
          <w:tab w:pos="1363" w:val="left" w:leader="none"/>
        </w:tabs>
        <w:spacing w:line="235" w:lineRule="auto" w:before="0" w:after="0"/>
        <w:ind w:left="1327" w:right="401" w:hanging="281"/>
        <w:jc w:val="both"/>
        <w:rPr>
          <w:sz w:val="16"/>
        </w:rPr>
      </w:pPr>
      <w:r>
        <w:rPr>
          <w:sz w:val="24"/>
        </w:rPr>
        <w:t>vienā lietā no 25 tiesa, pamatojoties uz paša parādnieka pieteikumā norādīto, attiecībā uz Uzturlīdzekļu garantijas fonda pieteikto prasījumu par uzturlīdzekļu parādu, atzīst, ka parādnieks no šīm saistībām nav atbrīvojams un parāds netiek dzēsts;</w:t>
      </w:r>
      <w:r>
        <w:rPr>
          <w:position w:val="9"/>
          <w:sz w:val="16"/>
        </w:rPr>
        <w:t>173</w:t>
      </w:r>
    </w:p>
    <w:p>
      <w:pPr>
        <w:pStyle w:val="ListParagraph"/>
        <w:numPr>
          <w:ilvl w:val="0"/>
          <w:numId w:val="38"/>
        </w:numPr>
        <w:tabs>
          <w:tab w:pos="1340" w:val="left" w:leader="none"/>
        </w:tabs>
        <w:spacing w:line="237" w:lineRule="auto" w:before="5" w:after="0"/>
        <w:ind w:left="1340" w:right="402" w:hanging="360"/>
        <w:jc w:val="both"/>
        <w:rPr>
          <w:sz w:val="16"/>
        </w:rPr>
      </w:pPr>
      <w:r>
        <w:rPr>
          <w:sz w:val="24"/>
        </w:rPr>
        <w:t>Pārējos lēmumos izvērtējums par to, vai saistību dzēšanas plānā norādītās un saistību procedūras laikā nesegtās saistības nav nedzēšamas atbilstoši Maksātnespējas likuma 164.panta ceturtajā daļā noteiktajam, netiek ietverts. Piemēram, vienā no lietām vienīgais parādnieka kreditors ir Valsts ieņēmumu dienests, taču tiesa lēmumā nesniedz izvērtējumu par VID prasījuma pamatojumu un tā dzēšamību atbilstoši Maksātnespējas likuma 164.panta ceturtās daļas nosacījumiem.</w:t>
      </w:r>
      <w:r>
        <w:rPr>
          <w:position w:val="9"/>
          <w:sz w:val="16"/>
        </w:rPr>
        <w:t>174</w:t>
      </w:r>
    </w:p>
    <w:p>
      <w:pPr>
        <w:pStyle w:val="BodyText"/>
        <w:jc w:val="left"/>
        <w:rPr>
          <w:sz w:val="28"/>
        </w:rPr>
      </w:pPr>
    </w:p>
    <w:p>
      <w:pPr>
        <w:pStyle w:val="Heading4"/>
        <w:numPr>
          <w:ilvl w:val="1"/>
          <w:numId w:val="31"/>
        </w:numPr>
        <w:tabs>
          <w:tab w:pos="1041" w:val="left" w:leader="none"/>
        </w:tabs>
        <w:spacing w:line="240" w:lineRule="auto" w:before="237" w:after="0"/>
        <w:ind w:left="980" w:right="402" w:hanging="360"/>
        <w:jc w:val="both"/>
      </w:pPr>
      <w:r>
        <w:rPr>
          <w:i/>
        </w:rPr>
        <w:t>LR Augstākās tiesas (Senāta) Civillietu departamenta nolēmumi, ar kuriem risināti </w:t>
      </w:r>
      <w:r>
        <w:rPr/>
        <w:t>jautājumi saistībā ar fiziskas personas saistību dzēšanas procedūras norisi un parādnieka atbrīvošanu no saistībām</w:t>
      </w:r>
    </w:p>
    <w:p>
      <w:pPr>
        <w:pStyle w:val="BodyText"/>
        <w:jc w:val="left"/>
        <w:rPr>
          <w:b/>
          <w:i/>
        </w:rPr>
      </w:pPr>
    </w:p>
    <w:p>
      <w:pPr>
        <w:pStyle w:val="ListParagraph"/>
        <w:numPr>
          <w:ilvl w:val="0"/>
          <w:numId w:val="39"/>
        </w:numPr>
        <w:tabs>
          <w:tab w:pos="1340" w:val="left" w:leader="none"/>
        </w:tabs>
        <w:spacing w:line="274" w:lineRule="exact" w:before="0" w:after="0"/>
        <w:ind w:left="1340" w:right="0" w:hanging="360"/>
        <w:jc w:val="both"/>
        <w:rPr>
          <w:b/>
          <w:sz w:val="24"/>
        </w:rPr>
      </w:pPr>
      <w:r>
        <w:rPr>
          <w:b/>
          <w:sz w:val="24"/>
        </w:rPr>
        <w:t>Saistību dzēšanas plāna apstiprināšana:</w:t>
      </w:r>
    </w:p>
    <w:p>
      <w:pPr>
        <w:pStyle w:val="ListParagraph"/>
        <w:numPr>
          <w:ilvl w:val="1"/>
          <w:numId w:val="39"/>
        </w:numPr>
        <w:tabs>
          <w:tab w:pos="1700" w:val="left" w:leader="none"/>
        </w:tabs>
        <w:spacing w:line="240" w:lineRule="auto" w:before="0" w:after="0"/>
        <w:ind w:left="1700" w:right="404" w:hanging="360"/>
        <w:jc w:val="both"/>
        <w:rPr>
          <w:sz w:val="24"/>
        </w:rPr>
      </w:pPr>
      <w:r>
        <w:rPr>
          <w:sz w:val="24"/>
        </w:rPr>
        <w:t>LR</w:t>
      </w:r>
      <w:r>
        <w:rPr>
          <w:spacing w:val="-13"/>
          <w:sz w:val="24"/>
        </w:rPr>
        <w:t> </w:t>
      </w:r>
      <w:r>
        <w:rPr>
          <w:sz w:val="24"/>
        </w:rPr>
        <w:t>AT</w:t>
      </w:r>
      <w:r>
        <w:rPr>
          <w:spacing w:val="-13"/>
          <w:sz w:val="24"/>
        </w:rPr>
        <w:t> </w:t>
      </w:r>
      <w:r>
        <w:rPr>
          <w:sz w:val="24"/>
        </w:rPr>
        <w:t>Civillietu</w:t>
      </w:r>
      <w:r>
        <w:rPr>
          <w:spacing w:val="-13"/>
          <w:sz w:val="24"/>
        </w:rPr>
        <w:t> </w:t>
      </w:r>
      <w:r>
        <w:rPr>
          <w:sz w:val="24"/>
        </w:rPr>
        <w:t>departaments</w:t>
      </w:r>
      <w:r>
        <w:rPr>
          <w:spacing w:val="-11"/>
          <w:sz w:val="24"/>
        </w:rPr>
        <w:t> </w:t>
      </w:r>
      <w:r>
        <w:rPr>
          <w:sz w:val="24"/>
        </w:rPr>
        <w:t>2018.gada</w:t>
      </w:r>
      <w:r>
        <w:rPr>
          <w:spacing w:val="-13"/>
          <w:sz w:val="24"/>
        </w:rPr>
        <w:t> </w:t>
      </w:r>
      <w:r>
        <w:rPr>
          <w:sz w:val="24"/>
        </w:rPr>
        <w:t>4.jūlija</w:t>
      </w:r>
      <w:r>
        <w:rPr>
          <w:spacing w:val="-16"/>
          <w:sz w:val="24"/>
        </w:rPr>
        <w:t> </w:t>
      </w:r>
      <w:r>
        <w:rPr>
          <w:sz w:val="24"/>
        </w:rPr>
        <w:t>lēmumā</w:t>
      </w:r>
      <w:r>
        <w:rPr>
          <w:spacing w:val="-13"/>
          <w:sz w:val="24"/>
        </w:rPr>
        <w:t> </w:t>
      </w:r>
      <w:r>
        <w:rPr>
          <w:sz w:val="24"/>
        </w:rPr>
        <w:t>lietā</w:t>
      </w:r>
      <w:r>
        <w:rPr>
          <w:spacing w:val="-12"/>
          <w:sz w:val="24"/>
        </w:rPr>
        <w:t> </w:t>
      </w:r>
      <w:r>
        <w:rPr>
          <w:sz w:val="24"/>
        </w:rPr>
        <w:t>Nr.</w:t>
      </w:r>
      <w:r>
        <w:rPr>
          <w:spacing w:val="-16"/>
          <w:sz w:val="24"/>
        </w:rPr>
        <w:t> </w:t>
      </w:r>
      <w:r>
        <w:rPr>
          <w:sz w:val="24"/>
        </w:rPr>
        <w:t>SPC-7/2018 norādījis, ka tiesai ir jāpārbauda, vai Maksātnespējas likuma 155.panta prasībām</w:t>
      </w:r>
      <w:r>
        <w:rPr>
          <w:spacing w:val="13"/>
          <w:sz w:val="24"/>
        </w:rPr>
        <w:t> </w:t>
      </w:r>
      <w:r>
        <w:rPr>
          <w:sz w:val="24"/>
        </w:rPr>
        <w:t>un</w:t>
      </w:r>
      <w:r>
        <w:rPr>
          <w:spacing w:val="15"/>
          <w:sz w:val="24"/>
        </w:rPr>
        <w:t> </w:t>
      </w:r>
      <w:r>
        <w:rPr>
          <w:sz w:val="24"/>
        </w:rPr>
        <w:t>faktiskajiem</w:t>
      </w:r>
      <w:r>
        <w:rPr>
          <w:spacing w:val="15"/>
          <w:sz w:val="24"/>
        </w:rPr>
        <w:t> </w:t>
      </w:r>
      <w:r>
        <w:rPr>
          <w:sz w:val="24"/>
        </w:rPr>
        <w:t>apstākļiem</w:t>
      </w:r>
      <w:r>
        <w:rPr>
          <w:spacing w:val="16"/>
          <w:sz w:val="24"/>
        </w:rPr>
        <w:t> </w:t>
      </w:r>
      <w:r>
        <w:rPr>
          <w:sz w:val="24"/>
        </w:rPr>
        <w:t>atbilst</w:t>
      </w:r>
      <w:r>
        <w:rPr>
          <w:spacing w:val="15"/>
          <w:sz w:val="24"/>
        </w:rPr>
        <w:t> </w:t>
      </w:r>
      <w:r>
        <w:rPr>
          <w:sz w:val="24"/>
        </w:rPr>
        <w:t>saistību</w:t>
      </w:r>
      <w:r>
        <w:rPr>
          <w:spacing w:val="15"/>
          <w:sz w:val="24"/>
        </w:rPr>
        <w:t> </w:t>
      </w:r>
      <w:r>
        <w:rPr>
          <w:sz w:val="24"/>
        </w:rPr>
        <w:t>dzēšanas</w:t>
      </w:r>
      <w:r>
        <w:rPr>
          <w:spacing w:val="13"/>
          <w:sz w:val="24"/>
        </w:rPr>
        <w:t> </w:t>
      </w:r>
      <w:r>
        <w:rPr>
          <w:sz w:val="24"/>
        </w:rPr>
        <w:t>plānā</w:t>
      </w:r>
      <w:r>
        <w:rPr>
          <w:spacing w:val="14"/>
          <w:sz w:val="24"/>
        </w:rPr>
        <w:t> </w:t>
      </w:r>
      <w:r>
        <w:rPr>
          <w:sz w:val="24"/>
        </w:rPr>
        <w:t>noteiktais</w:t>
      </w:r>
    </w:p>
    <w:p>
      <w:pPr>
        <w:pStyle w:val="BodyText"/>
        <w:jc w:val="left"/>
        <w:rPr>
          <w:sz w:val="20"/>
        </w:rPr>
      </w:pPr>
    </w:p>
    <w:p>
      <w:pPr>
        <w:pStyle w:val="BodyText"/>
        <w:jc w:val="left"/>
        <w:rPr>
          <w:sz w:val="20"/>
        </w:rPr>
      </w:pPr>
    </w:p>
    <w:p>
      <w:pPr>
        <w:pStyle w:val="BodyText"/>
        <w:jc w:val="left"/>
        <w:rPr>
          <w:sz w:val="20"/>
        </w:rPr>
      </w:pPr>
    </w:p>
    <w:p>
      <w:pPr>
        <w:pStyle w:val="BodyText"/>
        <w:spacing w:before="6"/>
        <w:jc w:val="left"/>
        <w:rPr>
          <w:sz w:val="21"/>
        </w:rPr>
      </w:pPr>
    </w:p>
    <w:p>
      <w:pPr>
        <w:spacing w:line="231" w:lineRule="exact" w:before="0"/>
        <w:ind w:left="620" w:right="0" w:firstLine="0"/>
        <w:jc w:val="left"/>
        <w:rPr>
          <w:sz w:val="20"/>
        </w:rPr>
      </w:pPr>
      <w:r>
        <w:rPr>
          <w:position w:val="7"/>
          <w:sz w:val="13"/>
        </w:rPr>
        <w:t>170 </w:t>
      </w:r>
      <w:r>
        <w:rPr>
          <w:sz w:val="20"/>
        </w:rPr>
        <w:t>Rīgas rajona tiesas 2018.gada 11.septembra nolēmums lietā Nr. C17108913</w:t>
      </w:r>
    </w:p>
    <w:p>
      <w:pPr>
        <w:spacing w:line="229" w:lineRule="exact" w:before="0"/>
        <w:ind w:left="620" w:right="0" w:firstLine="0"/>
        <w:jc w:val="left"/>
        <w:rPr>
          <w:sz w:val="20"/>
        </w:rPr>
      </w:pPr>
      <w:r>
        <w:rPr>
          <w:position w:val="7"/>
          <w:sz w:val="13"/>
        </w:rPr>
        <w:t>171  </w:t>
      </w:r>
      <w:r>
        <w:rPr>
          <w:sz w:val="20"/>
        </w:rPr>
        <w:t>Rīgas pilsētas Pārdaugavas tiesas 2018.gada 20.septembra nolēmums lietā Nr.</w:t>
      </w:r>
      <w:r>
        <w:rPr>
          <w:spacing w:val="-28"/>
          <w:sz w:val="20"/>
        </w:rPr>
        <w:t> </w:t>
      </w:r>
      <w:r>
        <w:rPr>
          <w:sz w:val="20"/>
        </w:rPr>
        <w:t>C31292715</w:t>
      </w:r>
    </w:p>
    <w:p>
      <w:pPr>
        <w:spacing w:line="230" w:lineRule="exact" w:before="0"/>
        <w:ind w:left="620" w:right="0" w:firstLine="0"/>
        <w:jc w:val="left"/>
        <w:rPr>
          <w:sz w:val="20"/>
        </w:rPr>
      </w:pPr>
      <w:r>
        <w:rPr>
          <w:position w:val="7"/>
          <w:sz w:val="13"/>
        </w:rPr>
        <w:t>172  </w:t>
      </w:r>
      <w:r>
        <w:rPr>
          <w:sz w:val="20"/>
        </w:rPr>
        <w:t>Rīgas pilsētas Pārdaugavas tiesas 2018.gada 18.septembra nolēmums lietā Nr.</w:t>
      </w:r>
      <w:r>
        <w:rPr>
          <w:spacing w:val="-28"/>
          <w:sz w:val="20"/>
        </w:rPr>
        <w:t> </w:t>
      </w:r>
      <w:r>
        <w:rPr>
          <w:sz w:val="20"/>
        </w:rPr>
        <w:t>C68315117</w:t>
      </w:r>
    </w:p>
    <w:p>
      <w:pPr>
        <w:spacing w:line="230" w:lineRule="exact" w:before="0"/>
        <w:ind w:left="620" w:right="0" w:firstLine="0"/>
        <w:jc w:val="left"/>
        <w:rPr>
          <w:sz w:val="20"/>
        </w:rPr>
      </w:pPr>
      <w:r>
        <w:rPr>
          <w:position w:val="7"/>
          <w:sz w:val="13"/>
        </w:rPr>
        <w:t>173 </w:t>
      </w:r>
      <w:r>
        <w:rPr>
          <w:sz w:val="20"/>
        </w:rPr>
        <w:t>Rīgas pilsētas Vidzemes priekšpilsētas tiesas 2018.gada 4.septembra nolēmums lietā Nr. C30457717</w:t>
      </w:r>
    </w:p>
    <w:p>
      <w:pPr>
        <w:spacing w:line="233" w:lineRule="exact" w:before="0"/>
        <w:ind w:left="620" w:right="0" w:firstLine="0"/>
        <w:jc w:val="left"/>
        <w:rPr>
          <w:sz w:val="20"/>
        </w:rPr>
      </w:pPr>
      <w:r>
        <w:rPr>
          <w:position w:val="7"/>
          <w:sz w:val="13"/>
        </w:rPr>
        <w:t>174 </w:t>
      </w:r>
      <w:r>
        <w:rPr>
          <w:sz w:val="20"/>
        </w:rPr>
        <w:t>Kurzemes rajona tiesas 2018.gada 6.septembra nolēmums lietā Nr. C34051415</w:t>
      </w:r>
    </w:p>
    <w:p>
      <w:pPr>
        <w:spacing w:after="0" w:line="233" w:lineRule="exact"/>
        <w:jc w:val="left"/>
        <w:rPr>
          <w:sz w:val="20"/>
        </w:rPr>
        <w:sectPr>
          <w:pgSz w:w="11910" w:h="16840"/>
          <w:pgMar w:header="0" w:footer="1165" w:top="1320" w:bottom="1360" w:left="1180" w:right="1040"/>
        </w:sectPr>
      </w:pPr>
    </w:p>
    <w:p>
      <w:pPr>
        <w:pStyle w:val="BodyText"/>
        <w:spacing w:line="228" w:lineRule="auto" w:before="84"/>
        <w:ind w:left="1340" w:right="765"/>
        <w:rPr>
          <w:sz w:val="16"/>
        </w:rPr>
      </w:pPr>
      <w:r>
        <w:rPr/>
        <w:t>saistību dzēšanas termiņš un kreditoriem ik mēnesi izmaksājamo līdzekļu apmērs.</w:t>
      </w:r>
      <w:r>
        <w:rPr>
          <w:position w:val="9"/>
          <w:sz w:val="16"/>
        </w:rPr>
        <w:t>175</w:t>
      </w:r>
    </w:p>
    <w:p>
      <w:pPr>
        <w:pStyle w:val="ListParagraph"/>
        <w:numPr>
          <w:ilvl w:val="1"/>
          <w:numId w:val="39"/>
        </w:numPr>
        <w:tabs>
          <w:tab w:pos="1340" w:val="left" w:leader="none"/>
        </w:tabs>
        <w:spacing w:line="240" w:lineRule="auto" w:before="2" w:after="0"/>
        <w:ind w:left="1340" w:right="762" w:hanging="360"/>
        <w:jc w:val="both"/>
        <w:rPr>
          <w:sz w:val="16"/>
        </w:rPr>
      </w:pPr>
      <w:r>
        <w:rPr>
          <w:sz w:val="24"/>
        </w:rPr>
        <w:t>Savukārt 2016.gada 9.decembra lēmumā lietā Nr. SPC-15/2016 </w:t>
      </w:r>
      <w:r>
        <w:rPr>
          <w:spacing w:val="-3"/>
          <w:sz w:val="24"/>
        </w:rPr>
        <w:t>LR </w:t>
      </w:r>
      <w:r>
        <w:rPr>
          <w:sz w:val="24"/>
        </w:rPr>
        <w:t>AT Civillietu departaments atzinis, ka Maksātnespējas likuma 155.panta ceturtās daļas noteikumi piemērojami, pastāvot apstākļiem, kas neietilpst minētā panta otrās un trešās daļas normu tiesiskajā sastāvā. Tādējādi tiesnesis, piemērojot Maksātnespējas likuma 155.panta ceturtās daļas 1.punkta normu un apstiprinot saistību dzēšanas plāna īstenošanas termiņu uz vienu gadu, nav pienācīgi izvērtējis lietas faktiskos apstākļus, kā arī nav ņēmis vērā Maksātnespējas likuma 5.panta pirmo daļu, kurā fiziskas personas maksātnespējas process definēts kā tiesiska rakstura pasākuma kopums, kura mērķis ir pēc iespējas pilnīgāk apmierināt kreditoru prasījumus no parādnieka mantas un dot iespēju parādniekam, kura manta un ienākumi nav pietiekami visu saistību segšanai, tikt atbrīvotam no neizpildītajām saistībām un atjaunot</w:t>
      </w:r>
      <w:r>
        <w:rPr>
          <w:spacing w:val="-1"/>
          <w:sz w:val="24"/>
        </w:rPr>
        <w:t> </w:t>
      </w:r>
      <w:r>
        <w:rPr>
          <w:sz w:val="24"/>
        </w:rPr>
        <w:t>maksātspēju.</w:t>
      </w:r>
      <w:r>
        <w:rPr>
          <w:position w:val="9"/>
          <w:sz w:val="16"/>
        </w:rPr>
        <w:t>176</w:t>
      </w:r>
    </w:p>
    <w:p>
      <w:pPr>
        <w:pStyle w:val="BodyText"/>
        <w:spacing w:before="7"/>
        <w:jc w:val="left"/>
        <w:rPr>
          <w:sz w:val="22"/>
        </w:rPr>
      </w:pPr>
    </w:p>
    <w:p>
      <w:pPr>
        <w:pStyle w:val="ListParagraph"/>
        <w:numPr>
          <w:ilvl w:val="0"/>
          <w:numId w:val="39"/>
        </w:numPr>
        <w:tabs>
          <w:tab w:pos="980" w:val="left" w:leader="none"/>
        </w:tabs>
        <w:spacing w:line="240" w:lineRule="auto" w:before="1" w:after="0"/>
        <w:ind w:left="980" w:right="0" w:hanging="360"/>
        <w:jc w:val="both"/>
        <w:rPr>
          <w:sz w:val="24"/>
        </w:rPr>
      </w:pPr>
      <w:r>
        <w:rPr>
          <w:b/>
          <w:sz w:val="24"/>
        </w:rPr>
        <w:t>Saistību dzēšanas plāna</w:t>
      </w:r>
      <w:r>
        <w:rPr>
          <w:b/>
          <w:spacing w:val="-1"/>
          <w:sz w:val="24"/>
        </w:rPr>
        <w:t> </w:t>
      </w:r>
      <w:r>
        <w:rPr>
          <w:b/>
          <w:sz w:val="24"/>
        </w:rPr>
        <w:t>grozīšana</w:t>
      </w:r>
      <w:r>
        <w:rPr>
          <w:sz w:val="24"/>
        </w:rPr>
        <w:t>:</w:t>
      </w:r>
    </w:p>
    <w:p>
      <w:pPr>
        <w:pStyle w:val="ListParagraph"/>
        <w:numPr>
          <w:ilvl w:val="1"/>
          <w:numId w:val="39"/>
        </w:numPr>
        <w:tabs>
          <w:tab w:pos="1340" w:val="left" w:leader="none"/>
        </w:tabs>
        <w:spacing w:line="237" w:lineRule="auto" w:before="2" w:after="0"/>
        <w:ind w:left="1340" w:right="761" w:hanging="360"/>
        <w:jc w:val="both"/>
        <w:rPr>
          <w:sz w:val="16"/>
        </w:rPr>
      </w:pPr>
      <w:r>
        <w:rPr>
          <w:b/>
          <w:i/>
          <w:sz w:val="24"/>
        </w:rPr>
        <w:t>Pienākums grozīt plānu</w:t>
      </w:r>
      <w:r>
        <w:rPr>
          <w:sz w:val="24"/>
        </w:rPr>
        <w:t>. </w:t>
      </w:r>
      <w:r>
        <w:rPr>
          <w:spacing w:val="-3"/>
          <w:sz w:val="24"/>
        </w:rPr>
        <w:t>LR </w:t>
      </w:r>
      <w:r>
        <w:rPr>
          <w:sz w:val="24"/>
        </w:rPr>
        <w:t>AT Civillietu departaments 2017.gada 3.februāra lēmumā lietā Nr. SPC-10/2017 atzina, ka fiziskajai personai saistību dzēšanas plāns jāgroza tikai tajos gadījumos, kad fiziskās personas ienākumi palielinās vai samazinās tādā apmērā, ka tas ietekmē saistību dzēšanas plāna īstenošanas termiņu, kas noteikts saskaņā ar Maksātnespējas likuma 155.pantu.</w:t>
      </w:r>
      <w:r>
        <w:rPr>
          <w:position w:val="9"/>
          <w:sz w:val="16"/>
        </w:rPr>
        <w:t>177 </w:t>
      </w:r>
      <w:r>
        <w:rPr>
          <w:sz w:val="24"/>
        </w:rPr>
        <w:t>Savukārt 2017.gada 28.septembra lēmumā lietā Nr. SPC-19/2017 </w:t>
      </w:r>
      <w:r>
        <w:rPr>
          <w:spacing w:val="-3"/>
          <w:sz w:val="24"/>
        </w:rPr>
        <w:t>LR </w:t>
      </w:r>
      <w:r>
        <w:rPr>
          <w:sz w:val="24"/>
        </w:rPr>
        <w:t>AT Civillietu departaments atzina, ka šīs prasības attiecināmas arī uz gadījumiem, kad parādnieka ikmēneša ienākumi ir mainīgi un var ietekmēt saistību dzēšanas plāna īstenošanas termiņu. Tas nozīmē, ka ienākumu gūšanas faktors ir noteicošs fizikās personas maksātnespējas procesa sekmīgā norisē, proti, parādnieka vēlme pēc iespējas pilnīgāk apmierināt kreditora prasījumus un veikt visu nepieciešamo, lai gūtu ienākumus, no kuriem varētu </w:t>
      </w:r>
      <w:r>
        <w:rPr>
          <w:spacing w:val="-3"/>
          <w:sz w:val="24"/>
        </w:rPr>
        <w:t>veikt </w:t>
      </w:r>
      <w:r>
        <w:rPr>
          <w:sz w:val="24"/>
        </w:rPr>
        <w:t>maksājumus</w:t>
      </w:r>
      <w:r>
        <w:rPr>
          <w:spacing w:val="-16"/>
          <w:sz w:val="24"/>
        </w:rPr>
        <w:t> </w:t>
      </w:r>
      <w:r>
        <w:rPr>
          <w:sz w:val="24"/>
        </w:rPr>
        <w:t>kreditoriem.</w:t>
      </w:r>
      <w:r>
        <w:rPr>
          <w:spacing w:val="-13"/>
          <w:sz w:val="24"/>
        </w:rPr>
        <w:t> </w:t>
      </w:r>
      <w:r>
        <w:rPr>
          <w:sz w:val="24"/>
        </w:rPr>
        <w:t>Tomēr,</w:t>
      </w:r>
      <w:r>
        <w:rPr>
          <w:spacing w:val="-15"/>
          <w:sz w:val="24"/>
        </w:rPr>
        <w:t> </w:t>
      </w:r>
      <w:r>
        <w:rPr>
          <w:sz w:val="24"/>
        </w:rPr>
        <w:t>ja</w:t>
      </w:r>
      <w:r>
        <w:rPr>
          <w:spacing w:val="-18"/>
          <w:sz w:val="24"/>
        </w:rPr>
        <w:t> </w:t>
      </w:r>
      <w:r>
        <w:rPr>
          <w:sz w:val="24"/>
        </w:rPr>
        <w:t>ienākumu</w:t>
      </w:r>
      <w:r>
        <w:rPr>
          <w:spacing w:val="-15"/>
          <w:sz w:val="24"/>
        </w:rPr>
        <w:t> </w:t>
      </w:r>
      <w:r>
        <w:rPr>
          <w:sz w:val="24"/>
        </w:rPr>
        <w:t>palielināšanās,</w:t>
      </w:r>
      <w:r>
        <w:rPr>
          <w:spacing w:val="-16"/>
          <w:sz w:val="24"/>
        </w:rPr>
        <w:t> </w:t>
      </w:r>
      <w:r>
        <w:rPr>
          <w:sz w:val="24"/>
        </w:rPr>
        <w:t>tostarp</w:t>
      </w:r>
      <w:r>
        <w:rPr>
          <w:spacing w:val="-15"/>
          <w:sz w:val="24"/>
        </w:rPr>
        <w:t> </w:t>
      </w:r>
      <w:r>
        <w:rPr>
          <w:sz w:val="24"/>
        </w:rPr>
        <w:t>minimālās darba algas likmes paaugstināšanas dēļ, vai samazināšanās nav tik būtiska, lai ietekmētu</w:t>
      </w:r>
      <w:r>
        <w:rPr>
          <w:spacing w:val="-11"/>
          <w:sz w:val="24"/>
        </w:rPr>
        <w:t> </w:t>
      </w:r>
      <w:r>
        <w:rPr>
          <w:sz w:val="24"/>
        </w:rPr>
        <w:t>parādsaistību</w:t>
      </w:r>
      <w:r>
        <w:rPr>
          <w:spacing w:val="-11"/>
          <w:sz w:val="24"/>
        </w:rPr>
        <w:t> </w:t>
      </w:r>
      <w:r>
        <w:rPr>
          <w:sz w:val="24"/>
        </w:rPr>
        <w:t>apmēru,</w:t>
      </w:r>
      <w:r>
        <w:rPr>
          <w:spacing w:val="-10"/>
          <w:sz w:val="24"/>
        </w:rPr>
        <w:t> </w:t>
      </w:r>
      <w:r>
        <w:rPr>
          <w:sz w:val="24"/>
        </w:rPr>
        <w:t>ko</w:t>
      </w:r>
      <w:r>
        <w:rPr>
          <w:spacing w:val="-11"/>
          <w:sz w:val="24"/>
        </w:rPr>
        <w:t> </w:t>
      </w:r>
      <w:r>
        <w:rPr>
          <w:sz w:val="24"/>
        </w:rPr>
        <w:t>fiziskā</w:t>
      </w:r>
      <w:r>
        <w:rPr>
          <w:spacing w:val="-12"/>
          <w:sz w:val="24"/>
        </w:rPr>
        <w:t> </w:t>
      </w:r>
      <w:r>
        <w:rPr>
          <w:sz w:val="24"/>
        </w:rPr>
        <w:t>persona</w:t>
      </w:r>
      <w:r>
        <w:rPr>
          <w:spacing w:val="-10"/>
          <w:sz w:val="24"/>
        </w:rPr>
        <w:t> </w:t>
      </w:r>
      <w:r>
        <w:rPr>
          <w:sz w:val="24"/>
        </w:rPr>
        <w:t>spējīga</w:t>
      </w:r>
      <w:r>
        <w:rPr>
          <w:spacing w:val="-13"/>
          <w:sz w:val="24"/>
        </w:rPr>
        <w:t> </w:t>
      </w:r>
      <w:r>
        <w:rPr>
          <w:sz w:val="24"/>
        </w:rPr>
        <w:t>segt</w:t>
      </w:r>
      <w:r>
        <w:rPr>
          <w:spacing w:val="-10"/>
          <w:sz w:val="24"/>
        </w:rPr>
        <w:t> </w:t>
      </w:r>
      <w:r>
        <w:rPr>
          <w:sz w:val="24"/>
        </w:rPr>
        <w:t>maksātnespējas procesā, un attiecīgi – saistību dzēšanas termiņu, tad grozījumi saistību dzēšanas plānā nav</w:t>
      </w:r>
      <w:r>
        <w:rPr>
          <w:spacing w:val="-3"/>
          <w:sz w:val="24"/>
        </w:rPr>
        <w:t> </w:t>
      </w:r>
      <w:r>
        <w:rPr>
          <w:sz w:val="24"/>
        </w:rPr>
        <w:t>jāveic</w:t>
      </w:r>
      <w:r>
        <w:rPr>
          <w:position w:val="9"/>
          <w:sz w:val="16"/>
        </w:rPr>
        <w:t>.178</w:t>
      </w:r>
    </w:p>
    <w:p>
      <w:pPr>
        <w:pStyle w:val="ListParagraph"/>
        <w:numPr>
          <w:ilvl w:val="1"/>
          <w:numId w:val="39"/>
        </w:numPr>
        <w:tabs>
          <w:tab w:pos="1340" w:val="left" w:leader="none"/>
        </w:tabs>
        <w:spacing w:line="240" w:lineRule="auto" w:before="19" w:after="0"/>
        <w:ind w:left="1340" w:right="761" w:hanging="360"/>
        <w:jc w:val="both"/>
        <w:rPr>
          <w:sz w:val="24"/>
        </w:rPr>
      </w:pPr>
      <w:r>
        <w:rPr>
          <w:b/>
          <w:i/>
          <w:sz w:val="24"/>
        </w:rPr>
        <w:t>Parādnieka tiesības lūgt maksātnespējas procesa pagarināšanu un saistību </w:t>
      </w:r>
      <w:r>
        <w:rPr>
          <w:b/>
          <w:i/>
          <w:sz w:val="24"/>
        </w:rPr>
        <w:t>dzēšanas plāna grozīšanu sakarā ar finansiālās situācijas pasliktināšanos</w:t>
      </w:r>
      <w:r>
        <w:rPr>
          <w:sz w:val="24"/>
        </w:rPr>
        <w:t>. LR AT Civillietu departaments ar 2015.gada 29.decembra lēmumu lietā Nr. SPC-0044-15 atcēla rajona tiesas lēmumu lietā, kur tiesā bija iesniegts parādnieka pieteikums par maksātnespējas procesa pagarināšanu sakarā ar finansiālās situācijas pasliktināšanos un saistību dzēšanas plāna grozīšanu, samazinot sedzamo saistību apmēru, un kur laikā, kamēr parādniekam tiesa devusi termiņu trūkumu novēršanai iesniegtajā pieteikumā, tiesā iesniegts kreditora</w:t>
      </w:r>
      <w:r>
        <w:rPr>
          <w:spacing w:val="-14"/>
          <w:sz w:val="24"/>
        </w:rPr>
        <w:t> </w:t>
      </w:r>
      <w:r>
        <w:rPr>
          <w:sz w:val="24"/>
        </w:rPr>
        <w:t>pieteikums</w:t>
      </w:r>
      <w:r>
        <w:rPr>
          <w:spacing w:val="-10"/>
          <w:sz w:val="24"/>
        </w:rPr>
        <w:t> </w:t>
      </w:r>
      <w:r>
        <w:rPr>
          <w:sz w:val="24"/>
        </w:rPr>
        <w:t>izbeigt</w:t>
      </w:r>
      <w:r>
        <w:rPr>
          <w:spacing w:val="-11"/>
          <w:sz w:val="24"/>
        </w:rPr>
        <w:t> </w:t>
      </w:r>
      <w:r>
        <w:rPr>
          <w:sz w:val="24"/>
        </w:rPr>
        <w:t>fiziskās</w:t>
      </w:r>
      <w:r>
        <w:rPr>
          <w:spacing w:val="-12"/>
          <w:sz w:val="24"/>
        </w:rPr>
        <w:t> </w:t>
      </w:r>
      <w:r>
        <w:rPr>
          <w:sz w:val="24"/>
        </w:rPr>
        <w:t>personas</w:t>
      </w:r>
      <w:r>
        <w:rPr>
          <w:spacing w:val="-12"/>
          <w:sz w:val="24"/>
        </w:rPr>
        <w:t> </w:t>
      </w:r>
      <w:r>
        <w:rPr>
          <w:sz w:val="24"/>
        </w:rPr>
        <w:t>maksātnespējas</w:t>
      </w:r>
      <w:r>
        <w:rPr>
          <w:spacing w:val="-11"/>
          <w:sz w:val="24"/>
        </w:rPr>
        <w:t> </w:t>
      </w:r>
      <w:r>
        <w:rPr>
          <w:sz w:val="24"/>
        </w:rPr>
        <w:t>procesu</w:t>
      </w:r>
      <w:r>
        <w:rPr>
          <w:spacing w:val="-10"/>
          <w:sz w:val="24"/>
        </w:rPr>
        <w:t> </w:t>
      </w:r>
      <w:r>
        <w:rPr>
          <w:sz w:val="24"/>
        </w:rPr>
        <w:t>sakarā</w:t>
      </w:r>
      <w:r>
        <w:rPr>
          <w:spacing w:val="-12"/>
          <w:sz w:val="24"/>
        </w:rPr>
        <w:t> </w:t>
      </w:r>
      <w:r>
        <w:rPr>
          <w:sz w:val="24"/>
        </w:rPr>
        <w:t>ar plāna nepildīšanu. Šajā lietā Civillietu departaments konstatēja, ka ir pieļauts parādnieka tiesību uz maksātnespējas procesa pagarināšanu aizskārums. Civillietu departaments arī atzina, ka konkrētajā gadījumā tiesas lēmumu, neesot argumentācijai par lietā pieņemto pierādījumu</w:t>
      </w:r>
      <w:r>
        <w:rPr>
          <w:spacing w:val="13"/>
          <w:sz w:val="24"/>
        </w:rPr>
        <w:t> </w:t>
      </w:r>
      <w:r>
        <w:rPr>
          <w:sz w:val="24"/>
        </w:rPr>
        <w:t>attiecināmību</w:t>
      </w:r>
    </w:p>
    <w:p>
      <w:pPr>
        <w:pStyle w:val="BodyText"/>
        <w:spacing w:before="1"/>
        <w:jc w:val="left"/>
        <w:rPr>
          <w:sz w:val="16"/>
        </w:rPr>
      </w:pPr>
      <w:r>
        <w:rPr/>
        <w:pict>
          <v:shape style="position:absolute;margin-left:72pt;margin-top:11.536962pt;width:144pt;height:.1pt;mso-position-horizontal-relative:page;mso-position-vertical-relative:paragraph;z-index:-251618304;mso-wrap-distance-left:0;mso-wrap-distance-right:0" coordorigin="1440,231" coordsize="2880,0" path="m1440,231l4320,231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175 </w:t>
      </w:r>
      <w:r>
        <w:rPr>
          <w:sz w:val="20"/>
        </w:rPr>
        <w:t>LR AT Civillietu departamenta 2018.gada 4.jūlija lēmums lietā Nr. SPC-7/2018</w:t>
      </w:r>
    </w:p>
    <w:p>
      <w:pPr>
        <w:spacing w:line="230" w:lineRule="exact" w:before="0"/>
        <w:ind w:left="260" w:right="0" w:firstLine="0"/>
        <w:jc w:val="left"/>
        <w:rPr>
          <w:sz w:val="20"/>
        </w:rPr>
      </w:pPr>
      <w:r>
        <w:rPr>
          <w:position w:val="7"/>
          <w:sz w:val="13"/>
        </w:rPr>
        <w:t>176 </w:t>
      </w:r>
      <w:r>
        <w:rPr>
          <w:sz w:val="20"/>
        </w:rPr>
        <w:t>LR AT Civillietu departamenta 2016.gada 9.decembra lēmums lietā Nr. SPC-15/2016</w:t>
      </w:r>
    </w:p>
    <w:p>
      <w:pPr>
        <w:spacing w:line="230" w:lineRule="exact" w:before="0"/>
        <w:ind w:left="260" w:right="0" w:firstLine="0"/>
        <w:jc w:val="left"/>
        <w:rPr>
          <w:sz w:val="20"/>
        </w:rPr>
      </w:pPr>
      <w:r>
        <w:rPr>
          <w:position w:val="7"/>
          <w:sz w:val="13"/>
        </w:rPr>
        <w:t>177 </w:t>
      </w:r>
      <w:r>
        <w:rPr>
          <w:sz w:val="20"/>
        </w:rPr>
        <w:t>LR AT Civillietu departamenta 2017.gada 3.februāra lēmums lietā Nr. SPC-10/2017</w:t>
      </w:r>
    </w:p>
    <w:p>
      <w:pPr>
        <w:spacing w:line="233" w:lineRule="exact" w:before="0"/>
        <w:ind w:left="260" w:right="0" w:firstLine="0"/>
        <w:jc w:val="left"/>
        <w:rPr>
          <w:sz w:val="20"/>
        </w:rPr>
      </w:pPr>
      <w:r>
        <w:rPr>
          <w:position w:val="7"/>
          <w:sz w:val="13"/>
        </w:rPr>
        <w:t>178 </w:t>
      </w:r>
      <w:r>
        <w:rPr>
          <w:sz w:val="20"/>
        </w:rPr>
        <w:t>LR AT Civillietu departamenta 2017.gada 28.septembra lēmums lietā Nr. SPC-19/2017</w:t>
      </w:r>
    </w:p>
    <w:p>
      <w:pPr>
        <w:spacing w:after="0" w:line="233" w:lineRule="exact"/>
        <w:jc w:val="left"/>
        <w:rPr>
          <w:sz w:val="20"/>
        </w:rPr>
        <w:sectPr>
          <w:pgSz w:w="11910" w:h="16840"/>
          <w:pgMar w:header="0" w:footer="1055" w:top="1340" w:bottom="1240" w:left="1180" w:right="1040"/>
        </w:sectPr>
      </w:pPr>
    </w:p>
    <w:p>
      <w:pPr>
        <w:pStyle w:val="BodyText"/>
        <w:spacing w:line="237" w:lineRule="auto" w:before="75"/>
        <w:ind w:left="1700" w:right="401"/>
        <w:rPr>
          <w:sz w:val="16"/>
        </w:rPr>
      </w:pPr>
      <w:r>
        <w:rPr/>
        <w:t>Maksātnespējas likuma 160. panta pirmās daļas 1.punkta piemērošanā, nevar atzīt</w:t>
      </w:r>
      <w:r>
        <w:rPr>
          <w:spacing w:val="-16"/>
        </w:rPr>
        <w:t> </w:t>
      </w:r>
      <w:r>
        <w:rPr/>
        <w:t>par</w:t>
      </w:r>
      <w:r>
        <w:rPr>
          <w:spacing w:val="-16"/>
        </w:rPr>
        <w:t> </w:t>
      </w:r>
      <w:r>
        <w:rPr/>
        <w:t>pamatotu.</w:t>
      </w:r>
      <w:r>
        <w:rPr>
          <w:spacing w:val="-12"/>
        </w:rPr>
        <w:t> </w:t>
      </w:r>
      <w:r>
        <w:rPr/>
        <w:t>Lai</w:t>
      </w:r>
      <w:r>
        <w:rPr>
          <w:spacing w:val="-16"/>
        </w:rPr>
        <w:t> </w:t>
      </w:r>
      <w:r>
        <w:rPr/>
        <w:t>šo</w:t>
      </w:r>
      <w:r>
        <w:rPr>
          <w:spacing w:val="-15"/>
        </w:rPr>
        <w:t> </w:t>
      </w:r>
      <w:r>
        <w:rPr/>
        <w:t>jautājumu</w:t>
      </w:r>
      <w:r>
        <w:rPr>
          <w:spacing w:val="-16"/>
        </w:rPr>
        <w:t> </w:t>
      </w:r>
      <w:r>
        <w:rPr/>
        <w:t>izlemtu</w:t>
      </w:r>
      <w:r>
        <w:rPr>
          <w:spacing w:val="-15"/>
        </w:rPr>
        <w:t> </w:t>
      </w:r>
      <w:r>
        <w:rPr/>
        <w:t>pareizi</w:t>
      </w:r>
      <w:r>
        <w:rPr>
          <w:spacing w:val="-18"/>
        </w:rPr>
        <w:t> </w:t>
      </w:r>
      <w:r>
        <w:rPr/>
        <w:t>un</w:t>
      </w:r>
      <w:r>
        <w:rPr>
          <w:spacing w:val="-15"/>
        </w:rPr>
        <w:t> </w:t>
      </w:r>
      <w:r>
        <w:rPr/>
        <w:t>taisnīgi,</w:t>
      </w:r>
      <w:r>
        <w:rPr>
          <w:spacing w:val="-16"/>
        </w:rPr>
        <w:t> </w:t>
      </w:r>
      <w:r>
        <w:rPr/>
        <w:t>katrs</w:t>
      </w:r>
      <w:r>
        <w:rPr>
          <w:spacing w:val="-15"/>
        </w:rPr>
        <w:t> </w:t>
      </w:r>
      <w:r>
        <w:rPr/>
        <w:t>individuāls gadījums</w:t>
      </w:r>
      <w:r>
        <w:rPr>
          <w:spacing w:val="-6"/>
        </w:rPr>
        <w:t> </w:t>
      </w:r>
      <w:r>
        <w:rPr/>
        <w:t>prasa</w:t>
      </w:r>
      <w:r>
        <w:rPr>
          <w:spacing w:val="-5"/>
        </w:rPr>
        <w:t> </w:t>
      </w:r>
      <w:r>
        <w:rPr/>
        <w:t>rūpīgu</w:t>
      </w:r>
      <w:r>
        <w:rPr>
          <w:spacing w:val="-3"/>
        </w:rPr>
        <w:t> </w:t>
      </w:r>
      <w:r>
        <w:rPr/>
        <w:t>izvērtējumu.</w:t>
      </w:r>
      <w:r>
        <w:rPr>
          <w:spacing w:val="-6"/>
        </w:rPr>
        <w:t> </w:t>
      </w:r>
      <w:r>
        <w:rPr/>
        <w:t>Citiem</w:t>
      </w:r>
      <w:r>
        <w:rPr>
          <w:spacing w:val="-5"/>
        </w:rPr>
        <w:t> </w:t>
      </w:r>
      <w:r>
        <w:rPr/>
        <w:t>vārdiem,</w:t>
      </w:r>
      <w:r>
        <w:rPr>
          <w:spacing w:val="-5"/>
        </w:rPr>
        <w:t> </w:t>
      </w:r>
      <w:r>
        <w:rPr/>
        <w:t>tāpat</w:t>
      </w:r>
      <w:r>
        <w:rPr>
          <w:spacing w:val="-8"/>
        </w:rPr>
        <w:t> </w:t>
      </w:r>
      <w:r>
        <w:rPr/>
        <w:t>kā</w:t>
      </w:r>
      <w:r>
        <w:rPr>
          <w:spacing w:val="-5"/>
        </w:rPr>
        <w:t> </w:t>
      </w:r>
      <w:r>
        <w:rPr/>
        <w:t>izspriežot</w:t>
      </w:r>
      <w:r>
        <w:rPr>
          <w:spacing w:val="-5"/>
        </w:rPr>
        <w:t> </w:t>
      </w:r>
      <w:r>
        <w:rPr/>
        <w:t>jebkuru citu civillietu, nolēmumā izdarītajiem secinājumiem jābalstās uz faktisko apstākļu vispusīgu pārbaudi un to juridisko novērtējumu.</w:t>
      </w:r>
      <w:r>
        <w:rPr>
          <w:position w:val="9"/>
          <w:sz w:val="16"/>
        </w:rPr>
        <w:t>179</w:t>
      </w:r>
    </w:p>
    <w:p>
      <w:pPr>
        <w:pStyle w:val="Heading4"/>
        <w:numPr>
          <w:ilvl w:val="1"/>
          <w:numId w:val="39"/>
        </w:numPr>
        <w:tabs>
          <w:tab w:pos="1700" w:val="left" w:leader="none"/>
        </w:tabs>
        <w:spacing w:line="235" w:lineRule="auto" w:before="6" w:after="0"/>
        <w:ind w:left="1700" w:right="402" w:hanging="360"/>
        <w:jc w:val="both"/>
        <w:rPr>
          <w:b w:val="0"/>
          <w:i w:val="0"/>
          <w:sz w:val="16"/>
        </w:rPr>
      </w:pPr>
      <w:r>
        <w:rPr>
          <w:i/>
        </w:rPr>
        <w:t>Plānu grozīšanas kārtība saistībā ar Maksātnespējas likuma grozījumiem </w:t>
      </w:r>
      <w:r>
        <w:rPr/>
        <w:t>155.pantā attiecībā uz saistību dzēšanas plāna termiņiem, kas stājās spēkā 2015.gada 1.martā, un kas bija piemērojami arī maksātnespējas procesiem, kur uzsākti līdz 2015.gada</w:t>
      </w:r>
      <w:r>
        <w:rPr>
          <w:spacing w:val="-3"/>
        </w:rPr>
        <w:t> </w:t>
      </w:r>
      <w:r>
        <w:rPr/>
        <w:t>28.februārim</w:t>
      </w:r>
      <w:r>
        <w:rPr>
          <w:i w:val="0"/>
        </w:rPr>
        <w:t>:</w:t>
      </w:r>
      <w:r>
        <w:rPr>
          <w:b w:val="0"/>
          <w:i w:val="0"/>
          <w:position w:val="9"/>
          <w:sz w:val="16"/>
        </w:rPr>
        <w:t>180</w:t>
      </w:r>
    </w:p>
    <w:p>
      <w:pPr>
        <w:pStyle w:val="BodyText"/>
        <w:spacing w:line="237" w:lineRule="auto"/>
        <w:ind w:left="2321" w:right="401" w:hanging="569"/>
        <w:rPr>
          <w:sz w:val="16"/>
        </w:rPr>
      </w:pPr>
      <w:r>
        <w:rPr/>
        <w:t>(ca) Maksātnespējas likuma Pārejas noteikumu 18. punktā iekļautā atsevišķā norāde par parādnieka pienākumu iesniegt pierādījumus par saistību dzēšanas plāna grozījumu nodošanu visiem kreditoriem nozīmē to, ka kreditori ir jāinformē par plāna grozījumiem. Taču likums neparedz, ka ar šādiem plāna grozījumiem kreditori jāiepazīstina Maksātnespējas likuma 149. pantā noteiktajā kārtībā un viņiem ir tiesības par tiem 15 dienu laikā izteikt iebildumus un priekšlikumus. To ievērojot, tiesas secinājums, ka pieteikums par saistību dzēšanas plāna grozījumu apstiprināšanu neatbilst Maksātnespējas likuma prasībām, jo iesniegts tiesā pirms termiņa, kas noteikts kreditoru iebildumu sniegšanai, ir nepareizs un nevarēja būt pamats pieteikuma noraidīšanai.</w:t>
      </w:r>
      <w:r>
        <w:rPr>
          <w:position w:val="9"/>
          <w:sz w:val="16"/>
        </w:rPr>
        <w:t>181</w:t>
      </w:r>
    </w:p>
    <w:p>
      <w:pPr>
        <w:pStyle w:val="BodyText"/>
        <w:spacing w:line="232" w:lineRule="auto" w:before="20"/>
        <w:ind w:left="2321" w:right="401" w:hanging="569"/>
        <w:rPr>
          <w:sz w:val="16"/>
        </w:rPr>
      </w:pPr>
      <w:r>
        <w:rPr/>
        <w:t>(cb) Šie nav saistību dzēšanas plāna grozījumi parastā kārtībā, bet ir saistīti tikai ar parādniekam likumā doto iespēju izmantot jauno viņam labvēlīgāko likuma regulējumu.</w:t>
      </w:r>
      <w:r>
        <w:rPr>
          <w:position w:val="9"/>
          <w:sz w:val="16"/>
        </w:rPr>
        <w:t>182</w:t>
      </w:r>
    </w:p>
    <w:p>
      <w:pPr>
        <w:pStyle w:val="BodyText"/>
        <w:spacing w:before="7"/>
        <w:jc w:val="left"/>
      </w:pPr>
    </w:p>
    <w:p>
      <w:pPr>
        <w:pStyle w:val="Heading3"/>
        <w:numPr>
          <w:ilvl w:val="0"/>
          <w:numId w:val="39"/>
        </w:numPr>
        <w:tabs>
          <w:tab w:pos="1340" w:val="left" w:leader="none"/>
        </w:tabs>
        <w:spacing w:line="240" w:lineRule="auto" w:before="0" w:after="0"/>
        <w:ind w:left="1340" w:right="0" w:hanging="360"/>
        <w:jc w:val="both"/>
      </w:pPr>
      <w:r>
        <w:rPr/>
        <w:t>Saistību dzēšanas plāna izpilde:</w:t>
      </w:r>
    </w:p>
    <w:p>
      <w:pPr>
        <w:pStyle w:val="ListParagraph"/>
        <w:numPr>
          <w:ilvl w:val="1"/>
          <w:numId w:val="39"/>
        </w:numPr>
        <w:tabs>
          <w:tab w:pos="1753" w:val="left" w:leader="none"/>
        </w:tabs>
        <w:spacing w:line="230" w:lineRule="auto" w:before="9" w:after="0"/>
        <w:ind w:left="1752" w:right="404" w:hanging="425"/>
        <w:jc w:val="both"/>
        <w:rPr>
          <w:sz w:val="16"/>
        </w:rPr>
      </w:pPr>
      <w:r>
        <w:rPr>
          <w:b/>
          <w:i/>
          <w:sz w:val="24"/>
        </w:rPr>
        <w:t>Tiesas pienākums dot vērtējumu pierādījumiem par plāna izpildi – tiesa </w:t>
      </w:r>
      <w:r>
        <w:rPr>
          <w:b/>
          <w:i/>
          <w:sz w:val="24"/>
        </w:rPr>
        <w:t>nevar </w:t>
      </w:r>
      <w:r>
        <w:rPr>
          <w:sz w:val="24"/>
        </w:rPr>
        <w:t>savu atzinumu, ka parādnieks neizpildīja saistību dzēšanas plānu, pamatot vienīgi ar kreditora izteiktajiem</w:t>
      </w:r>
      <w:r>
        <w:rPr>
          <w:spacing w:val="-3"/>
          <w:sz w:val="24"/>
        </w:rPr>
        <w:t> </w:t>
      </w:r>
      <w:r>
        <w:rPr>
          <w:sz w:val="24"/>
        </w:rPr>
        <w:t>apgalvojumiem.</w:t>
      </w:r>
      <w:r>
        <w:rPr>
          <w:position w:val="9"/>
          <w:sz w:val="16"/>
        </w:rPr>
        <w:t>183</w:t>
      </w:r>
    </w:p>
    <w:p>
      <w:pPr>
        <w:pStyle w:val="ListParagraph"/>
        <w:numPr>
          <w:ilvl w:val="1"/>
          <w:numId w:val="39"/>
        </w:numPr>
        <w:tabs>
          <w:tab w:pos="1753" w:val="left" w:leader="none"/>
        </w:tabs>
        <w:spacing w:line="237" w:lineRule="auto" w:before="12" w:after="0"/>
        <w:ind w:left="1752" w:right="404" w:hanging="425"/>
        <w:jc w:val="both"/>
        <w:rPr>
          <w:sz w:val="16"/>
        </w:rPr>
      </w:pPr>
      <w:r>
        <w:rPr>
          <w:b/>
          <w:i/>
          <w:sz w:val="24"/>
        </w:rPr>
        <w:t>Tiesas pienākums izvērtēt, vai parādnieks veicis fiziskās personas saistību </w:t>
      </w:r>
      <w:r>
        <w:rPr>
          <w:b/>
          <w:i/>
          <w:sz w:val="24"/>
        </w:rPr>
        <w:t>dzēšanas plānā noteiktās darbības (izpildījis saistību dzēšanas plānu) </w:t>
      </w:r>
      <w:r>
        <w:rPr>
          <w:sz w:val="24"/>
        </w:rPr>
        <w:t>– tiesa nevar administratora iesniegto pieteikumu par saistību dzēšanas procedūras izbeigšanu sakarā ar saistību dzēšanas plāna īstenošanas termiņa iestāšanos kvalificēt kā saistību dzēšanas plāna nepildīšanu. Respektīvi, šādā situācijā tiesai, lai varētu izlemt jautājumu par saistību dzēšanas procedūras</w:t>
      </w:r>
      <w:r>
        <w:rPr>
          <w:spacing w:val="-23"/>
          <w:sz w:val="24"/>
        </w:rPr>
        <w:t> </w:t>
      </w:r>
      <w:r>
        <w:rPr>
          <w:sz w:val="24"/>
        </w:rPr>
        <w:t>izbeigšanu, jāpieprasa parādniekam informācija par saistību dzēšanas plāna izpildi, lai varētu izlemt jautājumu, vai parādnieks ir atbrīvojams no </w:t>
      </w:r>
      <w:r>
        <w:rPr>
          <w:spacing w:val="-2"/>
          <w:sz w:val="24"/>
        </w:rPr>
        <w:t>atlikušajām </w:t>
      </w:r>
      <w:r>
        <w:rPr>
          <w:sz w:val="24"/>
        </w:rPr>
        <w:t>saistībām.</w:t>
      </w:r>
      <w:r>
        <w:rPr>
          <w:position w:val="9"/>
          <w:sz w:val="16"/>
        </w:rPr>
        <w:t>184</w:t>
      </w:r>
    </w:p>
    <w:p>
      <w:pPr>
        <w:pStyle w:val="ListParagraph"/>
        <w:numPr>
          <w:ilvl w:val="1"/>
          <w:numId w:val="39"/>
        </w:numPr>
        <w:tabs>
          <w:tab w:pos="1753" w:val="left" w:leader="none"/>
        </w:tabs>
        <w:spacing w:line="240" w:lineRule="auto" w:before="7" w:after="0"/>
        <w:ind w:left="1752" w:right="403" w:hanging="425"/>
        <w:jc w:val="both"/>
        <w:rPr>
          <w:sz w:val="24"/>
        </w:rPr>
      </w:pPr>
      <w:r>
        <w:rPr>
          <w:b/>
          <w:i/>
          <w:sz w:val="24"/>
        </w:rPr>
        <w:t>Parādniekam ir tiesības veikt mazākus maksājumus par saistību dzēšanas </w:t>
      </w:r>
      <w:r>
        <w:rPr>
          <w:b/>
          <w:i/>
          <w:sz w:val="24"/>
        </w:rPr>
        <w:t>plānā norādīto prognozi, ja faktiskie ienākumi ir bijuši mazāki par prognozēto</w:t>
      </w:r>
      <w:r>
        <w:rPr>
          <w:sz w:val="24"/>
        </w:rPr>
        <w:t>. Respektīvi, ja parādnieks saistību dzēšanas procedūras laikā kreditoriem novirzījis vienu trešdaļu no parādnieka ienākumiem, saistību dzēšanas</w:t>
      </w:r>
      <w:r>
        <w:rPr>
          <w:spacing w:val="32"/>
          <w:sz w:val="24"/>
        </w:rPr>
        <w:t> </w:t>
      </w:r>
      <w:r>
        <w:rPr>
          <w:sz w:val="24"/>
        </w:rPr>
        <w:t>plāns</w:t>
      </w:r>
      <w:r>
        <w:rPr>
          <w:spacing w:val="33"/>
          <w:sz w:val="24"/>
        </w:rPr>
        <w:t> </w:t>
      </w:r>
      <w:r>
        <w:rPr>
          <w:sz w:val="24"/>
        </w:rPr>
        <w:t>ir</w:t>
      </w:r>
      <w:r>
        <w:rPr>
          <w:spacing w:val="35"/>
          <w:sz w:val="24"/>
        </w:rPr>
        <w:t> </w:t>
      </w:r>
      <w:r>
        <w:rPr>
          <w:sz w:val="24"/>
        </w:rPr>
        <w:t>uzskatāms</w:t>
      </w:r>
      <w:r>
        <w:rPr>
          <w:spacing w:val="33"/>
          <w:sz w:val="24"/>
        </w:rPr>
        <w:t> </w:t>
      </w:r>
      <w:r>
        <w:rPr>
          <w:sz w:val="24"/>
        </w:rPr>
        <w:t>par</w:t>
      </w:r>
      <w:r>
        <w:rPr>
          <w:spacing w:val="35"/>
          <w:sz w:val="24"/>
        </w:rPr>
        <w:t> </w:t>
      </w:r>
      <w:r>
        <w:rPr>
          <w:sz w:val="24"/>
        </w:rPr>
        <w:t>izpildītu</w:t>
      </w:r>
      <w:r>
        <w:rPr>
          <w:spacing w:val="36"/>
          <w:sz w:val="24"/>
        </w:rPr>
        <w:t> </w:t>
      </w:r>
      <w:r>
        <w:rPr>
          <w:sz w:val="24"/>
        </w:rPr>
        <w:t>arī</w:t>
      </w:r>
      <w:r>
        <w:rPr>
          <w:spacing w:val="32"/>
          <w:sz w:val="24"/>
        </w:rPr>
        <w:t> </w:t>
      </w:r>
      <w:r>
        <w:rPr>
          <w:sz w:val="24"/>
        </w:rPr>
        <w:t>tad,</w:t>
      </w:r>
      <w:r>
        <w:rPr>
          <w:spacing w:val="33"/>
          <w:sz w:val="24"/>
        </w:rPr>
        <w:t> </w:t>
      </w:r>
      <w:r>
        <w:rPr>
          <w:sz w:val="24"/>
        </w:rPr>
        <w:t>ja</w:t>
      </w:r>
      <w:r>
        <w:rPr>
          <w:spacing w:val="33"/>
          <w:sz w:val="24"/>
        </w:rPr>
        <w:t> </w:t>
      </w:r>
      <w:r>
        <w:rPr>
          <w:sz w:val="24"/>
        </w:rPr>
        <w:t>tie</w:t>
      </w:r>
      <w:r>
        <w:rPr>
          <w:spacing w:val="33"/>
          <w:sz w:val="24"/>
        </w:rPr>
        <w:t> </w:t>
      </w:r>
      <w:r>
        <w:rPr>
          <w:sz w:val="24"/>
        </w:rPr>
        <w:t>ir</w:t>
      </w:r>
      <w:r>
        <w:rPr>
          <w:spacing w:val="35"/>
          <w:sz w:val="24"/>
        </w:rPr>
        <w:t> </w:t>
      </w:r>
      <w:r>
        <w:rPr>
          <w:sz w:val="24"/>
        </w:rPr>
        <w:t>mazāki</w:t>
      </w:r>
      <w:r>
        <w:rPr>
          <w:spacing w:val="33"/>
          <w:sz w:val="24"/>
        </w:rPr>
        <w:t> </w:t>
      </w:r>
      <w:r>
        <w:rPr>
          <w:sz w:val="24"/>
        </w:rPr>
        <w:t>par</w:t>
      </w:r>
      <w:r>
        <w:rPr>
          <w:spacing w:val="33"/>
          <w:sz w:val="24"/>
        </w:rPr>
        <w:t> </w:t>
      </w:r>
      <w:r>
        <w:rPr>
          <w:sz w:val="24"/>
        </w:rPr>
        <w:t>plānā</w:t>
      </w:r>
    </w:p>
    <w:p>
      <w:pPr>
        <w:pStyle w:val="BodyText"/>
        <w:jc w:val="left"/>
        <w:rPr>
          <w:sz w:val="20"/>
        </w:rPr>
      </w:pPr>
    </w:p>
    <w:p>
      <w:pPr>
        <w:pStyle w:val="BodyText"/>
        <w:spacing w:before="2"/>
        <w:jc w:val="left"/>
        <w:rPr>
          <w:sz w:val="12"/>
        </w:rPr>
      </w:pPr>
      <w:r>
        <w:rPr/>
        <w:pict>
          <v:shape style="position:absolute;margin-left:90pt;margin-top:9.267804pt;width:144pt;height:.1pt;mso-position-horizontal-relative:page;mso-position-vertical-relative:paragraph;z-index:-251617280;mso-wrap-distance-left:0;mso-wrap-distance-right:0" coordorigin="1800,185" coordsize="2880,0" path="m1800,185l4680,185e" filled="false" stroked="true" strokeweight=".599991pt" strokecolor="#000000">
            <v:path arrowok="t"/>
            <v:stroke dashstyle="solid"/>
            <w10:wrap type="topAndBottom"/>
          </v:shape>
        </w:pict>
      </w:r>
    </w:p>
    <w:p>
      <w:pPr>
        <w:spacing w:line="233" w:lineRule="exact" w:before="70"/>
        <w:ind w:left="620" w:right="0" w:firstLine="0"/>
        <w:jc w:val="both"/>
        <w:rPr>
          <w:sz w:val="20"/>
        </w:rPr>
      </w:pPr>
      <w:r>
        <w:rPr>
          <w:position w:val="7"/>
          <w:sz w:val="13"/>
        </w:rPr>
        <w:t>179 </w:t>
      </w:r>
      <w:r>
        <w:rPr>
          <w:sz w:val="20"/>
        </w:rPr>
        <w:t>LR AT Civillietu departamenta 2015.gada 29.decembra lēmums lietā Nr. SPC-0044-15</w:t>
      </w:r>
    </w:p>
    <w:p>
      <w:pPr>
        <w:spacing w:line="240" w:lineRule="auto" w:before="0"/>
        <w:ind w:left="620" w:right="403" w:firstLine="0"/>
        <w:jc w:val="both"/>
        <w:rPr>
          <w:sz w:val="20"/>
        </w:rPr>
      </w:pPr>
      <w:r>
        <w:rPr>
          <w:position w:val="7"/>
          <w:sz w:val="13"/>
        </w:rPr>
        <w:t>180 </w:t>
      </w:r>
      <w:r>
        <w:rPr>
          <w:sz w:val="20"/>
        </w:rPr>
        <w:t>LR AT Civillietu departamenta 2016.gada 28.oktobra lēmums lietā Nr. SPC-19-2016, LR AT Civillietu departamenta</w:t>
      </w:r>
      <w:r>
        <w:rPr>
          <w:spacing w:val="-8"/>
          <w:sz w:val="20"/>
        </w:rPr>
        <w:t> </w:t>
      </w:r>
      <w:r>
        <w:rPr>
          <w:sz w:val="20"/>
        </w:rPr>
        <w:t>2016.gada</w:t>
      </w:r>
      <w:r>
        <w:rPr>
          <w:spacing w:val="-7"/>
          <w:sz w:val="20"/>
        </w:rPr>
        <w:t> </w:t>
      </w:r>
      <w:r>
        <w:rPr>
          <w:sz w:val="20"/>
        </w:rPr>
        <w:t>29.aprīļa</w:t>
      </w:r>
      <w:r>
        <w:rPr>
          <w:spacing w:val="-6"/>
          <w:sz w:val="20"/>
        </w:rPr>
        <w:t> </w:t>
      </w:r>
      <w:r>
        <w:rPr>
          <w:sz w:val="20"/>
        </w:rPr>
        <w:t>lēmums</w:t>
      </w:r>
      <w:r>
        <w:rPr>
          <w:spacing w:val="-7"/>
          <w:sz w:val="20"/>
        </w:rPr>
        <w:t> </w:t>
      </w:r>
      <w:r>
        <w:rPr>
          <w:sz w:val="20"/>
        </w:rPr>
        <w:t>lietā</w:t>
      </w:r>
      <w:r>
        <w:rPr>
          <w:spacing w:val="-5"/>
          <w:sz w:val="20"/>
        </w:rPr>
        <w:t> </w:t>
      </w:r>
      <w:r>
        <w:rPr>
          <w:sz w:val="20"/>
        </w:rPr>
        <w:t>Nr.</w:t>
      </w:r>
      <w:r>
        <w:rPr>
          <w:spacing w:val="-8"/>
          <w:sz w:val="20"/>
        </w:rPr>
        <w:t> </w:t>
      </w:r>
      <w:r>
        <w:rPr>
          <w:sz w:val="20"/>
        </w:rPr>
        <w:t>SPC-0006-16,</w:t>
      </w:r>
      <w:r>
        <w:rPr>
          <w:spacing w:val="-7"/>
          <w:sz w:val="20"/>
        </w:rPr>
        <w:t> </w:t>
      </w:r>
      <w:r>
        <w:rPr>
          <w:sz w:val="20"/>
        </w:rPr>
        <w:t>LR</w:t>
      </w:r>
      <w:r>
        <w:rPr>
          <w:spacing w:val="-7"/>
          <w:sz w:val="20"/>
        </w:rPr>
        <w:t> </w:t>
      </w:r>
      <w:r>
        <w:rPr>
          <w:sz w:val="20"/>
        </w:rPr>
        <w:t>AT</w:t>
      </w:r>
      <w:r>
        <w:rPr>
          <w:spacing w:val="-6"/>
          <w:sz w:val="20"/>
        </w:rPr>
        <w:t> </w:t>
      </w:r>
      <w:r>
        <w:rPr>
          <w:sz w:val="20"/>
        </w:rPr>
        <w:t>Civillietu</w:t>
      </w:r>
      <w:r>
        <w:rPr>
          <w:spacing w:val="-7"/>
          <w:sz w:val="20"/>
        </w:rPr>
        <w:t> </w:t>
      </w:r>
      <w:r>
        <w:rPr>
          <w:sz w:val="20"/>
        </w:rPr>
        <w:t>departamenta</w:t>
      </w:r>
      <w:r>
        <w:rPr>
          <w:spacing w:val="-6"/>
          <w:sz w:val="20"/>
        </w:rPr>
        <w:t> </w:t>
      </w:r>
      <w:r>
        <w:rPr>
          <w:sz w:val="20"/>
        </w:rPr>
        <w:t>2016.gada 26.maija lēmums lietā Nr.</w:t>
      </w:r>
      <w:r>
        <w:rPr>
          <w:spacing w:val="-3"/>
          <w:sz w:val="20"/>
        </w:rPr>
        <w:t> </w:t>
      </w:r>
      <w:r>
        <w:rPr>
          <w:sz w:val="20"/>
        </w:rPr>
        <w:t>SPC-7/2016</w:t>
      </w:r>
    </w:p>
    <w:p>
      <w:pPr>
        <w:spacing w:line="227" w:lineRule="exact" w:before="0"/>
        <w:ind w:left="620" w:right="0" w:firstLine="0"/>
        <w:jc w:val="left"/>
        <w:rPr>
          <w:sz w:val="20"/>
        </w:rPr>
      </w:pPr>
      <w:r>
        <w:rPr>
          <w:position w:val="7"/>
          <w:sz w:val="13"/>
        </w:rPr>
        <w:t>181 </w:t>
      </w:r>
      <w:r>
        <w:rPr>
          <w:sz w:val="20"/>
        </w:rPr>
        <w:t>LR AT Civillietu departamenta 2015.gada 23.decembra lēmums lietā Nr. SPC-33/2015</w:t>
      </w:r>
    </w:p>
    <w:p>
      <w:pPr>
        <w:spacing w:line="230" w:lineRule="exact" w:before="0"/>
        <w:ind w:left="620" w:right="0" w:firstLine="0"/>
        <w:jc w:val="left"/>
        <w:rPr>
          <w:sz w:val="20"/>
        </w:rPr>
      </w:pPr>
      <w:r>
        <w:rPr>
          <w:position w:val="7"/>
          <w:sz w:val="13"/>
        </w:rPr>
        <w:t>182 </w:t>
      </w:r>
      <w:r>
        <w:rPr>
          <w:sz w:val="20"/>
        </w:rPr>
        <w:t>LR AT Civillietu departamenta 2018.gada 6.februāra lēmums lietā Nr. SPC-3/2018</w:t>
      </w:r>
    </w:p>
    <w:p>
      <w:pPr>
        <w:spacing w:line="230" w:lineRule="exact" w:before="0"/>
        <w:ind w:left="620" w:right="0" w:firstLine="0"/>
        <w:jc w:val="left"/>
        <w:rPr>
          <w:sz w:val="20"/>
        </w:rPr>
      </w:pPr>
      <w:r>
        <w:rPr>
          <w:position w:val="7"/>
          <w:sz w:val="13"/>
        </w:rPr>
        <w:t>183 </w:t>
      </w:r>
      <w:r>
        <w:rPr>
          <w:sz w:val="20"/>
        </w:rPr>
        <w:t>LR AT Civillietu departamenta 2017.gada 3.februāra lēmums lietā Nr. SPC-10/2017</w:t>
      </w:r>
    </w:p>
    <w:p>
      <w:pPr>
        <w:spacing w:line="233" w:lineRule="exact" w:before="0"/>
        <w:ind w:left="620" w:right="0" w:firstLine="0"/>
        <w:jc w:val="left"/>
        <w:rPr>
          <w:sz w:val="20"/>
        </w:rPr>
      </w:pPr>
      <w:r>
        <w:rPr>
          <w:position w:val="7"/>
          <w:sz w:val="13"/>
        </w:rPr>
        <w:t>184 </w:t>
      </w:r>
      <w:r>
        <w:rPr>
          <w:sz w:val="20"/>
        </w:rPr>
        <w:t>LR AT Civillietu departamenta 2015.gada 27.novembra lēmums lietā Nr. SPC-27/2015</w:t>
      </w:r>
    </w:p>
    <w:p>
      <w:pPr>
        <w:spacing w:after="0" w:line="233" w:lineRule="exact"/>
        <w:jc w:val="left"/>
        <w:rPr>
          <w:sz w:val="20"/>
        </w:rPr>
        <w:sectPr>
          <w:footerReference w:type="default" r:id="rId37"/>
          <w:footerReference w:type="even" r:id="rId38"/>
          <w:pgSz w:w="11910" w:h="16840"/>
          <w:pgMar w:footer="1055" w:header="0" w:top="1340" w:bottom="1240" w:left="1180" w:right="1040"/>
          <w:pgNumType w:start="61"/>
        </w:sectPr>
      </w:pPr>
    </w:p>
    <w:p>
      <w:pPr>
        <w:pStyle w:val="BodyText"/>
        <w:spacing w:line="228" w:lineRule="auto" w:before="84"/>
        <w:ind w:left="1392" w:right="764"/>
        <w:rPr>
          <w:sz w:val="16"/>
        </w:rPr>
      </w:pPr>
      <w:r>
        <w:rPr/>
        <w:t>prognozētajiem, jo likums neaizliedz parādniekam veikt maksājumu pārrēķinu un labot prognozēs radušos kļūdu.</w:t>
      </w:r>
      <w:r>
        <w:rPr>
          <w:position w:val="9"/>
          <w:sz w:val="16"/>
        </w:rPr>
        <w:t>185</w:t>
      </w:r>
    </w:p>
    <w:p>
      <w:pPr>
        <w:pStyle w:val="ListParagraph"/>
        <w:numPr>
          <w:ilvl w:val="1"/>
          <w:numId w:val="39"/>
        </w:numPr>
        <w:tabs>
          <w:tab w:pos="1393" w:val="left" w:leader="none"/>
        </w:tabs>
        <w:spacing w:line="235" w:lineRule="auto" w:before="11" w:after="0"/>
        <w:ind w:left="1392" w:right="764" w:hanging="425"/>
        <w:jc w:val="both"/>
        <w:rPr>
          <w:sz w:val="16"/>
        </w:rPr>
      </w:pPr>
      <w:r>
        <w:rPr>
          <w:b/>
          <w:i/>
          <w:sz w:val="24"/>
        </w:rPr>
        <w:t>Labticīga parādnieka tiesības novērst kļūdu aprēķinos par </w:t>
      </w:r>
      <w:r>
        <w:rPr>
          <w:b/>
          <w:i/>
          <w:spacing w:val="-3"/>
          <w:sz w:val="24"/>
        </w:rPr>
        <w:t>kreditoriem </w:t>
      </w:r>
      <w:r>
        <w:rPr>
          <w:b/>
          <w:i/>
          <w:sz w:val="24"/>
        </w:rPr>
        <w:t>maksājamo summu </w:t>
      </w:r>
      <w:r>
        <w:rPr>
          <w:sz w:val="24"/>
        </w:rPr>
        <w:t>– ja parādnieka ienākumi ir mainīgi, taču parādnieks kreditoriem veicis plānā norādītos maksājumus, likums neaizliedz parādniekam veikt maksājumu pārrēķinu un labot radušos kļūdu, ja lietas faktiskie un tiesiskie apstākļi liecina, ka parādnieks ir</w:t>
      </w:r>
      <w:r>
        <w:rPr>
          <w:spacing w:val="-8"/>
          <w:sz w:val="24"/>
        </w:rPr>
        <w:t> </w:t>
      </w:r>
      <w:r>
        <w:rPr>
          <w:sz w:val="24"/>
        </w:rPr>
        <w:t>godprātīgs.</w:t>
      </w:r>
      <w:r>
        <w:rPr>
          <w:position w:val="9"/>
          <w:sz w:val="16"/>
        </w:rPr>
        <w:t>186</w:t>
      </w:r>
    </w:p>
    <w:p>
      <w:pPr>
        <w:pStyle w:val="ListParagraph"/>
        <w:numPr>
          <w:ilvl w:val="1"/>
          <w:numId w:val="39"/>
        </w:numPr>
        <w:tabs>
          <w:tab w:pos="1393" w:val="left" w:leader="none"/>
        </w:tabs>
        <w:spacing w:line="237" w:lineRule="auto" w:before="5" w:after="0"/>
        <w:ind w:left="1392" w:right="763" w:hanging="425"/>
        <w:jc w:val="both"/>
        <w:rPr>
          <w:sz w:val="16"/>
        </w:rPr>
      </w:pPr>
      <w:r>
        <w:rPr>
          <w:b/>
          <w:i/>
          <w:sz w:val="24"/>
        </w:rPr>
        <w:t>Parādnieka un kreditoru interešu samērošana - </w:t>
      </w:r>
      <w:r>
        <w:rPr>
          <w:sz w:val="24"/>
        </w:rPr>
        <w:t>tiesai, lemjot par fiziskas personas atbrīvošanu vai neatbrīvošanu no saistību dzēšanas plānā atlikušajām saistībām, rūpīgi jāizvērtē lietas faktiskie un tiesiskie apstākļi, kā arī samērīgums starp parādnieka un kreditoru interesēm, ievērojot fiziskas personas maksātnespējas procesa mērķi un iesaistīto personu</w:t>
      </w:r>
      <w:r>
        <w:rPr>
          <w:spacing w:val="-2"/>
          <w:sz w:val="24"/>
        </w:rPr>
        <w:t> </w:t>
      </w:r>
      <w:r>
        <w:rPr>
          <w:sz w:val="24"/>
        </w:rPr>
        <w:t>labticību.</w:t>
      </w:r>
      <w:r>
        <w:rPr>
          <w:position w:val="9"/>
          <w:sz w:val="16"/>
        </w:rPr>
        <w:t>187</w:t>
      </w:r>
    </w:p>
    <w:p>
      <w:pPr>
        <w:pStyle w:val="ListParagraph"/>
        <w:numPr>
          <w:ilvl w:val="1"/>
          <w:numId w:val="39"/>
        </w:numPr>
        <w:tabs>
          <w:tab w:pos="1393" w:val="left" w:leader="none"/>
        </w:tabs>
        <w:spacing w:line="237" w:lineRule="auto" w:before="4" w:after="0"/>
        <w:ind w:left="1392" w:right="763" w:hanging="425"/>
        <w:jc w:val="both"/>
        <w:rPr>
          <w:sz w:val="16"/>
        </w:rPr>
      </w:pPr>
      <w:r>
        <w:rPr>
          <w:b/>
          <w:i/>
          <w:sz w:val="24"/>
        </w:rPr>
        <w:t>Parādnieka pienākums veikt kreditoriem maksājumus vienas trešdaļas </w:t>
      </w:r>
      <w:r>
        <w:rPr>
          <w:b/>
          <w:i/>
          <w:sz w:val="24"/>
        </w:rPr>
        <w:t>apmērā no ienākumiem </w:t>
      </w:r>
      <w:r>
        <w:rPr>
          <w:b/>
          <w:sz w:val="24"/>
        </w:rPr>
        <w:t>– ja parādnieks ir veicis kreditoriem saistību dzēšanas plānā norādītos maksājumus, lai gan </w:t>
      </w:r>
      <w:r>
        <w:rPr>
          <w:sz w:val="24"/>
        </w:rPr>
        <w:t>viņa ienākumi (arī pēc nodokļu nomaksas) bijuši lielāki kā plānā norādītie (respektīvi, parādnieks saistību dzēšanas procedūras laikā kreditoriem nav novirzījis vienu trešdaļu</w:t>
      </w:r>
      <w:r>
        <w:rPr>
          <w:spacing w:val="-33"/>
          <w:sz w:val="24"/>
        </w:rPr>
        <w:t> </w:t>
      </w:r>
      <w:r>
        <w:rPr>
          <w:sz w:val="24"/>
        </w:rPr>
        <w:t>no saviem ienākumiem), parādnieks nav atbrīvojams no</w:t>
      </w:r>
      <w:r>
        <w:rPr>
          <w:spacing w:val="1"/>
          <w:sz w:val="24"/>
        </w:rPr>
        <w:t> </w:t>
      </w:r>
      <w:r>
        <w:rPr>
          <w:sz w:val="24"/>
        </w:rPr>
        <w:t>saistībām.</w:t>
      </w:r>
      <w:r>
        <w:rPr>
          <w:position w:val="9"/>
          <w:sz w:val="16"/>
        </w:rPr>
        <w:t>188</w:t>
      </w:r>
    </w:p>
    <w:p>
      <w:pPr>
        <w:pStyle w:val="BodyText"/>
        <w:spacing w:before="10"/>
        <w:jc w:val="left"/>
        <w:rPr>
          <w:sz w:val="23"/>
        </w:rPr>
      </w:pPr>
    </w:p>
    <w:p>
      <w:pPr>
        <w:pStyle w:val="Heading3"/>
        <w:numPr>
          <w:ilvl w:val="0"/>
          <w:numId w:val="39"/>
        </w:numPr>
        <w:tabs>
          <w:tab w:pos="980" w:val="left" w:leader="none"/>
        </w:tabs>
        <w:spacing w:line="240" w:lineRule="auto" w:before="0" w:after="0"/>
        <w:ind w:left="980" w:right="0" w:hanging="360"/>
        <w:jc w:val="both"/>
      </w:pPr>
      <w:r>
        <w:rPr/>
        <w:t>Parādnieka atbrīvošana no</w:t>
      </w:r>
      <w:r>
        <w:rPr>
          <w:spacing w:val="1"/>
        </w:rPr>
        <w:t> </w:t>
      </w:r>
      <w:r>
        <w:rPr/>
        <w:t>saistībām:</w:t>
      </w:r>
    </w:p>
    <w:p>
      <w:pPr>
        <w:pStyle w:val="ListParagraph"/>
        <w:numPr>
          <w:ilvl w:val="1"/>
          <w:numId w:val="39"/>
        </w:numPr>
        <w:tabs>
          <w:tab w:pos="1340" w:val="left" w:leader="none"/>
        </w:tabs>
        <w:spacing w:line="237" w:lineRule="auto" w:before="3" w:after="0"/>
        <w:ind w:left="1340" w:right="761" w:hanging="360"/>
        <w:jc w:val="both"/>
        <w:rPr>
          <w:sz w:val="16"/>
        </w:rPr>
      </w:pPr>
      <w:r>
        <w:rPr>
          <w:b/>
          <w:i/>
          <w:sz w:val="24"/>
        </w:rPr>
        <w:t>Atbrīvošana no saistībām attiecināma uz visām parādnieka saistību</w:t>
      </w:r>
      <w:r>
        <w:rPr>
          <w:b/>
          <w:i/>
          <w:spacing w:val="-17"/>
          <w:sz w:val="24"/>
        </w:rPr>
        <w:t> </w:t>
      </w:r>
      <w:r>
        <w:rPr>
          <w:b/>
          <w:i/>
          <w:sz w:val="24"/>
        </w:rPr>
        <w:t>dzēšanas </w:t>
      </w:r>
      <w:r>
        <w:rPr>
          <w:b/>
          <w:i/>
          <w:sz w:val="24"/>
        </w:rPr>
        <w:t>plānā norādītajām saistībām (izņemot Maksātnespējas likuma 164.panta ceturtās daļas 4. punktā noteiktajām)</w:t>
      </w:r>
      <w:r>
        <w:rPr>
          <w:sz w:val="24"/>
        </w:rPr>
        <w:t>. </w:t>
      </w:r>
      <w:r>
        <w:rPr>
          <w:spacing w:val="-3"/>
          <w:sz w:val="24"/>
        </w:rPr>
        <w:t>LR </w:t>
      </w:r>
      <w:r>
        <w:rPr>
          <w:sz w:val="24"/>
        </w:rPr>
        <w:t>AT Civillietu departaments 2017.gada 3.februāra lēmumā lietā Nr. SPC-10/2017 secina, ka neatbrīvodams parādnieku vienīgi no parādsaistībām pret banku un atjaunodams prasījuma tiesības tikai vienam kreditoram, tiesnesis nonācis pretrunā ar Maksātnespējas procesa likuma 6.panta 2.punktā nostiprināto kreditoru vienlīdzības principu, kas tādējādi novedis pie parādnieka pārējo kreditoru tiesību</w:t>
      </w:r>
      <w:r>
        <w:rPr>
          <w:spacing w:val="-6"/>
          <w:sz w:val="24"/>
        </w:rPr>
        <w:t> </w:t>
      </w:r>
      <w:r>
        <w:rPr>
          <w:sz w:val="24"/>
        </w:rPr>
        <w:t>aizskāruma.</w:t>
      </w:r>
      <w:r>
        <w:rPr>
          <w:position w:val="9"/>
          <w:sz w:val="16"/>
        </w:rPr>
        <w:t>189</w:t>
      </w:r>
    </w:p>
    <w:p>
      <w:pPr>
        <w:pStyle w:val="ListParagraph"/>
        <w:numPr>
          <w:ilvl w:val="1"/>
          <w:numId w:val="39"/>
        </w:numPr>
        <w:tabs>
          <w:tab w:pos="1340" w:val="left" w:leader="none"/>
        </w:tabs>
        <w:spacing w:line="240" w:lineRule="auto" w:before="4" w:after="0"/>
        <w:ind w:left="1340" w:right="761" w:hanging="360"/>
        <w:jc w:val="both"/>
        <w:rPr>
          <w:sz w:val="24"/>
        </w:rPr>
      </w:pPr>
      <w:r>
        <w:rPr>
          <w:b/>
          <w:i/>
          <w:sz w:val="24"/>
        </w:rPr>
        <w:t>Tiesiskās sekas, ja parādnieks pēc protesta iesniegšanas pilnībā sedzis </w:t>
      </w:r>
      <w:r>
        <w:rPr>
          <w:b/>
          <w:i/>
          <w:sz w:val="24"/>
        </w:rPr>
        <w:t>nedzēšamās</w:t>
      </w:r>
      <w:r>
        <w:rPr>
          <w:b/>
          <w:i/>
          <w:spacing w:val="-7"/>
          <w:sz w:val="24"/>
        </w:rPr>
        <w:t> </w:t>
      </w:r>
      <w:r>
        <w:rPr>
          <w:b/>
          <w:i/>
          <w:sz w:val="24"/>
        </w:rPr>
        <w:t>saistības.</w:t>
      </w:r>
      <w:r>
        <w:rPr>
          <w:b/>
          <w:i/>
          <w:spacing w:val="-9"/>
          <w:sz w:val="24"/>
        </w:rPr>
        <w:t> </w:t>
      </w:r>
      <w:r>
        <w:rPr>
          <w:sz w:val="24"/>
        </w:rPr>
        <w:t>Vairākās</w:t>
      </w:r>
      <w:r>
        <w:rPr>
          <w:spacing w:val="-8"/>
          <w:sz w:val="24"/>
        </w:rPr>
        <w:t> </w:t>
      </w:r>
      <w:r>
        <w:rPr>
          <w:sz w:val="24"/>
        </w:rPr>
        <w:t>lietās</w:t>
      </w:r>
      <w:r>
        <w:rPr>
          <w:spacing w:val="-6"/>
          <w:sz w:val="24"/>
        </w:rPr>
        <w:t> </w:t>
      </w:r>
      <w:r>
        <w:rPr>
          <w:sz w:val="24"/>
        </w:rPr>
        <w:t>Civillietu</w:t>
      </w:r>
      <w:r>
        <w:rPr>
          <w:spacing w:val="-7"/>
          <w:sz w:val="24"/>
        </w:rPr>
        <w:t> </w:t>
      </w:r>
      <w:r>
        <w:rPr>
          <w:sz w:val="24"/>
        </w:rPr>
        <w:t>departaments</w:t>
      </w:r>
      <w:r>
        <w:rPr>
          <w:spacing w:val="-4"/>
          <w:sz w:val="24"/>
        </w:rPr>
        <w:t> </w:t>
      </w:r>
      <w:r>
        <w:rPr>
          <w:sz w:val="24"/>
        </w:rPr>
        <w:t>vērtējis</w:t>
      </w:r>
      <w:r>
        <w:rPr>
          <w:spacing w:val="-6"/>
          <w:sz w:val="24"/>
        </w:rPr>
        <w:t> </w:t>
      </w:r>
      <w:r>
        <w:rPr>
          <w:sz w:val="24"/>
        </w:rPr>
        <w:t>situāciju, kad ir bijis iesniegts protests, jo rajona tiesa, izbeidzot saistību dzēšanas procedūru, pretēji Maksātnespējas likuma 164.panta ceturtās daļas 4. punktam (</w:t>
      </w:r>
      <w:r>
        <w:rPr>
          <w:i/>
          <w:sz w:val="24"/>
        </w:rPr>
        <w:t>pēc saistību dzēšanas procedūras pabeigšanas netiek dzēsti prasījumi </w:t>
      </w:r>
      <w:r>
        <w:rPr>
          <w:i/>
          <w:spacing w:val="-6"/>
          <w:sz w:val="24"/>
        </w:rPr>
        <w:t>no </w:t>
      </w:r>
      <w:r>
        <w:rPr>
          <w:i/>
          <w:sz w:val="24"/>
        </w:rPr>
        <w:t>Administratīvo pārkāpumu kodeksā un Krimināllikumā paredzētajiem sodiem, kā arī kompensācija par radīto kaitējumu</w:t>
      </w:r>
      <w:r>
        <w:rPr>
          <w:sz w:val="24"/>
        </w:rPr>
        <w:t>), nepamatoti nolēmusi dzēst parādnieka saistības pret Valsts ieņēmumu dienestu (administratīvs sods vai tml.), taču pēc protesta iesniegšanas parādnieks veicis saistību izpildi attiecībā pret Valsts ieņēmumu dienestu un tiesā ir saņemts protesta atsaukums. Minētajās lietās Civillietu departaments nolēmis atteikt ierosināt kasācijas tiesvedību:</w:t>
      </w:r>
    </w:p>
    <w:p>
      <w:pPr>
        <w:pStyle w:val="BodyText"/>
        <w:spacing w:line="232" w:lineRule="auto" w:before="2"/>
        <w:ind w:left="1961" w:right="763" w:hanging="569"/>
        <w:rPr>
          <w:sz w:val="16"/>
        </w:rPr>
      </w:pPr>
      <w:r>
        <w:rPr/>
        <w:t>(aa) Ir zudis pamats protesta turpmākai virzībai, tādēļ kasācijas tiesvedības ierosināšana atsakāma saskaņā ar Civilprocesa likuma 462.panta otro daļu.</w:t>
      </w:r>
      <w:r>
        <w:rPr>
          <w:position w:val="9"/>
          <w:sz w:val="16"/>
        </w:rPr>
        <w:t>190</w:t>
      </w:r>
    </w:p>
    <w:p>
      <w:pPr>
        <w:pStyle w:val="BodyText"/>
        <w:jc w:val="left"/>
        <w:rPr>
          <w:sz w:val="20"/>
        </w:rPr>
      </w:pPr>
    </w:p>
    <w:p>
      <w:pPr>
        <w:pStyle w:val="BodyText"/>
        <w:spacing w:before="11"/>
        <w:jc w:val="left"/>
        <w:rPr>
          <w:sz w:val="28"/>
        </w:rPr>
      </w:pPr>
      <w:r>
        <w:rPr/>
        <w:pict>
          <v:shape style="position:absolute;margin-left:72pt;margin-top:18.905975pt;width:144pt;height:.1pt;mso-position-horizontal-relative:page;mso-position-vertical-relative:paragraph;z-index:-251616256;mso-wrap-distance-left:0;mso-wrap-distance-right:0" coordorigin="1440,378" coordsize="2880,0" path="m1440,378l4320,378e" filled="false" stroked="true" strokeweight=".59999pt" strokecolor="#000000">
            <v:path arrowok="t"/>
            <v:stroke dashstyle="solid"/>
            <w10:wrap type="topAndBottom"/>
          </v:shape>
        </w:pict>
      </w:r>
    </w:p>
    <w:p>
      <w:pPr>
        <w:spacing w:line="235" w:lineRule="auto" w:before="73"/>
        <w:ind w:left="260" w:right="2157" w:firstLine="0"/>
        <w:jc w:val="left"/>
        <w:rPr>
          <w:sz w:val="20"/>
        </w:rPr>
      </w:pPr>
      <w:r>
        <w:rPr>
          <w:position w:val="7"/>
          <w:sz w:val="13"/>
        </w:rPr>
        <w:t>185 </w:t>
      </w:r>
      <w:r>
        <w:rPr>
          <w:sz w:val="20"/>
        </w:rPr>
        <w:t>LR AT Civillietu departamenta 2017.gada 28.septembra lēmums lietā Nr. SPC-19/2017 </w:t>
      </w:r>
      <w:r>
        <w:rPr>
          <w:position w:val="7"/>
          <w:sz w:val="13"/>
        </w:rPr>
        <w:t>186  </w:t>
      </w:r>
      <w:r>
        <w:rPr>
          <w:sz w:val="20"/>
        </w:rPr>
        <w:t>LR AT Civillietu departamenta 2017.gada 16.februāra lēmums lietā Nr. SPC–5/2017</w:t>
      </w:r>
      <w:r>
        <w:rPr>
          <w:position w:val="7"/>
          <w:sz w:val="20"/>
        </w:rPr>
        <w:t> </w:t>
      </w:r>
      <w:r>
        <w:rPr>
          <w:position w:val="7"/>
          <w:sz w:val="13"/>
        </w:rPr>
        <w:t>187  </w:t>
      </w:r>
      <w:r>
        <w:rPr>
          <w:sz w:val="20"/>
        </w:rPr>
        <w:t>LR AT Civillietu departamenta 2017.gada 16.februāra lēmums lietā Nr. SPC–5/2017</w:t>
      </w:r>
      <w:r>
        <w:rPr>
          <w:position w:val="7"/>
          <w:sz w:val="20"/>
        </w:rPr>
        <w:t> </w:t>
      </w:r>
      <w:r>
        <w:rPr>
          <w:position w:val="7"/>
          <w:sz w:val="13"/>
        </w:rPr>
        <w:t>188 </w:t>
      </w:r>
      <w:r>
        <w:rPr>
          <w:sz w:val="20"/>
        </w:rPr>
        <w:t>LR AT Civillietu departamenta 2016.gada 28.decembra lēmums lietā Nr. SPC-21/2016 </w:t>
      </w:r>
      <w:r>
        <w:rPr>
          <w:position w:val="7"/>
          <w:sz w:val="13"/>
        </w:rPr>
        <w:t>189 </w:t>
      </w:r>
      <w:r>
        <w:rPr>
          <w:sz w:val="20"/>
        </w:rPr>
        <w:t>LR AT Civillietu departamenta 2017.gada 3.februāra lēmums lietā Nr.</w:t>
      </w:r>
      <w:r>
        <w:rPr>
          <w:spacing w:val="-24"/>
          <w:sz w:val="20"/>
        </w:rPr>
        <w:t> </w:t>
      </w:r>
      <w:r>
        <w:rPr>
          <w:sz w:val="20"/>
        </w:rPr>
        <w:t>SPC-10/2017</w:t>
      </w:r>
    </w:p>
    <w:p>
      <w:pPr>
        <w:spacing w:line="230" w:lineRule="exact" w:before="0"/>
        <w:ind w:left="260" w:right="0" w:firstLine="0"/>
        <w:jc w:val="left"/>
        <w:rPr>
          <w:sz w:val="20"/>
        </w:rPr>
      </w:pPr>
      <w:r>
        <w:rPr>
          <w:position w:val="7"/>
          <w:sz w:val="13"/>
        </w:rPr>
        <w:t>190 </w:t>
      </w:r>
      <w:r>
        <w:rPr>
          <w:sz w:val="20"/>
        </w:rPr>
        <w:t>LR AT Civillietu departamenta 2018.gada 21.maija Rīcības sēdes lēmums lietā Nr. SPC-11/2018</w:t>
      </w:r>
    </w:p>
    <w:p>
      <w:pPr>
        <w:spacing w:after="0" w:line="230" w:lineRule="exact"/>
        <w:jc w:val="left"/>
        <w:rPr>
          <w:sz w:val="20"/>
        </w:rPr>
        <w:sectPr>
          <w:pgSz w:w="11910" w:h="16840"/>
          <w:pgMar w:header="0" w:footer="1055" w:top="1340" w:bottom="1240" w:left="1180" w:right="1040"/>
        </w:sectPr>
      </w:pPr>
    </w:p>
    <w:p>
      <w:pPr>
        <w:pStyle w:val="BodyText"/>
        <w:spacing w:line="232" w:lineRule="auto" w:before="80"/>
        <w:ind w:left="2321" w:right="404" w:hanging="569"/>
        <w:rPr>
          <w:sz w:val="16"/>
        </w:rPr>
      </w:pPr>
      <w:r>
        <w:rPr/>
        <w:t>(bb) Valsts ieņēmumu dienesta tiesību aizskārums ir novērsts un ir zudis Civilprocesa likuma 484.pantā noteiktais pamats Rīgas rajona tiesas tiesneša lēmuma protestēšanai.</w:t>
      </w:r>
      <w:r>
        <w:rPr>
          <w:position w:val="9"/>
          <w:sz w:val="16"/>
        </w:rPr>
        <w:t>191</w:t>
      </w:r>
    </w:p>
    <w:p>
      <w:pPr>
        <w:pStyle w:val="BodyText"/>
        <w:jc w:val="left"/>
        <w:rPr>
          <w:sz w:val="28"/>
        </w:rPr>
      </w:pPr>
    </w:p>
    <w:p>
      <w:pPr>
        <w:pStyle w:val="Heading4"/>
        <w:numPr>
          <w:ilvl w:val="1"/>
          <w:numId w:val="31"/>
        </w:numPr>
        <w:tabs>
          <w:tab w:pos="1041" w:val="left" w:leader="none"/>
        </w:tabs>
        <w:spacing w:line="240" w:lineRule="auto" w:before="238" w:after="0"/>
        <w:ind w:left="1040" w:right="0" w:hanging="421"/>
        <w:jc w:val="left"/>
        <w:rPr>
          <w:i/>
        </w:rPr>
      </w:pPr>
      <w:bookmarkStart w:name="_TOC_250065" w:id="13"/>
      <w:r>
        <w:rPr>
          <w:i/>
        </w:rPr>
        <w:t>Identificētie</w:t>
      </w:r>
      <w:r>
        <w:rPr>
          <w:i/>
          <w:spacing w:val="-4"/>
        </w:rPr>
        <w:t> </w:t>
      </w:r>
      <w:bookmarkEnd w:id="13"/>
      <w:r>
        <w:rPr>
          <w:i/>
        </w:rPr>
        <w:t>problēmjautājumi</w:t>
      </w:r>
    </w:p>
    <w:p>
      <w:pPr>
        <w:pStyle w:val="BodyText"/>
        <w:spacing w:before="6"/>
        <w:jc w:val="left"/>
        <w:rPr>
          <w:b/>
          <w:i/>
          <w:sz w:val="23"/>
        </w:rPr>
      </w:pPr>
    </w:p>
    <w:p>
      <w:pPr>
        <w:pStyle w:val="ListParagraph"/>
        <w:numPr>
          <w:ilvl w:val="0"/>
          <w:numId w:val="40"/>
        </w:numPr>
        <w:tabs>
          <w:tab w:pos="1340" w:val="left" w:leader="none"/>
        </w:tabs>
        <w:spacing w:line="240" w:lineRule="auto" w:before="0" w:after="0"/>
        <w:ind w:left="1340" w:right="401" w:hanging="360"/>
        <w:jc w:val="both"/>
        <w:rPr>
          <w:sz w:val="24"/>
        </w:rPr>
      </w:pPr>
      <w:r>
        <w:rPr>
          <w:sz w:val="24"/>
        </w:rPr>
        <w:t>Maksātnespējas likuma 164.panta trešajā un ceturtajā daļā vēl arvien saglabāti termini “saistību dzēšanas procedūras pabeigšana”, kaut citur Maksātnespējas likumā un Civilprocesa likumā paredzēts termins “saistību dzēšanas procedūras izbeigšana”.</w:t>
      </w:r>
    </w:p>
    <w:p>
      <w:pPr>
        <w:pStyle w:val="BodyText"/>
        <w:jc w:val="left"/>
      </w:pPr>
    </w:p>
    <w:p>
      <w:pPr>
        <w:pStyle w:val="ListParagraph"/>
        <w:numPr>
          <w:ilvl w:val="0"/>
          <w:numId w:val="40"/>
        </w:numPr>
        <w:tabs>
          <w:tab w:pos="1340" w:val="left" w:leader="none"/>
        </w:tabs>
        <w:spacing w:line="240" w:lineRule="auto" w:before="1" w:after="0"/>
        <w:ind w:left="1340" w:right="406" w:hanging="360"/>
        <w:jc w:val="both"/>
        <w:rPr>
          <w:sz w:val="24"/>
        </w:rPr>
      </w:pPr>
      <w:r>
        <w:rPr>
          <w:sz w:val="24"/>
        </w:rPr>
        <w:t>Tiesas izmanto dažādus (dažkārt būtiski atšķirīgus) formulējumus nolēmumu rezolutīvajās</w:t>
      </w:r>
      <w:r>
        <w:rPr>
          <w:spacing w:val="-1"/>
          <w:sz w:val="24"/>
        </w:rPr>
        <w:t> </w:t>
      </w:r>
      <w:r>
        <w:rPr>
          <w:sz w:val="24"/>
        </w:rPr>
        <w:t>daļās.</w:t>
      </w:r>
    </w:p>
    <w:p>
      <w:pPr>
        <w:pStyle w:val="BodyText"/>
        <w:spacing w:before="11"/>
        <w:jc w:val="left"/>
        <w:rPr>
          <w:sz w:val="23"/>
        </w:rPr>
      </w:pPr>
    </w:p>
    <w:p>
      <w:pPr>
        <w:pStyle w:val="ListParagraph"/>
        <w:numPr>
          <w:ilvl w:val="0"/>
          <w:numId w:val="40"/>
        </w:numPr>
        <w:tabs>
          <w:tab w:pos="1340" w:val="left" w:leader="none"/>
        </w:tabs>
        <w:spacing w:line="240" w:lineRule="auto" w:before="0" w:after="0"/>
        <w:ind w:left="1340" w:right="404" w:hanging="360"/>
        <w:jc w:val="both"/>
        <w:rPr>
          <w:sz w:val="24"/>
        </w:rPr>
      </w:pPr>
      <w:r>
        <w:rPr>
          <w:sz w:val="24"/>
        </w:rPr>
        <w:t>Neviennozīmīga tiesu prakse jautājumā par izpildu lietvedību izbeigšanu – dažkārt tiesa</w:t>
      </w:r>
      <w:r>
        <w:rPr>
          <w:spacing w:val="-6"/>
          <w:sz w:val="24"/>
        </w:rPr>
        <w:t> </w:t>
      </w:r>
      <w:r>
        <w:rPr>
          <w:sz w:val="24"/>
        </w:rPr>
        <w:t>lemj</w:t>
      </w:r>
      <w:r>
        <w:rPr>
          <w:spacing w:val="-5"/>
          <w:sz w:val="24"/>
        </w:rPr>
        <w:t> </w:t>
      </w:r>
      <w:r>
        <w:rPr>
          <w:sz w:val="24"/>
        </w:rPr>
        <w:t>par</w:t>
      </w:r>
      <w:r>
        <w:rPr>
          <w:spacing w:val="-8"/>
          <w:sz w:val="24"/>
        </w:rPr>
        <w:t> </w:t>
      </w:r>
      <w:r>
        <w:rPr>
          <w:sz w:val="24"/>
        </w:rPr>
        <w:t>izpildu</w:t>
      </w:r>
      <w:r>
        <w:rPr>
          <w:spacing w:val="-6"/>
          <w:sz w:val="24"/>
        </w:rPr>
        <w:t> </w:t>
      </w:r>
      <w:r>
        <w:rPr>
          <w:sz w:val="24"/>
        </w:rPr>
        <w:t>lietvedību</w:t>
      </w:r>
      <w:r>
        <w:rPr>
          <w:spacing w:val="-5"/>
          <w:sz w:val="24"/>
        </w:rPr>
        <w:t> </w:t>
      </w:r>
      <w:r>
        <w:rPr>
          <w:sz w:val="24"/>
        </w:rPr>
        <w:t>izbeigšanu,</w:t>
      </w:r>
      <w:r>
        <w:rPr>
          <w:spacing w:val="-5"/>
          <w:sz w:val="24"/>
        </w:rPr>
        <w:t> </w:t>
      </w:r>
      <w:r>
        <w:rPr>
          <w:sz w:val="24"/>
        </w:rPr>
        <w:t>bet</w:t>
      </w:r>
      <w:r>
        <w:rPr>
          <w:spacing w:val="-8"/>
          <w:sz w:val="24"/>
        </w:rPr>
        <w:t> </w:t>
      </w:r>
      <w:r>
        <w:rPr>
          <w:sz w:val="24"/>
        </w:rPr>
        <w:t>dažkārt</w:t>
      </w:r>
      <w:r>
        <w:rPr>
          <w:spacing w:val="-5"/>
          <w:sz w:val="24"/>
        </w:rPr>
        <w:t> </w:t>
      </w:r>
      <w:r>
        <w:rPr>
          <w:sz w:val="24"/>
        </w:rPr>
        <w:t>noraida</w:t>
      </w:r>
      <w:r>
        <w:rPr>
          <w:spacing w:val="-8"/>
          <w:sz w:val="24"/>
        </w:rPr>
        <w:t> </w:t>
      </w:r>
      <w:r>
        <w:rPr>
          <w:sz w:val="24"/>
        </w:rPr>
        <w:t>parādnieka</w:t>
      </w:r>
      <w:r>
        <w:rPr>
          <w:spacing w:val="-5"/>
          <w:sz w:val="24"/>
        </w:rPr>
        <w:t> </w:t>
      </w:r>
      <w:r>
        <w:rPr>
          <w:sz w:val="24"/>
        </w:rPr>
        <w:t>lūgumu (norādot, ka lēmuma pieņemšana par izpildu lietvedības izbeigšanu ir zvērināta tiesu izpildītāju</w:t>
      </w:r>
      <w:r>
        <w:rPr>
          <w:spacing w:val="-1"/>
          <w:sz w:val="24"/>
        </w:rPr>
        <w:t> </w:t>
      </w:r>
      <w:r>
        <w:rPr>
          <w:sz w:val="24"/>
        </w:rPr>
        <w:t>kompetencē).</w:t>
      </w:r>
    </w:p>
    <w:p>
      <w:pPr>
        <w:pStyle w:val="BodyText"/>
        <w:jc w:val="left"/>
      </w:pPr>
    </w:p>
    <w:p>
      <w:pPr>
        <w:pStyle w:val="ListParagraph"/>
        <w:numPr>
          <w:ilvl w:val="0"/>
          <w:numId w:val="40"/>
        </w:numPr>
        <w:tabs>
          <w:tab w:pos="1340" w:val="left" w:leader="none"/>
        </w:tabs>
        <w:spacing w:line="240" w:lineRule="auto" w:before="0" w:after="0"/>
        <w:ind w:left="1340" w:right="401" w:hanging="360"/>
        <w:jc w:val="both"/>
        <w:rPr>
          <w:sz w:val="24"/>
        </w:rPr>
      </w:pPr>
      <w:r>
        <w:rPr>
          <w:sz w:val="24"/>
        </w:rPr>
        <w:t>Lietās, kur tiesa pieņem lēmumu par saistību dzēšanas procedūras izbeigšanu, jo parādnieks ir veicis plānā norādītos maksājumus jeb izpildījis saistību dzēšanas plānu (Maksātnespējas likuma 165.panta pirmās daļas 2.punkts) tiesas motīvu daļā nepareizi atsaucas uz Maksātnespējas likuma 165.pata pirmās daļas 1.punktu, kas noteic, ka “parādnieks iesniedz tiesai pieteikumu par saistību dzēšanas procedūras izbeigšanu, ja viņš pilnā apmērā ir nokārtojis visas fiziskās personas saistību dzēšanas plānā iekļautās</w:t>
      </w:r>
      <w:r>
        <w:rPr>
          <w:spacing w:val="-6"/>
          <w:sz w:val="24"/>
        </w:rPr>
        <w:t> </w:t>
      </w:r>
      <w:r>
        <w:rPr>
          <w:sz w:val="24"/>
        </w:rPr>
        <w:t>saistības”.</w:t>
      </w:r>
    </w:p>
    <w:p>
      <w:pPr>
        <w:pStyle w:val="BodyText"/>
        <w:jc w:val="left"/>
      </w:pPr>
    </w:p>
    <w:p>
      <w:pPr>
        <w:pStyle w:val="ListParagraph"/>
        <w:numPr>
          <w:ilvl w:val="0"/>
          <w:numId w:val="40"/>
        </w:numPr>
        <w:tabs>
          <w:tab w:pos="1340" w:val="left" w:leader="none"/>
        </w:tabs>
        <w:spacing w:line="240" w:lineRule="auto" w:before="0" w:after="0"/>
        <w:ind w:left="1340" w:right="401" w:hanging="360"/>
        <w:jc w:val="both"/>
        <w:rPr>
          <w:sz w:val="24"/>
        </w:rPr>
      </w:pPr>
      <w:r>
        <w:rPr>
          <w:sz w:val="24"/>
        </w:rPr>
        <w:t>Diskutabls ir jautājums, ciktāl tiesai jāveic pārbaude par to, ka parādnieks </w:t>
      </w:r>
      <w:r>
        <w:rPr>
          <w:spacing w:val="-6"/>
          <w:sz w:val="24"/>
        </w:rPr>
        <w:t>ir </w:t>
      </w:r>
      <w:r>
        <w:rPr>
          <w:sz w:val="24"/>
        </w:rPr>
        <w:t>izpildījis saistību dzēšanas plānu – piemēram, vai var paļauties uz </w:t>
      </w:r>
      <w:r>
        <w:rPr>
          <w:spacing w:val="-3"/>
          <w:sz w:val="24"/>
        </w:rPr>
        <w:t>iebildumu </w:t>
      </w:r>
      <w:r>
        <w:rPr>
          <w:sz w:val="24"/>
        </w:rPr>
        <w:t>neesamību, jeb tomēr tiesai ir jāvērtē veikto maksājumu atbilstība parādnieka faktiskajiem ienākumiem un pēc savas iniciatīvas jāpārbauda, vai parādnieks ir ņēmis vērā minimālās mēnešalgas pieaugumu. Respektīvi, kā liecina pētāmie tiesu nolēmumi, ja nav saņemti kreditora vai administratora iebildumi, tiesas lielākoties nevērtē, vai, izdarot saistību dzēšanas plānā paredzētos maksājumus, parādnieks ir ņēmis</w:t>
      </w:r>
      <w:r>
        <w:rPr>
          <w:spacing w:val="-8"/>
          <w:sz w:val="24"/>
        </w:rPr>
        <w:t> </w:t>
      </w:r>
      <w:r>
        <w:rPr>
          <w:sz w:val="24"/>
        </w:rPr>
        <w:t>vērā</w:t>
      </w:r>
      <w:r>
        <w:rPr>
          <w:spacing w:val="-7"/>
          <w:sz w:val="24"/>
        </w:rPr>
        <w:t> </w:t>
      </w:r>
      <w:r>
        <w:rPr>
          <w:sz w:val="24"/>
        </w:rPr>
        <w:t>valstī</w:t>
      </w:r>
      <w:r>
        <w:rPr>
          <w:spacing w:val="-7"/>
          <w:sz w:val="24"/>
        </w:rPr>
        <w:t> </w:t>
      </w:r>
      <w:r>
        <w:rPr>
          <w:sz w:val="24"/>
        </w:rPr>
        <w:t>noteiktās</w:t>
      </w:r>
      <w:r>
        <w:rPr>
          <w:spacing w:val="-8"/>
          <w:sz w:val="24"/>
        </w:rPr>
        <w:t> </w:t>
      </w:r>
      <w:r>
        <w:rPr>
          <w:sz w:val="24"/>
        </w:rPr>
        <w:t>minimālās</w:t>
      </w:r>
      <w:r>
        <w:rPr>
          <w:spacing w:val="-9"/>
          <w:sz w:val="24"/>
        </w:rPr>
        <w:t> </w:t>
      </w:r>
      <w:r>
        <w:rPr>
          <w:sz w:val="24"/>
        </w:rPr>
        <w:t>algas</w:t>
      </w:r>
      <w:r>
        <w:rPr>
          <w:spacing w:val="-7"/>
          <w:sz w:val="24"/>
        </w:rPr>
        <w:t> </w:t>
      </w:r>
      <w:r>
        <w:rPr>
          <w:sz w:val="24"/>
        </w:rPr>
        <w:t>pieaugumu</w:t>
      </w:r>
      <w:r>
        <w:rPr>
          <w:spacing w:val="-8"/>
          <w:sz w:val="24"/>
        </w:rPr>
        <w:t> </w:t>
      </w:r>
      <w:r>
        <w:rPr>
          <w:sz w:val="24"/>
        </w:rPr>
        <w:t>un,</w:t>
      </w:r>
      <w:r>
        <w:rPr>
          <w:spacing w:val="-7"/>
          <w:sz w:val="24"/>
        </w:rPr>
        <w:t> </w:t>
      </w:r>
      <w:r>
        <w:rPr>
          <w:sz w:val="24"/>
        </w:rPr>
        <w:t>vai</w:t>
      </w:r>
      <w:r>
        <w:rPr>
          <w:spacing w:val="-7"/>
          <w:sz w:val="24"/>
        </w:rPr>
        <w:t> </w:t>
      </w:r>
      <w:r>
        <w:rPr>
          <w:sz w:val="24"/>
        </w:rPr>
        <w:t>parādnieka</w:t>
      </w:r>
      <w:r>
        <w:rPr>
          <w:spacing w:val="-8"/>
          <w:sz w:val="24"/>
        </w:rPr>
        <w:t> </w:t>
      </w:r>
      <w:r>
        <w:rPr>
          <w:sz w:val="24"/>
        </w:rPr>
        <w:t>faktiskie ienākumi nav atšķīrušies no plānā norādītajiem.</w:t>
      </w:r>
    </w:p>
    <w:p>
      <w:pPr>
        <w:pStyle w:val="BodyText"/>
        <w:spacing w:before="3"/>
        <w:jc w:val="left"/>
      </w:pPr>
    </w:p>
    <w:p>
      <w:pPr>
        <w:pStyle w:val="ListParagraph"/>
        <w:numPr>
          <w:ilvl w:val="0"/>
          <w:numId w:val="40"/>
        </w:numPr>
        <w:tabs>
          <w:tab w:pos="1340" w:val="left" w:leader="none"/>
        </w:tabs>
        <w:spacing w:line="237" w:lineRule="auto" w:before="0" w:after="0"/>
        <w:ind w:left="1340" w:right="402" w:hanging="360"/>
        <w:jc w:val="both"/>
        <w:rPr>
          <w:sz w:val="24"/>
        </w:rPr>
      </w:pPr>
      <w:r>
        <w:rPr>
          <w:sz w:val="24"/>
        </w:rPr>
        <w:t>Kaut saistību dzēšanas plānos ir norādīts, ka kreditoru prasījumu segšanai tiks novirzīti līdzekļi vienas trešdaļas apmērā no parādnieka ienākumiem pēc nodokļu samaksas, savukārt Civilprocesa likuma 363.</w:t>
      </w:r>
      <w:r>
        <w:rPr>
          <w:position w:val="9"/>
          <w:sz w:val="16"/>
        </w:rPr>
        <w:t>35 </w:t>
      </w:r>
      <w:r>
        <w:rPr>
          <w:sz w:val="24"/>
        </w:rPr>
        <w:t>panta ceturtā daļa paredz, ka “Pieteikumam par saistību dzēšanas procedūras izbeigšanu parādnieks, kreditors vai administrators pievieno pierādījumus, kas apstiprina pieteikumā norādītos apstākļus”, lielākoties no parādniekiem netiek pieprasīti un lēmumos netiek vērtēti parādnieka ienākumi un to apliecinoši</w:t>
      </w:r>
      <w:r>
        <w:rPr>
          <w:spacing w:val="-2"/>
          <w:sz w:val="24"/>
        </w:rPr>
        <w:t> </w:t>
      </w:r>
      <w:r>
        <w:rPr>
          <w:sz w:val="24"/>
        </w:rPr>
        <w:t>dokumenti.</w:t>
      </w:r>
    </w:p>
    <w:p>
      <w:pPr>
        <w:pStyle w:val="BodyText"/>
        <w:spacing w:before="2"/>
        <w:jc w:val="left"/>
      </w:pPr>
    </w:p>
    <w:p>
      <w:pPr>
        <w:pStyle w:val="ListParagraph"/>
        <w:numPr>
          <w:ilvl w:val="0"/>
          <w:numId w:val="40"/>
        </w:numPr>
        <w:tabs>
          <w:tab w:pos="1340" w:val="left" w:leader="none"/>
        </w:tabs>
        <w:spacing w:line="240" w:lineRule="auto" w:before="0" w:after="0"/>
        <w:ind w:left="1340" w:right="402" w:hanging="360"/>
        <w:jc w:val="both"/>
        <w:rPr>
          <w:sz w:val="24"/>
        </w:rPr>
      </w:pPr>
      <w:r>
        <w:rPr>
          <w:sz w:val="24"/>
        </w:rPr>
        <w:t>Izvērtējot šos lēmumus kopsakarā ar, piemēram, lēmumiem par saistību dzēšanas procedūras izbeigšanu, neatbrīvojot parādnieku no saistībām, konstatējama</w:t>
      </w:r>
      <w:r>
        <w:rPr>
          <w:spacing w:val="-7"/>
          <w:sz w:val="24"/>
        </w:rPr>
        <w:t> </w:t>
      </w:r>
      <w:r>
        <w:rPr>
          <w:sz w:val="24"/>
        </w:rPr>
        <w:t>ļoti</w:t>
      </w:r>
    </w:p>
    <w:p>
      <w:pPr>
        <w:pStyle w:val="BodyText"/>
        <w:spacing w:before="7"/>
        <w:jc w:val="left"/>
        <w:rPr>
          <w:sz w:val="28"/>
        </w:rPr>
      </w:pPr>
      <w:r>
        <w:rPr/>
        <w:pict>
          <v:shape style="position:absolute;margin-left:90pt;margin-top:18.711721pt;width:144pt;height:.1pt;mso-position-horizontal-relative:page;mso-position-vertical-relative:paragraph;z-index:-251615232;mso-wrap-distance-left:0;mso-wrap-distance-right:0" coordorigin="1800,374" coordsize="2880,0" path="m1800,374l4680,374e" filled="false" stroked="true" strokeweight=".599991pt" strokecolor="#000000">
            <v:path arrowok="t"/>
            <v:stroke dashstyle="solid"/>
            <w10:wrap type="topAndBottom"/>
          </v:shape>
        </w:pict>
      </w:r>
    </w:p>
    <w:p>
      <w:pPr>
        <w:spacing w:before="70"/>
        <w:ind w:left="620" w:right="0" w:firstLine="0"/>
        <w:jc w:val="left"/>
        <w:rPr>
          <w:sz w:val="20"/>
        </w:rPr>
      </w:pPr>
      <w:r>
        <w:rPr>
          <w:position w:val="7"/>
          <w:sz w:val="13"/>
        </w:rPr>
        <w:t>191 </w:t>
      </w:r>
      <w:r>
        <w:rPr>
          <w:sz w:val="20"/>
        </w:rPr>
        <w:t>LR AT Civillietu departamenta 2018.gada 16.aprīļa Rīcības sēdes lēmums lietā Nr. SPC-12/2018</w:t>
      </w:r>
    </w:p>
    <w:p>
      <w:pPr>
        <w:spacing w:after="0"/>
        <w:jc w:val="left"/>
        <w:rPr>
          <w:sz w:val="20"/>
        </w:rPr>
        <w:sectPr>
          <w:pgSz w:w="11910" w:h="16840"/>
          <w:pgMar w:header="0" w:footer="1055" w:top="1340" w:bottom="1240" w:left="1180" w:right="1040"/>
        </w:sectPr>
      </w:pPr>
    </w:p>
    <w:p>
      <w:pPr>
        <w:pStyle w:val="BodyText"/>
        <w:spacing w:before="73"/>
        <w:ind w:left="980" w:right="761"/>
        <w:rPr>
          <w:sz w:val="16"/>
        </w:rPr>
      </w:pPr>
      <w:r>
        <w:rPr/>
        <w:t>neviennozīmīga attieksme pret kavētiem maksājumiem kreditoriem saistību dzēšanas procedūrā, vienreizēju piemaksu izdarīšanu saistību dzēšanas procedūras beigās gadījumos, ja šāda piemaksa izdarīta sakarā ar parādnieka ienākumu vai valstī noteiktās minimālās mēnešalgas pieaugumu saistību dzēšanas procedūras laikā,</w:t>
      </w:r>
      <w:r>
        <w:rPr>
          <w:spacing w:val="-10"/>
        </w:rPr>
        <w:t> </w:t>
      </w:r>
      <w:r>
        <w:rPr/>
        <w:t>un</w:t>
      </w:r>
      <w:r>
        <w:rPr>
          <w:spacing w:val="-10"/>
        </w:rPr>
        <w:t> </w:t>
      </w:r>
      <w:r>
        <w:rPr/>
        <w:t>tml.</w:t>
      </w:r>
      <w:r>
        <w:rPr>
          <w:spacing w:val="-9"/>
        </w:rPr>
        <w:t> </w:t>
      </w:r>
      <w:r>
        <w:rPr/>
        <w:t>Piemēram,</w:t>
      </w:r>
      <w:r>
        <w:rPr>
          <w:spacing w:val="-8"/>
        </w:rPr>
        <w:t> </w:t>
      </w:r>
      <w:r>
        <w:rPr/>
        <w:t>motivējot</w:t>
      </w:r>
      <w:r>
        <w:rPr>
          <w:spacing w:val="-9"/>
        </w:rPr>
        <w:t> </w:t>
      </w:r>
      <w:r>
        <w:rPr/>
        <w:t>nolēmumu</w:t>
      </w:r>
      <w:r>
        <w:rPr>
          <w:spacing w:val="-10"/>
        </w:rPr>
        <w:t> </w:t>
      </w:r>
      <w:r>
        <w:rPr/>
        <w:t>par</w:t>
      </w:r>
      <w:r>
        <w:rPr>
          <w:spacing w:val="-9"/>
        </w:rPr>
        <w:t> </w:t>
      </w:r>
      <w:r>
        <w:rPr/>
        <w:t>saistību</w:t>
      </w:r>
      <w:r>
        <w:rPr>
          <w:spacing w:val="-10"/>
        </w:rPr>
        <w:t> </w:t>
      </w:r>
      <w:r>
        <w:rPr/>
        <w:t>dzēšanu,</w:t>
      </w:r>
      <w:r>
        <w:rPr>
          <w:spacing w:val="-9"/>
        </w:rPr>
        <w:t> </w:t>
      </w:r>
      <w:r>
        <w:rPr/>
        <w:t>tiesa</w:t>
      </w:r>
      <w:r>
        <w:rPr>
          <w:spacing w:val="-12"/>
        </w:rPr>
        <w:t> </w:t>
      </w:r>
      <w:r>
        <w:rPr/>
        <w:t>norāda,</w:t>
      </w:r>
      <w:r>
        <w:rPr>
          <w:spacing w:val="-12"/>
        </w:rPr>
        <w:t> </w:t>
      </w:r>
      <w:r>
        <w:rPr/>
        <w:t>ka maksātnespējas procesā no kreditora tiek gaidīta aktīva rīcība attiecībā uz viņa prasījuma apmierināšanu. Attiecīgi, ja lietā nav saņemti kreditoru iebildumi par saistību</w:t>
      </w:r>
      <w:r>
        <w:rPr>
          <w:spacing w:val="-7"/>
        </w:rPr>
        <w:t> </w:t>
      </w:r>
      <w:r>
        <w:rPr/>
        <w:t>dzēšanas</w:t>
      </w:r>
      <w:r>
        <w:rPr>
          <w:spacing w:val="-9"/>
        </w:rPr>
        <w:t> </w:t>
      </w:r>
      <w:r>
        <w:rPr/>
        <w:t>procedūras</w:t>
      </w:r>
      <w:r>
        <w:rPr>
          <w:spacing w:val="-7"/>
        </w:rPr>
        <w:t> </w:t>
      </w:r>
      <w:r>
        <w:rPr/>
        <w:t>norisi,</w:t>
      </w:r>
      <w:r>
        <w:rPr>
          <w:spacing w:val="-5"/>
        </w:rPr>
        <w:t> </w:t>
      </w:r>
      <w:r>
        <w:rPr/>
        <w:t>arī</w:t>
      </w:r>
      <w:r>
        <w:rPr>
          <w:spacing w:val="-5"/>
        </w:rPr>
        <w:t> </w:t>
      </w:r>
      <w:r>
        <w:rPr/>
        <w:t>tad,</w:t>
      </w:r>
      <w:r>
        <w:rPr>
          <w:spacing w:val="-7"/>
        </w:rPr>
        <w:t> </w:t>
      </w:r>
      <w:r>
        <w:rPr/>
        <w:t>ja</w:t>
      </w:r>
      <w:r>
        <w:rPr>
          <w:spacing w:val="-6"/>
        </w:rPr>
        <w:t> </w:t>
      </w:r>
      <w:r>
        <w:rPr/>
        <w:t>parādnieks</w:t>
      </w:r>
      <w:r>
        <w:rPr>
          <w:spacing w:val="-7"/>
        </w:rPr>
        <w:t> </w:t>
      </w:r>
      <w:r>
        <w:rPr/>
        <w:t>pieļāvis</w:t>
      </w:r>
      <w:r>
        <w:rPr>
          <w:spacing w:val="-5"/>
        </w:rPr>
        <w:t> </w:t>
      </w:r>
      <w:r>
        <w:rPr/>
        <w:t>saistību</w:t>
      </w:r>
      <w:r>
        <w:rPr>
          <w:spacing w:val="-10"/>
        </w:rPr>
        <w:t> </w:t>
      </w:r>
      <w:r>
        <w:rPr/>
        <w:t>dzēšanas plānā noteikto maksājumu kavējumus, tiesas ieskatā, maksājumu kavējums nav uzskatāms par tik būtisku kā rezultātā pieņemams lēmums par saistību dzēšanas procedūras izbeigšanu. Tiesas ieskatā pieļautais, taču novērstais saistību dzēšanas plāna izpildes kavējums, nav pietiekams pamats izbeigt saistību dzēšanas procedūru, jo aizskārums pret kreditoriem ir</w:t>
      </w:r>
      <w:r>
        <w:rPr>
          <w:spacing w:val="4"/>
        </w:rPr>
        <w:t> </w:t>
      </w:r>
      <w:r>
        <w:rPr/>
        <w:t>novērsts.</w:t>
      </w:r>
      <w:r>
        <w:rPr>
          <w:position w:val="9"/>
          <w:sz w:val="16"/>
        </w:rPr>
        <w:t>192</w:t>
      </w:r>
    </w:p>
    <w:p>
      <w:pPr>
        <w:pStyle w:val="BodyText"/>
        <w:spacing w:before="8"/>
        <w:jc w:val="left"/>
        <w:rPr>
          <w:sz w:val="22"/>
        </w:rPr>
      </w:pPr>
    </w:p>
    <w:p>
      <w:pPr>
        <w:pStyle w:val="ListParagraph"/>
        <w:numPr>
          <w:ilvl w:val="0"/>
          <w:numId w:val="40"/>
        </w:numPr>
        <w:tabs>
          <w:tab w:pos="980" w:val="left" w:leader="none"/>
        </w:tabs>
        <w:spacing w:line="240" w:lineRule="auto" w:before="0" w:after="0"/>
        <w:ind w:left="980" w:right="762" w:hanging="360"/>
        <w:jc w:val="both"/>
        <w:rPr>
          <w:sz w:val="24"/>
        </w:rPr>
      </w:pPr>
      <w:r>
        <w:rPr>
          <w:sz w:val="24"/>
        </w:rPr>
        <w:t>Lēmumos bieži netiek norādīta pilnīga informācija par dzēšamajām saistībām – nedz par kreditoriem, kuru prasījumi pēc maksātnespējas procesa izbeigšanas tiek dzēsti, nedz dzēšamo saistību apmērs.</w:t>
      </w:r>
    </w:p>
    <w:p>
      <w:pPr>
        <w:pStyle w:val="BodyText"/>
        <w:jc w:val="left"/>
      </w:pPr>
    </w:p>
    <w:p>
      <w:pPr>
        <w:pStyle w:val="ListParagraph"/>
        <w:numPr>
          <w:ilvl w:val="0"/>
          <w:numId w:val="40"/>
        </w:numPr>
        <w:tabs>
          <w:tab w:pos="980" w:val="left" w:leader="none"/>
        </w:tabs>
        <w:spacing w:line="240" w:lineRule="auto" w:before="0" w:after="0"/>
        <w:ind w:left="980" w:right="763" w:hanging="360"/>
        <w:jc w:val="both"/>
        <w:rPr>
          <w:sz w:val="24"/>
        </w:rPr>
      </w:pPr>
      <w:r>
        <w:rPr>
          <w:sz w:val="24"/>
        </w:rPr>
        <w:t>Lietās,</w:t>
      </w:r>
      <w:r>
        <w:rPr>
          <w:spacing w:val="-4"/>
          <w:sz w:val="24"/>
        </w:rPr>
        <w:t> </w:t>
      </w:r>
      <w:r>
        <w:rPr>
          <w:sz w:val="24"/>
        </w:rPr>
        <w:t>kur</w:t>
      </w:r>
      <w:r>
        <w:rPr>
          <w:spacing w:val="-8"/>
          <w:sz w:val="24"/>
        </w:rPr>
        <w:t> </w:t>
      </w:r>
      <w:r>
        <w:rPr>
          <w:sz w:val="24"/>
        </w:rPr>
        <w:t>dzēšamā</w:t>
      </w:r>
      <w:r>
        <w:rPr>
          <w:spacing w:val="-6"/>
          <w:sz w:val="24"/>
        </w:rPr>
        <w:t> </w:t>
      </w:r>
      <w:r>
        <w:rPr>
          <w:sz w:val="24"/>
        </w:rPr>
        <w:t>prasījuma</w:t>
      </w:r>
      <w:r>
        <w:rPr>
          <w:spacing w:val="-8"/>
          <w:sz w:val="24"/>
        </w:rPr>
        <w:t> </w:t>
      </w:r>
      <w:r>
        <w:rPr>
          <w:sz w:val="24"/>
        </w:rPr>
        <w:t>apmērs</w:t>
      </w:r>
      <w:r>
        <w:rPr>
          <w:spacing w:val="-6"/>
          <w:sz w:val="24"/>
        </w:rPr>
        <w:t> </w:t>
      </w:r>
      <w:r>
        <w:rPr>
          <w:sz w:val="24"/>
        </w:rPr>
        <w:t>lēmumā</w:t>
      </w:r>
      <w:r>
        <w:rPr>
          <w:spacing w:val="-4"/>
          <w:sz w:val="24"/>
        </w:rPr>
        <w:t> </w:t>
      </w:r>
      <w:r>
        <w:rPr>
          <w:sz w:val="24"/>
        </w:rPr>
        <w:t>tiek</w:t>
      </w:r>
      <w:r>
        <w:rPr>
          <w:spacing w:val="-6"/>
          <w:sz w:val="24"/>
        </w:rPr>
        <w:t> </w:t>
      </w:r>
      <w:r>
        <w:rPr>
          <w:sz w:val="24"/>
        </w:rPr>
        <w:t>norādīts,</w:t>
      </w:r>
      <w:r>
        <w:rPr>
          <w:spacing w:val="-5"/>
          <w:sz w:val="24"/>
        </w:rPr>
        <w:t> </w:t>
      </w:r>
      <w:r>
        <w:rPr>
          <w:sz w:val="24"/>
        </w:rPr>
        <w:t>no</w:t>
      </w:r>
      <w:r>
        <w:rPr>
          <w:spacing w:val="-6"/>
          <w:sz w:val="24"/>
        </w:rPr>
        <w:t> </w:t>
      </w:r>
      <w:r>
        <w:rPr>
          <w:sz w:val="24"/>
        </w:rPr>
        <w:t>lēmumiem</w:t>
      </w:r>
      <w:r>
        <w:rPr>
          <w:spacing w:val="-3"/>
          <w:sz w:val="24"/>
        </w:rPr>
        <w:t> </w:t>
      </w:r>
      <w:r>
        <w:rPr>
          <w:sz w:val="24"/>
        </w:rPr>
        <w:t>gandrīz nekad nav izsecināms, vai dzēstas tiek plānā norādītās kopējās saistības vai tikai nesegtie galvenie prasījumi. Vēl vairāk – praksē tiek pieņemti pilnībā atšķirīgi lēmumi (vienā, kur tiek dzēsti tikai galvenie prasījumi, otrā – tiek dzēsta galveno un blakusprasījumu</w:t>
      </w:r>
      <w:r>
        <w:rPr>
          <w:spacing w:val="-1"/>
          <w:sz w:val="24"/>
        </w:rPr>
        <w:t> </w:t>
      </w:r>
      <w:r>
        <w:rPr>
          <w:sz w:val="24"/>
        </w:rPr>
        <w:t>kopsumma).</w:t>
      </w:r>
    </w:p>
    <w:p>
      <w:pPr>
        <w:pStyle w:val="BodyText"/>
        <w:jc w:val="left"/>
      </w:pPr>
    </w:p>
    <w:p>
      <w:pPr>
        <w:pStyle w:val="ListParagraph"/>
        <w:numPr>
          <w:ilvl w:val="0"/>
          <w:numId w:val="40"/>
        </w:numPr>
        <w:tabs>
          <w:tab w:pos="980" w:val="left" w:leader="none"/>
        </w:tabs>
        <w:spacing w:line="240" w:lineRule="auto" w:before="0" w:after="0"/>
        <w:ind w:left="980" w:right="762" w:hanging="360"/>
        <w:jc w:val="both"/>
        <w:rPr>
          <w:sz w:val="24"/>
        </w:rPr>
      </w:pPr>
      <w:r>
        <w:rPr>
          <w:sz w:val="24"/>
        </w:rPr>
        <w:t>Tiesa pēc savas iniciatīvas nevērtē plānā norādīto prasījumu dzēšamību, faktiski atstājot</w:t>
      </w:r>
      <w:r>
        <w:rPr>
          <w:spacing w:val="-12"/>
          <w:sz w:val="24"/>
        </w:rPr>
        <w:t> </w:t>
      </w:r>
      <w:r>
        <w:rPr>
          <w:sz w:val="24"/>
        </w:rPr>
        <w:t>to</w:t>
      </w:r>
      <w:r>
        <w:rPr>
          <w:spacing w:val="-12"/>
          <w:sz w:val="24"/>
        </w:rPr>
        <w:t> </w:t>
      </w:r>
      <w:r>
        <w:rPr>
          <w:sz w:val="24"/>
        </w:rPr>
        <w:t>kreditoru</w:t>
      </w:r>
      <w:r>
        <w:rPr>
          <w:spacing w:val="-11"/>
          <w:sz w:val="24"/>
        </w:rPr>
        <w:t> </w:t>
      </w:r>
      <w:r>
        <w:rPr>
          <w:sz w:val="24"/>
        </w:rPr>
        <w:t>un</w:t>
      </w:r>
      <w:r>
        <w:rPr>
          <w:spacing w:val="-12"/>
          <w:sz w:val="24"/>
        </w:rPr>
        <w:t> </w:t>
      </w:r>
      <w:r>
        <w:rPr>
          <w:sz w:val="24"/>
        </w:rPr>
        <w:t>administratora</w:t>
      </w:r>
      <w:r>
        <w:rPr>
          <w:spacing w:val="-15"/>
          <w:sz w:val="24"/>
        </w:rPr>
        <w:t> </w:t>
      </w:r>
      <w:r>
        <w:rPr>
          <w:sz w:val="24"/>
        </w:rPr>
        <w:t>kompetencē</w:t>
      </w:r>
      <w:r>
        <w:rPr>
          <w:spacing w:val="-12"/>
          <w:sz w:val="24"/>
        </w:rPr>
        <w:t> </w:t>
      </w:r>
      <w:r>
        <w:rPr>
          <w:sz w:val="24"/>
        </w:rPr>
        <w:t>un</w:t>
      </w:r>
      <w:r>
        <w:rPr>
          <w:spacing w:val="-12"/>
          <w:sz w:val="24"/>
        </w:rPr>
        <w:t> </w:t>
      </w:r>
      <w:r>
        <w:rPr>
          <w:sz w:val="24"/>
        </w:rPr>
        <w:t>paļaujoties</w:t>
      </w:r>
      <w:r>
        <w:rPr>
          <w:spacing w:val="-12"/>
          <w:sz w:val="24"/>
        </w:rPr>
        <w:t> </w:t>
      </w:r>
      <w:r>
        <w:rPr>
          <w:sz w:val="24"/>
        </w:rPr>
        <w:t>uz</w:t>
      </w:r>
      <w:r>
        <w:rPr>
          <w:spacing w:val="-10"/>
          <w:sz w:val="24"/>
        </w:rPr>
        <w:t> </w:t>
      </w:r>
      <w:r>
        <w:rPr>
          <w:sz w:val="24"/>
        </w:rPr>
        <w:t>viņu</w:t>
      </w:r>
      <w:r>
        <w:rPr>
          <w:spacing w:val="-12"/>
          <w:sz w:val="24"/>
        </w:rPr>
        <w:t> </w:t>
      </w:r>
      <w:r>
        <w:rPr>
          <w:sz w:val="24"/>
        </w:rPr>
        <w:t>iniciatīvu.</w:t>
      </w:r>
    </w:p>
    <w:p>
      <w:pPr>
        <w:pStyle w:val="BodyText"/>
        <w:jc w:val="left"/>
      </w:pPr>
    </w:p>
    <w:p>
      <w:pPr>
        <w:pStyle w:val="ListParagraph"/>
        <w:numPr>
          <w:ilvl w:val="0"/>
          <w:numId w:val="40"/>
        </w:numPr>
        <w:tabs>
          <w:tab w:pos="980" w:val="left" w:leader="none"/>
        </w:tabs>
        <w:spacing w:line="240" w:lineRule="auto" w:before="1" w:after="0"/>
        <w:ind w:left="980" w:right="761" w:hanging="360"/>
        <w:jc w:val="both"/>
        <w:rPr>
          <w:sz w:val="24"/>
        </w:rPr>
      </w:pPr>
      <w:r>
        <w:rPr>
          <w:sz w:val="24"/>
        </w:rPr>
        <w:t>Nav</w:t>
      </w:r>
      <w:r>
        <w:rPr>
          <w:spacing w:val="-9"/>
          <w:sz w:val="24"/>
        </w:rPr>
        <w:t> </w:t>
      </w:r>
      <w:r>
        <w:rPr>
          <w:sz w:val="24"/>
        </w:rPr>
        <w:t>vienota</w:t>
      </w:r>
      <w:r>
        <w:rPr>
          <w:spacing w:val="-9"/>
          <w:sz w:val="24"/>
        </w:rPr>
        <w:t> </w:t>
      </w:r>
      <w:r>
        <w:rPr>
          <w:sz w:val="24"/>
        </w:rPr>
        <w:t>kārtība</w:t>
      </w:r>
      <w:r>
        <w:rPr>
          <w:spacing w:val="-6"/>
          <w:sz w:val="24"/>
        </w:rPr>
        <w:t> </w:t>
      </w:r>
      <w:r>
        <w:rPr>
          <w:sz w:val="24"/>
        </w:rPr>
        <w:t>attiecībā</w:t>
      </w:r>
      <w:r>
        <w:rPr>
          <w:spacing w:val="-6"/>
          <w:sz w:val="24"/>
        </w:rPr>
        <w:t> </w:t>
      </w:r>
      <w:r>
        <w:rPr>
          <w:sz w:val="24"/>
        </w:rPr>
        <w:t>uz</w:t>
      </w:r>
      <w:r>
        <w:rPr>
          <w:spacing w:val="-5"/>
          <w:sz w:val="24"/>
        </w:rPr>
        <w:t> </w:t>
      </w:r>
      <w:r>
        <w:rPr>
          <w:sz w:val="24"/>
        </w:rPr>
        <w:t>administratora</w:t>
      </w:r>
      <w:r>
        <w:rPr>
          <w:spacing w:val="-6"/>
          <w:sz w:val="24"/>
        </w:rPr>
        <w:t> </w:t>
      </w:r>
      <w:r>
        <w:rPr>
          <w:sz w:val="24"/>
        </w:rPr>
        <w:t>viedokļa</w:t>
      </w:r>
      <w:r>
        <w:rPr>
          <w:spacing w:val="-5"/>
          <w:sz w:val="24"/>
        </w:rPr>
        <w:t> </w:t>
      </w:r>
      <w:r>
        <w:rPr>
          <w:sz w:val="24"/>
        </w:rPr>
        <w:t>noskaidrošanu</w:t>
      </w:r>
      <w:r>
        <w:rPr>
          <w:spacing w:val="-5"/>
          <w:sz w:val="24"/>
        </w:rPr>
        <w:t> </w:t>
      </w:r>
      <w:r>
        <w:rPr>
          <w:sz w:val="24"/>
        </w:rPr>
        <w:t>par</w:t>
      </w:r>
      <w:r>
        <w:rPr>
          <w:spacing w:val="-7"/>
          <w:sz w:val="24"/>
        </w:rPr>
        <w:t> </w:t>
      </w:r>
      <w:r>
        <w:rPr>
          <w:sz w:val="24"/>
        </w:rPr>
        <w:t>saistību dzēšanas</w:t>
      </w:r>
      <w:r>
        <w:rPr>
          <w:spacing w:val="-9"/>
          <w:sz w:val="24"/>
        </w:rPr>
        <w:t> </w:t>
      </w:r>
      <w:r>
        <w:rPr>
          <w:sz w:val="24"/>
        </w:rPr>
        <w:t>procedūras</w:t>
      </w:r>
      <w:r>
        <w:rPr>
          <w:spacing w:val="-9"/>
          <w:sz w:val="24"/>
        </w:rPr>
        <w:t> </w:t>
      </w:r>
      <w:r>
        <w:rPr>
          <w:sz w:val="24"/>
        </w:rPr>
        <w:t>norisi.</w:t>
      </w:r>
      <w:r>
        <w:rPr>
          <w:spacing w:val="-9"/>
          <w:sz w:val="24"/>
        </w:rPr>
        <w:t> </w:t>
      </w:r>
      <w:r>
        <w:rPr>
          <w:sz w:val="24"/>
        </w:rPr>
        <w:t>Atsevišķās</w:t>
      </w:r>
      <w:r>
        <w:rPr>
          <w:spacing w:val="-9"/>
          <w:sz w:val="24"/>
        </w:rPr>
        <w:t> </w:t>
      </w:r>
      <w:r>
        <w:rPr>
          <w:sz w:val="24"/>
        </w:rPr>
        <w:t>situācijās</w:t>
      </w:r>
      <w:r>
        <w:rPr>
          <w:spacing w:val="-9"/>
          <w:sz w:val="24"/>
        </w:rPr>
        <w:t> </w:t>
      </w:r>
      <w:r>
        <w:rPr>
          <w:sz w:val="24"/>
        </w:rPr>
        <w:t>tiesa</w:t>
      </w:r>
      <w:r>
        <w:rPr>
          <w:spacing w:val="-11"/>
          <w:sz w:val="24"/>
        </w:rPr>
        <w:t> </w:t>
      </w:r>
      <w:r>
        <w:rPr>
          <w:sz w:val="24"/>
        </w:rPr>
        <w:t>tikai</w:t>
      </w:r>
      <w:r>
        <w:rPr>
          <w:spacing w:val="-10"/>
          <w:sz w:val="24"/>
        </w:rPr>
        <w:t> </w:t>
      </w:r>
      <w:r>
        <w:rPr>
          <w:sz w:val="24"/>
        </w:rPr>
        <w:t>paziņo</w:t>
      </w:r>
      <w:r>
        <w:rPr>
          <w:spacing w:val="-9"/>
          <w:sz w:val="24"/>
        </w:rPr>
        <w:t> </w:t>
      </w:r>
      <w:r>
        <w:rPr>
          <w:sz w:val="24"/>
        </w:rPr>
        <w:t>administratoram par</w:t>
      </w:r>
      <w:r>
        <w:rPr>
          <w:spacing w:val="-18"/>
          <w:sz w:val="24"/>
        </w:rPr>
        <w:t> </w:t>
      </w:r>
      <w:r>
        <w:rPr>
          <w:sz w:val="24"/>
        </w:rPr>
        <w:t>parādnieka</w:t>
      </w:r>
      <w:r>
        <w:rPr>
          <w:spacing w:val="-15"/>
          <w:sz w:val="24"/>
        </w:rPr>
        <w:t> </w:t>
      </w:r>
      <w:r>
        <w:rPr>
          <w:sz w:val="24"/>
        </w:rPr>
        <w:t>pieteikuma</w:t>
      </w:r>
      <w:r>
        <w:rPr>
          <w:spacing w:val="-14"/>
          <w:sz w:val="24"/>
        </w:rPr>
        <w:t> </w:t>
      </w:r>
      <w:r>
        <w:rPr>
          <w:sz w:val="24"/>
        </w:rPr>
        <w:t>saņemšanu</w:t>
      </w:r>
      <w:r>
        <w:rPr>
          <w:spacing w:val="-15"/>
          <w:sz w:val="24"/>
        </w:rPr>
        <w:t> </w:t>
      </w:r>
      <w:r>
        <w:rPr>
          <w:sz w:val="24"/>
        </w:rPr>
        <w:t>un,</w:t>
      </w:r>
      <w:r>
        <w:rPr>
          <w:spacing w:val="-16"/>
          <w:sz w:val="24"/>
        </w:rPr>
        <w:t> </w:t>
      </w:r>
      <w:r>
        <w:rPr>
          <w:sz w:val="24"/>
        </w:rPr>
        <w:t>ja</w:t>
      </w:r>
      <w:r>
        <w:rPr>
          <w:spacing w:val="-15"/>
          <w:sz w:val="24"/>
        </w:rPr>
        <w:t> </w:t>
      </w:r>
      <w:r>
        <w:rPr>
          <w:sz w:val="24"/>
        </w:rPr>
        <w:t>netiek</w:t>
      </w:r>
      <w:r>
        <w:rPr>
          <w:spacing w:val="-13"/>
          <w:sz w:val="24"/>
        </w:rPr>
        <w:t> </w:t>
      </w:r>
      <w:r>
        <w:rPr>
          <w:sz w:val="24"/>
        </w:rPr>
        <w:t>saņemti</w:t>
      </w:r>
      <w:r>
        <w:rPr>
          <w:spacing w:val="-15"/>
          <w:sz w:val="24"/>
        </w:rPr>
        <w:t> </w:t>
      </w:r>
      <w:r>
        <w:rPr>
          <w:sz w:val="24"/>
        </w:rPr>
        <w:t>iebildumi,</w:t>
      </w:r>
      <w:r>
        <w:rPr>
          <w:spacing w:val="-13"/>
          <w:sz w:val="24"/>
        </w:rPr>
        <w:t> </w:t>
      </w:r>
      <w:r>
        <w:rPr>
          <w:sz w:val="24"/>
        </w:rPr>
        <w:t>tiesa</w:t>
      </w:r>
      <w:r>
        <w:rPr>
          <w:spacing w:val="-17"/>
          <w:sz w:val="24"/>
        </w:rPr>
        <w:t> </w:t>
      </w:r>
      <w:r>
        <w:rPr>
          <w:sz w:val="24"/>
        </w:rPr>
        <w:t>uzskata, ka pieteikums ir apmierināms. Savukārt atsevišķās situācijās tiesa pieprasa administratoram sniegt informāciju par saistību dzēšanas procedūras</w:t>
      </w:r>
      <w:r>
        <w:rPr>
          <w:spacing w:val="-10"/>
          <w:sz w:val="24"/>
        </w:rPr>
        <w:t> </w:t>
      </w:r>
      <w:r>
        <w:rPr>
          <w:sz w:val="24"/>
        </w:rPr>
        <w:t>norisi.</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7"/>
        <w:jc w:val="left"/>
        <w:rPr>
          <w:sz w:val="12"/>
        </w:rPr>
      </w:pPr>
      <w:r>
        <w:rPr/>
        <w:pict>
          <v:shape style="position:absolute;margin-left:72pt;margin-top:9.521292pt;width:144pt;height:.1pt;mso-position-horizontal-relative:page;mso-position-vertical-relative:paragraph;z-index:-251614208;mso-wrap-distance-left:0;mso-wrap-distance-right:0" coordorigin="1440,190" coordsize="2880,0" path="m1440,190l4320,190e" filled="false" stroked="true" strokeweight=".599991pt" strokecolor="#000000">
            <v:path arrowok="t"/>
            <v:stroke dashstyle="solid"/>
            <w10:wrap type="topAndBottom"/>
          </v:shape>
        </w:pict>
      </w:r>
    </w:p>
    <w:p>
      <w:pPr>
        <w:spacing w:before="70"/>
        <w:ind w:left="260" w:right="0" w:firstLine="0"/>
        <w:jc w:val="left"/>
        <w:rPr>
          <w:sz w:val="20"/>
        </w:rPr>
      </w:pPr>
      <w:r>
        <w:rPr>
          <w:position w:val="7"/>
          <w:sz w:val="13"/>
        </w:rPr>
        <w:t>192 </w:t>
      </w:r>
      <w:r>
        <w:rPr>
          <w:sz w:val="20"/>
        </w:rPr>
        <w:t>Rīgas rajona tiesas 2018.gada 7.septembra nolēmums lietā Nr. C33361613</w:t>
      </w:r>
    </w:p>
    <w:p>
      <w:pPr>
        <w:spacing w:after="0"/>
        <w:jc w:val="left"/>
        <w:rPr>
          <w:sz w:val="20"/>
        </w:rPr>
        <w:sectPr>
          <w:pgSz w:w="11910" w:h="16840"/>
          <w:pgMar w:header="0" w:footer="1055" w:top="1340" w:bottom="1240" w:left="1180" w:right="1040"/>
        </w:sectPr>
      </w:pPr>
    </w:p>
    <w:p>
      <w:pPr>
        <w:pStyle w:val="Heading2"/>
        <w:ind w:left="1412"/>
      </w:pPr>
      <w:bookmarkStart w:name="_TOC_250064" w:id="14"/>
      <w:bookmarkEnd w:id="14"/>
      <w:r>
        <w:rPr/>
        <w:t>5. Parādnieka godprātības vērtējums Latvijas tiesu praksē</w:t>
      </w:r>
    </w:p>
    <w:p>
      <w:pPr>
        <w:pStyle w:val="BodyText"/>
        <w:spacing w:before="5"/>
        <w:jc w:val="left"/>
        <w:rPr>
          <w:b/>
          <w:sz w:val="23"/>
        </w:rPr>
      </w:pPr>
    </w:p>
    <w:p>
      <w:pPr>
        <w:pStyle w:val="BodyText"/>
        <w:ind w:left="620" w:right="402" w:firstLine="720"/>
      </w:pPr>
      <w:r>
        <w:rPr/>
        <w:t>Pētījuma iepriekšējās nodaļās jau ir norādītas atsauces uz samērā daudziem tiesu nolēmumiem, kuros tiesa ir vērtējusi parādnieka godprātību dažādos aspektos – gan pirms maksātnespējas procesa, gan arī maksātnespējas procesa laikā. Lai gūtu pilnīgāku ieskatu par Latvijas tiesu praksi, šajā pētījuma nodaļā ir norādītas atsauces uz citiem tiesu nolēmumiem, kuros ir vērtēta parādnieka godprātība.</w:t>
      </w:r>
    </w:p>
    <w:p>
      <w:pPr>
        <w:pStyle w:val="BodyText"/>
        <w:spacing w:before="1"/>
        <w:ind w:left="620" w:right="401" w:firstLine="720"/>
      </w:pPr>
      <w:r>
        <w:rPr/>
        <w:t>Pamatā ir secināms, ka Latvijas tiesu praksē parādnieka negodprātība lielākoties tiek konstatēta saistībā ar nevēlēšanos (nevis objektīvu nespēju) pildīt saistības, bezatbildīgu vai neapdomīgu saistību uzņemšanos, nepatiesas vai nepilnīgas informācijas sniegšanu un patieso ienākumu slēpšanu. Atsevišķos gadījumos negodprātība tiek saistīta ar mantas slēpšanu vai darījumiem, kas nodara zaudējumus kreditoriem (bieži vien visi minētie pārkāpumi vai vairums no tiem tiek konstatēti vienlaikus).</w:t>
      </w:r>
    </w:p>
    <w:p>
      <w:pPr>
        <w:pStyle w:val="BodyText"/>
        <w:ind w:left="1340"/>
      </w:pPr>
      <w:r>
        <w:rPr/>
        <w:t>Kā liecina Latvijas tiesu prakse, parādnieka negodprātība parasti tiek vērtēta:</w:t>
      </w:r>
    </w:p>
    <w:p>
      <w:pPr>
        <w:pStyle w:val="ListParagraph"/>
        <w:numPr>
          <w:ilvl w:val="0"/>
          <w:numId w:val="41"/>
        </w:numPr>
        <w:tabs>
          <w:tab w:pos="1700" w:val="left" w:leader="none"/>
        </w:tabs>
        <w:spacing w:line="240" w:lineRule="auto" w:before="0" w:after="0"/>
        <w:ind w:left="1700" w:right="402" w:hanging="360"/>
        <w:jc w:val="both"/>
        <w:rPr>
          <w:sz w:val="24"/>
        </w:rPr>
      </w:pPr>
      <w:r>
        <w:rPr>
          <w:sz w:val="24"/>
        </w:rPr>
        <w:t>atsaucoties uz fiziskās personas maksātnespējas procesa kā tiesību institūta ieviešanas</w:t>
      </w:r>
      <w:r>
        <w:rPr>
          <w:spacing w:val="-6"/>
          <w:sz w:val="24"/>
        </w:rPr>
        <w:t> </w:t>
      </w:r>
      <w:r>
        <w:rPr>
          <w:sz w:val="24"/>
        </w:rPr>
        <w:t>mērķi</w:t>
      </w:r>
      <w:r>
        <w:rPr>
          <w:spacing w:val="-6"/>
          <w:sz w:val="24"/>
        </w:rPr>
        <w:t> </w:t>
      </w:r>
      <w:r>
        <w:rPr>
          <w:sz w:val="24"/>
        </w:rPr>
        <w:t>dot</w:t>
      </w:r>
      <w:r>
        <w:rPr>
          <w:spacing w:val="-4"/>
          <w:sz w:val="24"/>
        </w:rPr>
        <w:t> </w:t>
      </w:r>
      <w:r>
        <w:rPr>
          <w:sz w:val="24"/>
        </w:rPr>
        <w:t>“otro”</w:t>
      </w:r>
      <w:r>
        <w:rPr>
          <w:spacing w:val="-9"/>
          <w:sz w:val="24"/>
        </w:rPr>
        <w:t> </w:t>
      </w:r>
      <w:r>
        <w:rPr>
          <w:sz w:val="24"/>
        </w:rPr>
        <w:t>iespēju</w:t>
      </w:r>
      <w:r>
        <w:rPr>
          <w:spacing w:val="-4"/>
          <w:sz w:val="24"/>
        </w:rPr>
        <w:t> </w:t>
      </w:r>
      <w:r>
        <w:rPr>
          <w:sz w:val="24"/>
        </w:rPr>
        <w:t>godprātīgam</w:t>
      </w:r>
      <w:r>
        <w:rPr>
          <w:spacing w:val="-6"/>
          <w:sz w:val="24"/>
        </w:rPr>
        <w:t> </w:t>
      </w:r>
      <w:r>
        <w:rPr>
          <w:sz w:val="24"/>
        </w:rPr>
        <w:t>parādniekam,</w:t>
      </w:r>
      <w:r>
        <w:rPr>
          <w:spacing w:val="-5"/>
          <w:sz w:val="24"/>
        </w:rPr>
        <w:t> </w:t>
      </w:r>
      <w:r>
        <w:rPr>
          <w:sz w:val="24"/>
        </w:rPr>
        <w:t>kas</w:t>
      </w:r>
      <w:r>
        <w:rPr>
          <w:spacing w:val="-6"/>
          <w:sz w:val="24"/>
        </w:rPr>
        <w:t> </w:t>
      </w:r>
      <w:r>
        <w:rPr>
          <w:sz w:val="24"/>
        </w:rPr>
        <w:t>ekonomisku vai sociālu apstākļu dēļ kļuvis</w:t>
      </w:r>
      <w:r>
        <w:rPr>
          <w:spacing w:val="-1"/>
          <w:sz w:val="24"/>
        </w:rPr>
        <w:t> </w:t>
      </w:r>
      <w:r>
        <w:rPr>
          <w:sz w:val="24"/>
        </w:rPr>
        <w:t>maksātnespējīgs,</w:t>
      </w:r>
    </w:p>
    <w:p>
      <w:pPr>
        <w:pStyle w:val="ListParagraph"/>
        <w:numPr>
          <w:ilvl w:val="0"/>
          <w:numId w:val="41"/>
        </w:numPr>
        <w:tabs>
          <w:tab w:pos="1700" w:val="left" w:leader="none"/>
        </w:tabs>
        <w:spacing w:line="240" w:lineRule="auto" w:before="0" w:after="0"/>
        <w:ind w:left="1700" w:right="402" w:hanging="360"/>
        <w:jc w:val="both"/>
        <w:rPr>
          <w:sz w:val="24"/>
        </w:rPr>
      </w:pPr>
      <w:r>
        <w:rPr>
          <w:sz w:val="24"/>
        </w:rPr>
        <w:t>atsaucoties uz Maksātnespējas likuma 130.pantā un/vai 153.pantā noteiktajiem ierobežojumiem (taču norādāms, ka tiesu prakse šo ierobežojumu piemērošanā nereti ir ļoti</w:t>
      </w:r>
      <w:r>
        <w:rPr>
          <w:spacing w:val="-2"/>
          <w:sz w:val="24"/>
        </w:rPr>
        <w:t> </w:t>
      </w:r>
      <w:r>
        <w:rPr>
          <w:sz w:val="24"/>
        </w:rPr>
        <w:t>neviennozīmīga),</w:t>
      </w:r>
    </w:p>
    <w:p>
      <w:pPr>
        <w:pStyle w:val="ListParagraph"/>
        <w:numPr>
          <w:ilvl w:val="0"/>
          <w:numId w:val="41"/>
        </w:numPr>
        <w:tabs>
          <w:tab w:pos="1700" w:val="left" w:leader="none"/>
        </w:tabs>
        <w:spacing w:line="240" w:lineRule="auto" w:before="0" w:after="0"/>
        <w:ind w:left="1700" w:right="405" w:hanging="360"/>
        <w:jc w:val="both"/>
        <w:rPr>
          <w:sz w:val="24"/>
        </w:rPr>
      </w:pPr>
      <w:r>
        <w:rPr>
          <w:sz w:val="24"/>
        </w:rPr>
        <w:t>atsaucoties uz labas ticības principu (lielākoties – Maksātnespējas likuma 6.panta 8.punktu, un dažkārt arī Civillikuma</w:t>
      </w:r>
      <w:r>
        <w:rPr>
          <w:spacing w:val="-5"/>
          <w:sz w:val="24"/>
        </w:rPr>
        <w:t> </w:t>
      </w:r>
      <w:r>
        <w:rPr>
          <w:sz w:val="24"/>
        </w:rPr>
        <w:t>1.pantu).</w:t>
      </w:r>
    </w:p>
    <w:p>
      <w:pPr>
        <w:pStyle w:val="BodyText"/>
        <w:jc w:val="left"/>
        <w:rPr>
          <w:sz w:val="26"/>
        </w:rPr>
      </w:pPr>
    </w:p>
    <w:p>
      <w:pPr>
        <w:pStyle w:val="BodyText"/>
        <w:spacing w:before="5"/>
        <w:jc w:val="left"/>
        <w:rPr>
          <w:sz w:val="22"/>
        </w:rPr>
      </w:pPr>
    </w:p>
    <w:p>
      <w:pPr>
        <w:pStyle w:val="Heading4"/>
        <w:numPr>
          <w:ilvl w:val="1"/>
          <w:numId w:val="42"/>
        </w:numPr>
        <w:tabs>
          <w:tab w:pos="1091" w:val="left" w:leader="none"/>
        </w:tabs>
        <w:spacing w:line="240" w:lineRule="auto" w:before="0" w:after="0"/>
        <w:ind w:left="620" w:right="402" w:firstLine="0"/>
        <w:jc w:val="left"/>
      </w:pPr>
      <w:bookmarkStart w:name="_TOC_250063" w:id="15"/>
      <w:r>
        <w:rPr>
          <w:i/>
        </w:rPr>
        <w:t>Parādnieka godprātības vērtējums, pasludinot fiziskās personas maksātnespējas </w:t>
      </w:r>
      <w:bookmarkEnd w:id="15"/>
      <w:r>
        <w:rPr/>
        <w:t>procesu</w:t>
      </w:r>
    </w:p>
    <w:p>
      <w:pPr>
        <w:pStyle w:val="BodyText"/>
        <w:spacing w:before="6"/>
        <w:jc w:val="left"/>
        <w:rPr>
          <w:b/>
          <w:i/>
          <w:sz w:val="23"/>
        </w:rPr>
      </w:pPr>
    </w:p>
    <w:p>
      <w:pPr>
        <w:pStyle w:val="BodyText"/>
        <w:ind w:left="620" w:right="403" w:firstLine="720"/>
      </w:pPr>
      <w:r>
        <w:rPr/>
        <w:t>Parādnieka godprātīgas vai negodprātīgas rīcības aspekts tiek vērtēts jau pie pieteikuma par maksātnespējas procesa izskatīšanas, tiesai lemjot par to, vai parādnieks atbilst Maksātnespējas likuma 129.pantā noteiktajai maksātnespējas pazīmei. Vairumā gadījumu tiesa ir atzinusi, ka pieteikumā norādītie apstākļi liecina nevis par objektīvām finansiālām grūtībām, bet gan par izvairīšanos nokārtot parādsaistības.</w:t>
      </w:r>
    </w:p>
    <w:p>
      <w:pPr>
        <w:pStyle w:val="BodyText"/>
        <w:spacing w:before="8"/>
        <w:jc w:val="left"/>
      </w:pPr>
    </w:p>
    <w:p>
      <w:pPr>
        <w:pStyle w:val="ListParagraph"/>
        <w:numPr>
          <w:ilvl w:val="0"/>
          <w:numId w:val="43"/>
        </w:numPr>
        <w:tabs>
          <w:tab w:pos="1040" w:val="left" w:leader="none"/>
        </w:tabs>
        <w:spacing w:line="240" w:lineRule="auto" w:before="0" w:after="0"/>
        <w:ind w:left="1040" w:right="0" w:hanging="360"/>
        <w:jc w:val="left"/>
        <w:rPr>
          <w:b/>
          <w:sz w:val="24"/>
        </w:rPr>
      </w:pPr>
      <w:r>
        <w:rPr>
          <w:b/>
          <w:sz w:val="24"/>
        </w:rPr>
        <w:t>Parādnieka ienākumu pietiekamība, lai spētu samaksāt uzņemtās</w:t>
      </w:r>
      <w:r>
        <w:rPr>
          <w:b/>
          <w:spacing w:val="-3"/>
          <w:sz w:val="24"/>
        </w:rPr>
        <w:t> </w:t>
      </w:r>
      <w:r>
        <w:rPr>
          <w:b/>
          <w:sz w:val="24"/>
        </w:rPr>
        <w:t>saistības</w:t>
      </w:r>
    </w:p>
    <w:p>
      <w:pPr>
        <w:pStyle w:val="BodyText"/>
        <w:spacing w:before="3"/>
        <w:jc w:val="left"/>
        <w:rPr>
          <w:b/>
          <w:sz w:val="27"/>
        </w:rPr>
      </w:pPr>
    </w:p>
    <w:p>
      <w:pPr>
        <w:pStyle w:val="BodyText"/>
        <w:spacing w:line="237" w:lineRule="auto" w:before="1"/>
        <w:ind w:left="620" w:right="400" w:firstLine="720"/>
      </w:pPr>
      <w:r>
        <w:rPr/>
        <w:t>Piemēram, ar Dobeles rajona tiesas 2014.gada 9.aprīļa nolēmumu lietā Nr. C13034414, tiesa noraidīja fiziskās personas pieteikumu par maksātnespējas procesa pasludināšanu, jo netika konstatēts, ka ikmēneša maksājumu apmērs pret kreditoriem ir bijis par nesamērīgu ar pieteicēja ienākumiem parādsaistību rašanās periodā.</w:t>
      </w:r>
      <w:r>
        <w:rPr>
          <w:position w:val="9"/>
          <w:sz w:val="16"/>
        </w:rPr>
        <w:t>193 </w:t>
      </w:r>
      <w:r>
        <w:rPr/>
        <w:t>Šai sakarā tiesa</w:t>
      </w:r>
      <w:r>
        <w:rPr>
          <w:spacing w:val="-4"/>
        </w:rPr>
        <w:t> </w:t>
      </w:r>
      <w:r>
        <w:rPr/>
        <w:t>ir</w:t>
      </w:r>
      <w:r>
        <w:rPr>
          <w:spacing w:val="-3"/>
        </w:rPr>
        <w:t> </w:t>
      </w:r>
      <w:r>
        <w:rPr/>
        <w:t>analizējusi</w:t>
      </w:r>
      <w:r>
        <w:rPr>
          <w:spacing w:val="-4"/>
        </w:rPr>
        <w:t> </w:t>
      </w:r>
      <w:r>
        <w:rPr/>
        <w:t>parādnieka</w:t>
      </w:r>
      <w:r>
        <w:rPr>
          <w:spacing w:val="-5"/>
        </w:rPr>
        <w:t> </w:t>
      </w:r>
      <w:r>
        <w:rPr/>
        <w:t>ienākumu</w:t>
      </w:r>
      <w:r>
        <w:rPr>
          <w:spacing w:val="-4"/>
        </w:rPr>
        <w:t> </w:t>
      </w:r>
      <w:r>
        <w:rPr/>
        <w:t>apmēru</w:t>
      </w:r>
      <w:r>
        <w:rPr>
          <w:spacing w:val="-5"/>
        </w:rPr>
        <w:t> </w:t>
      </w:r>
      <w:r>
        <w:rPr/>
        <w:t>un</w:t>
      </w:r>
      <w:r>
        <w:rPr>
          <w:spacing w:val="-4"/>
        </w:rPr>
        <w:t> </w:t>
      </w:r>
      <w:r>
        <w:rPr/>
        <w:t>tā</w:t>
      </w:r>
      <w:r>
        <w:rPr>
          <w:spacing w:val="-1"/>
        </w:rPr>
        <w:t> </w:t>
      </w:r>
      <w:r>
        <w:rPr/>
        <w:t>izmaiņas</w:t>
      </w:r>
      <w:r>
        <w:rPr>
          <w:spacing w:val="-6"/>
        </w:rPr>
        <w:t> </w:t>
      </w:r>
      <w:r>
        <w:rPr/>
        <w:t>pa</w:t>
      </w:r>
      <w:r>
        <w:rPr>
          <w:spacing w:val="-3"/>
        </w:rPr>
        <w:t> </w:t>
      </w:r>
      <w:r>
        <w:rPr/>
        <w:t>gadiem</w:t>
      </w:r>
      <w:r>
        <w:rPr>
          <w:spacing w:val="-3"/>
        </w:rPr>
        <w:t> </w:t>
      </w:r>
      <w:r>
        <w:rPr/>
        <w:t>-</w:t>
      </w:r>
      <w:r>
        <w:rPr>
          <w:spacing w:val="-2"/>
        </w:rPr>
        <w:t> </w:t>
      </w:r>
      <w:r>
        <w:rPr/>
        <w:t>no</w:t>
      </w:r>
      <w:r>
        <w:rPr>
          <w:spacing w:val="-3"/>
        </w:rPr>
        <w:t> </w:t>
      </w:r>
      <w:r>
        <w:rPr/>
        <w:t>pieteikuma un pievienotajiem materiāliem redzams, ka 2007. (Ls 10 198,02 jeb EUR 14 510,48)</w:t>
      </w:r>
      <w:r>
        <w:rPr>
          <w:spacing w:val="33"/>
        </w:rPr>
        <w:t> </w:t>
      </w:r>
      <w:r>
        <w:rPr/>
        <w:t>un</w:t>
      </w:r>
    </w:p>
    <w:p>
      <w:pPr>
        <w:pStyle w:val="BodyText"/>
        <w:ind w:left="620" w:right="402"/>
      </w:pPr>
      <w:r>
        <w:rPr/>
        <w:t>2008.gadā (Ls 11 973,97 jeb EUR 17 037,42) pieteicēja ienākumi bijuši konstanti, bet 2009., 2010., 2011.gadā būtiski samazinājušies, tas ir aptuveni uz pusi, bet savukārt 2012. un 2013.gadā palielinājušies attiecībā pret 2009., 2010., 2011. gadu, gada ienākumu summai sasniedzot aptuveni Ls 7500 jeb EUR 10 671,54.</w:t>
      </w:r>
    </w:p>
    <w:p>
      <w:pPr>
        <w:pStyle w:val="BodyText"/>
        <w:ind w:left="620" w:right="403" w:firstLine="720"/>
      </w:pPr>
      <w:r>
        <w:rPr/>
        <w:t>Tādu pašu pamatojumu, noraidot fiziskās personas maksātnespējas procesa pieteikumu, ir izmantojusi arī Rīgas pilsētas Latgales priekšpilsētas  tiesa  savā  2014.gada</w:t>
      </w:r>
      <w:r>
        <w:rPr>
          <w:spacing w:val="-4"/>
        </w:rPr>
        <w:t> </w:t>
      </w:r>
      <w:r>
        <w:rPr/>
        <w:t>12.jūnija</w:t>
      </w:r>
      <w:r>
        <w:rPr>
          <w:spacing w:val="24"/>
        </w:rPr>
        <w:t> </w:t>
      </w:r>
      <w:r>
        <w:rPr/>
        <w:t>nolēmumā</w:t>
      </w:r>
      <w:r>
        <w:rPr>
          <w:spacing w:val="26"/>
        </w:rPr>
        <w:t> </w:t>
      </w:r>
      <w:r>
        <w:rPr/>
        <w:t>lietā</w:t>
      </w:r>
      <w:r>
        <w:rPr>
          <w:spacing w:val="24"/>
        </w:rPr>
        <w:t> </w:t>
      </w:r>
      <w:r>
        <w:rPr/>
        <w:t>Nr.</w:t>
      </w:r>
      <w:r>
        <w:rPr>
          <w:spacing w:val="25"/>
        </w:rPr>
        <w:t> </w:t>
      </w:r>
      <w:r>
        <w:rPr/>
        <w:t>C29589214,</w:t>
      </w:r>
      <w:r>
        <w:rPr>
          <w:spacing w:val="26"/>
        </w:rPr>
        <w:t> </w:t>
      </w:r>
      <w:r>
        <w:rPr/>
        <w:t>proti,</w:t>
      </w:r>
      <w:r>
        <w:rPr>
          <w:spacing w:val="26"/>
        </w:rPr>
        <w:t> </w:t>
      </w:r>
      <w:r>
        <w:rPr/>
        <w:t>tiesa</w:t>
      </w:r>
      <w:r>
        <w:rPr>
          <w:spacing w:val="25"/>
        </w:rPr>
        <w:t> </w:t>
      </w:r>
      <w:r>
        <w:rPr/>
        <w:t>ir</w:t>
      </w:r>
      <w:r>
        <w:rPr>
          <w:spacing w:val="26"/>
        </w:rPr>
        <w:t> </w:t>
      </w:r>
      <w:r>
        <w:rPr/>
        <w:t>secinājusi:</w:t>
      </w:r>
      <w:r>
        <w:rPr>
          <w:spacing w:val="29"/>
        </w:rPr>
        <w:t> </w:t>
      </w:r>
      <w:r>
        <w:rPr/>
        <w:t>“lietā</w:t>
      </w:r>
      <w:r>
        <w:rPr>
          <w:spacing w:val="26"/>
        </w:rPr>
        <w:t> </w:t>
      </w:r>
      <w:r>
        <w:rPr/>
        <w:t>nav</w:t>
      </w:r>
    </w:p>
    <w:p>
      <w:pPr>
        <w:pStyle w:val="BodyText"/>
        <w:spacing w:before="6"/>
        <w:jc w:val="left"/>
        <w:rPr>
          <w:sz w:val="20"/>
        </w:rPr>
      </w:pPr>
    </w:p>
    <w:p>
      <w:pPr>
        <w:spacing w:before="96"/>
        <w:ind w:left="620" w:right="0" w:firstLine="0"/>
        <w:jc w:val="left"/>
        <w:rPr>
          <w:sz w:val="20"/>
        </w:rPr>
      </w:pPr>
      <w:r>
        <w:rPr>
          <w:position w:val="9"/>
          <w:sz w:val="16"/>
        </w:rPr>
        <w:t>193 </w:t>
      </w:r>
      <w:r>
        <w:rPr>
          <w:sz w:val="20"/>
        </w:rPr>
        <w:t>Dobeles rajona tiesas 2014.gada 9.aprīļa nolēmums lietā Nr. C13034414</w:t>
      </w:r>
    </w:p>
    <w:p>
      <w:pPr>
        <w:spacing w:after="0"/>
        <w:jc w:val="left"/>
        <w:rPr>
          <w:sz w:val="20"/>
        </w:rPr>
        <w:sectPr>
          <w:footerReference w:type="default" r:id="rId39"/>
          <w:footerReference w:type="even" r:id="rId40"/>
          <w:pgSz w:w="11910" w:h="16840"/>
          <w:pgMar w:footer="1175" w:header="0" w:top="1360" w:bottom="1360" w:left="1180" w:right="1040"/>
        </w:sectPr>
      </w:pPr>
    </w:p>
    <w:p>
      <w:pPr>
        <w:pStyle w:val="BodyText"/>
        <w:spacing w:before="73"/>
        <w:ind w:left="260" w:right="762"/>
      </w:pPr>
      <w:r>
        <w:rPr/>
        <w:t>konstatējami</w:t>
      </w:r>
      <w:r>
        <w:rPr>
          <w:spacing w:val="-16"/>
        </w:rPr>
        <w:t> </w:t>
      </w:r>
      <w:r>
        <w:rPr/>
        <w:t>fakti,</w:t>
      </w:r>
      <w:r>
        <w:rPr>
          <w:spacing w:val="-16"/>
        </w:rPr>
        <w:t> </w:t>
      </w:r>
      <w:r>
        <w:rPr/>
        <w:t>ka</w:t>
      </w:r>
      <w:r>
        <w:rPr>
          <w:spacing w:val="-18"/>
        </w:rPr>
        <w:t> </w:t>
      </w:r>
      <w:r>
        <w:rPr/>
        <w:t>ikmēneša</w:t>
      </w:r>
      <w:r>
        <w:rPr>
          <w:spacing w:val="-16"/>
        </w:rPr>
        <w:t> </w:t>
      </w:r>
      <w:r>
        <w:rPr/>
        <w:t>maksājumu</w:t>
      </w:r>
      <w:r>
        <w:rPr>
          <w:spacing w:val="-13"/>
        </w:rPr>
        <w:t> </w:t>
      </w:r>
      <w:r>
        <w:rPr/>
        <w:t>apmērs</w:t>
      </w:r>
      <w:r>
        <w:rPr>
          <w:spacing w:val="-16"/>
        </w:rPr>
        <w:t> </w:t>
      </w:r>
      <w:r>
        <w:rPr/>
        <w:t>pret</w:t>
      </w:r>
      <w:r>
        <w:rPr>
          <w:spacing w:val="-17"/>
        </w:rPr>
        <w:t> </w:t>
      </w:r>
      <w:r>
        <w:rPr/>
        <w:t>kreditoriem</w:t>
      </w:r>
      <w:r>
        <w:rPr>
          <w:spacing w:val="-16"/>
        </w:rPr>
        <w:t> </w:t>
      </w:r>
      <w:r>
        <w:rPr/>
        <w:t>(pārējiem</w:t>
      </w:r>
      <w:r>
        <w:rPr>
          <w:spacing w:val="-16"/>
        </w:rPr>
        <w:t> </w:t>
      </w:r>
      <w:r>
        <w:rPr/>
        <w:t>kreditoriem, neņemot vērā /pers.F/) ir bijis par nesamērīgu ar parādnieka ienākumiem parādsaistību rašanās periodā. Gandrīz visas saistības, parādnieks ir uzņēmies laika posmā no 2012.- 2013.gadam, pastāvot nemainīgam ienākumu apmēram. No pievienotajiem </w:t>
      </w:r>
      <w:r>
        <w:rPr>
          <w:spacing w:val="-3"/>
        </w:rPr>
        <w:t>materiāliem </w:t>
      </w:r>
      <w:r>
        <w:rPr/>
        <w:t>redzams,</w:t>
      </w:r>
      <w:r>
        <w:rPr>
          <w:spacing w:val="15"/>
        </w:rPr>
        <w:t> </w:t>
      </w:r>
      <w:r>
        <w:rPr/>
        <w:t>ka</w:t>
      </w:r>
      <w:r>
        <w:rPr>
          <w:spacing w:val="15"/>
        </w:rPr>
        <w:t> </w:t>
      </w:r>
      <w:r>
        <w:rPr/>
        <w:t>2010.gadā</w:t>
      </w:r>
      <w:r>
        <w:rPr>
          <w:spacing w:val="14"/>
        </w:rPr>
        <w:t> </w:t>
      </w:r>
      <w:r>
        <w:rPr/>
        <w:t>(EUR</w:t>
      </w:r>
      <w:r>
        <w:rPr>
          <w:spacing w:val="15"/>
        </w:rPr>
        <w:t> </w:t>
      </w:r>
      <w:r>
        <w:rPr/>
        <w:t>10</w:t>
      </w:r>
      <w:r>
        <w:rPr>
          <w:spacing w:val="15"/>
        </w:rPr>
        <w:t> </w:t>
      </w:r>
      <w:r>
        <w:rPr/>
        <w:t>998,75),</w:t>
      </w:r>
      <w:r>
        <w:rPr>
          <w:spacing w:val="15"/>
        </w:rPr>
        <w:t> </w:t>
      </w:r>
      <w:r>
        <w:rPr/>
        <w:t>2011.gadā</w:t>
      </w:r>
      <w:r>
        <w:rPr>
          <w:spacing w:val="15"/>
        </w:rPr>
        <w:t> </w:t>
      </w:r>
      <w:r>
        <w:rPr/>
        <w:t>(EUR</w:t>
      </w:r>
      <w:r>
        <w:rPr>
          <w:spacing w:val="14"/>
        </w:rPr>
        <w:t> </w:t>
      </w:r>
      <w:r>
        <w:rPr/>
        <w:t>11</w:t>
      </w:r>
      <w:r>
        <w:rPr>
          <w:spacing w:val="15"/>
        </w:rPr>
        <w:t> </w:t>
      </w:r>
      <w:r>
        <w:rPr/>
        <w:t>423,07),</w:t>
      </w:r>
      <w:r>
        <w:rPr>
          <w:spacing w:val="15"/>
        </w:rPr>
        <w:t> </w:t>
      </w:r>
      <w:r>
        <w:rPr/>
        <w:t>2012.gadā</w:t>
      </w:r>
      <w:r>
        <w:rPr>
          <w:spacing w:val="14"/>
        </w:rPr>
        <w:t> </w:t>
      </w:r>
      <w:r>
        <w:rPr/>
        <w:t>(EUR</w:t>
      </w:r>
    </w:p>
    <w:p>
      <w:pPr>
        <w:pStyle w:val="BodyText"/>
        <w:spacing w:line="276" w:lineRule="exact" w:before="4"/>
        <w:ind w:left="980" w:right="764" w:hanging="720"/>
      </w:pPr>
      <w:r>
        <w:rPr/>
        <w:t>11 365,60), 2013.gada (EUR 11 058,08) parādnieka ienākumi bijuši konstanti.”</w:t>
      </w:r>
      <w:r>
        <w:rPr>
          <w:position w:val="9"/>
          <w:sz w:val="16"/>
        </w:rPr>
        <w:t>194</w:t>
      </w:r>
      <w:r>
        <w:rPr>
          <w:sz w:val="16"/>
        </w:rPr>
        <w:t> </w:t>
      </w:r>
      <w:r>
        <w:rPr/>
        <w:t>Parādnieka   ienākumu   daudzums   ir   ticis   vērtēts   arī   Dobeles   rajona </w:t>
      </w:r>
      <w:r>
        <w:rPr>
          <w:spacing w:val="27"/>
        </w:rPr>
        <w:t> </w:t>
      </w:r>
      <w:r>
        <w:rPr/>
        <w:t>tiesas</w:t>
      </w:r>
    </w:p>
    <w:p>
      <w:pPr>
        <w:pStyle w:val="BodyText"/>
        <w:ind w:left="260" w:right="760"/>
      </w:pPr>
      <w:r>
        <w:rPr/>
        <w:t>2016.gada 28.janvāra lietā Nr. C13029716, kurā tiesa vērtēja, vai no iesniegtajiem pierādījumiem</w:t>
      </w:r>
      <w:r>
        <w:rPr>
          <w:spacing w:val="-12"/>
        </w:rPr>
        <w:t> </w:t>
      </w:r>
      <w:r>
        <w:rPr/>
        <w:t>izriet</w:t>
      </w:r>
      <w:r>
        <w:rPr>
          <w:spacing w:val="-12"/>
        </w:rPr>
        <w:t> </w:t>
      </w:r>
      <w:r>
        <w:rPr/>
        <w:t>cēlonis,</w:t>
      </w:r>
      <w:r>
        <w:rPr>
          <w:spacing w:val="-12"/>
        </w:rPr>
        <w:t> </w:t>
      </w:r>
      <w:r>
        <w:rPr/>
        <w:t>ko</w:t>
      </w:r>
      <w:r>
        <w:rPr>
          <w:spacing w:val="-12"/>
        </w:rPr>
        <w:t> </w:t>
      </w:r>
      <w:r>
        <w:rPr/>
        <w:t>kā</w:t>
      </w:r>
      <w:r>
        <w:rPr>
          <w:spacing w:val="-12"/>
        </w:rPr>
        <w:t> </w:t>
      </w:r>
      <w:r>
        <w:rPr/>
        <w:t>iemeslu</w:t>
      </w:r>
      <w:r>
        <w:rPr>
          <w:spacing w:val="-12"/>
        </w:rPr>
        <w:t> </w:t>
      </w:r>
      <w:r>
        <w:rPr/>
        <w:t>saistību</w:t>
      </w:r>
      <w:r>
        <w:rPr>
          <w:spacing w:val="-12"/>
        </w:rPr>
        <w:t> </w:t>
      </w:r>
      <w:r>
        <w:rPr/>
        <w:t>neizpildei</w:t>
      </w:r>
      <w:r>
        <w:rPr>
          <w:spacing w:val="-14"/>
        </w:rPr>
        <w:t> </w:t>
      </w:r>
      <w:r>
        <w:rPr/>
        <w:t>ir</w:t>
      </w:r>
      <w:r>
        <w:rPr>
          <w:spacing w:val="-11"/>
        </w:rPr>
        <w:t> </w:t>
      </w:r>
      <w:r>
        <w:rPr/>
        <w:t>norādījis</w:t>
      </w:r>
      <w:r>
        <w:rPr>
          <w:spacing w:val="-12"/>
        </w:rPr>
        <w:t> </w:t>
      </w:r>
      <w:r>
        <w:rPr/>
        <w:t>parādnieks,</w:t>
      </w:r>
      <w:r>
        <w:rPr>
          <w:spacing w:val="-12"/>
        </w:rPr>
        <w:t> </w:t>
      </w:r>
      <w:r>
        <w:rPr/>
        <w:t>proti, ka no 2009.gada ir samazinājušies pieteicēja ienākumi. Tiesa norāda, ka “No /pers. A/ pieteikuma un pievienotajiem materiāliem redzams, ka parādnieka ienākumu apmērs laika posmā no 2008. līdz 2015.gadam (ieskaitot) ir bijis svārstīgs, taču 2013., 2014. un 2015.gadā palielinājies salīdzinājumā ar 2009.gadu, ko atbildētājs norāda kā ienākumu samazinājuma</w:t>
      </w:r>
      <w:r>
        <w:rPr>
          <w:spacing w:val="-14"/>
        </w:rPr>
        <w:t> </w:t>
      </w:r>
      <w:r>
        <w:rPr/>
        <w:t>laiku.</w:t>
      </w:r>
      <w:r>
        <w:rPr>
          <w:spacing w:val="-13"/>
        </w:rPr>
        <w:t> </w:t>
      </w:r>
      <w:r>
        <w:rPr/>
        <w:t>Ienākumu</w:t>
      </w:r>
      <w:r>
        <w:rPr>
          <w:spacing w:val="-15"/>
        </w:rPr>
        <w:t> </w:t>
      </w:r>
      <w:r>
        <w:rPr/>
        <w:t>apmērs</w:t>
      </w:r>
      <w:r>
        <w:rPr>
          <w:spacing w:val="-18"/>
        </w:rPr>
        <w:t> </w:t>
      </w:r>
      <w:r>
        <w:rPr/>
        <w:t>palielinājies</w:t>
      </w:r>
      <w:r>
        <w:rPr>
          <w:spacing w:val="-15"/>
        </w:rPr>
        <w:t> </w:t>
      </w:r>
      <w:r>
        <w:rPr/>
        <w:t>2010.</w:t>
      </w:r>
      <w:r>
        <w:rPr>
          <w:spacing w:val="-16"/>
        </w:rPr>
        <w:t> </w:t>
      </w:r>
      <w:r>
        <w:rPr/>
        <w:t>un</w:t>
      </w:r>
      <w:r>
        <w:rPr>
          <w:spacing w:val="-15"/>
        </w:rPr>
        <w:t> </w:t>
      </w:r>
      <w:r>
        <w:rPr/>
        <w:t>2011.gadā,</w:t>
      </w:r>
      <w:r>
        <w:rPr>
          <w:spacing w:val="-16"/>
        </w:rPr>
        <w:t> </w:t>
      </w:r>
      <w:r>
        <w:rPr/>
        <w:t>atkal</w:t>
      </w:r>
      <w:r>
        <w:rPr>
          <w:spacing w:val="-15"/>
        </w:rPr>
        <w:t> </w:t>
      </w:r>
      <w:r>
        <w:rPr/>
        <w:t>samazinājies 2012.gadā. Valsts Ieņēmumu dienesta 2016.gada 4.janvāra izziņa apliecina, ka 2015.gadā, salīdzinājumā ar 2013., 2014.gadu, parādnieka ienākumu apmērs palielinājies.”</w:t>
      </w:r>
      <w:r>
        <w:rPr>
          <w:position w:val="9"/>
          <w:sz w:val="16"/>
        </w:rPr>
        <w:t>195 </w:t>
      </w:r>
      <w:r>
        <w:rPr/>
        <w:t>Līdz ar to</w:t>
      </w:r>
      <w:r>
        <w:rPr>
          <w:spacing w:val="-8"/>
        </w:rPr>
        <w:t> </w:t>
      </w:r>
      <w:r>
        <w:rPr/>
        <w:t>tiesa</w:t>
      </w:r>
      <w:r>
        <w:rPr>
          <w:spacing w:val="-10"/>
        </w:rPr>
        <w:t> </w:t>
      </w:r>
      <w:r>
        <w:rPr/>
        <w:t>ir</w:t>
      </w:r>
      <w:r>
        <w:rPr>
          <w:spacing w:val="-6"/>
        </w:rPr>
        <w:t> </w:t>
      </w:r>
      <w:r>
        <w:rPr/>
        <w:t>konstatējusi,</w:t>
      </w:r>
      <w:r>
        <w:rPr>
          <w:spacing w:val="-5"/>
        </w:rPr>
        <w:t> </w:t>
      </w:r>
      <w:r>
        <w:rPr/>
        <w:t>ka</w:t>
      </w:r>
      <w:r>
        <w:rPr>
          <w:spacing w:val="-6"/>
        </w:rPr>
        <w:t> </w:t>
      </w:r>
      <w:r>
        <w:rPr/>
        <w:t>no</w:t>
      </w:r>
      <w:r>
        <w:rPr>
          <w:spacing w:val="-7"/>
        </w:rPr>
        <w:t> </w:t>
      </w:r>
      <w:r>
        <w:rPr/>
        <w:t>lietā</w:t>
      </w:r>
      <w:r>
        <w:rPr>
          <w:spacing w:val="-10"/>
        </w:rPr>
        <w:t> </w:t>
      </w:r>
      <w:r>
        <w:rPr/>
        <w:t>iesniegtajiem</w:t>
      </w:r>
      <w:r>
        <w:rPr>
          <w:spacing w:val="-8"/>
        </w:rPr>
        <w:t> </w:t>
      </w:r>
      <w:r>
        <w:rPr/>
        <w:t>pierādījumiem</w:t>
      </w:r>
      <w:r>
        <w:rPr>
          <w:spacing w:val="-8"/>
        </w:rPr>
        <w:t> </w:t>
      </w:r>
      <w:r>
        <w:rPr/>
        <w:t>nav</w:t>
      </w:r>
      <w:r>
        <w:rPr>
          <w:spacing w:val="-10"/>
        </w:rPr>
        <w:t> </w:t>
      </w:r>
      <w:r>
        <w:rPr/>
        <w:t>konstatējama</w:t>
      </w:r>
      <w:r>
        <w:rPr>
          <w:spacing w:val="-8"/>
        </w:rPr>
        <w:t> </w:t>
      </w:r>
      <w:r>
        <w:rPr/>
        <w:t>labticības principa ievērošana no parādnieka puses, secīgi arī nespēja nokārtot parādsaistības Maksātnespējas likuma 6.panta 8.punktā noteiktā labticības principa</w:t>
      </w:r>
      <w:r>
        <w:rPr>
          <w:spacing w:val="-5"/>
        </w:rPr>
        <w:t> </w:t>
      </w:r>
      <w:r>
        <w:rPr/>
        <w:t>izpratnē.</w:t>
      </w:r>
    </w:p>
    <w:p>
      <w:pPr>
        <w:pStyle w:val="BodyText"/>
        <w:spacing w:line="261" w:lineRule="exact"/>
        <w:ind w:left="980"/>
      </w:pPr>
      <w:r>
        <w:rPr/>
        <w:t>Arī civillietā Nr. C28333215</w:t>
      </w:r>
      <w:r>
        <w:rPr>
          <w:position w:val="9"/>
          <w:sz w:val="16"/>
        </w:rPr>
        <w:t>196 </w:t>
      </w:r>
      <w:r>
        <w:rPr/>
        <w:t>Rīgas pilsētas Kurzemes rajona tiesa norādīja, ka</w:t>
      </w:r>
    </w:p>
    <w:p>
      <w:pPr>
        <w:pStyle w:val="BodyText"/>
        <w:ind w:left="260" w:right="760"/>
      </w:pPr>
      <w:r>
        <w:rPr/>
        <w:t>brīdinājumi galviniekam vēl paši par sevi nepierāda galvenā parādnieka nespēju izpildīt saistības. Tādējādi atzīstams, ka trūkst pietiekamu pierādījumu par pieteicēja nekavējošu pienākumu</w:t>
      </w:r>
      <w:r>
        <w:rPr>
          <w:spacing w:val="-10"/>
        </w:rPr>
        <w:t> </w:t>
      </w:r>
      <w:r>
        <w:rPr/>
        <w:t>izpildīt</w:t>
      </w:r>
      <w:r>
        <w:rPr>
          <w:spacing w:val="-10"/>
        </w:rPr>
        <w:t> </w:t>
      </w:r>
      <w:r>
        <w:rPr/>
        <w:t>šīs</w:t>
      </w:r>
      <w:r>
        <w:rPr>
          <w:spacing w:val="-13"/>
        </w:rPr>
        <w:t> </w:t>
      </w:r>
      <w:r>
        <w:rPr/>
        <w:t>saistības.</w:t>
      </w:r>
      <w:r>
        <w:rPr>
          <w:spacing w:val="-12"/>
        </w:rPr>
        <w:t> </w:t>
      </w:r>
      <w:r>
        <w:rPr/>
        <w:t>Fakts</w:t>
      </w:r>
      <w:r>
        <w:rPr>
          <w:spacing w:val="-8"/>
        </w:rPr>
        <w:t> </w:t>
      </w:r>
      <w:r>
        <w:rPr/>
        <w:t>pats</w:t>
      </w:r>
      <w:r>
        <w:rPr>
          <w:spacing w:val="-12"/>
        </w:rPr>
        <w:t> </w:t>
      </w:r>
      <w:r>
        <w:rPr/>
        <w:t>par</w:t>
      </w:r>
      <w:r>
        <w:rPr>
          <w:spacing w:val="-11"/>
        </w:rPr>
        <w:t> </w:t>
      </w:r>
      <w:r>
        <w:rPr/>
        <w:t>sevi,</w:t>
      </w:r>
      <w:r>
        <w:rPr>
          <w:spacing w:val="-12"/>
        </w:rPr>
        <w:t> </w:t>
      </w:r>
      <w:r>
        <w:rPr/>
        <w:t>ka</w:t>
      </w:r>
      <w:r>
        <w:rPr>
          <w:spacing w:val="-11"/>
        </w:rPr>
        <w:t> </w:t>
      </w:r>
      <w:r>
        <w:rPr/>
        <w:t>pieteicējam</w:t>
      </w:r>
      <w:r>
        <w:rPr>
          <w:spacing w:val="-12"/>
        </w:rPr>
        <w:t> </w:t>
      </w:r>
      <w:r>
        <w:rPr/>
        <w:t>iespējams</w:t>
      </w:r>
      <w:r>
        <w:rPr>
          <w:spacing w:val="-8"/>
        </w:rPr>
        <w:t> </w:t>
      </w:r>
      <w:r>
        <w:rPr/>
        <w:t>ir</w:t>
      </w:r>
      <w:r>
        <w:rPr>
          <w:spacing w:val="-12"/>
        </w:rPr>
        <w:t> </w:t>
      </w:r>
      <w:r>
        <w:rPr/>
        <w:t>neizpildītas parādsaistības pret kreditoriem, kuras nav norādītas kā konkrētas parādsaistības pret pieteicēju, un kurām iestājies izpildes termiņš, nav apliecinājis, ka pieteicējam ir iestājies arī maksātnespējas stāvoklis piedziņas rezultātā. Lai pasludinātu fiziskās personas maksātnespēju, tiesai jānovērtē ne tikai parādnieka parādsaistību esamība un apjoms, bet arī parādnieka faktiskais finansiālais stāvoklis un spēja izpildīt konkrēti pret viņu vērstās parādsaistības. Kā jau tiesa konstatēja iepriekš, tad pieteicējam ir regulāri, stabili, pietiekami</w:t>
      </w:r>
      <w:r>
        <w:rPr>
          <w:spacing w:val="-12"/>
        </w:rPr>
        <w:t> </w:t>
      </w:r>
      <w:r>
        <w:rPr/>
        <w:t>ienākumi,</w:t>
      </w:r>
      <w:r>
        <w:rPr>
          <w:spacing w:val="-11"/>
        </w:rPr>
        <w:t> </w:t>
      </w:r>
      <w:r>
        <w:rPr/>
        <w:t>kas</w:t>
      </w:r>
      <w:r>
        <w:rPr>
          <w:spacing w:val="-11"/>
        </w:rPr>
        <w:t> </w:t>
      </w:r>
      <w:r>
        <w:rPr/>
        <w:t>kopumā</w:t>
      </w:r>
      <w:r>
        <w:rPr>
          <w:spacing w:val="-13"/>
        </w:rPr>
        <w:t> </w:t>
      </w:r>
      <w:r>
        <w:rPr/>
        <w:t>liecina</w:t>
      </w:r>
      <w:r>
        <w:rPr>
          <w:spacing w:val="-12"/>
        </w:rPr>
        <w:t> </w:t>
      </w:r>
      <w:r>
        <w:rPr/>
        <w:t>par</w:t>
      </w:r>
      <w:r>
        <w:rPr>
          <w:spacing w:val="-12"/>
        </w:rPr>
        <w:t> </w:t>
      </w:r>
      <w:r>
        <w:rPr/>
        <w:t>to,</w:t>
      </w:r>
      <w:r>
        <w:rPr>
          <w:spacing w:val="-13"/>
        </w:rPr>
        <w:t> </w:t>
      </w:r>
      <w:r>
        <w:rPr/>
        <w:t>ka</w:t>
      </w:r>
      <w:r>
        <w:rPr>
          <w:spacing w:val="-10"/>
        </w:rPr>
        <w:t> </w:t>
      </w:r>
      <w:r>
        <w:rPr/>
        <w:t>pieteicējam</w:t>
      </w:r>
      <w:r>
        <w:rPr>
          <w:spacing w:val="-14"/>
        </w:rPr>
        <w:t> </w:t>
      </w:r>
      <w:r>
        <w:rPr/>
        <w:t>ir</w:t>
      </w:r>
      <w:r>
        <w:rPr>
          <w:spacing w:val="-12"/>
        </w:rPr>
        <w:t> </w:t>
      </w:r>
      <w:r>
        <w:rPr/>
        <w:t>iespējas</w:t>
      </w:r>
      <w:r>
        <w:rPr>
          <w:spacing w:val="-11"/>
        </w:rPr>
        <w:t> </w:t>
      </w:r>
      <w:r>
        <w:rPr/>
        <w:t>un</w:t>
      </w:r>
      <w:r>
        <w:rPr>
          <w:spacing w:val="-11"/>
        </w:rPr>
        <w:t> </w:t>
      </w:r>
      <w:r>
        <w:rPr/>
        <w:t>arī</w:t>
      </w:r>
      <w:r>
        <w:rPr>
          <w:spacing w:val="-13"/>
        </w:rPr>
        <w:t> </w:t>
      </w:r>
      <w:r>
        <w:rPr/>
        <w:t>pienākums segt vai samazināt parādsaistības, par kurām tas uzņēmies galvot, bez pieteicēja maksātnespējas pasludināšanas. Tiesas ieskatā pieteicēja rīcība faktiski liecina nevis par objektīvām finansiālām grūtībām, bet gan par izvairīšanos nokārtot parādsaistības, kā arī konkrētajā gadījumā Pieteicējs nav pierādījis faktu, ka pēc saistību uzņemšanās viņš nonācis</w:t>
      </w:r>
      <w:r>
        <w:rPr>
          <w:spacing w:val="-6"/>
        </w:rPr>
        <w:t> </w:t>
      </w:r>
      <w:r>
        <w:rPr/>
        <w:t>tādās</w:t>
      </w:r>
      <w:r>
        <w:rPr>
          <w:spacing w:val="-8"/>
        </w:rPr>
        <w:t> </w:t>
      </w:r>
      <w:r>
        <w:rPr/>
        <w:t>finansiālās</w:t>
      </w:r>
      <w:r>
        <w:rPr>
          <w:spacing w:val="-6"/>
        </w:rPr>
        <w:t> </w:t>
      </w:r>
      <w:r>
        <w:rPr/>
        <w:t>grūtībās,</w:t>
      </w:r>
      <w:r>
        <w:rPr>
          <w:spacing w:val="-6"/>
        </w:rPr>
        <w:t> </w:t>
      </w:r>
      <w:r>
        <w:rPr/>
        <w:t>kas</w:t>
      </w:r>
      <w:r>
        <w:rPr>
          <w:spacing w:val="-6"/>
        </w:rPr>
        <w:t> </w:t>
      </w:r>
      <w:r>
        <w:rPr/>
        <w:t>liegtu</w:t>
      </w:r>
      <w:r>
        <w:rPr>
          <w:spacing w:val="-3"/>
        </w:rPr>
        <w:t> </w:t>
      </w:r>
      <w:r>
        <w:rPr/>
        <w:t>viņam</w:t>
      </w:r>
      <w:r>
        <w:rPr>
          <w:spacing w:val="-6"/>
        </w:rPr>
        <w:t> </w:t>
      </w:r>
      <w:r>
        <w:rPr/>
        <w:t>nokārtot</w:t>
      </w:r>
      <w:r>
        <w:rPr>
          <w:spacing w:val="-6"/>
        </w:rPr>
        <w:t> </w:t>
      </w:r>
      <w:r>
        <w:rPr/>
        <w:t>uzņemtās</w:t>
      </w:r>
      <w:r>
        <w:rPr>
          <w:spacing w:val="-6"/>
        </w:rPr>
        <w:t> </w:t>
      </w:r>
      <w:r>
        <w:rPr/>
        <w:t>saistības</w:t>
      </w:r>
      <w:r>
        <w:rPr>
          <w:spacing w:val="-8"/>
        </w:rPr>
        <w:t> </w:t>
      </w:r>
      <w:r>
        <w:rPr/>
        <w:t>kaut</w:t>
      </w:r>
      <w:r>
        <w:rPr>
          <w:spacing w:val="-5"/>
        </w:rPr>
        <w:t> </w:t>
      </w:r>
      <w:r>
        <w:rPr/>
        <w:t>vai</w:t>
      </w:r>
      <w:r>
        <w:rPr>
          <w:spacing w:val="-6"/>
        </w:rPr>
        <w:t> </w:t>
      </w:r>
      <w:r>
        <w:rPr/>
        <w:t>pa daļām.</w:t>
      </w:r>
    </w:p>
    <w:p>
      <w:pPr>
        <w:pStyle w:val="BodyText"/>
        <w:spacing w:before="1"/>
        <w:jc w:val="left"/>
      </w:pPr>
    </w:p>
    <w:p>
      <w:pPr>
        <w:pStyle w:val="Heading3"/>
        <w:numPr>
          <w:ilvl w:val="0"/>
          <w:numId w:val="43"/>
        </w:numPr>
        <w:tabs>
          <w:tab w:pos="680" w:val="left" w:leader="none"/>
        </w:tabs>
        <w:spacing w:line="240" w:lineRule="auto" w:before="1" w:after="0"/>
        <w:ind w:left="680" w:right="0" w:hanging="360"/>
        <w:jc w:val="left"/>
      </w:pPr>
      <w:r>
        <w:rPr/>
        <w:t>Parādniekam nelabvēlīgu darījumu</w:t>
      </w:r>
      <w:r>
        <w:rPr>
          <w:spacing w:val="-3"/>
        </w:rPr>
        <w:t> </w:t>
      </w:r>
      <w:r>
        <w:rPr/>
        <w:t>noslēgšana</w:t>
      </w:r>
    </w:p>
    <w:p>
      <w:pPr>
        <w:pStyle w:val="BodyText"/>
        <w:spacing w:before="175"/>
        <w:ind w:left="260" w:right="762" w:firstLine="720"/>
      </w:pPr>
      <w:r>
        <w:rPr/>
        <w:t>Tiesu praksē ir gadījumi, kad tiesa parādnieka godprātību pie fiziskās personas maksātnespējas procesa pasludināšanas vērtē arī caur parādnieka noslēgto darījumu izvērtējumu. Piemēram, Rīgas pilsētas Latgales priekšpilsētas tiesas 2014.gada 12.jūnija spriedumā lietā Nr. C29589214 tiesa atzina/, ka parādnieks nav rīkojies labā ticībā, jo apzināti ir samazinājis savus iespējamos ienākumus par LVL 89 640. “Tiesa uzskata, ka parādnieks nav rīkojies labā ticībā, jo 2009.gada 6.aprīlī, noslēdzot Cesijas līgumu un Galvojuma</w:t>
      </w:r>
      <w:r>
        <w:rPr>
          <w:spacing w:val="-11"/>
        </w:rPr>
        <w:t> </w:t>
      </w:r>
      <w:r>
        <w:rPr/>
        <w:t>līgumu</w:t>
      </w:r>
      <w:r>
        <w:rPr>
          <w:spacing w:val="-9"/>
        </w:rPr>
        <w:t> </w:t>
      </w:r>
      <w:r>
        <w:rPr/>
        <w:t>apzināti</w:t>
      </w:r>
      <w:r>
        <w:rPr>
          <w:spacing w:val="-6"/>
        </w:rPr>
        <w:t> </w:t>
      </w:r>
      <w:r>
        <w:rPr/>
        <w:t>ir</w:t>
      </w:r>
      <w:r>
        <w:rPr>
          <w:spacing w:val="-10"/>
        </w:rPr>
        <w:t> </w:t>
      </w:r>
      <w:r>
        <w:rPr/>
        <w:t>samazinājis</w:t>
      </w:r>
      <w:r>
        <w:rPr>
          <w:spacing w:val="-9"/>
        </w:rPr>
        <w:t> </w:t>
      </w:r>
      <w:r>
        <w:rPr/>
        <w:t>savus</w:t>
      </w:r>
      <w:r>
        <w:rPr>
          <w:spacing w:val="-9"/>
        </w:rPr>
        <w:t> </w:t>
      </w:r>
      <w:r>
        <w:rPr/>
        <w:t>iespējamos</w:t>
      </w:r>
      <w:r>
        <w:rPr>
          <w:spacing w:val="-6"/>
        </w:rPr>
        <w:t> </w:t>
      </w:r>
      <w:r>
        <w:rPr/>
        <w:t>ienākumus</w:t>
      </w:r>
      <w:r>
        <w:rPr>
          <w:spacing w:val="-8"/>
        </w:rPr>
        <w:t> </w:t>
      </w:r>
      <w:r>
        <w:rPr/>
        <w:t>par</w:t>
      </w:r>
      <w:r>
        <w:rPr>
          <w:spacing w:val="-6"/>
        </w:rPr>
        <w:t> </w:t>
      </w:r>
      <w:r>
        <w:rPr/>
        <w:t>LVL</w:t>
      </w:r>
      <w:r>
        <w:rPr>
          <w:spacing w:val="-11"/>
        </w:rPr>
        <w:t> </w:t>
      </w:r>
      <w:r>
        <w:rPr/>
        <w:t>89</w:t>
      </w:r>
      <w:r>
        <w:rPr>
          <w:spacing w:val="-5"/>
        </w:rPr>
        <w:t> </w:t>
      </w:r>
      <w:r>
        <w:rPr/>
        <w:t>640</w:t>
      </w:r>
      <w:r>
        <w:rPr>
          <w:spacing w:val="-9"/>
        </w:rPr>
        <w:t> </w:t>
      </w:r>
      <w:r>
        <w:rPr/>
        <w:t>un radījis</w:t>
      </w:r>
      <w:r>
        <w:rPr>
          <w:spacing w:val="-17"/>
        </w:rPr>
        <w:t> </w:t>
      </w:r>
      <w:r>
        <w:rPr/>
        <w:t>sev</w:t>
      </w:r>
      <w:r>
        <w:rPr>
          <w:spacing w:val="-16"/>
        </w:rPr>
        <w:t> </w:t>
      </w:r>
      <w:r>
        <w:rPr/>
        <w:t>papildus</w:t>
      </w:r>
      <w:r>
        <w:rPr>
          <w:spacing w:val="-16"/>
        </w:rPr>
        <w:t> </w:t>
      </w:r>
      <w:r>
        <w:rPr/>
        <w:t>saistības</w:t>
      </w:r>
      <w:r>
        <w:rPr>
          <w:spacing w:val="-16"/>
        </w:rPr>
        <w:t> </w:t>
      </w:r>
      <w:r>
        <w:rPr/>
        <w:t>LVL</w:t>
      </w:r>
      <w:r>
        <w:rPr>
          <w:spacing w:val="-21"/>
        </w:rPr>
        <w:t> </w:t>
      </w:r>
      <w:r>
        <w:rPr/>
        <w:t>81</w:t>
      </w:r>
      <w:r>
        <w:rPr>
          <w:spacing w:val="-16"/>
        </w:rPr>
        <w:t> </w:t>
      </w:r>
      <w:r>
        <w:rPr/>
        <w:t>000</w:t>
      </w:r>
      <w:r>
        <w:rPr>
          <w:spacing w:val="-13"/>
        </w:rPr>
        <w:t> </w:t>
      </w:r>
      <w:r>
        <w:rPr/>
        <w:t>apmērā.</w:t>
      </w:r>
      <w:r>
        <w:rPr>
          <w:spacing w:val="-16"/>
        </w:rPr>
        <w:t> </w:t>
      </w:r>
      <w:r>
        <w:rPr/>
        <w:t>Tiesa</w:t>
      </w:r>
      <w:r>
        <w:rPr>
          <w:spacing w:val="-16"/>
        </w:rPr>
        <w:t> </w:t>
      </w:r>
      <w:r>
        <w:rPr/>
        <w:t>uzskata,</w:t>
      </w:r>
      <w:r>
        <w:rPr>
          <w:spacing w:val="-16"/>
        </w:rPr>
        <w:t> </w:t>
      </w:r>
      <w:r>
        <w:rPr/>
        <w:t>ka,</w:t>
      </w:r>
      <w:r>
        <w:rPr>
          <w:spacing w:val="-13"/>
        </w:rPr>
        <w:t> </w:t>
      </w:r>
      <w:r>
        <w:rPr/>
        <w:t>gadījumā</w:t>
      </w:r>
      <w:r>
        <w:rPr>
          <w:spacing w:val="-18"/>
        </w:rPr>
        <w:t> </w:t>
      </w:r>
      <w:r>
        <w:rPr/>
        <w:t>ja</w:t>
      </w:r>
      <w:r>
        <w:rPr>
          <w:spacing w:val="-14"/>
        </w:rPr>
        <w:t> </w:t>
      </w:r>
      <w:r>
        <w:rPr/>
        <w:t>parādnieks</w:t>
      </w:r>
    </w:p>
    <w:p>
      <w:pPr>
        <w:pStyle w:val="BodyText"/>
        <w:spacing w:before="10"/>
        <w:jc w:val="left"/>
        <w:rPr>
          <w:sz w:val="20"/>
        </w:rPr>
      </w:pPr>
      <w:r>
        <w:rPr/>
        <w:pict>
          <v:shape style="position:absolute;margin-left:72pt;margin-top:14.277506pt;width:144pt;height:.1pt;mso-position-horizontal-relative:page;mso-position-vertical-relative:paragraph;z-index:-251613184;mso-wrap-distance-left:0;mso-wrap-distance-right:0" coordorigin="1440,286" coordsize="2880,0" path="m1440,286l4320,286e" filled="false" stroked="true" strokeweight=".600037pt" strokecolor="#000000">
            <v:path arrowok="t"/>
            <v:stroke dashstyle="solid"/>
            <w10:wrap type="topAndBottom"/>
          </v:shape>
        </w:pict>
      </w:r>
    </w:p>
    <w:p>
      <w:pPr>
        <w:spacing w:line="233" w:lineRule="exact" w:before="70"/>
        <w:ind w:left="260" w:right="0" w:firstLine="0"/>
        <w:jc w:val="left"/>
        <w:rPr>
          <w:sz w:val="20"/>
        </w:rPr>
      </w:pPr>
      <w:r>
        <w:rPr>
          <w:position w:val="7"/>
          <w:sz w:val="13"/>
        </w:rPr>
        <w:t>194 </w:t>
      </w:r>
      <w:r>
        <w:rPr>
          <w:sz w:val="20"/>
        </w:rPr>
        <w:t>Rīgas pilsētas Latgales priekšpilsētas tiesas 2014.gada 12.jūnija nolēmums lietā Nr. C29589214</w:t>
      </w:r>
    </w:p>
    <w:p>
      <w:pPr>
        <w:spacing w:line="230" w:lineRule="exact" w:before="0"/>
        <w:ind w:left="260" w:right="0" w:firstLine="0"/>
        <w:jc w:val="left"/>
        <w:rPr>
          <w:sz w:val="20"/>
        </w:rPr>
      </w:pPr>
      <w:r>
        <w:rPr>
          <w:position w:val="7"/>
          <w:sz w:val="13"/>
        </w:rPr>
        <w:t>195 </w:t>
      </w:r>
      <w:r>
        <w:rPr>
          <w:sz w:val="20"/>
        </w:rPr>
        <w:t>Dobeles rajona tiesas 2016.gada 28.janvāra nolēmums lietā Nr. C13029716</w:t>
      </w:r>
    </w:p>
    <w:p>
      <w:pPr>
        <w:spacing w:line="233" w:lineRule="exact" w:before="0"/>
        <w:ind w:left="260" w:right="0" w:firstLine="0"/>
        <w:jc w:val="left"/>
        <w:rPr>
          <w:sz w:val="20"/>
        </w:rPr>
      </w:pPr>
      <w:r>
        <w:rPr>
          <w:position w:val="7"/>
          <w:sz w:val="13"/>
        </w:rPr>
        <w:t>196 </w:t>
      </w:r>
      <w:r>
        <w:rPr>
          <w:sz w:val="20"/>
        </w:rPr>
        <w:t>Rīgas pilsētas Kurzemes rajona tiesas 2015.gada 2.septembra spriedums civillietā Nr.C28333215</w:t>
      </w:r>
    </w:p>
    <w:p>
      <w:pPr>
        <w:spacing w:after="0" w:line="233" w:lineRule="exact"/>
        <w:jc w:val="left"/>
        <w:rPr>
          <w:sz w:val="20"/>
        </w:rPr>
        <w:sectPr>
          <w:pgSz w:w="11910" w:h="16840"/>
          <w:pgMar w:header="0" w:footer="1055" w:top="1340" w:bottom="1240" w:left="1180" w:right="1040"/>
        </w:sectPr>
      </w:pPr>
    </w:p>
    <w:p>
      <w:pPr>
        <w:pStyle w:val="BodyText"/>
        <w:spacing w:line="232" w:lineRule="auto" w:before="80"/>
        <w:ind w:left="620" w:right="402"/>
        <w:rPr>
          <w:sz w:val="16"/>
        </w:rPr>
      </w:pPr>
      <w:r>
        <w:rPr/>
        <w:t>pats būtu realizējis savas prasījuma tiesības pret /pers. E/ par LVL 89 640 apmērā, tad minētā prasījuma apmierināšanas gadījumā parādnieks, iespējams, būtu atguvis līdzekļus, un nebūtu nonācis finansiālās grūtībās.”</w:t>
      </w:r>
      <w:r>
        <w:rPr>
          <w:position w:val="9"/>
          <w:sz w:val="16"/>
        </w:rPr>
        <w:t>197</w:t>
      </w:r>
    </w:p>
    <w:p>
      <w:pPr>
        <w:pStyle w:val="BodyText"/>
        <w:spacing w:before="7"/>
        <w:jc w:val="left"/>
      </w:pPr>
    </w:p>
    <w:p>
      <w:pPr>
        <w:pStyle w:val="Heading3"/>
        <w:numPr>
          <w:ilvl w:val="0"/>
          <w:numId w:val="43"/>
        </w:numPr>
        <w:tabs>
          <w:tab w:pos="1040" w:val="left" w:leader="none"/>
        </w:tabs>
        <w:spacing w:line="240" w:lineRule="auto" w:before="1" w:after="0"/>
        <w:ind w:left="1040" w:right="403" w:hanging="360"/>
        <w:jc w:val="left"/>
      </w:pPr>
      <w:r>
        <w:rPr/>
        <w:t>Maksātnespējas procesa izmantošana ar mērķi izvairīties no savu saistību pildīšanas un uz tā rēķina nepamatoti</w:t>
      </w:r>
      <w:r>
        <w:rPr>
          <w:spacing w:val="-5"/>
        </w:rPr>
        <w:t> </w:t>
      </w:r>
      <w:r>
        <w:rPr/>
        <w:t>iedzīvoties</w:t>
      </w:r>
    </w:p>
    <w:p>
      <w:pPr>
        <w:pStyle w:val="BodyText"/>
        <w:spacing w:before="2"/>
        <w:jc w:val="left"/>
        <w:rPr>
          <w:b/>
          <w:sz w:val="22"/>
        </w:rPr>
      </w:pPr>
    </w:p>
    <w:p>
      <w:pPr>
        <w:pStyle w:val="BodyText"/>
        <w:spacing w:before="1"/>
        <w:ind w:left="620" w:right="401" w:firstLine="720"/>
      </w:pPr>
      <w:r>
        <w:rPr/>
        <w:t>Civillietā Nr.C11104315</w:t>
      </w:r>
      <w:r>
        <w:rPr>
          <w:position w:val="9"/>
          <w:sz w:val="16"/>
        </w:rPr>
        <w:t>198 </w:t>
      </w:r>
      <w:r>
        <w:rPr/>
        <w:t>Cēsu rajona tiesa noraidīja maksātnespējas procesa pieteikumu sakarā ar to, ka pieteikuma izskatīšanas laikā no faktiem par pieteicēja ienākumiem tiesai radās saprātīgas šaubas par to, ka pieteicējs būtu godprātīgs finansiālās grūtībās nonācis parādnieks, kura mantiskais stāvoklis liedz viņam izpildīt uzņemtās saistības.</w:t>
      </w:r>
      <w:r>
        <w:rPr>
          <w:spacing w:val="-13"/>
        </w:rPr>
        <w:t> </w:t>
      </w:r>
      <w:r>
        <w:rPr/>
        <w:t>Proti,</w:t>
      </w:r>
      <w:r>
        <w:rPr>
          <w:spacing w:val="-13"/>
        </w:rPr>
        <w:t> </w:t>
      </w:r>
      <w:r>
        <w:rPr/>
        <w:t>tiesas</w:t>
      </w:r>
      <w:r>
        <w:rPr>
          <w:spacing w:val="-12"/>
        </w:rPr>
        <w:t> </w:t>
      </w:r>
      <w:r>
        <w:rPr/>
        <w:t>ieskatā</w:t>
      </w:r>
      <w:r>
        <w:rPr>
          <w:spacing w:val="-13"/>
        </w:rPr>
        <w:t> </w:t>
      </w:r>
      <w:r>
        <w:rPr/>
        <w:t>pieteicēja</w:t>
      </w:r>
      <w:r>
        <w:rPr>
          <w:spacing w:val="-11"/>
        </w:rPr>
        <w:t> </w:t>
      </w:r>
      <w:r>
        <w:rPr/>
        <w:t>rīcība</w:t>
      </w:r>
      <w:r>
        <w:rPr>
          <w:spacing w:val="-13"/>
        </w:rPr>
        <w:t> </w:t>
      </w:r>
      <w:r>
        <w:rPr/>
        <w:t>liecināja</w:t>
      </w:r>
      <w:r>
        <w:rPr>
          <w:spacing w:val="-13"/>
        </w:rPr>
        <w:t> </w:t>
      </w:r>
      <w:r>
        <w:rPr/>
        <w:t>par</w:t>
      </w:r>
      <w:r>
        <w:rPr>
          <w:spacing w:val="-16"/>
        </w:rPr>
        <w:t> </w:t>
      </w:r>
      <w:r>
        <w:rPr/>
        <w:t>vēlmi</w:t>
      </w:r>
      <w:r>
        <w:rPr>
          <w:spacing w:val="-11"/>
        </w:rPr>
        <w:t> </w:t>
      </w:r>
      <w:r>
        <w:rPr/>
        <w:t>izvairīties</w:t>
      </w:r>
      <w:r>
        <w:rPr>
          <w:spacing w:val="-17"/>
        </w:rPr>
        <w:t> </w:t>
      </w:r>
      <w:r>
        <w:rPr/>
        <w:t>no</w:t>
      </w:r>
      <w:r>
        <w:rPr>
          <w:spacing w:val="-13"/>
        </w:rPr>
        <w:t> </w:t>
      </w:r>
      <w:r>
        <w:rPr/>
        <w:t>savu</w:t>
      </w:r>
      <w:r>
        <w:rPr>
          <w:spacing w:val="-12"/>
        </w:rPr>
        <w:t> </w:t>
      </w:r>
      <w:r>
        <w:rPr/>
        <w:t>saistību izpildes un tā neatbilst Maksātnespējas likuma 6. panta 8. punktā noteiktajam maksātnespējas procesa vispārējam labticības principam, jo pieteicējam ilgstošu laiku ir ievērojama apmēra un stabili ienākumi, pieteicējs nebija iesniedzis pierādījumus tam, ka viņa</w:t>
      </w:r>
      <w:r>
        <w:rPr>
          <w:spacing w:val="-15"/>
        </w:rPr>
        <w:t> </w:t>
      </w:r>
      <w:r>
        <w:rPr/>
        <w:t>mantiskais</w:t>
      </w:r>
      <w:r>
        <w:rPr>
          <w:spacing w:val="-15"/>
        </w:rPr>
        <w:t> </w:t>
      </w:r>
      <w:r>
        <w:rPr/>
        <w:t>stāvoklis</w:t>
      </w:r>
      <w:r>
        <w:rPr>
          <w:spacing w:val="-12"/>
        </w:rPr>
        <w:t> </w:t>
      </w:r>
      <w:r>
        <w:rPr/>
        <w:t>būtu</w:t>
      </w:r>
      <w:r>
        <w:rPr>
          <w:spacing w:val="-15"/>
        </w:rPr>
        <w:t> </w:t>
      </w:r>
      <w:r>
        <w:rPr/>
        <w:t>viņam</w:t>
      </w:r>
      <w:r>
        <w:rPr>
          <w:spacing w:val="-15"/>
        </w:rPr>
        <w:t> </w:t>
      </w:r>
      <w:r>
        <w:rPr/>
        <w:t>liedzis</w:t>
      </w:r>
      <w:r>
        <w:rPr>
          <w:spacing w:val="-15"/>
        </w:rPr>
        <w:t> </w:t>
      </w:r>
      <w:r>
        <w:rPr/>
        <w:t>izpildīt</w:t>
      </w:r>
      <w:r>
        <w:rPr>
          <w:spacing w:val="-15"/>
        </w:rPr>
        <w:t> </w:t>
      </w:r>
      <w:r>
        <w:rPr/>
        <w:t>savas</w:t>
      </w:r>
      <w:r>
        <w:rPr>
          <w:spacing w:val="-15"/>
        </w:rPr>
        <w:t> </w:t>
      </w:r>
      <w:r>
        <w:rPr/>
        <w:t>saistības</w:t>
      </w:r>
      <w:r>
        <w:rPr>
          <w:spacing w:val="-17"/>
        </w:rPr>
        <w:t> </w:t>
      </w:r>
      <w:r>
        <w:rPr/>
        <w:t>pret</w:t>
      </w:r>
      <w:r>
        <w:rPr>
          <w:spacing w:val="-15"/>
        </w:rPr>
        <w:t> </w:t>
      </w:r>
      <w:r>
        <w:rPr/>
        <w:t>kreditoriem</w:t>
      </w:r>
      <w:r>
        <w:rPr>
          <w:spacing w:val="-15"/>
        </w:rPr>
        <w:t> </w:t>
      </w:r>
      <w:r>
        <w:rPr/>
        <w:t>no</w:t>
      </w:r>
      <w:r>
        <w:rPr>
          <w:spacing w:val="-15"/>
        </w:rPr>
        <w:t> </w:t>
      </w:r>
      <w:r>
        <w:rPr/>
        <w:t>viņa gribas un spējām neatkarīgu apstākļu dēļ. Tiesas ieskatā pieteicēja ienākumi liecina par</w:t>
      </w:r>
      <w:r>
        <w:rPr>
          <w:spacing w:val="-29"/>
        </w:rPr>
        <w:t> </w:t>
      </w:r>
      <w:r>
        <w:rPr/>
        <w:t>to, ka</w:t>
      </w:r>
      <w:r>
        <w:rPr>
          <w:spacing w:val="-15"/>
        </w:rPr>
        <w:t> </w:t>
      </w:r>
      <w:r>
        <w:rPr/>
        <w:t>viņam</w:t>
      </w:r>
      <w:r>
        <w:rPr>
          <w:spacing w:val="-17"/>
        </w:rPr>
        <w:t> </w:t>
      </w:r>
      <w:r>
        <w:rPr/>
        <w:t>ir</w:t>
      </w:r>
      <w:r>
        <w:rPr>
          <w:spacing w:val="-13"/>
        </w:rPr>
        <w:t> </w:t>
      </w:r>
      <w:r>
        <w:rPr/>
        <w:t>iespējas,</w:t>
      </w:r>
      <w:r>
        <w:rPr>
          <w:spacing w:val="-15"/>
        </w:rPr>
        <w:t> </w:t>
      </w:r>
      <w:r>
        <w:rPr/>
        <w:t>kā</w:t>
      </w:r>
      <w:r>
        <w:rPr>
          <w:spacing w:val="-17"/>
        </w:rPr>
        <w:t> </w:t>
      </w:r>
      <w:r>
        <w:rPr/>
        <w:t>arī</w:t>
      </w:r>
      <w:r>
        <w:rPr>
          <w:spacing w:val="-12"/>
        </w:rPr>
        <w:t> </w:t>
      </w:r>
      <w:r>
        <w:rPr/>
        <w:t>pienākums</w:t>
      </w:r>
      <w:r>
        <w:rPr>
          <w:spacing w:val="-15"/>
        </w:rPr>
        <w:t> </w:t>
      </w:r>
      <w:r>
        <w:rPr/>
        <w:t>segt</w:t>
      </w:r>
      <w:r>
        <w:rPr>
          <w:spacing w:val="-12"/>
        </w:rPr>
        <w:t> </w:t>
      </w:r>
      <w:r>
        <w:rPr/>
        <w:t>vai</w:t>
      </w:r>
      <w:r>
        <w:rPr>
          <w:spacing w:val="-15"/>
        </w:rPr>
        <w:t> </w:t>
      </w:r>
      <w:r>
        <w:rPr/>
        <w:t>samazināt</w:t>
      </w:r>
      <w:r>
        <w:rPr>
          <w:spacing w:val="-15"/>
        </w:rPr>
        <w:t> </w:t>
      </w:r>
      <w:r>
        <w:rPr/>
        <w:t>savas</w:t>
      </w:r>
      <w:r>
        <w:rPr>
          <w:spacing w:val="-17"/>
        </w:rPr>
        <w:t> </w:t>
      </w:r>
      <w:r>
        <w:rPr/>
        <w:t>parādsaistības,</w:t>
      </w:r>
      <w:r>
        <w:rPr>
          <w:spacing w:val="-15"/>
        </w:rPr>
        <w:t> </w:t>
      </w:r>
      <w:r>
        <w:rPr/>
        <w:t>nepasludinot viņa</w:t>
      </w:r>
      <w:r>
        <w:rPr>
          <w:spacing w:val="-9"/>
        </w:rPr>
        <w:t> </w:t>
      </w:r>
      <w:r>
        <w:rPr/>
        <w:t>maksātnespēju.</w:t>
      </w:r>
      <w:r>
        <w:rPr>
          <w:spacing w:val="-9"/>
        </w:rPr>
        <w:t> </w:t>
      </w:r>
      <w:r>
        <w:rPr/>
        <w:t>Pieteicēja</w:t>
      </w:r>
      <w:r>
        <w:rPr>
          <w:spacing w:val="-8"/>
        </w:rPr>
        <w:t> </w:t>
      </w:r>
      <w:r>
        <w:rPr/>
        <w:t>negodprātīgo</w:t>
      </w:r>
      <w:r>
        <w:rPr>
          <w:spacing w:val="-6"/>
        </w:rPr>
        <w:t> </w:t>
      </w:r>
      <w:r>
        <w:rPr/>
        <w:t>rīcību</w:t>
      </w:r>
      <w:r>
        <w:rPr>
          <w:spacing w:val="-8"/>
        </w:rPr>
        <w:t> </w:t>
      </w:r>
      <w:r>
        <w:rPr/>
        <w:t>apliecināja</w:t>
      </w:r>
      <w:r>
        <w:rPr>
          <w:spacing w:val="-7"/>
        </w:rPr>
        <w:t> </w:t>
      </w:r>
      <w:r>
        <w:rPr/>
        <w:t>arī</w:t>
      </w:r>
      <w:r>
        <w:rPr>
          <w:spacing w:val="-9"/>
        </w:rPr>
        <w:t> </w:t>
      </w:r>
      <w:r>
        <w:rPr/>
        <w:t>fakts,</w:t>
      </w:r>
      <w:r>
        <w:rPr>
          <w:spacing w:val="-8"/>
        </w:rPr>
        <w:t> </w:t>
      </w:r>
      <w:r>
        <w:rPr/>
        <w:t>ka</w:t>
      </w:r>
      <w:r>
        <w:rPr>
          <w:spacing w:val="-9"/>
        </w:rPr>
        <w:t> </w:t>
      </w:r>
      <w:r>
        <w:rPr/>
        <w:t>pieteicējs</w:t>
      </w:r>
      <w:r>
        <w:rPr>
          <w:spacing w:val="-8"/>
        </w:rPr>
        <w:t> </w:t>
      </w:r>
      <w:r>
        <w:rPr/>
        <w:t>laikā, kad</w:t>
      </w:r>
      <w:r>
        <w:rPr>
          <w:spacing w:val="-12"/>
        </w:rPr>
        <w:t> </w:t>
      </w:r>
      <w:r>
        <w:rPr/>
        <w:t>nebija</w:t>
      </w:r>
      <w:r>
        <w:rPr>
          <w:spacing w:val="-10"/>
        </w:rPr>
        <w:t> </w:t>
      </w:r>
      <w:r>
        <w:rPr/>
        <w:t>veicis</w:t>
      </w:r>
      <w:r>
        <w:rPr>
          <w:spacing w:val="-11"/>
        </w:rPr>
        <w:t> </w:t>
      </w:r>
      <w:r>
        <w:rPr/>
        <w:t>ienākuma</w:t>
      </w:r>
      <w:r>
        <w:rPr>
          <w:spacing w:val="-13"/>
        </w:rPr>
        <w:t> </w:t>
      </w:r>
      <w:r>
        <w:rPr/>
        <w:t>nodokļu</w:t>
      </w:r>
      <w:r>
        <w:rPr>
          <w:spacing w:val="-9"/>
        </w:rPr>
        <w:t> </w:t>
      </w:r>
      <w:r>
        <w:rPr/>
        <w:t>maksājumus</w:t>
      </w:r>
      <w:r>
        <w:rPr>
          <w:spacing w:val="-9"/>
        </w:rPr>
        <w:t> </w:t>
      </w:r>
      <w:r>
        <w:rPr/>
        <w:t>valsts</w:t>
      </w:r>
      <w:r>
        <w:rPr>
          <w:spacing w:val="-10"/>
        </w:rPr>
        <w:t> </w:t>
      </w:r>
      <w:r>
        <w:rPr/>
        <w:t>budžetā,</w:t>
      </w:r>
      <w:r>
        <w:rPr>
          <w:spacing w:val="-11"/>
        </w:rPr>
        <w:t> </w:t>
      </w:r>
      <w:r>
        <w:rPr/>
        <w:t>uzņēmies</w:t>
      </w:r>
      <w:r>
        <w:rPr>
          <w:spacing w:val="-13"/>
        </w:rPr>
        <w:t> </w:t>
      </w:r>
      <w:r>
        <w:rPr/>
        <w:t>jaunas</w:t>
      </w:r>
      <w:r>
        <w:rPr>
          <w:spacing w:val="-11"/>
        </w:rPr>
        <w:t> </w:t>
      </w:r>
      <w:r>
        <w:rPr/>
        <w:t>saistības, kuras nav pildījis, tādējādi apzināti pasliktinot savu finansiālo stāvokli. Šādu pieteicēja rīcību kopumā tiesa vērtēja kā nevēlēšanos nokārtot savas parādsaistības, nevis kā pieteicēja nonākšanu finansiālās grūtībās objektīvu iemeslu dēļ. Papildus tiesa ņēma vērā apstākli, ka jau iepriekš pieteicējs divas reizes bija iesniedzis maksātnespējas procesa pieteikumus tiesā, kur abos gadījumos tie tika</w:t>
      </w:r>
      <w:r>
        <w:rPr>
          <w:spacing w:val="-3"/>
        </w:rPr>
        <w:t> </w:t>
      </w:r>
      <w:r>
        <w:rPr/>
        <w:t>noraidīti.</w:t>
      </w:r>
    </w:p>
    <w:p>
      <w:pPr>
        <w:pStyle w:val="BodyText"/>
        <w:spacing w:line="276" w:lineRule="exact" w:before="3"/>
        <w:ind w:left="620" w:right="401" w:firstLine="720"/>
      </w:pPr>
      <w:r>
        <w:rPr/>
        <w:t>Dobeles rajona tiesa civillietā Nr.C13029716</w:t>
      </w:r>
      <w:r>
        <w:rPr>
          <w:position w:val="9"/>
          <w:sz w:val="16"/>
        </w:rPr>
        <w:t>199 </w:t>
      </w:r>
      <w:r>
        <w:rPr/>
        <w:t>norādīja, ka no lietā iesniegtajiem pierādījumiem</w:t>
      </w:r>
      <w:r>
        <w:rPr>
          <w:spacing w:val="-9"/>
        </w:rPr>
        <w:t> </w:t>
      </w:r>
      <w:r>
        <w:rPr/>
        <w:t>nav</w:t>
      </w:r>
      <w:r>
        <w:rPr>
          <w:spacing w:val="-11"/>
        </w:rPr>
        <w:t> </w:t>
      </w:r>
      <w:r>
        <w:rPr/>
        <w:t>konstatējama</w:t>
      </w:r>
      <w:r>
        <w:rPr>
          <w:spacing w:val="-11"/>
        </w:rPr>
        <w:t> </w:t>
      </w:r>
      <w:r>
        <w:rPr/>
        <w:t>labticības</w:t>
      </w:r>
      <w:r>
        <w:rPr>
          <w:spacing w:val="-9"/>
        </w:rPr>
        <w:t> </w:t>
      </w:r>
      <w:r>
        <w:rPr/>
        <w:t>principa</w:t>
      </w:r>
      <w:r>
        <w:rPr>
          <w:spacing w:val="-9"/>
        </w:rPr>
        <w:t> </w:t>
      </w:r>
      <w:r>
        <w:rPr/>
        <w:t>ievērošana</w:t>
      </w:r>
      <w:r>
        <w:rPr>
          <w:spacing w:val="-9"/>
        </w:rPr>
        <w:t> </w:t>
      </w:r>
      <w:r>
        <w:rPr/>
        <w:t>no</w:t>
      </w:r>
      <w:r>
        <w:rPr>
          <w:spacing w:val="-9"/>
        </w:rPr>
        <w:t> </w:t>
      </w:r>
      <w:r>
        <w:rPr/>
        <w:t>parādnieka</w:t>
      </w:r>
      <w:r>
        <w:rPr>
          <w:spacing w:val="-9"/>
        </w:rPr>
        <w:t> </w:t>
      </w:r>
      <w:r>
        <w:rPr/>
        <w:t>puses,</w:t>
      </w:r>
      <w:r>
        <w:rPr>
          <w:spacing w:val="-9"/>
        </w:rPr>
        <w:t> </w:t>
      </w:r>
      <w:r>
        <w:rPr/>
        <w:t>secīgi arī nespēja nokārtot parādsaistības Maksātnespējas likuma 6.panta 8.punktā noteiktā labticības principa izpratnē. Proti, konkrētajā lietā pieteicējs nebija pievienojis pierādījumus, kas apliecinātu parādsaistību apmēru pret katru no kreditoriem uz maksātnespējas pieteikuma iesniegšanas brīdi, kā arī pierādījumus par ienākumiem parādsaistību uzņemšanās laikā, kas, tiesas ieskatā, kopumā liecina par pieteicēja tiesību neizmantošanu labā ticībā, jo neapstiprina parādnieka patieso parādsaistību apmēru uz pieteikuma</w:t>
      </w:r>
      <w:r>
        <w:rPr>
          <w:spacing w:val="-13"/>
        </w:rPr>
        <w:t> </w:t>
      </w:r>
      <w:r>
        <w:rPr/>
        <w:t>iesniegšanas</w:t>
      </w:r>
      <w:r>
        <w:rPr>
          <w:spacing w:val="-13"/>
        </w:rPr>
        <w:t> </w:t>
      </w:r>
      <w:r>
        <w:rPr/>
        <w:t>brīdi,</w:t>
      </w:r>
      <w:r>
        <w:rPr>
          <w:spacing w:val="-13"/>
        </w:rPr>
        <w:t> </w:t>
      </w:r>
      <w:r>
        <w:rPr/>
        <w:t>jo</w:t>
      </w:r>
      <w:r>
        <w:rPr>
          <w:spacing w:val="-12"/>
        </w:rPr>
        <w:t> </w:t>
      </w:r>
      <w:r>
        <w:rPr/>
        <w:t>tiesai</w:t>
      </w:r>
      <w:r>
        <w:rPr>
          <w:spacing w:val="-13"/>
        </w:rPr>
        <w:t> </w:t>
      </w:r>
      <w:r>
        <w:rPr/>
        <w:t>no</w:t>
      </w:r>
      <w:r>
        <w:rPr>
          <w:spacing w:val="-13"/>
        </w:rPr>
        <w:t> </w:t>
      </w:r>
      <w:r>
        <w:rPr/>
        <w:t>iesniegtajiem</w:t>
      </w:r>
      <w:r>
        <w:rPr>
          <w:spacing w:val="-12"/>
        </w:rPr>
        <w:t> </w:t>
      </w:r>
      <w:r>
        <w:rPr/>
        <w:t>pierādījumiem</w:t>
      </w:r>
      <w:r>
        <w:rPr>
          <w:spacing w:val="-13"/>
        </w:rPr>
        <w:t> </w:t>
      </w:r>
      <w:r>
        <w:rPr/>
        <w:t>nav</w:t>
      </w:r>
      <w:r>
        <w:rPr>
          <w:spacing w:val="-13"/>
        </w:rPr>
        <w:t> </w:t>
      </w:r>
      <w:r>
        <w:rPr/>
        <w:t>iespēju</w:t>
      </w:r>
      <w:r>
        <w:rPr>
          <w:spacing w:val="-12"/>
        </w:rPr>
        <w:t> </w:t>
      </w:r>
      <w:r>
        <w:rPr/>
        <w:t>samērot veicamo maksājumu apmēru salīdzinot to ar parādnieka ienākumiem, no kā nevar izdarīt nepārprotamu secinājumu, ka maksājumu saistības ir nesamērīgas ar parādnieka ienākumiem.</w:t>
      </w:r>
    </w:p>
    <w:p>
      <w:pPr>
        <w:pStyle w:val="BodyText"/>
        <w:spacing w:line="230" w:lineRule="auto" w:before="6"/>
        <w:ind w:left="620" w:right="401" w:firstLine="720"/>
        <w:rPr>
          <w:sz w:val="16"/>
        </w:rPr>
      </w:pPr>
      <w:r>
        <w:rPr/>
        <w:t>Līdzīgas atziņas par pieteicēja nevēlēšanos nokārtot savas parādsaistības un par pieteicēja ienākumu apmēra pietiekamību parādsaistību pakāpeniskai samazināšanai ir paudusi arī Cēsu rajona tiesa civillietā Nr.C11089116</w:t>
      </w:r>
      <w:r>
        <w:rPr>
          <w:position w:val="9"/>
          <w:sz w:val="16"/>
        </w:rPr>
        <w:t>200</w:t>
      </w:r>
      <w:r>
        <w:rPr/>
        <w:t>, Rīgas rajona tiesa civillietā Nr.C33390617</w:t>
      </w:r>
      <w:r>
        <w:rPr>
          <w:position w:val="9"/>
          <w:sz w:val="16"/>
        </w:rPr>
        <w:t>201</w:t>
      </w:r>
      <w:r>
        <w:rPr/>
        <w:t>, Dobeles rajona tiesa civillietā Nr.C13076017.</w:t>
      </w:r>
      <w:r>
        <w:rPr>
          <w:position w:val="9"/>
          <w:sz w:val="16"/>
        </w:rPr>
        <w:t>202</w:t>
      </w:r>
    </w:p>
    <w:p>
      <w:pPr>
        <w:pStyle w:val="BodyText"/>
        <w:spacing w:before="5"/>
        <w:ind w:left="620" w:right="401" w:firstLine="720"/>
      </w:pPr>
      <w:r>
        <w:rPr/>
        <w:t>Savukārt Ogres rajona tiesas 2015.gada 5.maija spriedumā lietā Nr. C24138715 ir norādījusi, ka konkrētajā gadījumā tiesa nevar viennozīmīgi konstatēt pieteikumā norādīto maksātnespējas pazīmi, jo negūst pārliecību, ka parādnieks ir godprātīgs finansiālās</w:t>
      </w:r>
    </w:p>
    <w:p>
      <w:pPr>
        <w:pStyle w:val="BodyText"/>
        <w:spacing w:before="7"/>
        <w:jc w:val="left"/>
      </w:pPr>
      <w:r>
        <w:rPr/>
        <w:pict>
          <v:shape style="position:absolute;margin-left:90pt;margin-top:16.42458pt;width:144pt;height:.1pt;mso-position-horizontal-relative:page;mso-position-vertical-relative:paragraph;z-index:-251612160;mso-wrap-distance-left:0;mso-wrap-distance-right:0" coordorigin="1800,328" coordsize="2880,0" path="m1800,328l4680,328e" filled="false" stroked="true" strokeweight=".59999pt" strokecolor="#000000">
            <v:path arrowok="t"/>
            <v:stroke dashstyle="solid"/>
            <w10:wrap type="topAndBottom"/>
          </v:shape>
        </w:pict>
      </w:r>
    </w:p>
    <w:p>
      <w:pPr>
        <w:spacing w:line="233" w:lineRule="exact" w:before="70"/>
        <w:ind w:left="620" w:right="0" w:firstLine="0"/>
        <w:jc w:val="left"/>
        <w:rPr>
          <w:sz w:val="20"/>
        </w:rPr>
      </w:pPr>
      <w:r>
        <w:rPr>
          <w:position w:val="7"/>
          <w:sz w:val="13"/>
        </w:rPr>
        <w:t>197 </w:t>
      </w:r>
      <w:r>
        <w:rPr>
          <w:sz w:val="20"/>
        </w:rPr>
        <w:t>Rīgas pilsētas Latgales priekšpilsētas tiesas 2014.gada 12.jūnija nolēmums lietā Nr. C29589214</w:t>
      </w:r>
    </w:p>
    <w:p>
      <w:pPr>
        <w:spacing w:line="235" w:lineRule="auto" w:before="1"/>
        <w:ind w:left="620" w:right="2490" w:firstLine="0"/>
        <w:jc w:val="left"/>
        <w:rPr>
          <w:sz w:val="20"/>
        </w:rPr>
      </w:pPr>
      <w:r>
        <w:rPr>
          <w:position w:val="7"/>
          <w:sz w:val="13"/>
        </w:rPr>
        <w:t>198 </w:t>
      </w:r>
      <w:r>
        <w:rPr>
          <w:sz w:val="20"/>
        </w:rPr>
        <w:t>Cēsu rajona tiesas 2015.gada 16.septembra spriedums civillietā Nr.C11104315 </w:t>
      </w:r>
      <w:r>
        <w:rPr>
          <w:position w:val="7"/>
          <w:sz w:val="13"/>
        </w:rPr>
        <w:t>199 </w:t>
      </w:r>
      <w:r>
        <w:rPr>
          <w:sz w:val="20"/>
        </w:rPr>
        <w:t>Dobeles rajona tiesas 2016.gada 28.janvāra spriedums civillietā Nr.C13029716 </w:t>
      </w:r>
      <w:r>
        <w:rPr>
          <w:position w:val="7"/>
          <w:sz w:val="13"/>
        </w:rPr>
        <w:t>200  </w:t>
      </w:r>
      <w:r>
        <w:rPr>
          <w:sz w:val="20"/>
        </w:rPr>
        <w:t>Cēsu rajona tiesas 2016.gada 30.augusta spriedums civillietā Nr.C11089116</w:t>
      </w:r>
      <w:r>
        <w:rPr>
          <w:position w:val="7"/>
          <w:sz w:val="20"/>
        </w:rPr>
        <w:t> </w:t>
      </w:r>
      <w:r>
        <w:rPr>
          <w:position w:val="7"/>
          <w:sz w:val="13"/>
        </w:rPr>
        <w:t>201 </w:t>
      </w:r>
      <w:r>
        <w:rPr>
          <w:sz w:val="20"/>
        </w:rPr>
        <w:t>Rīgas rajona tiesas 2017.gada 24.februāra spriedums civillietā</w:t>
      </w:r>
      <w:r>
        <w:rPr>
          <w:spacing w:val="-26"/>
          <w:sz w:val="20"/>
        </w:rPr>
        <w:t> </w:t>
      </w:r>
      <w:r>
        <w:rPr>
          <w:sz w:val="20"/>
        </w:rPr>
        <w:t>Nr.C33390617</w:t>
      </w:r>
    </w:p>
    <w:p>
      <w:pPr>
        <w:spacing w:line="230" w:lineRule="exact" w:before="0"/>
        <w:ind w:left="620" w:right="0" w:firstLine="0"/>
        <w:jc w:val="left"/>
        <w:rPr>
          <w:sz w:val="20"/>
        </w:rPr>
      </w:pPr>
      <w:r>
        <w:rPr>
          <w:position w:val="7"/>
          <w:sz w:val="13"/>
        </w:rPr>
        <w:t>202 </w:t>
      </w:r>
      <w:r>
        <w:rPr>
          <w:sz w:val="20"/>
        </w:rPr>
        <w:t>Dobeles rajona tiesas 2017.gada 11.decembra spriedums civllietā Nr.C13076017</w:t>
      </w:r>
    </w:p>
    <w:p>
      <w:pPr>
        <w:spacing w:after="0" w:line="230" w:lineRule="exact"/>
        <w:jc w:val="left"/>
        <w:rPr>
          <w:sz w:val="20"/>
        </w:rPr>
        <w:sectPr>
          <w:footerReference w:type="default" r:id="rId41"/>
          <w:footerReference w:type="even" r:id="rId42"/>
          <w:pgSz w:w="11910" w:h="16840"/>
          <w:pgMar w:footer="1055" w:header="0" w:top="1340" w:bottom="1240" w:left="1180" w:right="1040"/>
          <w:pgNumType w:start="67"/>
        </w:sectPr>
      </w:pPr>
    </w:p>
    <w:p>
      <w:pPr>
        <w:pStyle w:val="BodyText"/>
        <w:spacing w:before="73"/>
        <w:ind w:left="260" w:right="762"/>
      </w:pPr>
      <w:r>
        <w:rPr/>
        <w:t>grūtībās nonācis parādnieks, kura mantiskais stāvoklis liedz viņam izpildīt saistības pret valsti.</w:t>
      </w:r>
      <w:r>
        <w:rPr>
          <w:position w:val="9"/>
          <w:sz w:val="16"/>
        </w:rPr>
        <w:t>203 </w:t>
      </w:r>
      <w:r>
        <w:rPr/>
        <w:t>Tiesa spriedumā norādījusi: “Tiesas ieskatā no maksātnespējas pieteikumam pievienotā Administratīvās apgabaltiesas 2013.gada 13.decembra sprieduma</w:t>
      </w:r>
      <w:r>
        <w:rPr>
          <w:spacing w:val="-28"/>
        </w:rPr>
        <w:t> </w:t>
      </w:r>
      <w:r>
        <w:rPr/>
        <w:t>nepārprotami izriet parādnieka pienākums nomaksāt iedzīvotāju ienākuma nodokli un pievienotās vērtības nodokli no iegūto materiālo vērtību kopuma (atsavināta virkne īpašumu un kustamā manta, veikta preču piegāde un sniegti pakalpojumi). Cita starpā apgabaltiesa sprieduma</w:t>
      </w:r>
      <w:r>
        <w:rPr>
          <w:spacing w:val="-10"/>
        </w:rPr>
        <w:t> </w:t>
      </w:r>
      <w:r>
        <w:rPr/>
        <w:t>punktā</w:t>
      </w:r>
      <w:r>
        <w:rPr>
          <w:spacing w:val="-6"/>
        </w:rPr>
        <w:t> </w:t>
      </w:r>
      <w:r>
        <w:rPr/>
        <w:t>[18],</w:t>
      </w:r>
      <w:r>
        <w:rPr>
          <w:spacing w:val="-8"/>
        </w:rPr>
        <w:t> </w:t>
      </w:r>
      <w:r>
        <w:rPr/>
        <w:t>norādījusi,</w:t>
      </w:r>
      <w:r>
        <w:rPr>
          <w:spacing w:val="-8"/>
        </w:rPr>
        <w:t> </w:t>
      </w:r>
      <w:r>
        <w:rPr/>
        <w:t>ka</w:t>
      </w:r>
      <w:r>
        <w:rPr>
          <w:spacing w:val="-10"/>
        </w:rPr>
        <w:t> </w:t>
      </w:r>
      <w:r>
        <w:rPr/>
        <w:t>parādnieks,</w:t>
      </w:r>
      <w:r>
        <w:rPr>
          <w:spacing w:val="-5"/>
        </w:rPr>
        <w:t> </w:t>
      </w:r>
      <w:r>
        <w:rPr/>
        <w:t>veicot</w:t>
      </w:r>
      <w:r>
        <w:rPr>
          <w:spacing w:val="-8"/>
        </w:rPr>
        <w:t> </w:t>
      </w:r>
      <w:r>
        <w:rPr/>
        <w:t>īpašuma</w:t>
      </w:r>
      <w:r>
        <w:rPr>
          <w:spacing w:val="-8"/>
        </w:rPr>
        <w:t> </w:t>
      </w:r>
      <w:r>
        <w:rPr/>
        <w:t>sadalīšanu</w:t>
      </w:r>
      <w:r>
        <w:rPr>
          <w:spacing w:val="-8"/>
        </w:rPr>
        <w:t> </w:t>
      </w:r>
      <w:r>
        <w:rPr/>
        <w:t>un</w:t>
      </w:r>
      <w:r>
        <w:rPr>
          <w:spacing w:val="-8"/>
        </w:rPr>
        <w:t> </w:t>
      </w:r>
      <w:r>
        <w:rPr/>
        <w:t>sadalīto</w:t>
      </w:r>
      <w:r>
        <w:rPr>
          <w:spacing w:val="-8"/>
        </w:rPr>
        <w:t> </w:t>
      </w:r>
      <w:r>
        <w:rPr/>
        <w:t>12 īpašumu atsavināšanu, guvis ievērojamu peļņu. Arī paša parādnieka pieteikumā uzrādītais nodokļu pamatparāda aprēķināšanas fakts 140 360,16 </w:t>
      </w:r>
      <w:r>
        <w:rPr>
          <w:i/>
        </w:rPr>
        <w:t>euro </w:t>
      </w:r>
      <w:r>
        <w:rPr/>
        <w:t>apmērā liecina, ka parādnieks guvis ievērojamus ienākumus. Tādejādi atzīstams, ka parādnieks maksātnespējas procesa pieteikumā tiesai sniedzis nepilnīgas ziņas par savu mantisko stāvokli, kas rada pamatu apšaubīt faktu, ka parādnieks ir godprātīgs finansiālās grūtības nonācis parādnieks, kura mantiskais stāvoklis liedz viņam izpildīt saistības pret valsti. Minētās šaubas apstiprina arī jau</w:t>
      </w:r>
      <w:r>
        <w:rPr>
          <w:spacing w:val="-16"/>
        </w:rPr>
        <w:t> </w:t>
      </w:r>
      <w:r>
        <w:rPr/>
        <w:t>Administratīvās</w:t>
      </w:r>
      <w:r>
        <w:rPr>
          <w:spacing w:val="-16"/>
        </w:rPr>
        <w:t> </w:t>
      </w:r>
      <w:r>
        <w:rPr/>
        <w:t>apgabaltiesas</w:t>
      </w:r>
      <w:r>
        <w:rPr>
          <w:spacing w:val="-16"/>
        </w:rPr>
        <w:t> </w:t>
      </w:r>
      <w:r>
        <w:rPr/>
        <w:t>2013.gada</w:t>
      </w:r>
      <w:r>
        <w:rPr>
          <w:spacing w:val="-13"/>
        </w:rPr>
        <w:t> </w:t>
      </w:r>
      <w:r>
        <w:rPr/>
        <w:t>13.decembra</w:t>
      </w:r>
      <w:r>
        <w:rPr>
          <w:spacing w:val="-18"/>
        </w:rPr>
        <w:t> </w:t>
      </w:r>
      <w:r>
        <w:rPr/>
        <w:t>spriedumā</w:t>
      </w:r>
      <w:r>
        <w:rPr>
          <w:spacing w:val="-16"/>
        </w:rPr>
        <w:t> </w:t>
      </w:r>
      <w:r>
        <w:rPr/>
        <w:t>izdarītais</w:t>
      </w:r>
      <w:r>
        <w:rPr>
          <w:spacing w:val="-15"/>
        </w:rPr>
        <w:t> </w:t>
      </w:r>
      <w:r>
        <w:rPr/>
        <w:t>secinājums, ka</w:t>
      </w:r>
      <w:r>
        <w:rPr>
          <w:spacing w:val="-6"/>
        </w:rPr>
        <w:t> </w:t>
      </w:r>
      <w:r>
        <w:rPr/>
        <w:t>parādnieka</w:t>
      </w:r>
      <w:r>
        <w:rPr>
          <w:spacing w:val="-5"/>
        </w:rPr>
        <w:t> </w:t>
      </w:r>
      <w:r>
        <w:rPr/>
        <w:t>rīcība,</w:t>
      </w:r>
      <w:r>
        <w:rPr>
          <w:spacing w:val="-3"/>
        </w:rPr>
        <w:t> </w:t>
      </w:r>
      <w:r>
        <w:rPr/>
        <w:t>neaprēķinot</w:t>
      </w:r>
      <w:r>
        <w:rPr>
          <w:spacing w:val="-4"/>
        </w:rPr>
        <w:t> </w:t>
      </w:r>
      <w:r>
        <w:rPr/>
        <w:t>nodokli</w:t>
      </w:r>
      <w:r>
        <w:rPr>
          <w:spacing w:val="-6"/>
        </w:rPr>
        <w:t> </w:t>
      </w:r>
      <w:r>
        <w:rPr/>
        <w:t>no</w:t>
      </w:r>
      <w:r>
        <w:rPr>
          <w:spacing w:val="-5"/>
        </w:rPr>
        <w:t> </w:t>
      </w:r>
      <w:r>
        <w:rPr/>
        <w:t>visiem</w:t>
      </w:r>
      <w:r>
        <w:rPr>
          <w:spacing w:val="-6"/>
        </w:rPr>
        <w:t> </w:t>
      </w:r>
      <w:r>
        <w:rPr/>
        <w:t>apliekamajiem</w:t>
      </w:r>
      <w:r>
        <w:rPr>
          <w:spacing w:val="-6"/>
        </w:rPr>
        <w:t> </w:t>
      </w:r>
      <w:r>
        <w:rPr/>
        <w:t>ienākumiem,</w:t>
      </w:r>
      <w:r>
        <w:rPr>
          <w:spacing w:val="-5"/>
        </w:rPr>
        <w:t> </w:t>
      </w:r>
      <w:r>
        <w:rPr/>
        <w:t>neliecina par godprātību attiecībā uz pienākumu aprēķināt un maksāt tiesību normās paredzētos nodokļu maksājumus (</w:t>
      </w:r>
      <w:r>
        <w:rPr>
          <w:i/>
        </w:rPr>
        <w:t>sk. Administratīvās apgabaltiesas 2013.gada 13.decembra </w:t>
      </w:r>
      <w:r>
        <w:rPr>
          <w:i/>
        </w:rPr>
        <w:t>spriedumā [4.6] punkts, lietas 23.</w:t>
      </w:r>
      <w:r>
        <w:rPr>
          <w:i/>
          <w:spacing w:val="8"/>
        </w:rPr>
        <w:t> </w:t>
      </w:r>
      <w:r>
        <w:rPr>
          <w:i/>
        </w:rPr>
        <w:t>lapa</w:t>
      </w:r>
      <w:r>
        <w:rPr/>
        <w:t>).”</w:t>
      </w:r>
    </w:p>
    <w:p>
      <w:pPr>
        <w:pStyle w:val="BodyText"/>
        <w:spacing w:line="261" w:lineRule="exact"/>
        <w:ind w:left="980"/>
      </w:pPr>
      <w:r>
        <w:rPr/>
        <w:t>Vēlme izvairīties no savu saistību izpildes kā tiesas vērtējumam pakļauts kritērijs</w:t>
      </w:r>
    </w:p>
    <w:p>
      <w:pPr>
        <w:pStyle w:val="BodyText"/>
        <w:ind w:left="260" w:right="761"/>
        <w:rPr>
          <w:sz w:val="16"/>
        </w:rPr>
      </w:pPr>
      <w:r>
        <w:rPr/>
        <w:t>atspoguļojas</w:t>
      </w:r>
      <w:r>
        <w:rPr>
          <w:spacing w:val="-17"/>
        </w:rPr>
        <w:t> </w:t>
      </w:r>
      <w:r>
        <w:rPr/>
        <w:t>arī</w:t>
      </w:r>
      <w:r>
        <w:rPr>
          <w:spacing w:val="-16"/>
        </w:rPr>
        <w:t> </w:t>
      </w:r>
      <w:r>
        <w:rPr/>
        <w:t>Rīgas</w:t>
      </w:r>
      <w:r>
        <w:rPr>
          <w:spacing w:val="-16"/>
        </w:rPr>
        <w:t> </w:t>
      </w:r>
      <w:r>
        <w:rPr/>
        <w:t>pilsētas</w:t>
      </w:r>
      <w:r>
        <w:rPr>
          <w:spacing w:val="-14"/>
        </w:rPr>
        <w:t> </w:t>
      </w:r>
      <w:r>
        <w:rPr/>
        <w:t>Latgales</w:t>
      </w:r>
      <w:r>
        <w:rPr>
          <w:spacing w:val="-16"/>
        </w:rPr>
        <w:t> </w:t>
      </w:r>
      <w:r>
        <w:rPr/>
        <w:t>priekšpilsētas</w:t>
      </w:r>
      <w:r>
        <w:rPr>
          <w:spacing w:val="-16"/>
        </w:rPr>
        <w:t> </w:t>
      </w:r>
      <w:r>
        <w:rPr/>
        <w:t>tiesas</w:t>
      </w:r>
      <w:r>
        <w:rPr>
          <w:spacing w:val="-16"/>
        </w:rPr>
        <w:t> </w:t>
      </w:r>
      <w:r>
        <w:rPr/>
        <w:t>2018.gada</w:t>
      </w:r>
      <w:r>
        <w:rPr>
          <w:spacing w:val="-17"/>
        </w:rPr>
        <w:t> </w:t>
      </w:r>
      <w:r>
        <w:rPr/>
        <w:t>4.janvāra</w:t>
      </w:r>
      <w:r>
        <w:rPr>
          <w:spacing w:val="-16"/>
        </w:rPr>
        <w:t> </w:t>
      </w:r>
      <w:r>
        <w:rPr/>
        <w:t>spriedumā Nr. C29577917, kurā no iesniegtajiem rakstveida pierādījumiem tiesa neguva pārliecību par to, ka pieteicējai nav iespēju izpildīt parādsaistības, jo kredīti ņemti salīdzinoši nesen, pieteicējai ir divas darba vietas un stabili ienākumi, līdz ar to tiesa atzīst, ka nepastāv pierādāmi</w:t>
      </w:r>
      <w:r>
        <w:rPr>
          <w:spacing w:val="-11"/>
        </w:rPr>
        <w:t> </w:t>
      </w:r>
      <w:r>
        <w:rPr/>
        <w:t>apstākļi,</w:t>
      </w:r>
      <w:r>
        <w:rPr>
          <w:spacing w:val="-11"/>
        </w:rPr>
        <w:t> </w:t>
      </w:r>
      <w:r>
        <w:rPr/>
        <w:t>ka</w:t>
      </w:r>
      <w:r>
        <w:rPr>
          <w:spacing w:val="-11"/>
        </w:rPr>
        <w:t> </w:t>
      </w:r>
      <w:r>
        <w:rPr/>
        <w:t>pieteicēja</w:t>
      </w:r>
      <w:r>
        <w:rPr>
          <w:spacing w:val="-10"/>
        </w:rPr>
        <w:t> </w:t>
      </w:r>
      <w:r>
        <w:rPr/>
        <w:t>nevarēs</w:t>
      </w:r>
      <w:r>
        <w:rPr>
          <w:spacing w:val="-13"/>
        </w:rPr>
        <w:t> </w:t>
      </w:r>
      <w:r>
        <w:rPr/>
        <w:t>nokārtot</w:t>
      </w:r>
      <w:r>
        <w:rPr>
          <w:spacing w:val="-9"/>
        </w:rPr>
        <w:t> </w:t>
      </w:r>
      <w:r>
        <w:rPr/>
        <w:t>parādsaistības.</w:t>
      </w:r>
      <w:r>
        <w:rPr>
          <w:spacing w:val="-10"/>
        </w:rPr>
        <w:t> </w:t>
      </w:r>
      <w:r>
        <w:rPr/>
        <w:t>Tiesa</w:t>
      </w:r>
      <w:r>
        <w:rPr>
          <w:spacing w:val="-13"/>
        </w:rPr>
        <w:t> </w:t>
      </w:r>
      <w:r>
        <w:rPr/>
        <w:t>ir</w:t>
      </w:r>
      <w:r>
        <w:rPr>
          <w:spacing w:val="-11"/>
        </w:rPr>
        <w:t> </w:t>
      </w:r>
      <w:r>
        <w:rPr/>
        <w:t>norādījusi,</w:t>
      </w:r>
      <w:r>
        <w:rPr>
          <w:spacing w:val="-11"/>
        </w:rPr>
        <w:t> </w:t>
      </w:r>
      <w:r>
        <w:rPr/>
        <w:t>ka</w:t>
      </w:r>
      <w:r>
        <w:rPr>
          <w:spacing w:val="-10"/>
        </w:rPr>
        <w:t> </w:t>
      </w:r>
      <w:r>
        <w:rPr/>
        <w:t>“no pieteikumā norādītā secināms, ka, zinot par neizpildītām saistībām, pieteicēja uzņēmās papildus saistības, 2015.gadā noslēdzot kredītkartes līgumu un 2017.gadā aizdevuma līgumu. Uzņemoties saistības, pieteicējai bija zināmi līgumu noslēgšanas nosacījumi, saistību izpildes kārtība, t.sk., termiņi, un viņas ienākumu apmērs. Pieteicēja saistības uzņēmās apzinoties savus ikmēneša ienākumus, tātad saprotot, ka spēs tās pildīt. Ņemot vērā</w:t>
      </w:r>
      <w:r>
        <w:rPr>
          <w:spacing w:val="-18"/>
        </w:rPr>
        <w:t> </w:t>
      </w:r>
      <w:r>
        <w:rPr/>
        <w:t>minēto,</w:t>
      </w:r>
      <w:r>
        <w:rPr>
          <w:spacing w:val="-15"/>
        </w:rPr>
        <w:t> </w:t>
      </w:r>
      <w:r>
        <w:rPr/>
        <w:t>tiesai</w:t>
      </w:r>
      <w:r>
        <w:rPr>
          <w:spacing w:val="-17"/>
        </w:rPr>
        <w:t> </w:t>
      </w:r>
      <w:r>
        <w:rPr/>
        <w:t>ir</w:t>
      </w:r>
      <w:r>
        <w:rPr>
          <w:spacing w:val="-15"/>
        </w:rPr>
        <w:t> </w:t>
      </w:r>
      <w:r>
        <w:rPr/>
        <w:t>saprātīgas</w:t>
      </w:r>
      <w:r>
        <w:rPr>
          <w:spacing w:val="-17"/>
        </w:rPr>
        <w:t> </w:t>
      </w:r>
      <w:r>
        <w:rPr/>
        <w:t>šaubas</w:t>
      </w:r>
      <w:r>
        <w:rPr>
          <w:spacing w:val="-17"/>
        </w:rPr>
        <w:t> </w:t>
      </w:r>
      <w:r>
        <w:rPr/>
        <w:t>par</w:t>
      </w:r>
      <w:r>
        <w:rPr>
          <w:spacing w:val="-14"/>
        </w:rPr>
        <w:t> </w:t>
      </w:r>
      <w:r>
        <w:rPr/>
        <w:t>to,</w:t>
      </w:r>
      <w:r>
        <w:rPr>
          <w:spacing w:val="-15"/>
        </w:rPr>
        <w:t> </w:t>
      </w:r>
      <w:r>
        <w:rPr/>
        <w:t>ka</w:t>
      </w:r>
      <w:r>
        <w:rPr>
          <w:spacing w:val="-15"/>
        </w:rPr>
        <w:t> </w:t>
      </w:r>
      <w:r>
        <w:rPr/>
        <w:t>pieteicēja</w:t>
      </w:r>
      <w:r>
        <w:rPr>
          <w:spacing w:val="-15"/>
        </w:rPr>
        <w:t> </w:t>
      </w:r>
      <w:r>
        <w:rPr/>
        <w:t>ir</w:t>
      </w:r>
      <w:r>
        <w:rPr>
          <w:spacing w:val="-12"/>
        </w:rPr>
        <w:t> </w:t>
      </w:r>
      <w:r>
        <w:rPr/>
        <w:t>godprātīga</w:t>
      </w:r>
      <w:r>
        <w:rPr>
          <w:spacing w:val="-15"/>
        </w:rPr>
        <w:t> </w:t>
      </w:r>
      <w:r>
        <w:rPr/>
        <w:t>finansiālās</w:t>
      </w:r>
      <w:r>
        <w:rPr>
          <w:spacing w:val="-15"/>
        </w:rPr>
        <w:t> </w:t>
      </w:r>
      <w:r>
        <w:rPr/>
        <w:t>grūtībās nonākusi parādniece, kuras mantiskais stāvoklis liedz viņai izpildīt uzņemtās saistības un atzīst, ka šāda pieteicējas rīcība drīzāk liecina par vēlmi izvairīties no saistību izpildes. Tiesas ieskatā vēlme izvairīties no savu saistību izpildes neatbilst Maksātnespējas likuma 6.panta 8.punktā noteiktajam maksātnespējas procesa</w:t>
      </w:r>
      <w:r>
        <w:rPr>
          <w:spacing w:val="-45"/>
        </w:rPr>
        <w:t> </w:t>
      </w:r>
      <w:r>
        <w:rPr/>
        <w:t>vispārējam labticības principam, kas nosaka, ka </w:t>
      </w:r>
      <w:r>
        <w:rPr>
          <w:i/>
        </w:rPr>
        <w:t>procesā iesaistītajām personām savas tiesības jāizmanto un pienākumi jāpilda </w:t>
      </w:r>
      <w:r>
        <w:rPr>
          <w:i/>
        </w:rPr>
        <w:t>labā ticībā. Parādnieks un kreditors nedrīkst izmantot procesu, lai</w:t>
      </w:r>
      <w:r>
        <w:rPr>
          <w:i/>
          <w:spacing w:val="-2"/>
        </w:rPr>
        <w:t> </w:t>
      </w:r>
      <w:r>
        <w:rPr>
          <w:i/>
        </w:rPr>
        <w:t>iedzīvotos</w:t>
      </w:r>
      <w:r>
        <w:rPr/>
        <w:t>.”</w:t>
      </w:r>
      <w:r>
        <w:rPr>
          <w:position w:val="9"/>
          <w:sz w:val="16"/>
        </w:rPr>
        <w:t>204</w:t>
      </w:r>
    </w:p>
    <w:p>
      <w:pPr>
        <w:pStyle w:val="BodyText"/>
        <w:spacing w:line="261" w:lineRule="exact"/>
        <w:ind w:left="980"/>
      </w:pPr>
      <w:r>
        <w:rPr/>
        <w:t>Tomēr tiesu prakse, jautājumā par godprātīgu parādnieka rīcību attiecībā uz</w:t>
      </w:r>
    </w:p>
    <w:p>
      <w:pPr>
        <w:pStyle w:val="BodyText"/>
        <w:ind w:left="260" w:right="760"/>
      </w:pPr>
      <w:r>
        <w:rPr/>
        <w:t>objektīvu nespēju norēķināties par savām saistībām vai subjektīvu vēlmi izvairīties no saistību izpildes, ir dažāda. Kā piemēru var minēt gadījumus, kad pirmās instances tiesa, skatot parādnieka pieteikumu par maksātnespējas pieteikuma pasludināšanu, ir analizējusi parādnieka objektīvos un subjektīvos apstākļus, lemjot par pieteikuma noraidīšanu, tomēr apelācijas</w:t>
      </w:r>
      <w:r>
        <w:rPr>
          <w:spacing w:val="-6"/>
        </w:rPr>
        <w:t> </w:t>
      </w:r>
      <w:r>
        <w:rPr/>
        <w:t>instances</w:t>
      </w:r>
      <w:r>
        <w:rPr>
          <w:spacing w:val="-6"/>
        </w:rPr>
        <w:t> </w:t>
      </w:r>
      <w:r>
        <w:rPr/>
        <w:t>tiesa,</w:t>
      </w:r>
      <w:r>
        <w:rPr>
          <w:spacing w:val="-9"/>
        </w:rPr>
        <w:t> </w:t>
      </w:r>
      <w:r>
        <w:rPr/>
        <w:t>atceļot</w:t>
      </w:r>
      <w:r>
        <w:rPr>
          <w:spacing w:val="-5"/>
        </w:rPr>
        <w:t> </w:t>
      </w:r>
      <w:r>
        <w:rPr/>
        <w:t>pirmās</w:t>
      </w:r>
      <w:r>
        <w:rPr>
          <w:spacing w:val="-9"/>
        </w:rPr>
        <w:t> </w:t>
      </w:r>
      <w:r>
        <w:rPr/>
        <w:t>instances</w:t>
      </w:r>
      <w:r>
        <w:rPr>
          <w:spacing w:val="-6"/>
        </w:rPr>
        <w:t> </w:t>
      </w:r>
      <w:r>
        <w:rPr/>
        <w:t>tiesas</w:t>
      </w:r>
      <w:r>
        <w:rPr>
          <w:spacing w:val="-10"/>
        </w:rPr>
        <w:t> </w:t>
      </w:r>
      <w:r>
        <w:rPr/>
        <w:t>spriedumu</w:t>
      </w:r>
      <w:r>
        <w:rPr>
          <w:spacing w:val="-9"/>
        </w:rPr>
        <w:t> </w:t>
      </w:r>
      <w:r>
        <w:rPr/>
        <w:t>un</w:t>
      </w:r>
      <w:r>
        <w:rPr>
          <w:spacing w:val="-6"/>
        </w:rPr>
        <w:t> </w:t>
      </w:r>
      <w:r>
        <w:rPr/>
        <w:t>pasludinot</w:t>
      </w:r>
      <w:r>
        <w:rPr>
          <w:spacing w:val="-8"/>
        </w:rPr>
        <w:t> </w:t>
      </w:r>
      <w:r>
        <w:rPr/>
        <w:t>personas maksātnespējas</w:t>
      </w:r>
      <w:r>
        <w:rPr>
          <w:spacing w:val="-13"/>
        </w:rPr>
        <w:t> </w:t>
      </w:r>
      <w:r>
        <w:rPr/>
        <w:t>procesu,</w:t>
      </w:r>
      <w:r>
        <w:rPr>
          <w:spacing w:val="-10"/>
        </w:rPr>
        <w:t> </w:t>
      </w:r>
      <w:r>
        <w:rPr/>
        <w:t>ir</w:t>
      </w:r>
      <w:r>
        <w:rPr>
          <w:spacing w:val="-13"/>
        </w:rPr>
        <w:t> </w:t>
      </w:r>
      <w:r>
        <w:rPr/>
        <w:t>sniegusi</w:t>
      </w:r>
      <w:r>
        <w:rPr>
          <w:spacing w:val="-10"/>
        </w:rPr>
        <w:t> </w:t>
      </w:r>
      <w:r>
        <w:rPr/>
        <w:t>skaidrojumu</w:t>
      </w:r>
      <w:r>
        <w:rPr>
          <w:spacing w:val="-10"/>
        </w:rPr>
        <w:t> </w:t>
      </w:r>
      <w:r>
        <w:rPr/>
        <w:t>tam,</w:t>
      </w:r>
      <w:r>
        <w:rPr>
          <w:spacing w:val="-13"/>
        </w:rPr>
        <w:t> </w:t>
      </w:r>
      <w:r>
        <w:rPr/>
        <w:t>ka</w:t>
      </w:r>
      <w:r>
        <w:rPr>
          <w:spacing w:val="-12"/>
        </w:rPr>
        <w:t> </w:t>
      </w:r>
      <w:r>
        <w:rPr/>
        <w:t>“minētie</w:t>
      </w:r>
      <w:r>
        <w:rPr>
          <w:spacing w:val="-12"/>
        </w:rPr>
        <w:t> </w:t>
      </w:r>
      <w:r>
        <w:rPr/>
        <w:t>jautājumi</w:t>
      </w:r>
      <w:r>
        <w:rPr>
          <w:spacing w:val="-10"/>
        </w:rPr>
        <w:t> </w:t>
      </w:r>
      <w:r>
        <w:rPr/>
        <w:t>par</w:t>
      </w:r>
      <w:r>
        <w:rPr>
          <w:spacing w:val="-15"/>
        </w:rPr>
        <w:t> </w:t>
      </w:r>
      <w:r>
        <w:rPr/>
        <w:t>parādnieka mantas</w:t>
      </w:r>
      <w:r>
        <w:rPr>
          <w:spacing w:val="-10"/>
        </w:rPr>
        <w:t> </w:t>
      </w:r>
      <w:r>
        <w:rPr/>
        <w:t>stāvokli</w:t>
      </w:r>
      <w:r>
        <w:rPr>
          <w:spacing w:val="-10"/>
        </w:rPr>
        <w:t> </w:t>
      </w:r>
      <w:r>
        <w:rPr/>
        <w:t>un</w:t>
      </w:r>
      <w:r>
        <w:rPr>
          <w:spacing w:val="-10"/>
        </w:rPr>
        <w:t> </w:t>
      </w:r>
      <w:r>
        <w:rPr/>
        <w:t>sniegtās</w:t>
      </w:r>
      <w:r>
        <w:rPr>
          <w:spacing w:val="-10"/>
        </w:rPr>
        <w:t> </w:t>
      </w:r>
      <w:r>
        <w:rPr/>
        <w:t>informācijas</w:t>
      </w:r>
      <w:r>
        <w:rPr>
          <w:spacing w:val="-10"/>
        </w:rPr>
        <w:t> </w:t>
      </w:r>
      <w:r>
        <w:rPr/>
        <w:t>patiesumu</w:t>
      </w:r>
      <w:r>
        <w:rPr>
          <w:spacing w:val="-10"/>
        </w:rPr>
        <w:t> </w:t>
      </w:r>
      <w:r>
        <w:rPr/>
        <w:t>ir</w:t>
      </w:r>
      <w:r>
        <w:rPr>
          <w:spacing w:val="-10"/>
        </w:rPr>
        <w:t> </w:t>
      </w:r>
      <w:r>
        <w:rPr/>
        <w:t>izvērtējami</w:t>
      </w:r>
      <w:r>
        <w:rPr>
          <w:spacing w:val="-7"/>
        </w:rPr>
        <w:t> </w:t>
      </w:r>
      <w:r>
        <w:rPr/>
        <w:t>un</w:t>
      </w:r>
      <w:r>
        <w:rPr>
          <w:spacing w:val="-10"/>
        </w:rPr>
        <w:t> </w:t>
      </w:r>
      <w:r>
        <w:rPr/>
        <w:t>lemjami</w:t>
      </w:r>
      <w:r>
        <w:rPr>
          <w:spacing w:val="-10"/>
        </w:rPr>
        <w:t> </w:t>
      </w:r>
      <w:r>
        <w:rPr/>
        <w:t>procesa</w:t>
      </w:r>
      <w:r>
        <w:rPr>
          <w:spacing w:val="-10"/>
        </w:rPr>
        <w:t> </w:t>
      </w:r>
      <w:r>
        <w:rPr/>
        <w:t>gaitā pēc maksātnespējas procesa</w:t>
      </w:r>
      <w:r>
        <w:rPr>
          <w:spacing w:val="-3"/>
        </w:rPr>
        <w:t> </w:t>
      </w:r>
      <w:r>
        <w:rPr/>
        <w:t>pasludināšanas.”</w:t>
      </w:r>
    </w:p>
    <w:p>
      <w:pPr>
        <w:pStyle w:val="BodyText"/>
        <w:spacing w:line="276" w:lineRule="exact" w:before="4"/>
        <w:ind w:left="260" w:right="762" w:firstLine="720"/>
      </w:pPr>
      <w:r>
        <w:rPr/>
        <w:t>Piemēram, civillietā Nr. C34022218</w:t>
      </w:r>
      <w:r>
        <w:rPr>
          <w:position w:val="9"/>
          <w:sz w:val="16"/>
        </w:rPr>
        <w:t>205 </w:t>
      </w:r>
      <w:r>
        <w:rPr/>
        <w:t>Kurzemes apgabaltiesas Civillietu tiesas kolēģija apmierināja pieteicēja apelācijas sūdzību un pasludināja fiziskās personas</w:t>
      </w:r>
    </w:p>
    <w:p>
      <w:pPr>
        <w:pStyle w:val="BodyText"/>
        <w:spacing w:before="1"/>
        <w:jc w:val="left"/>
        <w:rPr>
          <w:sz w:val="17"/>
        </w:rPr>
      </w:pPr>
    </w:p>
    <w:p>
      <w:pPr>
        <w:spacing w:line="233" w:lineRule="exact" w:before="94"/>
        <w:ind w:left="260" w:right="0" w:firstLine="0"/>
        <w:jc w:val="left"/>
        <w:rPr>
          <w:sz w:val="20"/>
        </w:rPr>
      </w:pPr>
      <w:r>
        <w:rPr>
          <w:position w:val="7"/>
          <w:sz w:val="13"/>
        </w:rPr>
        <w:t>203 </w:t>
      </w:r>
      <w:r>
        <w:rPr>
          <w:sz w:val="20"/>
        </w:rPr>
        <w:t>Ogres rajona tiesas 2015.gada 5.maija nolēmums lietā Nr. C24138715</w:t>
      </w:r>
    </w:p>
    <w:p>
      <w:pPr>
        <w:spacing w:line="230" w:lineRule="exact" w:before="0"/>
        <w:ind w:left="260" w:right="0" w:firstLine="0"/>
        <w:jc w:val="left"/>
        <w:rPr>
          <w:sz w:val="20"/>
        </w:rPr>
      </w:pPr>
      <w:r>
        <w:rPr>
          <w:position w:val="7"/>
          <w:sz w:val="13"/>
        </w:rPr>
        <w:t>204 </w:t>
      </w:r>
      <w:r>
        <w:rPr>
          <w:sz w:val="20"/>
        </w:rPr>
        <w:t>Rīgas pilsētas Latgales priekšpilsētas tiesas 2018.gada 4.janvāra nolēmums lietā Nr. C29577917</w:t>
      </w:r>
    </w:p>
    <w:p>
      <w:pPr>
        <w:spacing w:line="233" w:lineRule="exact" w:before="0"/>
        <w:ind w:left="260" w:right="0" w:firstLine="0"/>
        <w:jc w:val="left"/>
        <w:rPr>
          <w:sz w:val="20"/>
        </w:rPr>
      </w:pPr>
      <w:r>
        <w:rPr>
          <w:position w:val="7"/>
          <w:sz w:val="13"/>
        </w:rPr>
        <w:t>205 </w:t>
      </w:r>
      <w:r>
        <w:rPr>
          <w:sz w:val="20"/>
        </w:rPr>
        <w:t>Kurzemes apgabaltiesas Civillietu tiesas kolēģijas 2018.gada 1.marta spriedums civillietā Nr.C34022218</w:t>
      </w:r>
    </w:p>
    <w:p>
      <w:pPr>
        <w:spacing w:after="0" w:line="233" w:lineRule="exact"/>
        <w:jc w:val="left"/>
        <w:rPr>
          <w:sz w:val="20"/>
        </w:rPr>
        <w:sectPr>
          <w:pgSz w:w="11910" w:h="16840"/>
          <w:pgMar w:header="0" w:footer="1165" w:top="1340" w:bottom="1360" w:left="1180" w:right="1040"/>
        </w:sectPr>
      </w:pPr>
    </w:p>
    <w:p>
      <w:pPr>
        <w:pStyle w:val="BodyText"/>
        <w:spacing w:before="73"/>
        <w:ind w:left="620" w:right="401"/>
      </w:pPr>
      <w:r>
        <w:rPr/>
        <w:t>maksātnespējas procesu, jo apgabaltiesas ieskatā jautājumi par parādnieka mantas</w:t>
      </w:r>
      <w:r>
        <w:rPr>
          <w:spacing w:val="-27"/>
        </w:rPr>
        <w:t> </w:t>
      </w:r>
      <w:r>
        <w:rPr/>
        <w:t>stāvokli un sniegtās informācijas patiesumu ir izvērtējami un lemjami procesa gaitā pēc maksātnespējas procesa pasludināšanas. Civillietu tiesas kolēģija atzina, ka pirmās instances tiesa, nepareizi piemērojot Maksātnespējas likuma 129.panta pirmās daļas 1.punktu,</w:t>
      </w:r>
      <w:r>
        <w:rPr>
          <w:spacing w:val="-11"/>
        </w:rPr>
        <w:t> </w:t>
      </w:r>
      <w:r>
        <w:rPr/>
        <w:t>nepamatoti</w:t>
      </w:r>
      <w:r>
        <w:rPr>
          <w:spacing w:val="-9"/>
        </w:rPr>
        <w:t> </w:t>
      </w:r>
      <w:r>
        <w:rPr/>
        <w:t>noraidījusi</w:t>
      </w:r>
      <w:r>
        <w:rPr>
          <w:spacing w:val="-11"/>
        </w:rPr>
        <w:t> </w:t>
      </w:r>
      <w:r>
        <w:rPr/>
        <w:t>pieteikumu</w:t>
      </w:r>
      <w:r>
        <w:rPr>
          <w:spacing w:val="-8"/>
        </w:rPr>
        <w:t> </w:t>
      </w:r>
      <w:r>
        <w:rPr/>
        <w:t>un</w:t>
      </w:r>
      <w:r>
        <w:rPr>
          <w:spacing w:val="-11"/>
        </w:rPr>
        <w:t> </w:t>
      </w:r>
      <w:r>
        <w:rPr/>
        <w:t>izbeigusi</w:t>
      </w:r>
      <w:r>
        <w:rPr>
          <w:spacing w:val="-11"/>
        </w:rPr>
        <w:t> </w:t>
      </w:r>
      <w:r>
        <w:rPr/>
        <w:t>fiziskās</w:t>
      </w:r>
      <w:r>
        <w:rPr>
          <w:spacing w:val="-12"/>
        </w:rPr>
        <w:t> </w:t>
      </w:r>
      <w:r>
        <w:rPr/>
        <w:t>personas</w:t>
      </w:r>
      <w:r>
        <w:rPr>
          <w:spacing w:val="-9"/>
        </w:rPr>
        <w:t> </w:t>
      </w:r>
      <w:r>
        <w:rPr/>
        <w:t>maksātnespējas procesu. Proti, pirmās instances tiesa nepamatoti vērtējusi apstākļus, kas saskaņā ar Maksātnespējas procesa likumu ir administratora kompetencē un lemjami pēc maksātnespējas procesa pasludināšanas. Apgabaltiesas ieskatā nepareiza bija pirmās instances</w:t>
      </w:r>
      <w:r>
        <w:rPr>
          <w:spacing w:val="-11"/>
        </w:rPr>
        <w:t> </w:t>
      </w:r>
      <w:r>
        <w:rPr/>
        <w:t>tiesas</w:t>
      </w:r>
      <w:r>
        <w:rPr>
          <w:spacing w:val="-13"/>
        </w:rPr>
        <w:t> </w:t>
      </w:r>
      <w:r>
        <w:rPr/>
        <w:t>rīcība,</w:t>
      </w:r>
      <w:r>
        <w:rPr>
          <w:spacing w:val="-11"/>
        </w:rPr>
        <w:t> </w:t>
      </w:r>
      <w:r>
        <w:rPr/>
        <w:t>vērtējot</w:t>
      </w:r>
      <w:r>
        <w:rPr>
          <w:spacing w:val="-11"/>
        </w:rPr>
        <w:t> </w:t>
      </w:r>
      <w:r>
        <w:rPr/>
        <w:t>pieteicēja</w:t>
      </w:r>
      <w:r>
        <w:rPr>
          <w:spacing w:val="-10"/>
        </w:rPr>
        <w:t> </w:t>
      </w:r>
      <w:r>
        <w:rPr/>
        <w:t>spēju</w:t>
      </w:r>
      <w:r>
        <w:rPr>
          <w:spacing w:val="-11"/>
        </w:rPr>
        <w:t> </w:t>
      </w:r>
      <w:r>
        <w:rPr/>
        <w:t>nokārtot</w:t>
      </w:r>
      <w:r>
        <w:rPr>
          <w:spacing w:val="-11"/>
        </w:rPr>
        <w:t> </w:t>
      </w:r>
      <w:r>
        <w:rPr/>
        <w:t>savas</w:t>
      </w:r>
      <w:r>
        <w:rPr>
          <w:spacing w:val="-13"/>
        </w:rPr>
        <w:t> </w:t>
      </w:r>
      <w:r>
        <w:rPr/>
        <w:t>parādsaistības,</w:t>
      </w:r>
      <w:r>
        <w:rPr>
          <w:spacing w:val="-11"/>
        </w:rPr>
        <w:t> </w:t>
      </w:r>
      <w:r>
        <w:rPr/>
        <w:t>kā</w:t>
      </w:r>
      <w:r>
        <w:rPr>
          <w:spacing w:val="-10"/>
        </w:rPr>
        <w:t> </w:t>
      </w:r>
      <w:r>
        <w:rPr/>
        <w:t>arī</w:t>
      </w:r>
      <w:r>
        <w:rPr>
          <w:spacing w:val="-13"/>
        </w:rPr>
        <w:t> </w:t>
      </w:r>
      <w:r>
        <w:rPr/>
        <w:t>vērtējot parādnieka godprātību, tajā skaitā, saistību uzņemšanos neilgā laika posmā un saistību uzņemšanos arī pēc darba tiesisko attiecību</w:t>
      </w:r>
      <w:r>
        <w:rPr>
          <w:spacing w:val="-1"/>
        </w:rPr>
        <w:t> </w:t>
      </w:r>
      <w:r>
        <w:rPr/>
        <w:t>izbeigšanas.</w:t>
      </w:r>
    </w:p>
    <w:p>
      <w:pPr>
        <w:pStyle w:val="BodyText"/>
        <w:spacing w:line="228" w:lineRule="auto" w:before="12"/>
        <w:ind w:left="620" w:right="402" w:firstLine="720"/>
        <w:rPr>
          <w:sz w:val="16"/>
        </w:rPr>
      </w:pPr>
      <w:r>
        <w:rPr/>
        <w:t>Līdzīgas</w:t>
      </w:r>
      <w:r>
        <w:rPr>
          <w:spacing w:val="-5"/>
        </w:rPr>
        <w:t> </w:t>
      </w:r>
      <w:r>
        <w:rPr/>
        <w:t>atziņas</w:t>
      </w:r>
      <w:r>
        <w:rPr>
          <w:spacing w:val="-6"/>
        </w:rPr>
        <w:t> </w:t>
      </w:r>
      <w:r>
        <w:rPr/>
        <w:t>ir</w:t>
      </w:r>
      <w:r>
        <w:rPr>
          <w:spacing w:val="-6"/>
        </w:rPr>
        <w:t> </w:t>
      </w:r>
      <w:r>
        <w:rPr/>
        <w:t>paudusi</w:t>
      </w:r>
      <w:r>
        <w:rPr>
          <w:spacing w:val="-5"/>
        </w:rPr>
        <w:t> </w:t>
      </w:r>
      <w:r>
        <w:rPr/>
        <w:t>arī</w:t>
      </w:r>
      <w:r>
        <w:rPr>
          <w:spacing w:val="-6"/>
        </w:rPr>
        <w:t> </w:t>
      </w:r>
      <w:r>
        <w:rPr/>
        <w:t>Vidzemes</w:t>
      </w:r>
      <w:r>
        <w:rPr>
          <w:spacing w:val="-6"/>
        </w:rPr>
        <w:t> </w:t>
      </w:r>
      <w:r>
        <w:rPr/>
        <w:t>apgabaltiesas</w:t>
      </w:r>
      <w:r>
        <w:rPr>
          <w:spacing w:val="-6"/>
        </w:rPr>
        <w:t> </w:t>
      </w:r>
      <w:r>
        <w:rPr/>
        <w:t>Civillietu</w:t>
      </w:r>
      <w:r>
        <w:rPr>
          <w:spacing w:val="-6"/>
        </w:rPr>
        <w:t> </w:t>
      </w:r>
      <w:r>
        <w:rPr/>
        <w:t>tiesas</w:t>
      </w:r>
      <w:r>
        <w:rPr>
          <w:spacing w:val="-7"/>
        </w:rPr>
        <w:t> </w:t>
      </w:r>
      <w:r>
        <w:rPr/>
        <w:t>kolēģa</w:t>
      </w:r>
      <w:r>
        <w:rPr>
          <w:spacing w:val="-5"/>
        </w:rPr>
        <w:t> </w:t>
      </w:r>
      <w:r>
        <w:rPr/>
        <w:t>savā 2018.gada 14.septembra nolēmumā lietā Nr. C71207218</w:t>
      </w:r>
      <w:r>
        <w:rPr>
          <w:position w:val="9"/>
          <w:sz w:val="16"/>
        </w:rPr>
        <w:t>206</w:t>
      </w:r>
      <w:r>
        <w:rPr/>
        <w:t>, kā arī Rīgas apgabaltiesas Civillietu tiesas kolēģija 2017.gada 3.maija spriedumā lietā Nr.</w:t>
      </w:r>
      <w:r>
        <w:rPr>
          <w:spacing w:val="1"/>
        </w:rPr>
        <w:t> </w:t>
      </w:r>
      <w:r>
        <w:rPr/>
        <w:t>C33386417.</w:t>
      </w:r>
      <w:r>
        <w:rPr>
          <w:position w:val="9"/>
          <w:sz w:val="16"/>
        </w:rPr>
        <w:t>207</w:t>
      </w:r>
    </w:p>
    <w:p>
      <w:pPr>
        <w:pStyle w:val="BodyText"/>
        <w:jc w:val="left"/>
        <w:rPr>
          <w:sz w:val="28"/>
        </w:rPr>
      </w:pPr>
    </w:p>
    <w:p>
      <w:pPr>
        <w:pStyle w:val="Heading4"/>
        <w:numPr>
          <w:ilvl w:val="1"/>
          <w:numId w:val="42"/>
        </w:numPr>
        <w:tabs>
          <w:tab w:pos="1267" w:val="left" w:leader="none"/>
          <w:tab w:pos="1269" w:val="left" w:leader="none"/>
        </w:tabs>
        <w:spacing w:line="240" w:lineRule="auto" w:before="234" w:after="0"/>
        <w:ind w:left="620" w:right="401" w:firstLine="0"/>
        <w:jc w:val="left"/>
      </w:pPr>
      <w:r>
        <w:rPr>
          <w:i/>
        </w:rPr>
        <w:t>Tekošo maksājumu neveikšana pēc maksātnespējas procesa pasludināšanas </w:t>
      </w:r>
      <w:r>
        <w:rPr/>
        <w:t>(komunālie maksājumi, apsaimniekošanas</w:t>
      </w:r>
      <w:r>
        <w:rPr>
          <w:spacing w:val="-5"/>
        </w:rPr>
        <w:t> </w:t>
      </w:r>
      <w:r>
        <w:rPr/>
        <w:t>izdevumi)</w:t>
      </w:r>
    </w:p>
    <w:p>
      <w:pPr>
        <w:pStyle w:val="BodyText"/>
        <w:spacing w:before="7"/>
        <w:jc w:val="left"/>
        <w:rPr>
          <w:b/>
          <w:i/>
          <w:sz w:val="23"/>
        </w:rPr>
      </w:pPr>
    </w:p>
    <w:p>
      <w:pPr>
        <w:pStyle w:val="BodyText"/>
        <w:ind w:left="620" w:right="402" w:firstLine="360"/>
      </w:pPr>
      <w:r>
        <w:rPr/>
        <w:t>Latvijas tiesu praksē parādnieka godprātība tiek vērtēta arī tekošo maksājumu veikšanas kontekstā, pamatā – saistībā ar maksājumiem par komunālajiem</w:t>
      </w:r>
      <w:r>
        <w:rPr>
          <w:spacing w:val="-38"/>
        </w:rPr>
        <w:t> </w:t>
      </w:r>
      <w:r>
        <w:rPr/>
        <w:t>pakalpojumiem un apsaimniekošanas izdevumiem, kas ir radušies pēc maksātnespējas procesa pasludināšanas līdz parādniekam piederošā īpašuma</w:t>
      </w:r>
      <w:r>
        <w:rPr>
          <w:spacing w:val="-2"/>
        </w:rPr>
        <w:t> </w:t>
      </w:r>
      <w:r>
        <w:rPr/>
        <w:t>atsavināšanai.</w:t>
      </w:r>
    </w:p>
    <w:p>
      <w:pPr>
        <w:pStyle w:val="BodyText"/>
        <w:spacing w:line="276" w:lineRule="exact" w:before="3"/>
        <w:ind w:left="620" w:right="402" w:firstLine="360"/>
        <w:rPr>
          <w:i/>
        </w:rPr>
      </w:pPr>
      <w:r>
        <w:rPr/>
        <w:t>Piemēram, civillietā Nr. C20136516</w:t>
      </w:r>
      <w:r>
        <w:rPr>
          <w:position w:val="9"/>
          <w:sz w:val="16"/>
        </w:rPr>
        <w:t>208 </w:t>
      </w:r>
      <w:r>
        <w:rPr/>
        <w:t>Liepājas tiesa norādīja, ka kārtējos apsaimniekošanas un komunālos maksājumus atbildētājai bija jāsedz no divām trešdaļām no saviem ienākumiem, kurus atbildētāja kā maksātnespējīgā fiziskā persona bija tiesīga paturēt sevis uzturēšanai. Maksātnespējas procesa pasludināšana neatbrīvo personu no to izdevumu segšanas, kas personai rodas pēc maksātnespējas procesa pasludināšanas. Proti, fiziskās personas maksātnespējas procesa pasludināšanas fakts ietekmē vienīgi to parādnieka saistību izpildes un dzēšanas kārtību, kuru izpildes termiņš iestājies līdz maksātnespējas</w:t>
      </w:r>
      <w:r>
        <w:rPr>
          <w:spacing w:val="-16"/>
        </w:rPr>
        <w:t> </w:t>
      </w:r>
      <w:r>
        <w:rPr/>
        <w:t>procesa</w:t>
      </w:r>
      <w:r>
        <w:rPr>
          <w:spacing w:val="-16"/>
        </w:rPr>
        <w:t> </w:t>
      </w:r>
      <w:r>
        <w:rPr/>
        <w:t>pasludināšanas</w:t>
      </w:r>
      <w:r>
        <w:rPr>
          <w:spacing w:val="-16"/>
        </w:rPr>
        <w:t> </w:t>
      </w:r>
      <w:r>
        <w:rPr/>
        <w:t>dienai.</w:t>
      </w:r>
      <w:r>
        <w:rPr>
          <w:spacing w:val="-13"/>
        </w:rPr>
        <w:t> </w:t>
      </w:r>
      <w:r>
        <w:rPr/>
        <w:t>Līdz</w:t>
      </w:r>
      <w:r>
        <w:rPr>
          <w:spacing w:val="-14"/>
        </w:rPr>
        <w:t> </w:t>
      </w:r>
      <w:r>
        <w:rPr/>
        <w:t>ar</w:t>
      </w:r>
      <w:r>
        <w:rPr>
          <w:spacing w:val="-19"/>
        </w:rPr>
        <w:t> </w:t>
      </w:r>
      <w:r>
        <w:rPr/>
        <w:t>to,</w:t>
      </w:r>
      <w:r>
        <w:rPr>
          <w:spacing w:val="-16"/>
        </w:rPr>
        <w:t> </w:t>
      </w:r>
      <w:r>
        <w:rPr/>
        <w:t>fiziskās</w:t>
      </w:r>
      <w:r>
        <w:rPr>
          <w:spacing w:val="-18"/>
        </w:rPr>
        <w:t> </w:t>
      </w:r>
      <w:r>
        <w:rPr/>
        <w:t>personas</w:t>
      </w:r>
      <w:r>
        <w:rPr>
          <w:spacing w:val="-16"/>
        </w:rPr>
        <w:t> </w:t>
      </w:r>
      <w:r>
        <w:rPr/>
        <w:t>maksātnespējas procesa rezultātā, pamatojoties uz Maksātnespējas likuma 164.pantu, tiek dzēstas vienīgi saistību dzēšanas plānā norādītās atlikušās (nesegtās) saistības. Tiesa nolēmumu motivēja arī ar Maksātnespējas likuma 6.panta</w:t>
      </w:r>
      <w:r>
        <w:rPr>
          <w:spacing w:val="-5"/>
        </w:rPr>
        <w:t> </w:t>
      </w:r>
      <w:r>
        <w:rPr/>
        <w:t>8.punktu</w:t>
      </w:r>
      <w:r>
        <w:rPr>
          <w:i/>
        </w:rPr>
        <w:t>.</w:t>
      </w:r>
    </w:p>
    <w:p>
      <w:pPr>
        <w:pStyle w:val="BodyText"/>
        <w:spacing w:line="276" w:lineRule="exact"/>
        <w:ind w:left="620" w:right="401" w:firstLine="360"/>
      </w:pPr>
      <w:r>
        <w:rPr/>
        <w:t>Civillietā Nr.C39123215</w:t>
      </w:r>
      <w:r>
        <w:rPr>
          <w:position w:val="9"/>
          <w:sz w:val="16"/>
        </w:rPr>
        <w:t>209 </w:t>
      </w:r>
      <w:r>
        <w:rPr/>
        <w:t>maza apmēra prasību bija cēlusi AS “Latvenergo” par parādu par patērēto elektroenerģiju, kas radies pēc maksātnespējas pasludināšanas, kreditoru pieteikšanās termiņa notecēšanas. Šajā lietā tiesa norādīja, ka Maksātnespējas likuma 161.panta 1.punktā noteikts, ka parādniekam saistību dzēšanas procedūras laikā ir tiesības paturēt vismaz divas trešdaļas no saviem ienākumiem, lai segtu savas uzturēšanas izmaksas.</w:t>
      </w:r>
      <w:r>
        <w:rPr>
          <w:spacing w:val="-13"/>
        </w:rPr>
        <w:t> </w:t>
      </w:r>
      <w:r>
        <w:rPr/>
        <w:t>Tādejādi</w:t>
      </w:r>
      <w:r>
        <w:rPr>
          <w:spacing w:val="-13"/>
        </w:rPr>
        <w:t> </w:t>
      </w:r>
      <w:r>
        <w:rPr/>
        <w:t>atbildētājai</w:t>
      </w:r>
      <w:r>
        <w:rPr>
          <w:spacing w:val="-13"/>
        </w:rPr>
        <w:t> </w:t>
      </w:r>
      <w:r>
        <w:rPr/>
        <w:t>no</w:t>
      </w:r>
      <w:r>
        <w:rPr>
          <w:spacing w:val="-13"/>
        </w:rPr>
        <w:t> </w:t>
      </w:r>
      <w:r>
        <w:rPr/>
        <w:t>iepriekš</w:t>
      </w:r>
      <w:r>
        <w:rPr>
          <w:spacing w:val="-13"/>
        </w:rPr>
        <w:t> </w:t>
      </w:r>
      <w:r>
        <w:rPr/>
        <w:t>minētajiem</w:t>
      </w:r>
      <w:r>
        <w:rPr>
          <w:spacing w:val="-13"/>
        </w:rPr>
        <w:t> </w:t>
      </w:r>
      <w:r>
        <w:rPr/>
        <w:t>ienākumiem</w:t>
      </w:r>
      <w:r>
        <w:rPr>
          <w:spacing w:val="-14"/>
        </w:rPr>
        <w:t> </w:t>
      </w:r>
      <w:r>
        <w:rPr/>
        <w:t>bija</w:t>
      </w:r>
      <w:r>
        <w:rPr>
          <w:spacing w:val="-12"/>
        </w:rPr>
        <w:t> </w:t>
      </w:r>
      <w:r>
        <w:rPr/>
        <w:t>jānodrošina</w:t>
      </w:r>
      <w:r>
        <w:rPr>
          <w:spacing w:val="-13"/>
        </w:rPr>
        <w:t> </w:t>
      </w:r>
      <w:r>
        <w:rPr/>
        <w:t>parāda samaksa prasītājam. Iepriekš minēto ienākumu izlietojums parāda samaksai nevarēja ietekmēt</w:t>
      </w:r>
      <w:r>
        <w:rPr>
          <w:spacing w:val="-14"/>
        </w:rPr>
        <w:t> </w:t>
      </w:r>
      <w:r>
        <w:rPr/>
        <w:t>attiecīgā</w:t>
      </w:r>
      <w:r>
        <w:rPr>
          <w:spacing w:val="-11"/>
        </w:rPr>
        <w:t> </w:t>
      </w:r>
      <w:r>
        <w:rPr/>
        <w:t>maksātnespējas</w:t>
      </w:r>
      <w:r>
        <w:rPr>
          <w:spacing w:val="-11"/>
        </w:rPr>
        <w:t> </w:t>
      </w:r>
      <w:r>
        <w:rPr/>
        <w:t>procesa</w:t>
      </w:r>
      <w:r>
        <w:rPr>
          <w:spacing w:val="-12"/>
        </w:rPr>
        <w:t> </w:t>
      </w:r>
      <w:r>
        <w:rPr/>
        <w:t>kreditoru</w:t>
      </w:r>
      <w:r>
        <w:rPr>
          <w:spacing w:val="-13"/>
        </w:rPr>
        <w:t> </w:t>
      </w:r>
      <w:r>
        <w:rPr/>
        <w:t>tiesības</w:t>
      </w:r>
      <w:r>
        <w:rPr>
          <w:spacing w:val="-11"/>
        </w:rPr>
        <w:t> </w:t>
      </w:r>
      <w:r>
        <w:rPr/>
        <w:t>saņemt</w:t>
      </w:r>
      <w:r>
        <w:rPr>
          <w:spacing w:val="-9"/>
        </w:rPr>
        <w:t> </w:t>
      </w:r>
      <w:r>
        <w:rPr/>
        <w:t>no</w:t>
      </w:r>
      <w:r>
        <w:rPr>
          <w:spacing w:val="-12"/>
        </w:rPr>
        <w:t> </w:t>
      </w:r>
      <w:r>
        <w:rPr/>
        <w:t>atbildētājas</w:t>
      </w:r>
      <w:r>
        <w:rPr>
          <w:spacing w:val="-11"/>
        </w:rPr>
        <w:t> </w:t>
      </w:r>
      <w:r>
        <w:rPr/>
        <w:t>saistību dzēšanas plānā paredzētos</w:t>
      </w:r>
      <w:r>
        <w:rPr>
          <w:spacing w:val="-3"/>
        </w:rPr>
        <w:t> </w:t>
      </w:r>
      <w:r>
        <w:rPr/>
        <w:t>maksājumus.</w:t>
      </w:r>
    </w:p>
    <w:p>
      <w:pPr>
        <w:pStyle w:val="BodyText"/>
        <w:jc w:val="left"/>
        <w:rPr>
          <w:sz w:val="20"/>
        </w:rPr>
      </w:pPr>
    </w:p>
    <w:p>
      <w:pPr>
        <w:pStyle w:val="BodyText"/>
        <w:jc w:val="left"/>
        <w:rPr>
          <w:sz w:val="20"/>
        </w:rPr>
      </w:pPr>
    </w:p>
    <w:p>
      <w:pPr>
        <w:pStyle w:val="BodyText"/>
        <w:spacing w:before="5"/>
        <w:jc w:val="left"/>
        <w:rPr>
          <w:sz w:val="28"/>
        </w:rPr>
      </w:pPr>
      <w:r>
        <w:rPr/>
        <w:pict>
          <v:shape style="position:absolute;margin-left:90pt;margin-top:18.611414pt;width:144pt;height:.1pt;mso-position-horizontal-relative:page;mso-position-vertical-relative:paragraph;z-index:-251611136;mso-wrap-distance-left:0;mso-wrap-distance-right:0" coordorigin="1800,372" coordsize="2880,0" path="m1800,372l4680,372e" filled="false" stroked="true" strokeweight=".599991pt" strokecolor="#000000">
            <v:path arrowok="t"/>
            <v:stroke dashstyle="solid"/>
            <w10:wrap type="topAndBottom"/>
          </v:shape>
        </w:pict>
      </w:r>
    </w:p>
    <w:p>
      <w:pPr>
        <w:spacing w:before="70"/>
        <w:ind w:left="620" w:right="635" w:firstLine="0"/>
        <w:jc w:val="left"/>
        <w:rPr>
          <w:sz w:val="20"/>
        </w:rPr>
      </w:pPr>
      <w:r>
        <w:rPr>
          <w:position w:val="7"/>
          <w:sz w:val="13"/>
        </w:rPr>
        <w:t>206  </w:t>
      </w:r>
      <w:r>
        <w:rPr>
          <w:sz w:val="20"/>
        </w:rPr>
        <w:t>Vidzemes  apgabaltiesas   Civillietu   tiesas   kolēģijas   2018.gada   14.septembra   nolēmums   lietā   Nr.</w:t>
      </w:r>
      <w:r>
        <w:rPr>
          <w:spacing w:val="-1"/>
          <w:sz w:val="20"/>
        </w:rPr>
        <w:t> </w:t>
      </w:r>
      <w:r>
        <w:rPr>
          <w:sz w:val="20"/>
        </w:rPr>
        <w:t>C71207218</w:t>
      </w:r>
    </w:p>
    <w:p>
      <w:pPr>
        <w:spacing w:line="226" w:lineRule="exact" w:before="0"/>
        <w:ind w:left="620" w:right="0" w:firstLine="0"/>
        <w:jc w:val="left"/>
        <w:rPr>
          <w:sz w:val="20"/>
        </w:rPr>
      </w:pPr>
      <w:r>
        <w:rPr>
          <w:position w:val="7"/>
          <w:sz w:val="13"/>
        </w:rPr>
        <w:t>207 </w:t>
      </w:r>
      <w:r>
        <w:rPr>
          <w:sz w:val="20"/>
        </w:rPr>
        <w:t>Rīgas apgabaltiesas Civillietu tiesas kolēģijas 2017.gada 3.maija nolēmums lietā Nr. C33386417</w:t>
      </w:r>
    </w:p>
    <w:p>
      <w:pPr>
        <w:spacing w:line="230" w:lineRule="exact" w:before="0"/>
        <w:ind w:left="620" w:right="0" w:firstLine="0"/>
        <w:jc w:val="left"/>
        <w:rPr>
          <w:sz w:val="20"/>
        </w:rPr>
      </w:pPr>
      <w:r>
        <w:rPr>
          <w:position w:val="7"/>
          <w:sz w:val="13"/>
        </w:rPr>
        <w:t>208 </w:t>
      </w:r>
      <w:r>
        <w:rPr>
          <w:sz w:val="20"/>
        </w:rPr>
        <w:t>Liepājas tiesas 2016.gada 6.septembra spriedums civillietā Nr.C20136516</w:t>
      </w:r>
    </w:p>
    <w:p>
      <w:pPr>
        <w:spacing w:line="233" w:lineRule="exact" w:before="0"/>
        <w:ind w:left="620" w:right="0" w:firstLine="0"/>
        <w:jc w:val="left"/>
        <w:rPr>
          <w:sz w:val="20"/>
        </w:rPr>
      </w:pPr>
      <w:r>
        <w:rPr>
          <w:position w:val="7"/>
          <w:sz w:val="13"/>
        </w:rPr>
        <w:t>209 </w:t>
      </w:r>
      <w:r>
        <w:rPr>
          <w:sz w:val="20"/>
        </w:rPr>
        <w:t>Valmieras rajona tiesas 2015.gada 16.decembra spriedums civillietā Nr.C39123215</w:t>
      </w:r>
    </w:p>
    <w:p>
      <w:pPr>
        <w:spacing w:after="0" w:line="233" w:lineRule="exact"/>
        <w:jc w:val="left"/>
        <w:rPr>
          <w:sz w:val="20"/>
        </w:rPr>
        <w:sectPr>
          <w:pgSz w:w="11910" w:h="16840"/>
          <w:pgMar w:header="0" w:footer="1055" w:top="1340" w:bottom="1240" w:left="1180" w:right="1040"/>
        </w:sectPr>
      </w:pPr>
    </w:p>
    <w:p>
      <w:pPr>
        <w:pStyle w:val="BodyText"/>
        <w:spacing w:line="228" w:lineRule="auto" w:before="89"/>
        <w:ind w:left="260" w:firstLine="360"/>
        <w:jc w:val="left"/>
        <w:rPr>
          <w:sz w:val="16"/>
        </w:rPr>
      </w:pPr>
      <w:r>
        <w:rPr/>
        <w:t>Līdzīgas atziņas ir paustas arī civillietā Nr.C08048015</w:t>
      </w:r>
      <w:r>
        <w:rPr>
          <w:position w:val="9"/>
          <w:sz w:val="16"/>
        </w:rPr>
        <w:t>210</w:t>
      </w:r>
      <w:r>
        <w:rPr/>
        <w:t>, civillietā Nr. C08051815</w:t>
      </w:r>
      <w:r>
        <w:rPr>
          <w:position w:val="9"/>
          <w:sz w:val="16"/>
        </w:rPr>
        <w:t>211</w:t>
      </w:r>
      <w:r>
        <w:rPr/>
        <w:t>, civillietā Nr.C20257516</w:t>
      </w:r>
      <w:r>
        <w:rPr>
          <w:position w:val="9"/>
          <w:sz w:val="16"/>
        </w:rPr>
        <w:t>212</w:t>
      </w:r>
      <w:r>
        <w:rPr/>
        <w:t>, civillietā Nr.C20135417.</w:t>
      </w:r>
      <w:r>
        <w:rPr>
          <w:position w:val="9"/>
          <w:sz w:val="16"/>
        </w:rPr>
        <w:t>213</w:t>
      </w:r>
    </w:p>
    <w:p>
      <w:pPr>
        <w:pStyle w:val="BodyText"/>
        <w:spacing w:before="6"/>
        <w:jc w:val="left"/>
      </w:pPr>
    </w:p>
    <w:p>
      <w:pPr>
        <w:pStyle w:val="Heading4"/>
        <w:numPr>
          <w:ilvl w:val="1"/>
          <w:numId w:val="42"/>
        </w:numPr>
        <w:tabs>
          <w:tab w:pos="681" w:val="left" w:leader="none"/>
        </w:tabs>
        <w:spacing w:line="240" w:lineRule="auto" w:before="0" w:after="0"/>
        <w:ind w:left="680" w:right="0" w:hanging="421"/>
        <w:jc w:val="left"/>
        <w:rPr>
          <w:i/>
        </w:rPr>
      </w:pPr>
      <w:bookmarkStart w:name="_TOC_250062" w:id="16"/>
      <w:r>
        <w:rPr>
          <w:i/>
        </w:rPr>
        <w:t>Nepatiesas vai nepilnīgas informācijas</w:t>
      </w:r>
      <w:r>
        <w:rPr>
          <w:i/>
          <w:spacing w:val="-1"/>
        </w:rPr>
        <w:t> </w:t>
      </w:r>
      <w:bookmarkEnd w:id="16"/>
      <w:r>
        <w:rPr>
          <w:i/>
        </w:rPr>
        <w:t>sniegšana</w:t>
      </w:r>
    </w:p>
    <w:p>
      <w:pPr>
        <w:pStyle w:val="BodyText"/>
        <w:spacing w:before="2"/>
        <w:jc w:val="left"/>
        <w:rPr>
          <w:b/>
          <w:i/>
        </w:rPr>
      </w:pPr>
    </w:p>
    <w:p>
      <w:pPr>
        <w:pStyle w:val="ListParagraph"/>
        <w:numPr>
          <w:ilvl w:val="2"/>
          <w:numId w:val="42"/>
        </w:numPr>
        <w:tabs>
          <w:tab w:pos="980" w:val="left" w:leader="none"/>
        </w:tabs>
        <w:spacing w:line="237" w:lineRule="auto" w:before="0" w:after="0"/>
        <w:ind w:left="980" w:right="761" w:hanging="360"/>
        <w:jc w:val="both"/>
        <w:rPr>
          <w:i/>
          <w:sz w:val="16"/>
        </w:rPr>
      </w:pPr>
      <w:r>
        <w:rPr>
          <w:b/>
          <w:sz w:val="24"/>
        </w:rPr>
        <w:t>Nepatiesas un nepilnīgas informācijas norādīšana maksātnespējas procesa pieteikumā</w:t>
      </w:r>
      <w:r>
        <w:rPr>
          <w:sz w:val="24"/>
        </w:rPr>
        <w:t>. Piemēram, Limbažu rajona tiesa ar 2017.gada 21.septembra nolēmumu lietā Nr.C21038317 apmierinājusi maksātnespējas procesa administratora pieteikumu par bankrota procedūras pabeigšanu un maksātnespējas procesa izbeigšanu Lietuvas pilsonim, jo parādnieks maksātnespējas procesa pieteikumā tiesai sniedzis nepatiesu informāciju par saistību apmēru, mantu, kreditoriem</w:t>
      </w:r>
      <w:r>
        <w:rPr>
          <w:spacing w:val="-6"/>
          <w:sz w:val="24"/>
        </w:rPr>
        <w:t> </w:t>
      </w:r>
      <w:r>
        <w:rPr>
          <w:sz w:val="24"/>
        </w:rPr>
        <w:t>(tiesai</w:t>
      </w:r>
      <w:r>
        <w:rPr>
          <w:spacing w:val="-6"/>
          <w:sz w:val="24"/>
        </w:rPr>
        <w:t> </w:t>
      </w:r>
      <w:r>
        <w:rPr>
          <w:sz w:val="24"/>
        </w:rPr>
        <w:t>norādīto</w:t>
      </w:r>
      <w:r>
        <w:rPr>
          <w:spacing w:val="-4"/>
          <w:sz w:val="24"/>
        </w:rPr>
        <w:t> </w:t>
      </w:r>
      <w:r>
        <w:rPr>
          <w:sz w:val="24"/>
        </w:rPr>
        <w:t>prasījumu</w:t>
      </w:r>
      <w:r>
        <w:rPr>
          <w:spacing w:val="-5"/>
          <w:sz w:val="24"/>
        </w:rPr>
        <w:t> </w:t>
      </w:r>
      <w:r>
        <w:rPr>
          <w:sz w:val="24"/>
        </w:rPr>
        <w:t>apmērs</w:t>
      </w:r>
      <w:r>
        <w:rPr>
          <w:spacing w:val="-8"/>
          <w:sz w:val="24"/>
        </w:rPr>
        <w:t> </w:t>
      </w:r>
      <w:r>
        <w:rPr>
          <w:sz w:val="24"/>
        </w:rPr>
        <w:t>par</w:t>
      </w:r>
      <w:r>
        <w:rPr>
          <w:spacing w:val="-4"/>
          <w:sz w:val="24"/>
        </w:rPr>
        <w:t> </w:t>
      </w:r>
      <w:r>
        <w:rPr>
          <w:sz w:val="24"/>
        </w:rPr>
        <w:t>gandrīz</w:t>
      </w:r>
      <w:r>
        <w:rPr>
          <w:spacing w:val="-4"/>
          <w:sz w:val="24"/>
        </w:rPr>
        <w:t> </w:t>
      </w:r>
      <w:r>
        <w:rPr>
          <w:sz w:val="24"/>
        </w:rPr>
        <w:t>2</w:t>
      </w:r>
      <w:r>
        <w:rPr>
          <w:spacing w:val="-6"/>
          <w:sz w:val="24"/>
        </w:rPr>
        <w:t> </w:t>
      </w:r>
      <w:r>
        <w:rPr>
          <w:sz w:val="24"/>
        </w:rPr>
        <w:t>miljoniem</w:t>
      </w:r>
      <w:r>
        <w:rPr>
          <w:spacing w:val="-6"/>
          <w:sz w:val="24"/>
        </w:rPr>
        <w:t> </w:t>
      </w:r>
      <w:r>
        <w:rPr>
          <w:sz w:val="24"/>
        </w:rPr>
        <w:t>eiro</w:t>
      </w:r>
      <w:r>
        <w:rPr>
          <w:spacing w:val="-5"/>
          <w:sz w:val="24"/>
        </w:rPr>
        <w:t> </w:t>
      </w:r>
      <w:r>
        <w:rPr>
          <w:sz w:val="24"/>
        </w:rPr>
        <w:t>mazāks kā maksātnespējas procesā pieteiktais), ienākumu gūšanas avotiem, kā arī nav savlaicīgi sniedzis administratoram pieprasīto informāciju. Tiesa nolēmumu motivējusi ar apsvērumu, ka parādniekam maksātnespējas pieteikuma</w:t>
      </w:r>
      <w:r>
        <w:rPr>
          <w:spacing w:val="-26"/>
          <w:sz w:val="24"/>
        </w:rPr>
        <w:t> </w:t>
      </w:r>
      <w:r>
        <w:rPr>
          <w:sz w:val="24"/>
        </w:rPr>
        <w:t>iesniegšanas dienā nevarēja nebūt informācijas par viņa paša mantisko stāvokli, secinot: “Civilprocesa likuma 9.</w:t>
      </w:r>
      <w:r>
        <w:rPr>
          <w:position w:val="9"/>
          <w:sz w:val="16"/>
        </w:rPr>
        <w:t>1 </w:t>
      </w:r>
      <w:r>
        <w:rPr>
          <w:sz w:val="24"/>
        </w:rPr>
        <w:t>pantā noteikts, ka puses, trešās personas un pārstāvji pārstāvamo vārdā sniedz tiesai patiesas ziņas par faktiem un lietas apstākļiem. No Civilprocesa likuma 73.</w:t>
      </w:r>
      <w:r>
        <w:rPr>
          <w:position w:val="9"/>
          <w:sz w:val="16"/>
        </w:rPr>
        <w:t>1</w:t>
      </w:r>
      <w:r>
        <w:rPr>
          <w:sz w:val="24"/>
        </w:rPr>
        <w:t>panta izriet, ka apzināta nepatiesu ziņu sniegšana par faktiem</w:t>
      </w:r>
      <w:r>
        <w:rPr>
          <w:spacing w:val="-10"/>
          <w:sz w:val="24"/>
        </w:rPr>
        <w:t> </w:t>
      </w:r>
      <w:r>
        <w:rPr>
          <w:sz w:val="24"/>
        </w:rPr>
        <w:t>un</w:t>
      </w:r>
      <w:r>
        <w:rPr>
          <w:spacing w:val="-8"/>
          <w:sz w:val="24"/>
        </w:rPr>
        <w:t> </w:t>
      </w:r>
      <w:r>
        <w:rPr>
          <w:sz w:val="24"/>
        </w:rPr>
        <w:t>lietas</w:t>
      </w:r>
      <w:r>
        <w:rPr>
          <w:spacing w:val="-7"/>
          <w:sz w:val="24"/>
        </w:rPr>
        <w:t> </w:t>
      </w:r>
      <w:r>
        <w:rPr>
          <w:sz w:val="24"/>
        </w:rPr>
        <w:t>apstākļiem</w:t>
      </w:r>
      <w:r>
        <w:rPr>
          <w:spacing w:val="-8"/>
          <w:sz w:val="24"/>
        </w:rPr>
        <w:t> </w:t>
      </w:r>
      <w:r>
        <w:rPr>
          <w:sz w:val="24"/>
        </w:rPr>
        <w:t>uzskatāma</w:t>
      </w:r>
      <w:r>
        <w:rPr>
          <w:spacing w:val="-10"/>
          <w:sz w:val="24"/>
        </w:rPr>
        <w:t> </w:t>
      </w:r>
      <w:r>
        <w:rPr>
          <w:sz w:val="24"/>
        </w:rPr>
        <w:t>par</w:t>
      </w:r>
      <w:r>
        <w:rPr>
          <w:spacing w:val="-8"/>
          <w:sz w:val="24"/>
        </w:rPr>
        <w:t> </w:t>
      </w:r>
      <w:r>
        <w:rPr>
          <w:sz w:val="24"/>
        </w:rPr>
        <w:t>negodprātīgu</w:t>
      </w:r>
      <w:r>
        <w:rPr>
          <w:spacing w:val="-5"/>
          <w:sz w:val="24"/>
        </w:rPr>
        <w:t> </w:t>
      </w:r>
      <w:r>
        <w:rPr>
          <w:sz w:val="24"/>
        </w:rPr>
        <w:t>savu</w:t>
      </w:r>
      <w:r>
        <w:rPr>
          <w:spacing w:val="-8"/>
          <w:sz w:val="24"/>
        </w:rPr>
        <w:t> </w:t>
      </w:r>
      <w:r>
        <w:rPr>
          <w:sz w:val="24"/>
        </w:rPr>
        <w:t>tiesību</w:t>
      </w:r>
      <w:r>
        <w:rPr>
          <w:spacing w:val="-8"/>
          <w:sz w:val="24"/>
        </w:rPr>
        <w:t> </w:t>
      </w:r>
      <w:r>
        <w:rPr>
          <w:sz w:val="24"/>
        </w:rPr>
        <w:t>izmantošanu. Maksātnespējas likuma 6.panta 8.punktā ietverts labas ticības princips, saskaņā ar kuru procesā iesaistītajām personām savas tiesības jāizmanto un pienākumi jāizpilda labā ticībā. Administratores pieprasītās informācijas nesniegšana, izvairīšanās to iesniegt neliecina par parādnieka godprātību un labticību maksātnespējas procesā. Tiesa piekrīt administratores pieteikumā izteiktajam viedoklim, ka maksātnespējas process un tiesības uz savu parāda saistību dzēšanu piemērojams godprātīgiem parādniekiem. Administratores pieteikumā norādītie fiziskās personas maksātnespējas procesa izbeigšanas iemesli ir parādnieka nepatiesas informācijas sniegšana par savu mantisko stāvokli, informācijas nesniegšana, savu patieso ienākumu slēpšana, kas tiesas ieskatā ir apzināta rīcība, parādnieka pienākumu nepildīšana bankrota procedūras laikā, kas, tiesas ieskatā,</w:t>
      </w:r>
      <w:r>
        <w:rPr>
          <w:spacing w:val="-32"/>
          <w:sz w:val="24"/>
        </w:rPr>
        <w:t> </w:t>
      </w:r>
      <w:r>
        <w:rPr>
          <w:sz w:val="24"/>
        </w:rPr>
        <w:t>ir ierobežojums turpināt piemērot maksātnespējas</w:t>
      </w:r>
      <w:r>
        <w:rPr>
          <w:spacing w:val="-3"/>
          <w:sz w:val="24"/>
        </w:rPr>
        <w:t> </w:t>
      </w:r>
      <w:r>
        <w:rPr>
          <w:sz w:val="24"/>
        </w:rPr>
        <w:t>procesu.</w:t>
      </w:r>
      <w:r>
        <w:rPr>
          <w:i/>
          <w:sz w:val="24"/>
        </w:rPr>
        <w:t>”</w:t>
      </w:r>
      <w:r>
        <w:rPr>
          <w:i/>
          <w:position w:val="9"/>
          <w:sz w:val="16"/>
        </w:rPr>
        <w:t>214</w:t>
      </w:r>
    </w:p>
    <w:p>
      <w:pPr>
        <w:pStyle w:val="BodyText"/>
        <w:spacing w:before="6"/>
        <w:jc w:val="left"/>
        <w:rPr>
          <w:i/>
          <w:sz w:val="26"/>
        </w:rPr>
      </w:pPr>
    </w:p>
    <w:p>
      <w:pPr>
        <w:pStyle w:val="ListParagraph"/>
        <w:numPr>
          <w:ilvl w:val="2"/>
          <w:numId w:val="42"/>
        </w:numPr>
        <w:tabs>
          <w:tab w:pos="980" w:val="left" w:leader="none"/>
        </w:tabs>
        <w:spacing w:line="237" w:lineRule="auto" w:before="1" w:after="0"/>
        <w:ind w:left="980" w:right="761" w:hanging="360"/>
        <w:jc w:val="both"/>
        <w:rPr>
          <w:sz w:val="16"/>
        </w:rPr>
      </w:pPr>
      <w:r>
        <w:rPr>
          <w:b/>
          <w:sz w:val="24"/>
        </w:rPr>
        <w:t>Nepatiesas informācijas sniegšana maksātnespējas procesa administratoram. </w:t>
      </w:r>
      <w:r>
        <w:rPr>
          <w:sz w:val="24"/>
        </w:rPr>
        <w:t>Piemēram, Vidzemes rajona tiesa (Limbažos) ar 2018.gada 7.augusta nolēmumu lietā Nr. C21019118 apmierinājusi maksātnespējas procesa administratora pieteikumu par bankrota procedūras pabeigšanu un maksātnespējas procesa izbeigšanu Lietuvas pilsonim, jo parādnieks sniedzis nepatiesu informāciju </w:t>
      </w:r>
      <w:r>
        <w:rPr>
          <w:spacing w:val="-5"/>
          <w:sz w:val="24"/>
        </w:rPr>
        <w:t>par </w:t>
      </w:r>
      <w:r>
        <w:rPr>
          <w:sz w:val="24"/>
        </w:rPr>
        <w:t>saviem norēķinu kontiem. Tiesa šādu parādnieka rīcību atzinusi par mantas un ienākumu slēpšanu no administratora, tādējādi izvairoties pēc iespējas pilnīgāk apmierināt kreditoru prasījumus. Papildus tiesa, atsaucoties uz policijas sniegto informāciju,</w:t>
      </w:r>
      <w:r>
        <w:rPr>
          <w:spacing w:val="-9"/>
          <w:sz w:val="24"/>
        </w:rPr>
        <w:t> </w:t>
      </w:r>
      <w:r>
        <w:rPr>
          <w:sz w:val="24"/>
        </w:rPr>
        <w:t>konstatējusi,</w:t>
      </w:r>
      <w:r>
        <w:rPr>
          <w:spacing w:val="-6"/>
          <w:sz w:val="24"/>
        </w:rPr>
        <w:t> </w:t>
      </w:r>
      <w:r>
        <w:rPr>
          <w:sz w:val="24"/>
        </w:rPr>
        <w:t>ka</w:t>
      </w:r>
      <w:r>
        <w:rPr>
          <w:spacing w:val="-11"/>
          <w:sz w:val="24"/>
        </w:rPr>
        <w:t> </w:t>
      </w:r>
      <w:r>
        <w:rPr>
          <w:sz w:val="24"/>
        </w:rPr>
        <w:t>parādnieks</w:t>
      </w:r>
      <w:r>
        <w:rPr>
          <w:spacing w:val="-9"/>
          <w:sz w:val="24"/>
        </w:rPr>
        <w:t> </w:t>
      </w:r>
      <w:r>
        <w:rPr>
          <w:sz w:val="24"/>
        </w:rPr>
        <w:t>nedzīvo</w:t>
      </w:r>
      <w:r>
        <w:rPr>
          <w:spacing w:val="-9"/>
          <w:sz w:val="24"/>
        </w:rPr>
        <w:t> </w:t>
      </w:r>
      <w:r>
        <w:rPr>
          <w:sz w:val="24"/>
        </w:rPr>
        <w:t>tā</w:t>
      </w:r>
      <w:r>
        <w:rPr>
          <w:spacing w:val="-7"/>
          <w:sz w:val="24"/>
        </w:rPr>
        <w:t> </w:t>
      </w:r>
      <w:r>
        <w:rPr>
          <w:sz w:val="24"/>
        </w:rPr>
        <w:t>deklarētajā</w:t>
      </w:r>
      <w:r>
        <w:rPr>
          <w:spacing w:val="-10"/>
          <w:sz w:val="24"/>
        </w:rPr>
        <w:t> </w:t>
      </w:r>
      <w:r>
        <w:rPr>
          <w:sz w:val="24"/>
        </w:rPr>
        <w:t>dzīvesvietā,</w:t>
      </w:r>
      <w:r>
        <w:rPr>
          <w:spacing w:val="-11"/>
          <w:sz w:val="24"/>
        </w:rPr>
        <w:t> </w:t>
      </w:r>
      <w:r>
        <w:rPr>
          <w:sz w:val="24"/>
        </w:rPr>
        <w:t>secinot, ka parādnieks ir maldinājis tiesu par savu dzīvesvietu norādot adresi, kurā viņš neuzturas.</w:t>
      </w:r>
      <w:r>
        <w:rPr>
          <w:position w:val="9"/>
          <w:sz w:val="16"/>
        </w:rPr>
        <w:t>215</w:t>
      </w:r>
    </w:p>
    <w:p>
      <w:pPr>
        <w:pStyle w:val="BodyText"/>
        <w:spacing w:before="4"/>
        <w:jc w:val="left"/>
        <w:rPr>
          <w:sz w:val="25"/>
        </w:rPr>
      </w:pPr>
      <w:r>
        <w:rPr/>
        <w:pict>
          <v:shape style="position:absolute;margin-left:72pt;margin-top:16.831318pt;width:144pt;height:.1pt;mso-position-horizontal-relative:page;mso-position-vertical-relative:paragraph;z-index:-251610112;mso-wrap-distance-left:0;mso-wrap-distance-right:0" coordorigin="1440,337" coordsize="2880,0" path="m1440,337l4320,337e" filled="false" stroked="true" strokeweight=".59999pt" strokecolor="#000000">
            <v:path arrowok="t"/>
            <v:stroke dashstyle="solid"/>
            <w10:wrap type="topAndBottom"/>
          </v:shape>
        </w:pict>
      </w:r>
    </w:p>
    <w:p>
      <w:pPr>
        <w:spacing w:line="235" w:lineRule="auto" w:before="73"/>
        <w:ind w:left="260" w:right="2794" w:firstLine="0"/>
        <w:jc w:val="left"/>
        <w:rPr>
          <w:sz w:val="20"/>
        </w:rPr>
      </w:pPr>
      <w:r>
        <w:rPr>
          <w:position w:val="7"/>
          <w:sz w:val="13"/>
        </w:rPr>
        <w:t>210 </w:t>
      </w:r>
      <w:r>
        <w:rPr>
          <w:sz w:val="20"/>
        </w:rPr>
        <w:t>Alūksnes rajona tiesas 2016.gada 13.janvārī spriedums civillietā Nr.C08048015 </w:t>
      </w:r>
      <w:r>
        <w:rPr>
          <w:position w:val="7"/>
          <w:sz w:val="13"/>
        </w:rPr>
        <w:t>211 </w:t>
      </w:r>
      <w:r>
        <w:rPr>
          <w:sz w:val="20"/>
        </w:rPr>
        <w:t>Alūksnes rajona tiesas 2016.gada 2.marta spriedums civillietā Nr.C08051815 </w:t>
      </w:r>
      <w:r>
        <w:rPr>
          <w:position w:val="7"/>
          <w:sz w:val="13"/>
        </w:rPr>
        <w:t>212 </w:t>
      </w:r>
      <w:r>
        <w:rPr>
          <w:sz w:val="20"/>
        </w:rPr>
        <w:t>Liepājas tiesas 2017.gada 6.aprīļa spriedums civillietā</w:t>
      </w:r>
      <w:r>
        <w:rPr>
          <w:spacing w:val="-20"/>
          <w:sz w:val="20"/>
        </w:rPr>
        <w:t> </w:t>
      </w:r>
      <w:r>
        <w:rPr>
          <w:sz w:val="20"/>
        </w:rPr>
        <w:t>Nr.C20257516</w:t>
      </w:r>
    </w:p>
    <w:p>
      <w:pPr>
        <w:spacing w:line="227" w:lineRule="exact" w:before="0"/>
        <w:ind w:left="260" w:right="0" w:firstLine="0"/>
        <w:jc w:val="left"/>
        <w:rPr>
          <w:sz w:val="20"/>
        </w:rPr>
      </w:pPr>
      <w:r>
        <w:rPr>
          <w:position w:val="7"/>
          <w:sz w:val="13"/>
        </w:rPr>
        <w:t>213 </w:t>
      </w:r>
      <w:r>
        <w:rPr>
          <w:sz w:val="20"/>
        </w:rPr>
        <w:t>Liepājas tiesas 2017.gada 20.jūnija spriedums civillietā Nr.C20135417</w:t>
      </w:r>
    </w:p>
    <w:p>
      <w:pPr>
        <w:spacing w:line="230" w:lineRule="exact" w:before="0"/>
        <w:ind w:left="260" w:right="0" w:firstLine="0"/>
        <w:jc w:val="left"/>
        <w:rPr>
          <w:sz w:val="20"/>
        </w:rPr>
      </w:pPr>
      <w:r>
        <w:rPr>
          <w:position w:val="7"/>
          <w:sz w:val="13"/>
        </w:rPr>
        <w:t>214 </w:t>
      </w:r>
      <w:r>
        <w:rPr>
          <w:sz w:val="20"/>
        </w:rPr>
        <w:t>Limbažu rajona tiesas 2017.gada 21.septembra nolēmums lietā Nr. C21038317</w:t>
      </w:r>
    </w:p>
    <w:p>
      <w:pPr>
        <w:spacing w:line="233" w:lineRule="exact" w:before="0"/>
        <w:ind w:left="260" w:right="0" w:firstLine="0"/>
        <w:jc w:val="left"/>
        <w:rPr>
          <w:sz w:val="20"/>
        </w:rPr>
      </w:pPr>
      <w:r>
        <w:rPr>
          <w:position w:val="7"/>
          <w:sz w:val="13"/>
        </w:rPr>
        <w:t>215 </w:t>
      </w:r>
      <w:r>
        <w:rPr>
          <w:sz w:val="20"/>
        </w:rPr>
        <w:t>Vidzemes rajona tiesas (Limbažos) 2018.gada 7.augusta nolēmums lietā Nr. C21019118</w:t>
      </w:r>
    </w:p>
    <w:p>
      <w:pPr>
        <w:spacing w:after="0" w:line="233" w:lineRule="exact"/>
        <w:jc w:val="left"/>
        <w:rPr>
          <w:sz w:val="20"/>
        </w:rPr>
        <w:sectPr>
          <w:footerReference w:type="even" r:id="rId43"/>
          <w:footerReference w:type="default" r:id="rId44"/>
          <w:pgSz w:w="11910" w:h="16840"/>
          <w:pgMar w:footer="1055" w:header="0" w:top="1320" w:bottom="1240" w:left="1180" w:right="1040"/>
          <w:pgNumType w:start="70"/>
        </w:sectPr>
      </w:pPr>
    </w:p>
    <w:p>
      <w:pPr>
        <w:pStyle w:val="Heading4"/>
        <w:numPr>
          <w:ilvl w:val="1"/>
          <w:numId w:val="42"/>
        </w:numPr>
        <w:tabs>
          <w:tab w:pos="1041" w:val="left" w:leader="none"/>
        </w:tabs>
        <w:spacing w:line="240" w:lineRule="auto" w:before="78" w:after="0"/>
        <w:ind w:left="1040" w:right="0" w:hanging="421"/>
        <w:jc w:val="left"/>
        <w:rPr>
          <w:i/>
        </w:rPr>
      </w:pPr>
      <w:bookmarkStart w:name="_TOC_250061" w:id="17"/>
      <w:r>
        <w:rPr>
          <w:i/>
        </w:rPr>
        <w:t>Patieso ienākumu</w:t>
      </w:r>
      <w:r>
        <w:rPr>
          <w:i/>
          <w:spacing w:val="1"/>
        </w:rPr>
        <w:t> </w:t>
      </w:r>
      <w:bookmarkEnd w:id="17"/>
      <w:r>
        <w:rPr>
          <w:i/>
        </w:rPr>
        <w:t>slēpšana</w:t>
      </w:r>
    </w:p>
    <w:p>
      <w:pPr>
        <w:pStyle w:val="BodyText"/>
        <w:spacing w:before="2"/>
        <w:jc w:val="left"/>
        <w:rPr>
          <w:b/>
          <w:i/>
        </w:rPr>
      </w:pPr>
    </w:p>
    <w:p>
      <w:pPr>
        <w:pStyle w:val="ListParagraph"/>
        <w:numPr>
          <w:ilvl w:val="2"/>
          <w:numId w:val="42"/>
        </w:numPr>
        <w:tabs>
          <w:tab w:pos="1700" w:val="left" w:leader="none"/>
        </w:tabs>
        <w:spacing w:line="237" w:lineRule="auto" w:before="0" w:after="0"/>
        <w:ind w:left="1700" w:right="402" w:hanging="360"/>
        <w:jc w:val="both"/>
        <w:rPr>
          <w:sz w:val="16"/>
        </w:rPr>
      </w:pPr>
      <w:r>
        <w:rPr>
          <w:b/>
          <w:sz w:val="24"/>
        </w:rPr>
        <w:t>Maksājumu veikšana kreditoriem saistību dzēšanas plānā norādītajā apjomā, lai gan parādniekam faktiski ir bijuši lielāki ienākumi, nekā norādīts plānā. </w:t>
      </w:r>
      <w:r>
        <w:rPr>
          <w:sz w:val="24"/>
        </w:rPr>
        <w:t>Piemēram, Rīgas rajona tiesa ar 2018.gada 4.aprīļa nolēmumu lietā Nr.C33319614 izbeigusi saistību dzēšanas procedūru, neatbrīvojot parādnieku no plānā norādītajām saistībām, jo parādnieks saņēmis lielākus ienākumus gan kā plānā norādītos, gan arī kā valstī noteikto minimālo mēnešalgu, taču maksājis tikai 1/3 no minimālās mēnešalgas valstī.</w:t>
      </w:r>
      <w:r>
        <w:rPr>
          <w:spacing w:val="-35"/>
          <w:sz w:val="24"/>
        </w:rPr>
        <w:t> </w:t>
      </w:r>
      <w:r>
        <w:rPr>
          <w:sz w:val="24"/>
        </w:rPr>
        <w:t>Nolēmumu tiesa motivējusi: “Parādnieka rīcība vērtējama kā tāda, kas vērsta uz apzināti nepatiesas informācijas sniegšanu par savu mantisko stāvokli un savu patieso ienākumu slēpšanu, kas kopsakarā ar Maksātnespējas likuma 158.panta otrās daļas</w:t>
      </w:r>
      <w:r>
        <w:rPr>
          <w:spacing w:val="-16"/>
          <w:sz w:val="24"/>
        </w:rPr>
        <w:t> </w:t>
      </w:r>
      <w:r>
        <w:rPr>
          <w:sz w:val="24"/>
        </w:rPr>
        <w:t>2.punkta</w:t>
      </w:r>
      <w:r>
        <w:rPr>
          <w:spacing w:val="-11"/>
          <w:sz w:val="24"/>
        </w:rPr>
        <w:t> </w:t>
      </w:r>
      <w:r>
        <w:rPr>
          <w:sz w:val="24"/>
        </w:rPr>
        <w:t>prasību</w:t>
      </w:r>
      <w:r>
        <w:rPr>
          <w:spacing w:val="-12"/>
          <w:sz w:val="24"/>
        </w:rPr>
        <w:t> </w:t>
      </w:r>
      <w:r>
        <w:rPr>
          <w:sz w:val="24"/>
        </w:rPr>
        <w:t>neievērošanu</w:t>
      </w:r>
      <w:r>
        <w:rPr>
          <w:spacing w:val="-12"/>
          <w:sz w:val="24"/>
        </w:rPr>
        <w:t> </w:t>
      </w:r>
      <w:r>
        <w:rPr>
          <w:sz w:val="24"/>
        </w:rPr>
        <w:t>un</w:t>
      </w:r>
      <w:r>
        <w:rPr>
          <w:spacing w:val="-10"/>
          <w:sz w:val="24"/>
        </w:rPr>
        <w:t> </w:t>
      </w:r>
      <w:r>
        <w:rPr>
          <w:sz w:val="24"/>
        </w:rPr>
        <w:t>saistību</w:t>
      </w:r>
      <w:r>
        <w:rPr>
          <w:spacing w:val="-12"/>
          <w:sz w:val="24"/>
        </w:rPr>
        <w:t> </w:t>
      </w:r>
      <w:r>
        <w:rPr>
          <w:sz w:val="24"/>
        </w:rPr>
        <w:t>dzēšanas</w:t>
      </w:r>
      <w:r>
        <w:rPr>
          <w:spacing w:val="-15"/>
          <w:sz w:val="24"/>
        </w:rPr>
        <w:t> </w:t>
      </w:r>
      <w:r>
        <w:rPr>
          <w:sz w:val="24"/>
        </w:rPr>
        <w:t>plāna</w:t>
      </w:r>
      <w:r>
        <w:rPr>
          <w:spacing w:val="-15"/>
          <w:sz w:val="24"/>
        </w:rPr>
        <w:t> </w:t>
      </w:r>
      <w:r>
        <w:rPr>
          <w:sz w:val="24"/>
        </w:rPr>
        <w:t>neizpildi,</w:t>
      </w:r>
      <w:r>
        <w:rPr>
          <w:spacing w:val="-10"/>
          <w:sz w:val="24"/>
        </w:rPr>
        <w:t> </w:t>
      </w:r>
      <w:r>
        <w:rPr>
          <w:sz w:val="24"/>
        </w:rPr>
        <w:t>ņemot vērā, ka parādnieks nav veicis saistību dzēšanas plānā noteiktās darbības, atbilstoši Maksātnespējas likuma 164.panta otrajā daļā noteiktajam, rada pamatu parādnieka neatbrīvošanai no fiziskās personas saistību dzēšanas plānā norādītajām atlikušajām</w:t>
      </w:r>
      <w:r>
        <w:rPr>
          <w:spacing w:val="1"/>
          <w:sz w:val="24"/>
        </w:rPr>
        <w:t> </w:t>
      </w:r>
      <w:r>
        <w:rPr>
          <w:sz w:val="24"/>
        </w:rPr>
        <w:t>saistībām.”</w:t>
      </w:r>
      <w:r>
        <w:rPr>
          <w:position w:val="9"/>
          <w:sz w:val="16"/>
        </w:rPr>
        <w:t>216</w:t>
      </w:r>
    </w:p>
    <w:p>
      <w:pPr>
        <w:pStyle w:val="BodyText"/>
        <w:spacing w:before="8"/>
        <w:jc w:val="left"/>
        <w:rPr>
          <w:sz w:val="25"/>
        </w:rPr>
      </w:pPr>
    </w:p>
    <w:p>
      <w:pPr>
        <w:pStyle w:val="ListParagraph"/>
        <w:numPr>
          <w:ilvl w:val="2"/>
          <w:numId w:val="42"/>
        </w:numPr>
        <w:tabs>
          <w:tab w:pos="1700" w:val="left" w:leader="none"/>
        </w:tabs>
        <w:spacing w:line="240" w:lineRule="auto" w:before="0" w:after="0"/>
        <w:ind w:left="1700" w:right="401" w:hanging="360"/>
        <w:jc w:val="both"/>
        <w:rPr>
          <w:sz w:val="16"/>
        </w:rPr>
      </w:pPr>
      <w:r>
        <w:rPr>
          <w:b/>
          <w:sz w:val="24"/>
        </w:rPr>
        <w:t>Pretrunīga informācija par parādnieka ienākumiem. </w:t>
      </w:r>
      <w:r>
        <w:rPr>
          <w:sz w:val="24"/>
        </w:rPr>
        <w:t>Piemēram, Rīgas pilsētas Kurzemes rajona tiesa ar 2016.gada 27.septembra nolēmumu lietā Nr. C28287715 apmierinājusi maksātnespējas procesa administratora pieteikumu par bankrota procedūras pabeigšanu un maksātnespējas procesa izbeigšanu, jo lietā esošie pierādījumi (VID izziņas) apliecina, ka parādnieks ienākumus negūst,</w:t>
      </w:r>
      <w:r>
        <w:rPr>
          <w:spacing w:val="-14"/>
          <w:sz w:val="24"/>
        </w:rPr>
        <w:t> </w:t>
      </w:r>
      <w:r>
        <w:rPr>
          <w:sz w:val="24"/>
        </w:rPr>
        <w:t>bet</w:t>
      </w:r>
      <w:r>
        <w:rPr>
          <w:spacing w:val="-14"/>
          <w:sz w:val="24"/>
        </w:rPr>
        <w:t> </w:t>
      </w:r>
      <w:r>
        <w:rPr>
          <w:sz w:val="24"/>
        </w:rPr>
        <w:t>pastāv</w:t>
      </w:r>
      <w:r>
        <w:rPr>
          <w:spacing w:val="-14"/>
          <w:sz w:val="24"/>
        </w:rPr>
        <w:t> </w:t>
      </w:r>
      <w:r>
        <w:rPr>
          <w:sz w:val="24"/>
        </w:rPr>
        <w:t>spēkā</w:t>
      </w:r>
      <w:r>
        <w:rPr>
          <w:spacing w:val="-13"/>
          <w:sz w:val="24"/>
        </w:rPr>
        <w:t> </w:t>
      </w:r>
      <w:r>
        <w:rPr>
          <w:sz w:val="24"/>
        </w:rPr>
        <w:t>esošas</w:t>
      </w:r>
      <w:r>
        <w:rPr>
          <w:spacing w:val="-14"/>
          <w:sz w:val="24"/>
        </w:rPr>
        <w:t> </w:t>
      </w:r>
      <w:r>
        <w:rPr>
          <w:sz w:val="24"/>
        </w:rPr>
        <w:t>darba</w:t>
      </w:r>
      <w:r>
        <w:rPr>
          <w:spacing w:val="-14"/>
          <w:sz w:val="24"/>
        </w:rPr>
        <w:t> </w:t>
      </w:r>
      <w:r>
        <w:rPr>
          <w:sz w:val="24"/>
        </w:rPr>
        <w:t>tiesiskās</w:t>
      </w:r>
      <w:r>
        <w:rPr>
          <w:spacing w:val="-14"/>
          <w:sz w:val="24"/>
        </w:rPr>
        <w:t> </w:t>
      </w:r>
      <w:r>
        <w:rPr>
          <w:sz w:val="24"/>
        </w:rPr>
        <w:t>attiecības.</w:t>
      </w:r>
      <w:r>
        <w:rPr>
          <w:spacing w:val="-13"/>
          <w:sz w:val="24"/>
        </w:rPr>
        <w:t> </w:t>
      </w:r>
      <w:r>
        <w:rPr>
          <w:sz w:val="24"/>
        </w:rPr>
        <w:t>Vienlaikus</w:t>
      </w:r>
      <w:r>
        <w:rPr>
          <w:spacing w:val="-14"/>
          <w:sz w:val="24"/>
        </w:rPr>
        <w:t> </w:t>
      </w:r>
      <w:r>
        <w:rPr>
          <w:sz w:val="24"/>
        </w:rPr>
        <w:t>parādnieka sagatavotajā saistību dzēšanas plānā norādīti parādnieka ienākumi valstī noteiktās</w:t>
      </w:r>
      <w:r>
        <w:rPr>
          <w:spacing w:val="-7"/>
          <w:sz w:val="24"/>
        </w:rPr>
        <w:t> </w:t>
      </w:r>
      <w:r>
        <w:rPr>
          <w:sz w:val="24"/>
        </w:rPr>
        <w:t>minimālās</w:t>
      </w:r>
      <w:r>
        <w:rPr>
          <w:spacing w:val="-6"/>
          <w:sz w:val="24"/>
        </w:rPr>
        <w:t> </w:t>
      </w:r>
      <w:r>
        <w:rPr>
          <w:sz w:val="24"/>
        </w:rPr>
        <w:t>mēnešalgas</w:t>
      </w:r>
      <w:r>
        <w:rPr>
          <w:spacing w:val="-6"/>
          <w:sz w:val="24"/>
        </w:rPr>
        <w:t> </w:t>
      </w:r>
      <w:r>
        <w:rPr>
          <w:sz w:val="24"/>
        </w:rPr>
        <w:t>apmērā.</w:t>
      </w:r>
      <w:r>
        <w:rPr>
          <w:spacing w:val="-6"/>
          <w:sz w:val="24"/>
        </w:rPr>
        <w:t> </w:t>
      </w:r>
      <w:r>
        <w:rPr>
          <w:sz w:val="24"/>
        </w:rPr>
        <w:t>Tādējādi</w:t>
      </w:r>
      <w:r>
        <w:rPr>
          <w:spacing w:val="-4"/>
          <w:sz w:val="24"/>
        </w:rPr>
        <w:t> </w:t>
      </w:r>
      <w:r>
        <w:rPr>
          <w:sz w:val="24"/>
        </w:rPr>
        <w:t>tiesa</w:t>
      </w:r>
      <w:r>
        <w:rPr>
          <w:spacing w:val="-9"/>
          <w:sz w:val="24"/>
        </w:rPr>
        <w:t> </w:t>
      </w:r>
      <w:r>
        <w:rPr>
          <w:sz w:val="24"/>
        </w:rPr>
        <w:t>secina,</w:t>
      </w:r>
      <w:r>
        <w:rPr>
          <w:spacing w:val="-6"/>
          <w:sz w:val="24"/>
        </w:rPr>
        <w:t> </w:t>
      </w:r>
      <w:r>
        <w:rPr>
          <w:sz w:val="24"/>
        </w:rPr>
        <w:t>ka</w:t>
      </w:r>
      <w:r>
        <w:rPr>
          <w:spacing w:val="-9"/>
          <w:sz w:val="24"/>
        </w:rPr>
        <w:t> </w:t>
      </w:r>
      <w:r>
        <w:rPr>
          <w:sz w:val="24"/>
        </w:rPr>
        <w:t>parādniekam ir papildus ienākumi, par kuru avotu viņš nav sniedzis informāciju. Tiesa norāda:</w:t>
      </w:r>
      <w:r>
        <w:rPr>
          <w:spacing w:val="-8"/>
          <w:sz w:val="24"/>
        </w:rPr>
        <w:t> </w:t>
      </w:r>
      <w:r>
        <w:rPr>
          <w:sz w:val="24"/>
        </w:rPr>
        <w:t>“tiesa</w:t>
      </w:r>
      <w:r>
        <w:rPr>
          <w:spacing w:val="-7"/>
          <w:sz w:val="24"/>
        </w:rPr>
        <w:t> </w:t>
      </w:r>
      <w:r>
        <w:rPr>
          <w:sz w:val="24"/>
        </w:rPr>
        <w:t>konstatē,</w:t>
      </w:r>
      <w:r>
        <w:rPr>
          <w:spacing w:val="-7"/>
          <w:sz w:val="24"/>
        </w:rPr>
        <w:t> </w:t>
      </w:r>
      <w:r>
        <w:rPr>
          <w:sz w:val="24"/>
        </w:rPr>
        <w:t>ka</w:t>
      </w:r>
      <w:r>
        <w:rPr>
          <w:spacing w:val="-7"/>
          <w:sz w:val="24"/>
        </w:rPr>
        <w:t> </w:t>
      </w:r>
      <w:r>
        <w:rPr>
          <w:sz w:val="24"/>
        </w:rPr>
        <w:t>ir</w:t>
      </w:r>
      <w:r>
        <w:rPr>
          <w:spacing w:val="-7"/>
          <w:sz w:val="24"/>
        </w:rPr>
        <w:t> </w:t>
      </w:r>
      <w:r>
        <w:rPr>
          <w:sz w:val="24"/>
        </w:rPr>
        <w:t>pamats</w:t>
      </w:r>
      <w:r>
        <w:rPr>
          <w:spacing w:val="-7"/>
          <w:sz w:val="24"/>
        </w:rPr>
        <w:t> </w:t>
      </w:r>
      <w:r>
        <w:rPr>
          <w:sz w:val="24"/>
        </w:rPr>
        <w:t>uzskatīt,</w:t>
      </w:r>
      <w:r>
        <w:rPr>
          <w:spacing w:val="-7"/>
          <w:sz w:val="24"/>
        </w:rPr>
        <w:t> </w:t>
      </w:r>
      <w:r>
        <w:rPr>
          <w:sz w:val="24"/>
        </w:rPr>
        <w:t>ka</w:t>
      </w:r>
      <w:r>
        <w:rPr>
          <w:spacing w:val="-7"/>
          <w:sz w:val="24"/>
        </w:rPr>
        <w:t> </w:t>
      </w:r>
      <w:r>
        <w:rPr>
          <w:sz w:val="24"/>
        </w:rPr>
        <w:t>parādnieki</w:t>
      </w:r>
      <w:r>
        <w:rPr>
          <w:spacing w:val="-7"/>
          <w:sz w:val="24"/>
        </w:rPr>
        <w:t> </w:t>
      </w:r>
      <w:r>
        <w:rPr>
          <w:sz w:val="24"/>
        </w:rPr>
        <w:t>slēpj</w:t>
      </w:r>
      <w:r>
        <w:rPr>
          <w:spacing w:val="-8"/>
          <w:sz w:val="24"/>
        </w:rPr>
        <w:t> </w:t>
      </w:r>
      <w:r>
        <w:rPr>
          <w:sz w:val="24"/>
        </w:rPr>
        <w:t>savus</w:t>
      </w:r>
      <w:r>
        <w:rPr>
          <w:spacing w:val="-7"/>
          <w:sz w:val="24"/>
        </w:rPr>
        <w:t> </w:t>
      </w:r>
      <w:r>
        <w:rPr>
          <w:sz w:val="24"/>
        </w:rPr>
        <w:t>patiesos ienākumus, jo parādnieki saistību dzēšanas plānā nav informējuši par papildus ienākumu avotu, lai segtu parādsaistības norādītajā apmērā. Tiesa uzskata, ka parādnieki</w:t>
      </w:r>
      <w:r>
        <w:rPr>
          <w:spacing w:val="-14"/>
          <w:sz w:val="24"/>
        </w:rPr>
        <w:t> </w:t>
      </w:r>
      <w:r>
        <w:rPr>
          <w:sz w:val="24"/>
        </w:rPr>
        <w:t>nav</w:t>
      </w:r>
      <w:r>
        <w:rPr>
          <w:spacing w:val="-16"/>
          <w:sz w:val="24"/>
        </w:rPr>
        <w:t> </w:t>
      </w:r>
      <w:r>
        <w:rPr>
          <w:sz w:val="24"/>
        </w:rPr>
        <w:t>izpratuši</w:t>
      </w:r>
      <w:r>
        <w:rPr>
          <w:spacing w:val="-11"/>
          <w:sz w:val="24"/>
        </w:rPr>
        <w:t> </w:t>
      </w:r>
      <w:r>
        <w:rPr>
          <w:sz w:val="24"/>
        </w:rPr>
        <w:t>maksātnespējas</w:t>
      </w:r>
      <w:r>
        <w:rPr>
          <w:spacing w:val="-16"/>
          <w:sz w:val="24"/>
        </w:rPr>
        <w:t> </w:t>
      </w:r>
      <w:r>
        <w:rPr>
          <w:sz w:val="24"/>
        </w:rPr>
        <w:t>procesa</w:t>
      </w:r>
      <w:r>
        <w:rPr>
          <w:spacing w:val="-12"/>
          <w:sz w:val="24"/>
        </w:rPr>
        <w:t> </w:t>
      </w:r>
      <w:r>
        <w:rPr>
          <w:sz w:val="24"/>
        </w:rPr>
        <w:t>mērķi</w:t>
      </w:r>
      <w:r>
        <w:rPr>
          <w:spacing w:val="-13"/>
          <w:sz w:val="24"/>
        </w:rPr>
        <w:t> </w:t>
      </w:r>
      <w:r>
        <w:rPr>
          <w:sz w:val="24"/>
        </w:rPr>
        <w:t>un</w:t>
      </w:r>
      <w:r>
        <w:rPr>
          <w:spacing w:val="-13"/>
          <w:sz w:val="24"/>
        </w:rPr>
        <w:t> </w:t>
      </w:r>
      <w:r>
        <w:rPr>
          <w:sz w:val="24"/>
        </w:rPr>
        <w:t>viņu</w:t>
      </w:r>
      <w:r>
        <w:rPr>
          <w:spacing w:val="-14"/>
          <w:sz w:val="24"/>
        </w:rPr>
        <w:t> </w:t>
      </w:r>
      <w:r>
        <w:rPr>
          <w:sz w:val="24"/>
        </w:rPr>
        <w:t>darbības</w:t>
      </w:r>
      <w:r>
        <w:rPr>
          <w:spacing w:val="-13"/>
          <w:sz w:val="24"/>
        </w:rPr>
        <w:t> </w:t>
      </w:r>
      <w:r>
        <w:rPr>
          <w:sz w:val="24"/>
        </w:rPr>
        <w:t>liecina, ka viņi maksātnespējas procesa aizsardzību izmanto ļaunprātīgi. .. Izvērtējot iepriekš minēto tiesa secina, ka parādnieki ir veikuši darbības, kas liecina, ka parādnieki ir vēlējušies slēpt no kreditoriem un administratora savus patiesos ienākumus. Tas, ka parādnieki saistību dzēšanas plānā ir norādījuši ienākumu esamību,</w:t>
      </w:r>
      <w:r>
        <w:rPr>
          <w:spacing w:val="-4"/>
          <w:sz w:val="24"/>
        </w:rPr>
        <w:t> </w:t>
      </w:r>
      <w:r>
        <w:rPr>
          <w:sz w:val="24"/>
        </w:rPr>
        <w:t>bet</w:t>
      </w:r>
      <w:r>
        <w:rPr>
          <w:spacing w:val="-6"/>
          <w:sz w:val="24"/>
        </w:rPr>
        <w:t> </w:t>
      </w:r>
      <w:r>
        <w:rPr>
          <w:sz w:val="24"/>
        </w:rPr>
        <w:t>patiesībā</w:t>
      </w:r>
      <w:r>
        <w:rPr>
          <w:spacing w:val="-3"/>
          <w:sz w:val="24"/>
        </w:rPr>
        <w:t> </w:t>
      </w:r>
      <w:r>
        <w:rPr>
          <w:sz w:val="24"/>
        </w:rPr>
        <w:t>to</w:t>
      </w:r>
      <w:r>
        <w:rPr>
          <w:spacing w:val="-6"/>
          <w:sz w:val="24"/>
        </w:rPr>
        <w:t> </w:t>
      </w:r>
      <w:r>
        <w:rPr>
          <w:sz w:val="24"/>
        </w:rPr>
        <w:t>nav,</w:t>
      </w:r>
      <w:r>
        <w:rPr>
          <w:spacing w:val="-3"/>
          <w:sz w:val="24"/>
        </w:rPr>
        <w:t> </w:t>
      </w:r>
      <w:r>
        <w:rPr>
          <w:sz w:val="24"/>
        </w:rPr>
        <w:t>nemaina</w:t>
      </w:r>
      <w:r>
        <w:rPr>
          <w:spacing w:val="-4"/>
          <w:sz w:val="24"/>
        </w:rPr>
        <w:t> </w:t>
      </w:r>
      <w:r>
        <w:rPr>
          <w:sz w:val="24"/>
        </w:rPr>
        <w:t>faktu,</w:t>
      </w:r>
      <w:r>
        <w:rPr>
          <w:spacing w:val="-3"/>
          <w:sz w:val="24"/>
        </w:rPr>
        <w:t> </w:t>
      </w:r>
      <w:r>
        <w:rPr>
          <w:sz w:val="24"/>
        </w:rPr>
        <w:t>ka</w:t>
      </w:r>
      <w:r>
        <w:rPr>
          <w:spacing w:val="-6"/>
          <w:sz w:val="24"/>
        </w:rPr>
        <w:t> </w:t>
      </w:r>
      <w:r>
        <w:rPr>
          <w:sz w:val="24"/>
        </w:rPr>
        <w:t>patiesie</w:t>
      </w:r>
      <w:r>
        <w:rPr>
          <w:spacing w:val="-5"/>
          <w:sz w:val="24"/>
        </w:rPr>
        <w:t> </w:t>
      </w:r>
      <w:r>
        <w:rPr>
          <w:sz w:val="24"/>
        </w:rPr>
        <w:t>ienākumi</w:t>
      </w:r>
      <w:r>
        <w:rPr>
          <w:spacing w:val="-1"/>
          <w:sz w:val="24"/>
        </w:rPr>
        <w:t> </w:t>
      </w:r>
      <w:r>
        <w:rPr>
          <w:sz w:val="24"/>
        </w:rPr>
        <w:t>nav</w:t>
      </w:r>
      <w:r>
        <w:rPr>
          <w:spacing w:val="-5"/>
          <w:sz w:val="24"/>
        </w:rPr>
        <w:t> </w:t>
      </w:r>
      <w:r>
        <w:rPr>
          <w:sz w:val="24"/>
        </w:rPr>
        <w:t>uzrādīti. Maksātnespējas procesa aizsardzību var baudīt personas, kuras ir iekļuvušās finansiālās grūtībās un nespēj savas saistības izpildīt, bet viens no galvenajiem priekšnoteikumiem ir parādnieka vēlme pēc iespējas pilnīgāk apmierināt kreditora</w:t>
      </w:r>
      <w:r>
        <w:rPr>
          <w:spacing w:val="-17"/>
          <w:sz w:val="24"/>
        </w:rPr>
        <w:t> </w:t>
      </w:r>
      <w:r>
        <w:rPr>
          <w:sz w:val="24"/>
        </w:rPr>
        <w:t>prasījumus</w:t>
      </w:r>
      <w:r>
        <w:rPr>
          <w:spacing w:val="-12"/>
          <w:sz w:val="24"/>
        </w:rPr>
        <w:t> </w:t>
      </w:r>
      <w:r>
        <w:rPr>
          <w:sz w:val="24"/>
        </w:rPr>
        <w:t>un</w:t>
      </w:r>
      <w:r>
        <w:rPr>
          <w:spacing w:val="-12"/>
          <w:sz w:val="24"/>
        </w:rPr>
        <w:t> </w:t>
      </w:r>
      <w:r>
        <w:rPr>
          <w:sz w:val="24"/>
        </w:rPr>
        <w:t>veikt</w:t>
      </w:r>
      <w:r>
        <w:rPr>
          <w:spacing w:val="-12"/>
          <w:sz w:val="24"/>
        </w:rPr>
        <w:t> </w:t>
      </w:r>
      <w:r>
        <w:rPr>
          <w:sz w:val="24"/>
        </w:rPr>
        <w:t>visu</w:t>
      </w:r>
      <w:r>
        <w:rPr>
          <w:spacing w:val="-12"/>
          <w:sz w:val="24"/>
        </w:rPr>
        <w:t> </w:t>
      </w:r>
      <w:r>
        <w:rPr>
          <w:sz w:val="24"/>
        </w:rPr>
        <w:t>nepieciešamo,</w:t>
      </w:r>
      <w:r>
        <w:rPr>
          <w:spacing w:val="-12"/>
          <w:sz w:val="24"/>
        </w:rPr>
        <w:t> </w:t>
      </w:r>
      <w:r>
        <w:rPr>
          <w:sz w:val="24"/>
        </w:rPr>
        <w:t>lai</w:t>
      </w:r>
      <w:r>
        <w:rPr>
          <w:spacing w:val="-10"/>
          <w:sz w:val="24"/>
        </w:rPr>
        <w:t> </w:t>
      </w:r>
      <w:r>
        <w:rPr>
          <w:sz w:val="24"/>
        </w:rPr>
        <w:t>gūtu</w:t>
      </w:r>
      <w:r>
        <w:rPr>
          <w:spacing w:val="-12"/>
          <w:sz w:val="24"/>
        </w:rPr>
        <w:t> </w:t>
      </w:r>
      <w:r>
        <w:rPr>
          <w:sz w:val="24"/>
        </w:rPr>
        <w:t>ienākumus,</w:t>
      </w:r>
      <w:r>
        <w:rPr>
          <w:spacing w:val="-10"/>
          <w:sz w:val="24"/>
        </w:rPr>
        <w:t> </w:t>
      </w:r>
      <w:r>
        <w:rPr>
          <w:sz w:val="24"/>
        </w:rPr>
        <w:t>no</w:t>
      </w:r>
      <w:r>
        <w:rPr>
          <w:spacing w:val="-12"/>
          <w:sz w:val="24"/>
        </w:rPr>
        <w:t> </w:t>
      </w:r>
      <w:r>
        <w:rPr>
          <w:sz w:val="24"/>
        </w:rPr>
        <w:t>kuriem varētu veikt maksājumus</w:t>
      </w:r>
      <w:r>
        <w:rPr>
          <w:spacing w:val="3"/>
          <w:sz w:val="24"/>
        </w:rPr>
        <w:t> </w:t>
      </w:r>
      <w:r>
        <w:rPr>
          <w:sz w:val="24"/>
        </w:rPr>
        <w:t>kreditoriem.”</w:t>
      </w:r>
      <w:r>
        <w:rPr>
          <w:position w:val="9"/>
          <w:sz w:val="16"/>
        </w:rPr>
        <w:t>217</w:t>
      </w:r>
    </w:p>
    <w:p>
      <w:pPr>
        <w:pStyle w:val="BodyText"/>
        <w:jc w:val="left"/>
        <w:rPr>
          <w:sz w:val="28"/>
        </w:rPr>
      </w:pPr>
    </w:p>
    <w:p>
      <w:pPr>
        <w:pStyle w:val="Heading4"/>
        <w:numPr>
          <w:ilvl w:val="1"/>
          <w:numId w:val="42"/>
        </w:numPr>
        <w:tabs>
          <w:tab w:pos="982" w:val="left" w:leader="none"/>
        </w:tabs>
        <w:spacing w:line="240" w:lineRule="auto" w:before="220" w:after="0"/>
        <w:ind w:left="981" w:right="0" w:hanging="362"/>
        <w:jc w:val="left"/>
        <w:rPr>
          <w:i/>
        </w:rPr>
      </w:pPr>
      <w:bookmarkStart w:name="_TOC_250060" w:id="18"/>
      <w:r>
        <w:rPr>
          <w:i/>
        </w:rPr>
        <w:t>Mantas atsavināšana pretēji kreditoru interesēm vai</w:t>
      </w:r>
      <w:r>
        <w:rPr>
          <w:i/>
          <w:spacing w:val="2"/>
        </w:rPr>
        <w:t> </w:t>
      </w:r>
      <w:bookmarkEnd w:id="18"/>
      <w:r>
        <w:rPr>
          <w:i/>
        </w:rPr>
        <w:t>slēpšana</w:t>
      </w:r>
    </w:p>
    <w:p>
      <w:pPr>
        <w:pStyle w:val="BodyText"/>
        <w:spacing w:before="5"/>
        <w:jc w:val="left"/>
        <w:rPr>
          <w:b/>
          <w:i/>
        </w:rPr>
      </w:pPr>
    </w:p>
    <w:p>
      <w:pPr>
        <w:pStyle w:val="ListParagraph"/>
        <w:numPr>
          <w:ilvl w:val="2"/>
          <w:numId w:val="42"/>
        </w:numPr>
        <w:tabs>
          <w:tab w:pos="1340" w:val="left" w:leader="none"/>
          <w:tab w:pos="2831" w:val="left" w:leader="none"/>
          <w:tab w:pos="3294" w:val="left" w:leader="none"/>
          <w:tab w:pos="4693" w:val="left" w:leader="none"/>
          <w:tab w:pos="5578" w:val="left" w:leader="none"/>
          <w:tab w:pos="6833" w:val="left" w:leader="none"/>
          <w:tab w:pos="7606" w:val="left" w:leader="none"/>
          <w:tab w:pos="8428" w:val="left" w:leader="none"/>
          <w:tab w:pos="9094" w:val="left" w:leader="none"/>
        </w:tabs>
        <w:spacing w:line="235" w:lineRule="auto" w:before="0" w:after="0"/>
        <w:ind w:left="1340" w:right="403" w:hanging="360"/>
        <w:jc w:val="left"/>
        <w:rPr>
          <w:sz w:val="24"/>
        </w:rPr>
      </w:pPr>
      <w:r>
        <w:rPr>
          <w:b/>
          <w:sz w:val="24"/>
        </w:rPr>
        <w:t>Informācijas nesniegšana par mantojumu, vilcināšanās ar mantotā īpašuma reģistrēšanu</w:t>
        <w:tab/>
        <w:t>uz</w:t>
        <w:tab/>
        <w:t>parādnieka</w:t>
        <w:tab/>
        <w:t>vārda.</w:t>
        <w:tab/>
      </w:r>
      <w:r>
        <w:rPr>
          <w:sz w:val="24"/>
        </w:rPr>
        <w:t>Piemēram,</w:t>
        <w:tab/>
        <w:t>Rīgas</w:t>
        <w:tab/>
        <w:t>rajona</w:t>
        <w:tab/>
        <w:t>tiesa</w:t>
        <w:tab/>
      </w:r>
      <w:r>
        <w:rPr>
          <w:spacing w:val="-9"/>
          <w:sz w:val="24"/>
        </w:rPr>
        <w:t>ar</w:t>
      </w:r>
    </w:p>
    <w:p>
      <w:pPr>
        <w:pStyle w:val="BodyText"/>
        <w:jc w:val="left"/>
        <w:rPr>
          <w:sz w:val="20"/>
        </w:rPr>
      </w:pPr>
    </w:p>
    <w:p>
      <w:pPr>
        <w:pStyle w:val="BodyText"/>
        <w:spacing w:before="8"/>
        <w:jc w:val="left"/>
        <w:rPr>
          <w:sz w:val="12"/>
        </w:rPr>
      </w:pPr>
      <w:r>
        <w:rPr/>
        <w:pict>
          <v:shape style="position:absolute;margin-left:90pt;margin-top:9.580648pt;width:144pt;height:.1pt;mso-position-horizontal-relative:page;mso-position-vertical-relative:paragraph;z-index:-251609088;mso-wrap-distance-left:0;mso-wrap-distance-right:0" coordorigin="1800,192" coordsize="2880,0" path="m1800,192l4680,192e" filled="false" stroked="true" strokeweight=".599991pt" strokecolor="#000000">
            <v:path arrowok="t"/>
            <v:stroke dashstyle="solid"/>
            <w10:wrap type="topAndBottom"/>
          </v:shape>
        </w:pict>
      </w:r>
    </w:p>
    <w:p>
      <w:pPr>
        <w:spacing w:line="233" w:lineRule="exact" w:before="70"/>
        <w:ind w:left="620" w:right="0" w:firstLine="0"/>
        <w:jc w:val="left"/>
        <w:rPr>
          <w:sz w:val="20"/>
        </w:rPr>
      </w:pPr>
      <w:r>
        <w:rPr>
          <w:position w:val="7"/>
          <w:sz w:val="13"/>
        </w:rPr>
        <w:t>216 </w:t>
      </w:r>
      <w:r>
        <w:rPr>
          <w:sz w:val="20"/>
        </w:rPr>
        <w:t>Rīgas rajona tiesas 2018.gada 4.aprīļa nolēmums lietā Nr. C33319614</w:t>
      </w:r>
    </w:p>
    <w:p>
      <w:pPr>
        <w:spacing w:line="233" w:lineRule="exact" w:before="0"/>
        <w:ind w:left="620" w:right="0" w:firstLine="0"/>
        <w:jc w:val="left"/>
        <w:rPr>
          <w:sz w:val="20"/>
        </w:rPr>
      </w:pPr>
      <w:r>
        <w:rPr>
          <w:position w:val="7"/>
          <w:sz w:val="13"/>
        </w:rPr>
        <w:t>217 </w:t>
      </w:r>
      <w:r>
        <w:rPr>
          <w:sz w:val="20"/>
        </w:rPr>
        <w:t>Rīgas pilsētas Kurzemes rajona tiesas 2016.gada 27.septembra nolēmums lietā Nr. C28287715</w:t>
      </w:r>
    </w:p>
    <w:p>
      <w:pPr>
        <w:spacing w:after="0" w:line="233" w:lineRule="exact"/>
        <w:jc w:val="left"/>
        <w:rPr>
          <w:sz w:val="20"/>
        </w:rPr>
        <w:sectPr>
          <w:pgSz w:w="11910" w:h="16840"/>
          <w:pgMar w:header="0" w:footer="1055" w:top="1340" w:bottom="1240" w:left="1180" w:right="1040"/>
        </w:sectPr>
      </w:pPr>
    </w:p>
    <w:p>
      <w:pPr>
        <w:pStyle w:val="BodyText"/>
        <w:spacing w:before="73"/>
        <w:ind w:left="980" w:right="760"/>
        <w:rPr>
          <w:sz w:val="16"/>
        </w:rPr>
      </w:pPr>
      <w:r>
        <w:rPr/>
        <w:t>2017.gada 16.jūnija nolēmumu lietā Nr. C33442016 apmierinājusi maksātnespējas procesa administratora pieteikumu par bankrota procedūras pabeigšanu un maksātnespējas procesa izbeigšanu, jo parādniece nesniedza informāciju par mantojumu, bankrota procedūras laikā pārreģistrēja nekustamo īpašumu uz sava vārda (pamatojoties uz mantojuma līgumu) un nākamajā dienā uz citas personas vārda, pamatojoties uz pirkuma līgumu. Tiesa secināja, ka parādnieces rīcība – izvairoties no informācijas un dokumentu iesniegšanas par atstāto mantojumu, atsavinot sev piederošo nekustamo īpašumu un neinformējot administratoru par veikto darījumu un nenododot iegūtos naudas līdzekļus administratorei, ir vērtējama kā sava patiesā mantiskā stāvokļa un ienākumu slēpšana. Turklāt tiesa secināja, ka parādniece, nenorādot maksātnespējas procesa pieteikumā informāciju par mantojumu, jau sākotnēji maldinot tiesu par savu patieso mantisko stāvokli. Tiesa nolēmumā atsaukusies arī uz Maksātnespējas likuma 6.panta 8.punktā nostiprināto labticības principu.</w:t>
      </w:r>
      <w:r>
        <w:rPr>
          <w:position w:val="9"/>
          <w:sz w:val="16"/>
        </w:rPr>
        <w:t>218</w:t>
      </w:r>
    </w:p>
    <w:p>
      <w:pPr>
        <w:pStyle w:val="BodyText"/>
        <w:spacing w:before="10"/>
        <w:jc w:val="left"/>
        <w:rPr>
          <w:sz w:val="22"/>
        </w:rPr>
      </w:pPr>
    </w:p>
    <w:p>
      <w:pPr>
        <w:pStyle w:val="ListParagraph"/>
        <w:numPr>
          <w:ilvl w:val="2"/>
          <w:numId w:val="42"/>
        </w:numPr>
        <w:tabs>
          <w:tab w:pos="980" w:val="left" w:leader="none"/>
        </w:tabs>
        <w:spacing w:line="237" w:lineRule="auto" w:before="1" w:after="0"/>
        <w:ind w:left="980" w:right="760" w:hanging="360"/>
        <w:jc w:val="both"/>
        <w:rPr>
          <w:sz w:val="16"/>
        </w:rPr>
      </w:pPr>
      <w:r>
        <w:rPr>
          <w:b/>
          <w:sz w:val="24"/>
        </w:rPr>
        <w:t>Ārvalstīs atrodošās mantas atsavināšana. </w:t>
      </w:r>
      <w:r>
        <w:rPr>
          <w:sz w:val="24"/>
        </w:rPr>
        <w:t>Piemēram, Rīgas pilsētas</w:t>
      </w:r>
      <w:r>
        <w:rPr>
          <w:spacing w:val="-34"/>
          <w:sz w:val="24"/>
        </w:rPr>
        <w:t> </w:t>
      </w:r>
      <w:r>
        <w:rPr>
          <w:sz w:val="24"/>
        </w:rPr>
        <w:t>Pārdaugavas tiesa ar 2017.gada 10.oktobra nolēmumu lietā Nr.C28355616 noraidījusi pieteikumu par bankrota procedūras pabeigšanu, jo tiesā saņemti kreditora iebildumi par bankrota procedūra pabeigšanu, kuros norādīts, ka parādnieks ir rīkojies ļaunprātīgi, jo slēpis mantu, tai skaitā formāli atsavinājis dēlam sev piederošos nekustamos īpašumus Krievijā, tādējādi izvairoties no saistību izpildes pret</w:t>
      </w:r>
      <w:r>
        <w:rPr>
          <w:spacing w:val="-18"/>
          <w:sz w:val="24"/>
        </w:rPr>
        <w:t> </w:t>
      </w:r>
      <w:r>
        <w:rPr>
          <w:sz w:val="24"/>
        </w:rPr>
        <w:t>kreditoru.</w:t>
      </w:r>
      <w:r>
        <w:rPr>
          <w:spacing w:val="-13"/>
          <w:sz w:val="24"/>
        </w:rPr>
        <w:t> </w:t>
      </w:r>
      <w:r>
        <w:rPr>
          <w:sz w:val="24"/>
        </w:rPr>
        <w:t>Izvērtējot</w:t>
      </w:r>
      <w:r>
        <w:rPr>
          <w:spacing w:val="-16"/>
          <w:sz w:val="24"/>
        </w:rPr>
        <w:t> </w:t>
      </w:r>
      <w:r>
        <w:rPr>
          <w:sz w:val="24"/>
        </w:rPr>
        <w:t>iebildumus,</w:t>
      </w:r>
      <w:r>
        <w:rPr>
          <w:spacing w:val="-15"/>
          <w:sz w:val="24"/>
        </w:rPr>
        <w:t> </w:t>
      </w:r>
      <w:r>
        <w:rPr>
          <w:sz w:val="24"/>
        </w:rPr>
        <w:t>tiesa</w:t>
      </w:r>
      <w:r>
        <w:rPr>
          <w:spacing w:val="-16"/>
          <w:sz w:val="24"/>
        </w:rPr>
        <w:t> </w:t>
      </w:r>
      <w:r>
        <w:rPr>
          <w:sz w:val="24"/>
        </w:rPr>
        <w:t>konstatē,</w:t>
      </w:r>
      <w:r>
        <w:rPr>
          <w:spacing w:val="-16"/>
          <w:sz w:val="24"/>
        </w:rPr>
        <w:t> </w:t>
      </w:r>
      <w:r>
        <w:rPr>
          <w:sz w:val="24"/>
        </w:rPr>
        <w:t>ka</w:t>
      </w:r>
      <w:r>
        <w:rPr>
          <w:spacing w:val="-17"/>
          <w:sz w:val="24"/>
        </w:rPr>
        <w:t> </w:t>
      </w:r>
      <w:r>
        <w:rPr>
          <w:sz w:val="24"/>
        </w:rPr>
        <w:t>nav</w:t>
      </w:r>
      <w:r>
        <w:rPr>
          <w:spacing w:val="-16"/>
          <w:sz w:val="24"/>
        </w:rPr>
        <w:t> </w:t>
      </w:r>
      <w:r>
        <w:rPr>
          <w:sz w:val="24"/>
        </w:rPr>
        <w:t>tiesiska</w:t>
      </w:r>
      <w:r>
        <w:rPr>
          <w:spacing w:val="-15"/>
          <w:sz w:val="24"/>
        </w:rPr>
        <w:t> </w:t>
      </w:r>
      <w:r>
        <w:rPr>
          <w:sz w:val="24"/>
        </w:rPr>
        <w:t>pamata</w:t>
      </w:r>
      <w:r>
        <w:rPr>
          <w:spacing w:val="-16"/>
          <w:sz w:val="24"/>
        </w:rPr>
        <w:t> </w:t>
      </w:r>
      <w:r>
        <w:rPr>
          <w:sz w:val="24"/>
        </w:rPr>
        <w:t>bankrota procedūru pabeigt, jo tas būtu pretrunā ar Maksātnespējas likuma 1.pantā ietvertā likuma</w:t>
      </w:r>
      <w:r>
        <w:rPr>
          <w:spacing w:val="1"/>
          <w:sz w:val="24"/>
        </w:rPr>
        <w:t> </w:t>
      </w:r>
      <w:r>
        <w:rPr>
          <w:sz w:val="24"/>
        </w:rPr>
        <w:t>mērķi.</w:t>
      </w:r>
      <w:r>
        <w:rPr>
          <w:position w:val="9"/>
          <w:sz w:val="16"/>
        </w:rPr>
        <w:t>219</w:t>
      </w:r>
    </w:p>
    <w:p>
      <w:pPr>
        <w:pStyle w:val="BodyText"/>
        <w:spacing w:before="7"/>
        <w:jc w:val="left"/>
      </w:pPr>
    </w:p>
    <w:p>
      <w:pPr>
        <w:pStyle w:val="ListParagraph"/>
        <w:numPr>
          <w:ilvl w:val="2"/>
          <w:numId w:val="42"/>
        </w:numPr>
        <w:tabs>
          <w:tab w:pos="980" w:val="left" w:leader="none"/>
        </w:tabs>
        <w:spacing w:line="240" w:lineRule="auto" w:before="0" w:after="0"/>
        <w:ind w:left="980" w:right="761" w:hanging="360"/>
        <w:jc w:val="both"/>
        <w:rPr>
          <w:sz w:val="24"/>
        </w:rPr>
      </w:pPr>
      <w:r>
        <w:rPr>
          <w:b/>
          <w:sz w:val="24"/>
        </w:rPr>
        <w:t>Mantas slēpšana</w:t>
      </w:r>
      <w:r>
        <w:rPr>
          <w:sz w:val="24"/>
        </w:rPr>
        <w:t>. Piemēram, Rīgas pilsētas Vidzemes priekšpilsētas tiesa ar 2017.gada 3.maija nolēmumu lietā Nr. C30631214 apmierināja administratora pieteikumu par bankrota procedūras pabeigšanu un maksātnespējas procesa izbeigšanu, tostarp konstatējot to, ka parādnieks slēpis mantu (ieroci), sniedzis apzināti nepatiesu informāciju par savu mantisko stāvokli un slēpis patiesos ienākumus. Pieteikumā tiesai maksātnespējas procesa administratore bija norādījusi:</w:t>
      </w:r>
    </w:p>
    <w:p>
      <w:pPr>
        <w:pStyle w:val="ListParagraph"/>
        <w:numPr>
          <w:ilvl w:val="3"/>
          <w:numId w:val="42"/>
        </w:numPr>
        <w:tabs>
          <w:tab w:pos="1340" w:val="left" w:leader="none"/>
        </w:tabs>
        <w:spacing w:line="240" w:lineRule="auto" w:before="0" w:after="0"/>
        <w:ind w:left="1340" w:right="761" w:hanging="360"/>
        <w:jc w:val="both"/>
        <w:rPr>
          <w:sz w:val="24"/>
        </w:rPr>
      </w:pPr>
      <w:r>
        <w:rPr>
          <w:sz w:val="24"/>
        </w:rPr>
        <w:t>“Administrators norāda, ka maksātnespējas pamatprincipi ir ļaut godīgam, finansiālās</w:t>
      </w:r>
      <w:r>
        <w:rPr>
          <w:spacing w:val="-16"/>
          <w:sz w:val="24"/>
        </w:rPr>
        <w:t> </w:t>
      </w:r>
      <w:r>
        <w:rPr>
          <w:sz w:val="24"/>
        </w:rPr>
        <w:t>grūtībās</w:t>
      </w:r>
      <w:r>
        <w:rPr>
          <w:spacing w:val="-15"/>
          <w:sz w:val="24"/>
        </w:rPr>
        <w:t> </w:t>
      </w:r>
      <w:r>
        <w:rPr>
          <w:sz w:val="24"/>
        </w:rPr>
        <w:t>nonākušam</w:t>
      </w:r>
      <w:r>
        <w:rPr>
          <w:spacing w:val="-15"/>
          <w:sz w:val="24"/>
        </w:rPr>
        <w:t> </w:t>
      </w:r>
      <w:r>
        <w:rPr>
          <w:sz w:val="24"/>
        </w:rPr>
        <w:t>saimnieciskās</w:t>
      </w:r>
      <w:r>
        <w:rPr>
          <w:spacing w:val="-17"/>
          <w:sz w:val="24"/>
        </w:rPr>
        <w:t> </w:t>
      </w:r>
      <w:r>
        <w:rPr>
          <w:sz w:val="24"/>
        </w:rPr>
        <w:t>darbības</w:t>
      </w:r>
      <w:r>
        <w:rPr>
          <w:spacing w:val="-15"/>
          <w:sz w:val="24"/>
        </w:rPr>
        <w:t> </w:t>
      </w:r>
      <w:r>
        <w:rPr>
          <w:sz w:val="24"/>
        </w:rPr>
        <w:t>veicējam</w:t>
      </w:r>
      <w:r>
        <w:rPr>
          <w:spacing w:val="-17"/>
          <w:sz w:val="24"/>
        </w:rPr>
        <w:t> </w:t>
      </w:r>
      <w:r>
        <w:rPr>
          <w:sz w:val="24"/>
        </w:rPr>
        <w:t>tikt</w:t>
      </w:r>
      <w:r>
        <w:rPr>
          <w:spacing w:val="-15"/>
          <w:sz w:val="24"/>
        </w:rPr>
        <w:t> </w:t>
      </w:r>
      <w:r>
        <w:rPr>
          <w:sz w:val="24"/>
        </w:rPr>
        <w:t>atbrīvotam no parādsaistībām un atbildības, kas ir viņa finansiālo grūtību rezultāts, nodrošinot parādnieka mantas – aktīvu taisnīgu sadalīšanu starp kreditoriem. Fiziskās personas maksātnespējas process prasa aktīvu parādnieka līdzdalību maksātnespējas procesā un paredz pienākumu parādniekam sniegt administratoram nepieciešamās</w:t>
      </w:r>
      <w:r>
        <w:rPr>
          <w:spacing w:val="-2"/>
          <w:sz w:val="24"/>
        </w:rPr>
        <w:t> </w:t>
      </w:r>
      <w:r>
        <w:rPr>
          <w:sz w:val="24"/>
        </w:rPr>
        <w:t>ziņas.</w:t>
      </w:r>
    </w:p>
    <w:p>
      <w:pPr>
        <w:pStyle w:val="ListParagraph"/>
        <w:numPr>
          <w:ilvl w:val="3"/>
          <w:numId w:val="42"/>
        </w:numPr>
        <w:tabs>
          <w:tab w:pos="1340" w:val="left" w:leader="none"/>
        </w:tabs>
        <w:spacing w:line="240" w:lineRule="auto" w:before="0" w:after="0"/>
        <w:ind w:left="1340" w:right="761" w:hanging="360"/>
        <w:jc w:val="both"/>
        <w:rPr>
          <w:sz w:val="24"/>
        </w:rPr>
      </w:pPr>
      <w:r>
        <w:rPr>
          <w:sz w:val="24"/>
        </w:rPr>
        <w:t>Fiziskajai personai, vēršoties ar maksātnespējas pieteikumu tiesā, jāapzinās, ka pēc maksātnespējas procesa pasludināšanas fiziskajai personai saskaņā ar Maksātnespējas likuma normām rodas gan tiesības, gan darbības</w:t>
      </w:r>
      <w:r>
        <w:rPr>
          <w:spacing w:val="-29"/>
          <w:sz w:val="24"/>
        </w:rPr>
        <w:t> </w:t>
      </w:r>
      <w:r>
        <w:rPr>
          <w:sz w:val="24"/>
        </w:rPr>
        <w:t>ierobežojumi, gan arī pienākumi, kuri ir pildāmi labā ticībā. Būtiski norādīt, ka tieši fiziskā persona ir ieinteresēta maksātnespējas rezultātā tikt atbrīvotai no saistībām, nevis maksātnespējas procesa administrators, tiesa vai kreditori. Līdz ar to fiziskajai personai ir aktīvi jālīdzdarbojas maksātnespējas procesa</w:t>
      </w:r>
      <w:r>
        <w:rPr>
          <w:spacing w:val="-5"/>
          <w:sz w:val="24"/>
        </w:rPr>
        <w:t> </w:t>
      </w:r>
      <w:r>
        <w:rPr>
          <w:sz w:val="24"/>
        </w:rPr>
        <w:t>norisē.</w:t>
      </w:r>
    </w:p>
    <w:p>
      <w:pPr>
        <w:pStyle w:val="BodyText"/>
        <w:jc w:val="left"/>
        <w:rPr>
          <w:sz w:val="20"/>
        </w:rPr>
      </w:pPr>
    </w:p>
    <w:p>
      <w:pPr>
        <w:pStyle w:val="BodyText"/>
        <w:jc w:val="left"/>
        <w:rPr>
          <w:sz w:val="20"/>
        </w:rPr>
      </w:pPr>
    </w:p>
    <w:p>
      <w:pPr>
        <w:pStyle w:val="BodyText"/>
        <w:spacing w:before="7"/>
        <w:jc w:val="left"/>
        <w:rPr>
          <w:sz w:val="16"/>
        </w:rPr>
      </w:pPr>
      <w:r>
        <w:rPr/>
        <w:pict>
          <v:shape style="position:absolute;margin-left:72pt;margin-top:11.8264pt;width:144pt;height:.1pt;mso-position-horizontal-relative:page;mso-position-vertical-relative:paragraph;z-index:-251608064;mso-wrap-distance-left:0;mso-wrap-distance-right:0" coordorigin="1440,237" coordsize="2880,0" path="m1440,237l4320,237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218 </w:t>
      </w:r>
      <w:r>
        <w:rPr>
          <w:sz w:val="20"/>
        </w:rPr>
        <w:t>Rīgas rajona tiesas 2017.gada 15.jūnija nolēmums lietā Nr. C33442016</w:t>
      </w:r>
    </w:p>
    <w:p>
      <w:pPr>
        <w:spacing w:line="233" w:lineRule="exact" w:before="0"/>
        <w:ind w:left="260" w:right="0" w:firstLine="0"/>
        <w:jc w:val="left"/>
        <w:rPr>
          <w:sz w:val="20"/>
        </w:rPr>
      </w:pPr>
      <w:r>
        <w:rPr>
          <w:position w:val="7"/>
          <w:sz w:val="13"/>
        </w:rPr>
        <w:t>219 </w:t>
      </w:r>
      <w:r>
        <w:rPr>
          <w:sz w:val="20"/>
        </w:rPr>
        <w:t>Rīgas pilsētas Pārdaugavas tiesas 2017.gada 10.aprīļa nolēmums lietā Nr. C28355616</w:t>
      </w:r>
    </w:p>
    <w:p>
      <w:pPr>
        <w:spacing w:after="0" w:line="233" w:lineRule="exact"/>
        <w:jc w:val="left"/>
        <w:rPr>
          <w:sz w:val="20"/>
        </w:rPr>
        <w:sectPr>
          <w:pgSz w:w="11910" w:h="16840"/>
          <w:pgMar w:header="0" w:footer="1055" w:top="1340" w:bottom="1240" w:left="1180" w:right="1040"/>
        </w:sectPr>
      </w:pPr>
    </w:p>
    <w:p>
      <w:pPr>
        <w:pStyle w:val="ListParagraph"/>
        <w:numPr>
          <w:ilvl w:val="3"/>
          <w:numId w:val="42"/>
        </w:numPr>
        <w:tabs>
          <w:tab w:pos="1700" w:val="left" w:leader="none"/>
        </w:tabs>
        <w:spacing w:line="240" w:lineRule="auto" w:before="73" w:after="0"/>
        <w:ind w:left="1700" w:right="402" w:hanging="360"/>
        <w:jc w:val="both"/>
        <w:rPr>
          <w:sz w:val="24"/>
        </w:rPr>
      </w:pPr>
      <w:r>
        <w:rPr>
          <w:sz w:val="24"/>
        </w:rPr>
        <w:t>Saskaņā</w:t>
      </w:r>
      <w:r>
        <w:rPr>
          <w:spacing w:val="-12"/>
          <w:sz w:val="24"/>
        </w:rPr>
        <w:t> </w:t>
      </w:r>
      <w:r>
        <w:rPr>
          <w:sz w:val="24"/>
        </w:rPr>
        <w:t>ar</w:t>
      </w:r>
      <w:r>
        <w:rPr>
          <w:spacing w:val="-9"/>
          <w:sz w:val="24"/>
        </w:rPr>
        <w:t> </w:t>
      </w:r>
      <w:r>
        <w:rPr>
          <w:sz w:val="24"/>
        </w:rPr>
        <w:t>Maksātnespējas</w:t>
      </w:r>
      <w:r>
        <w:rPr>
          <w:spacing w:val="-9"/>
          <w:sz w:val="24"/>
        </w:rPr>
        <w:t> </w:t>
      </w:r>
      <w:r>
        <w:rPr>
          <w:sz w:val="24"/>
        </w:rPr>
        <w:t>likuma</w:t>
      </w:r>
      <w:r>
        <w:rPr>
          <w:spacing w:val="-9"/>
          <w:sz w:val="24"/>
        </w:rPr>
        <w:t> </w:t>
      </w:r>
      <w:r>
        <w:rPr>
          <w:sz w:val="24"/>
        </w:rPr>
        <w:t>anotāciju</w:t>
      </w:r>
      <w:r>
        <w:rPr>
          <w:spacing w:val="-10"/>
          <w:sz w:val="24"/>
        </w:rPr>
        <w:t> </w:t>
      </w:r>
      <w:r>
        <w:rPr>
          <w:sz w:val="24"/>
        </w:rPr>
        <w:t>(skatīt.</w:t>
      </w:r>
      <w:r>
        <w:rPr>
          <w:spacing w:val="-6"/>
          <w:sz w:val="24"/>
        </w:rPr>
        <w:t> </w:t>
      </w:r>
      <w:r>
        <w:rPr>
          <w:sz w:val="24"/>
        </w:rPr>
        <w:t>http://www.saeima.gov.lv) fiziskās</w:t>
      </w:r>
      <w:r>
        <w:rPr>
          <w:spacing w:val="-16"/>
          <w:sz w:val="24"/>
        </w:rPr>
        <w:t> </w:t>
      </w:r>
      <w:r>
        <w:rPr>
          <w:sz w:val="24"/>
        </w:rPr>
        <w:t>personas</w:t>
      </w:r>
      <w:r>
        <w:rPr>
          <w:spacing w:val="-15"/>
          <w:sz w:val="24"/>
        </w:rPr>
        <w:t> </w:t>
      </w:r>
      <w:r>
        <w:rPr>
          <w:sz w:val="24"/>
        </w:rPr>
        <w:t>maksātnespējas</w:t>
      </w:r>
      <w:r>
        <w:rPr>
          <w:spacing w:val="-16"/>
          <w:sz w:val="24"/>
        </w:rPr>
        <w:t> </w:t>
      </w:r>
      <w:r>
        <w:rPr>
          <w:sz w:val="24"/>
        </w:rPr>
        <w:t>process</w:t>
      </w:r>
      <w:r>
        <w:rPr>
          <w:spacing w:val="-15"/>
          <w:sz w:val="24"/>
        </w:rPr>
        <w:t> </w:t>
      </w:r>
      <w:r>
        <w:rPr>
          <w:sz w:val="24"/>
        </w:rPr>
        <w:t>ir</w:t>
      </w:r>
      <w:r>
        <w:rPr>
          <w:spacing w:val="-15"/>
          <w:sz w:val="24"/>
        </w:rPr>
        <w:t> </w:t>
      </w:r>
      <w:r>
        <w:rPr>
          <w:sz w:val="24"/>
        </w:rPr>
        <w:t>tiesiska</w:t>
      </w:r>
      <w:r>
        <w:rPr>
          <w:spacing w:val="-16"/>
          <w:sz w:val="24"/>
        </w:rPr>
        <w:t> </w:t>
      </w:r>
      <w:r>
        <w:rPr>
          <w:sz w:val="24"/>
        </w:rPr>
        <w:t>rakstura</w:t>
      </w:r>
      <w:r>
        <w:rPr>
          <w:spacing w:val="-18"/>
          <w:sz w:val="24"/>
        </w:rPr>
        <w:t> </w:t>
      </w:r>
      <w:r>
        <w:rPr>
          <w:sz w:val="24"/>
        </w:rPr>
        <w:t>pasākumu</w:t>
      </w:r>
      <w:r>
        <w:rPr>
          <w:spacing w:val="-15"/>
          <w:sz w:val="24"/>
        </w:rPr>
        <w:t> </w:t>
      </w:r>
      <w:r>
        <w:rPr>
          <w:sz w:val="24"/>
        </w:rPr>
        <w:t>kopums, kura ietvaros tiek realizēta parādnieka manta un segti kreditoru prasījumi, ievērojot kreditoru kopuma intereses. Labticīgam parādniekam, kura manta un ienākumi</w:t>
      </w:r>
      <w:r>
        <w:rPr>
          <w:spacing w:val="-7"/>
          <w:sz w:val="24"/>
        </w:rPr>
        <w:t> </w:t>
      </w:r>
      <w:r>
        <w:rPr>
          <w:sz w:val="24"/>
        </w:rPr>
        <w:t>nav</w:t>
      </w:r>
      <w:r>
        <w:rPr>
          <w:spacing w:val="-11"/>
          <w:sz w:val="24"/>
        </w:rPr>
        <w:t> </w:t>
      </w:r>
      <w:r>
        <w:rPr>
          <w:sz w:val="24"/>
        </w:rPr>
        <w:t>pietiekami</w:t>
      </w:r>
      <w:r>
        <w:rPr>
          <w:spacing w:val="-9"/>
          <w:sz w:val="24"/>
        </w:rPr>
        <w:t> </w:t>
      </w:r>
      <w:r>
        <w:rPr>
          <w:sz w:val="24"/>
        </w:rPr>
        <w:t>visu</w:t>
      </w:r>
      <w:r>
        <w:rPr>
          <w:spacing w:val="-9"/>
          <w:sz w:val="24"/>
        </w:rPr>
        <w:t> </w:t>
      </w:r>
      <w:r>
        <w:rPr>
          <w:sz w:val="24"/>
        </w:rPr>
        <w:t>saistību</w:t>
      </w:r>
      <w:r>
        <w:rPr>
          <w:spacing w:val="-9"/>
          <w:sz w:val="24"/>
        </w:rPr>
        <w:t> </w:t>
      </w:r>
      <w:r>
        <w:rPr>
          <w:sz w:val="24"/>
        </w:rPr>
        <w:t>segšanai,</w:t>
      </w:r>
      <w:r>
        <w:rPr>
          <w:spacing w:val="-9"/>
          <w:sz w:val="24"/>
        </w:rPr>
        <w:t> </w:t>
      </w:r>
      <w:r>
        <w:rPr>
          <w:sz w:val="24"/>
        </w:rPr>
        <w:t>tiek</w:t>
      </w:r>
      <w:r>
        <w:rPr>
          <w:spacing w:val="-10"/>
          <w:sz w:val="24"/>
        </w:rPr>
        <w:t> </w:t>
      </w:r>
      <w:r>
        <w:rPr>
          <w:sz w:val="24"/>
        </w:rPr>
        <w:t>dota</w:t>
      </w:r>
      <w:r>
        <w:rPr>
          <w:spacing w:val="-9"/>
          <w:sz w:val="24"/>
        </w:rPr>
        <w:t> </w:t>
      </w:r>
      <w:r>
        <w:rPr>
          <w:sz w:val="24"/>
        </w:rPr>
        <w:t>iespēja</w:t>
      </w:r>
      <w:r>
        <w:rPr>
          <w:spacing w:val="-9"/>
          <w:sz w:val="24"/>
        </w:rPr>
        <w:t> </w:t>
      </w:r>
      <w:r>
        <w:rPr>
          <w:sz w:val="24"/>
        </w:rPr>
        <w:t>tikt</w:t>
      </w:r>
      <w:r>
        <w:rPr>
          <w:spacing w:val="-9"/>
          <w:sz w:val="24"/>
        </w:rPr>
        <w:t> </w:t>
      </w:r>
      <w:r>
        <w:rPr>
          <w:sz w:val="24"/>
        </w:rPr>
        <w:t>atbrīvotam no nenokārtotām</w:t>
      </w:r>
      <w:r>
        <w:rPr>
          <w:spacing w:val="-1"/>
          <w:sz w:val="24"/>
        </w:rPr>
        <w:t> </w:t>
      </w:r>
      <w:r>
        <w:rPr>
          <w:sz w:val="24"/>
        </w:rPr>
        <w:t>saistībām.</w:t>
      </w:r>
    </w:p>
    <w:p>
      <w:pPr>
        <w:pStyle w:val="ListParagraph"/>
        <w:numPr>
          <w:ilvl w:val="3"/>
          <w:numId w:val="42"/>
        </w:numPr>
        <w:tabs>
          <w:tab w:pos="1700" w:val="left" w:leader="none"/>
        </w:tabs>
        <w:spacing w:line="232" w:lineRule="auto" w:before="7" w:after="0"/>
        <w:ind w:left="1700" w:right="402" w:hanging="360"/>
        <w:jc w:val="both"/>
        <w:rPr>
          <w:sz w:val="16"/>
        </w:rPr>
      </w:pPr>
      <w:r>
        <w:rPr>
          <w:sz w:val="24"/>
        </w:rPr>
        <w:t>Ņemot vērā pieteikumā minētos apstākļus Administratore uzskata, ka Parādnieks nav rīkojies labticīgi un uzskata, ka Parādnieka vienīgais mērķis, iesniedzot maksātnespējas pieteikumu, ir izvairīties no saistību</w:t>
      </w:r>
      <w:r>
        <w:rPr>
          <w:spacing w:val="-3"/>
          <w:sz w:val="24"/>
        </w:rPr>
        <w:t> </w:t>
      </w:r>
      <w:r>
        <w:rPr>
          <w:sz w:val="24"/>
        </w:rPr>
        <w:t>izpildes.”</w:t>
      </w:r>
      <w:r>
        <w:rPr>
          <w:position w:val="9"/>
          <w:sz w:val="16"/>
        </w:rPr>
        <w:t>220</w:t>
      </w:r>
    </w:p>
    <w:p>
      <w:pPr>
        <w:pStyle w:val="BodyText"/>
        <w:jc w:val="left"/>
        <w:rPr>
          <w:sz w:val="28"/>
        </w:rPr>
      </w:pPr>
    </w:p>
    <w:p>
      <w:pPr>
        <w:pStyle w:val="Heading4"/>
        <w:numPr>
          <w:ilvl w:val="1"/>
          <w:numId w:val="42"/>
        </w:numPr>
        <w:tabs>
          <w:tab w:pos="982" w:val="left" w:leader="none"/>
        </w:tabs>
        <w:spacing w:line="240" w:lineRule="auto" w:before="238" w:after="0"/>
        <w:ind w:left="981" w:right="0" w:hanging="362"/>
        <w:jc w:val="left"/>
        <w:rPr>
          <w:i/>
        </w:rPr>
      </w:pPr>
      <w:bookmarkStart w:name="_TOC_250059" w:id="19"/>
      <w:r>
        <w:rPr>
          <w:i/>
        </w:rPr>
        <w:t>Parādniekam labvēlīgi tiesu</w:t>
      </w:r>
      <w:r>
        <w:rPr>
          <w:i/>
          <w:spacing w:val="-1"/>
        </w:rPr>
        <w:t> </w:t>
      </w:r>
      <w:bookmarkEnd w:id="19"/>
      <w:r>
        <w:rPr>
          <w:i/>
        </w:rPr>
        <w:t>nolēmumi</w:t>
      </w:r>
    </w:p>
    <w:p>
      <w:pPr>
        <w:pStyle w:val="BodyText"/>
        <w:spacing w:before="6"/>
        <w:jc w:val="left"/>
        <w:rPr>
          <w:b/>
          <w:i/>
          <w:sz w:val="23"/>
        </w:rPr>
      </w:pPr>
    </w:p>
    <w:p>
      <w:pPr>
        <w:pStyle w:val="ListParagraph"/>
        <w:numPr>
          <w:ilvl w:val="2"/>
          <w:numId w:val="42"/>
        </w:numPr>
        <w:tabs>
          <w:tab w:pos="1340" w:val="left" w:leader="none"/>
        </w:tabs>
        <w:spacing w:line="240" w:lineRule="auto" w:before="1" w:after="0"/>
        <w:ind w:left="1340" w:right="401" w:hanging="360"/>
        <w:jc w:val="both"/>
        <w:rPr>
          <w:sz w:val="16"/>
        </w:rPr>
      </w:pPr>
      <w:r>
        <w:rPr>
          <w:b/>
          <w:sz w:val="24"/>
        </w:rPr>
        <w:t>Parādnieks novērš pieļautos pārkāpumus. </w:t>
      </w:r>
      <w:r>
        <w:rPr>
          <w:sz w:val="24"/>
        </w:rPr>
        <w:t>Piemēram, Rīgas pilsētas Vidzemes priekšpilsētas tiesa ar 2017.gada 11.decembra nolēmumu lietā Nr.C30572117 noraida</w:t>
      </w:r>
      <w:r>
        <w:rPr>
          <w:spacing w:val="-14"/>
          <w:sz w:val="24"/>
        </w:rPr>
        <w:t> </w:t>
      </w:r>
      <w:r>
        <w:rPr>
          <w:sz w:val="24"/>
        </w:rPr>
        <w:t>maksātnespējas</w:t>
      </w:r>
      <w:r>
        <w:rPr>
          <w:spacing w:val="-16"/>
          <w:sz w:val="24"/>
        </w:rPr>
        <w:t> </w:t>
      </w:r>
      <w:r>
        <w:rPr>
          <w:sz w:val="24"/>
        </w:rPr>
        <w:t>procesa</w:t>
      </w:r>
      <w:r>
        <w:rPr>
          <w:spacing w:val="-14"/>
          <w:sz w:val="24"/>
        </w:rPr>
        <w:t> </w:t>
      </w:r>
      <w:r>
        <w:rPr>
          <w:sz w:val="24"/>
        </w:rPr>
        <w:t>administratora</w:t>
      </w:r>
      <w:r>
        <w:rPr>
          <w:spacing w:val="-13"/>
          <w:sz w:val="24"/>
        </w:rPr>
        <w:t> </w:t>
      </w:r>
      <w:r>
        <w:rPr>
          <w:sz w:val="24"/>
        </w:rPr>
        <w:t>pieteikumu</w:t>
      </w:r>
      <w:r>
        <w:rPr>
          <w:spacing w:val="-12"/>
          <w:sz w:val="24"/>
        </w:rPr>
        <w:t> </w:t>
      </w:r>
      <w:r>
        <w:rPr>
          <w:sz w:val="24"/>
        </w:rPr>
        <w:t>par</w:t>
      </w:r>
      <w:r>
        <w:rPr>
          <w:spacing w:val="-17"/>
          <w:sz w:val="24"/>
        </w:rPr>
        <w:t> </w:t>
      </w:r>
      <w:r>
        <w:rPr>
          <w:sz w:val="24"/>
        </w:rPr>
        <w:t>bankrota</w:t>
      </w:r>
      <w:r>
        <w:rPr>
          <w:spacing w:val="-13"/>
          <w:sz w:val="24"/>
        </w:rPr>
        <w:t> </w:t>
      </w:r>
      <w:r>
        <w:rPr>
          <w:sz w:val="24"/>
        </w:rPr>
        <w:t>procedūras un maksātnespējas procesa izbeigšanu. Administrators pieteikumu tiesā iesniedzis, jo parādnieks nesadarbojas, nesniedz savlaicīgi informāciju, nenodod mantu. Parādnieks pēc pieteikuma iesniegšanas izpildījis administratora pieprasījumu, kā arī tiesai paskaidrojis, ka nav rīkojies ļaunprātīgi un apņemas turpmāk savlaicīgi atbildēt</w:t>
      </w:r>
      <w:r>
        <w:rPr>
          <w:spacing w:val="-10"/>
          <w:sz w:val="24"/>
        </w:rPr>
        <w:t> </w:t>
      </w:r>
      <w:r>
        <w:rPr>
          <w:sz w:val="24"/>
        </w:rPr>
        <w:t>uz</w:t>
      </w:r>
      <w:r>
        <w:rPr>
          <w:spacing w:val="-7"/>
          <w:sz w:val="24"/>
        </w:rPr>
        <w:t> </w:t>
      </w:r>
      <w:r>
        <w:rPr>
          <w:sz w:val="24"/>
        </w:rPr>
        <w:t>administratora</w:t>
      </w:r>
      <w:r>
        <w:rPr>
          <w:spacing w:val="-10"/>
          <w:sz w:val="24"/>
        </w:rPr>
        <w:t> </w:t>
      </w:r>
      <w:r>
        <w:rPr>
          <w:sz w:val="24"/>
        </w:rPr>
        <w:t>pieprasījumiem,</w:t>
      </w:r>
      <w:r>
        <w:rPr>
          <w:spacing w:val="-9"/>
          <w:sz w:val="24"/>
        </w:rPr>
        <w:t> </w:t>
      </w:r>
      <w:r>
        <w:rPr>
          <w:sz w:val="24"/>
        </w:rPr>
        <w:t>sniegt</w:t>
      </w:r>
      <w:r>
        <w:rPr>
          <w:spacing w:val="-10"/>
          <w:sz w:val="24"/>
        </w:rPr>
        <w:t> </w:t>
      </w:r>
      <w:r>
        <w:rPr>
          <w:sz w:val="24"/>
        </w:rPr>
        <w:t>visu</w:t>
      </w:r>
      <w:r>
        <w:rPr>
          <w:spacing w:val="-9"/>
          <w:sz w:val="24"/>
        </w:rPr>
        <w:t> </w:t>
      </w:r>
      <w:r>
        <w:rPr>
          <w:sz w:val="24"/>
        </w:rPr>
        <w:t>nepieciešamo</w:t>
      </w:r>
      <w:r>
        <w:rPr>
          <w:spacing w:val="-10"/>
          <w:sz w:val="24"/>
        </w:rPr>
        <w:t> </w:t>
      </w:r>
      <w:r>
        <w:rPr>
          <w:sz w:val="24"/>
        </w:rPr>
        <w:t>informāciju</w:t>
      </w:r>
      <w:r>
        <w:rPr>
          <w:spacing w:val="-6"/>
          <w:sz w:val="24"/>
        </w:rPr>
        <w:t> </w:t>
      </w:r>
      <w:r>
        <w:rPr>
          <w:sz w:val="24"/>
        </w:rPr>
        <w:t>un sadarboties ar administratoru, lai turpinātu maksātnespējas procesu un neradītu zaudējumus kreditoriem. Tādējādi tiesa konstatē, ka parādnieks ir novērsis pieļautos pārkāpumus – ir administratoram sniedzis nepieciešamās ziņas, līdz ar to administratora pieteikums ir noraidāms un turpināma parādnieka bankrota procedūra.</w:t>
      </w:r>
      <w:r>
        <w:rPr>
          <w:position w:val="9"/>
          <w:sz w:val="16"/>
        </w:rPr>
        <w:t>221</w:t>
      </w:r>
    </w:p>
    <w:p>
      <w:pPr>
        <w:pStyle w:val="BodyText"/>
        <w:spacing w:before="1"/>
        <w:jc w:val="left"/>
        <w:rPr>
          <w:sz w:val="23"/>
        </w:rPr>
      </w:pPr>
    </w:p>
    <w:p>
      <w:pPr>
        <w:pStyle w:val="ListParagraph"/>
        <w:numPr>
          <w:ilvl w:val="2"/>
          <w:numId w:val="42"/>
        </w:numPr>
        <w:tabs>
          <w:tab w:pos="1340" w:val="left" w:leader="none"/>
        </w:tabs>
        <w:spacing w:line="240" w:lineRule="auto" w:before="0" w:after="0"/>
        <w:ind w:left="1340" w:right="400" w:hanging="360"/>
        <w:jc w:val="both"/>
        <w:rPr>
          <w:sz w:val="16"/>
        </w:rPr>
      </w:pPr>
      <w:r>
        <w:rPr>
          <w:b/>
          <w:sz w:val="24"/>
        </w:rPr>
        <w:t>Parādnieka</w:t>
      </w:r>
      <w:r>
        <w:rPr>
          <w:b/>
          <w:spacing w:val="-13"/>
          <w:sz w:val="24"/>
        </w:rPr>
        <w:t> </w:t>
      </w:r>
      <w:r>
        <w:rPr>
          <w:b/>
          <w:sz w:val="24"/>
        </w:rPr>
        <w:t>pieļautais</w:t>
      </w:r>
      <w:r>
        <w:rPr>
          <w:b/>
          <w:spacing w:val="-12"/>
          <w:sz w:val="24"/>
        </w:rPr>
        <w:t> </w:t>
      </w:r>
      <w:r>
        <w:rPr>
          <w:b/>
          <w:sz w:val="24"/>
        </w:rPr>
        <w:t>pārkāpums</w:t>
      </w:r>
      <w:r>
        <w:rPr>
          <w:b/>
          <w:spacing w:val="-13"/>
          <w:sz w:val="24"/>
        </w:rPr>
        <w:t> </w:t>
      </w:r>
      <w:r>
        <w:rPr>
          <w:b/>
          <w:sz w:val="24"/>
        </w:rPr>
        <w:t>nav</w:t>
      </w:r>
      <w:r>
        <w:rPr>
          <w:b/>
          <w:spacing w:val="-12"/>
          <w:sz w:val="24"/>
        </w:rPr>
        <w:t> </w:t>
      </w:r>
      <w:r>
        <w:rPr>
          <w:b/>
          <w:sz w:val="24"/>
        </w:rPr>
        <w:t>samērojams</w:t>
      </w:r>
      <w:r>
        <w:rPr>
          <w:b/>
          <w:spacing w:val="-11"/>
          <w:sz w:val="24"/>
        </w:rPr>
        <w:t> </w:t>
      </w:r>
      <w:r>
        <w:rPr>
          <w:b/>
          <w:sz w:val="24"/>
        </w:rPr>
        <w:t>ar</w:t>
      </w:r>
      <w:r>
        <w:rPr>
          <w:b/>
          <w:spacing w:val="-12"/>
          <w:sz w:val="24"/>
        </w:rPr>
        <w:t> </w:t>
      </w:r>
      <w:r>
        <w:rPr>
          <w:b/>
          <w:sz w:val="24"/>
        </w:rPr>
        <w:t>maksātnespējas</w:t>
      </w:r>
      <w:r>
        <w:rPr>
          <w:b/>
          <w:spacing w:val="-10"/>
          <w:sz w:val="24"/>
        </w:rPr>
        <w:t> </w:t>
      </w:r>
      <w:r>
        <w:rPr>
          <w:b/>
          <w:sz w:val="24"/>
        </w:rPr>
        <w:t>procesa izbeigšanu. </w:t>
      </w:r>
      <w:r>
        <w:rPr>
          <w:sz w:val="24"/>
        </w:rPr>
        <w:t>Piemēram, Vidzemes rajona tiesa ar 2018.gada 8.augusta nolēmumu lietā</w:t>
      </w:r>
      <w:r>
        <w:rPr>
          <w:spacing w:val="-9"/>
          <w:sz w:val="24"/>
        </w:rPr>
        <w:t> </w:t>
      </w:r>
      <w:r>
        <w:rPr>
          <w:sz w:val="24"/>
        </w:rPr>
        <w:t>Nr.C71152018</w:t>
      </w:r>
      <w:r>
        <w:rPr>
          <w:spacing w:val="-8"/>
          <w:sz w:val="24"/>
        </w:rPr>
        <w:t> </w:t>
      </w:r>
      <w:r>
        <w:rPr>
          <w:sz w:val="24"/>
        </w:rPr>
        <w:t>noraida</w:t>
      </w:r>
      <w:r>
        <w:rPr>
          <w:spacing w:val="-8"/>
          <w:sz w:val="24"/>
        </w:rPr>
        <w:t> </w:t>
      </w:r>
      <w:r>
        <w:rPr>
          <w:sz w:val="24"/>
        </w:rPr>
        <w:t>maksātnespējas</w:t>
      </w:r>
      <w:r>
        <w:rPr>
          <w:spacing w:val="-8"/>
          <w:sz w:val="24"/>
        </w:rPr>
        <w:t> </w:t>
      </w:r>
      <w:r>
        <w:rPr>
          <w:sz w:val="24"/>
        </w:rPr>
        <w:t>procesa</w:t>
      </w:r>
      <w:r>
        <w:rPr>
          <w:spacing w:val="-8"/>
          <w:sz w:val="24"/>
        </w:rPr>
        <w:t> </w:t>
      </w:r>
      <w:r>
        <w:rPr>
          <w:sz w:val="24"/>
        </w:rPr>
        <w:t>administratora</w:t>
      </w:r>
      <w:r>
        <w:rPr>
          <w:spacing w:val="-6"/>
          <w:sz w:val="24"/>
        </w:rPr>
        <w:t> </w:t>
      </w:r>
      <w:r>
        <w:rPr>
          <w:sz w:val="24"/>
        </w:rPr>
        <w:t>pieteikumu</w:t>
      </w:r>
      <w:r>
        <w:rPr>
          <w:spacing w:val="-5"/>
          <w:sz w:val="24"/>
        </w:rPr>
        <w:t> </w:t>
      </w:r>
      <w:r>
        <w:rPr>
          <w:sz w:val="24"/>
        </w:rPr>
        <w:t>par bankrota procedūras un maksātnespējas procesa izbeigšanu. Pieteikums tika iesniegts, jo parādnieks pēdējo trīs gadu laikā atsavināja mantu (dzīvokli Gulbenes novadā,</w:t>
      </w:r>
      <w:r>
        <w:rPr>
          <w:spacing w:val="-16"/>
          <w:sz w:val="24"/>
        </w:rPr>
        <w:t> </w:t>
      </w:r>
      <w:r>
        <w:rPr>
          <w:sz w:val="24"/>
        </w:rPr>
        <w:t>mopēdu,</w:t>
      </w:r>
      <w:r>
        <w:rPr>
          <w:spacing w:val="-13"/>
          <w:sz w:val="24"/>
        </w:rPr>
        <w:t> </w:t>
      </w:r>
      <w:r>
        <w:rPr>
          <w:sz w:val="24"/>
        </w:rPr>
        <w:t>piekabi</w:t>
      </w:r>
      <w:r>
        <w:rPr>
          <w:spacing w:val="-11"/>
          <w:sz w:val="24"/>
        </w:rPr>
        <w:t> </w:t>
      </w:r>
      <w:r>
        <w:rPr>
          <w:sz w:val="24"/>
        </w:rPr>
        <w:t>u.c.),</w:t>
      </w:r>
      <w:r>
        <w:rPr>
          <w:spacing w:val="-12"/>
          <w:sz w:val="24"/>
        </w:rPr>
        <w:t> </w:t>
      </w:r>
      <w:r>
        <w:rPr>
          <w:sz w:val="24"/>
        </w:rPr>
        <w:t>administratora</w:t>
      </w:r>
      <w:r>
        <w:rPr>
          <w:spacing w:val="-13"/>
          <w:sz w:val="24"/>
        </w:rPr>
        <w:t> </w:t>
      </w:r>
      <w:r>
        <w:rPr>
          <w:sz w:val="24"/>
        </w:rPr>
        <w:t>ieskatā,</w:t>
      </w:r>
      <w:r>
        <w:rPr>
          <w:spacing w:val="-13"/>
          <w:sz w:val="24"/>
        </w:rPr>
        <w:t> </w:t>
      </w:r>
      <w:r>
        <w:rPr>
          <w:sz w:val="24"/>
        </w:rPr>
        <w:t>zem</w:t>
      </w:r>
      <w:r>
        <w:rPr>
          <w:spacing w:val="-15"/>
          <w:sz w:val="24"/>
        </w:rPr>
        <w:t> </w:t>
      </w:r>
      <w:r>
        <w:rPr>
          <w:sz w:val="24"/>
        </w:rPr>
        <w:t>tirgus</w:t>
      </w:r>
      <w:r>
        <w:rPr>
          <w:spacing w:val="-12"/>
          <w:sz w:val="24"/>
        </w:rPr>
        <w:t> </w:t>
      </w:r>
      <w:r>
        <w:rPr>
          <w:sz w:val="24"/>
        </w:rPr>
        <w:t>vērtības.</w:t>
      </w:r>
      <w:r>
        <w:rPr>
          <w:spacing w:val="-13"/>
          <w:sz w:val="24"/>
        </w:rPr>
        <w:t> </w:t>
      </w:r>
      <w:r>
        <w:rPr>
          <w:sz w:val="24"/>
        </w:rPr>
        <w:t>Savukārt saņemtie naudas līdzekļi izlietoti personīgām vajadzībām. Parādnieks sniedzis paskaidrojumus, ka saistībā ar viņam piederējušā uzņēmuma nonākšanu finanšu grūtībās</w:t>
      </w:r>
      <w:r>
        <w:rPr>
          <w:spacing w:val="-12"/>
          <w:sz w:val="24"/>
        </w:rPr>
        <w:t> </w:t>
      </w:r>
      <w:r>
        <w:rPr>
          <w:sz w:val="24"/>
        </w:rPr>
        <w:t>esot</w:t>
      </w:r>
      <w:r>
        <w:rPr>
          <w:spacing w:val="-11"/>
          <w:sz w:val="24"/>
        </w:rPr>
        <w:t> </w:t>
      </w:r>
      <w:r>
        <w:rPr>
          <w:sz w:val="24"/>
        </w:rPr>
        <w:t>ieguvis</w:t>
      </w:r>
      <w:r>
        <w:rPr>
          <w:spacing w:val="-13"/>
          <w:sz w:val="24"/>
        </w:rPr>
        <w:t> </w:t>
      </w:r>
      <w:r>
        <w:rPr>
          <w:sz w:val="24"/>
        </w:rPr>
        <w:t>bezdarbnieka</w:t>
      </w:r>
      <w:r>
        <w:rPr>
          <w:spacing w:val="-13"/>
          <w:sz w:val="24"/>
        </w:rPr>
        <w:t> </w:t>
      </w:r>
      <w:r>
        <w:rPr>
          <w:sz w:val="24"/>
        </w:rPr>
        <w:t>statusu</w:t>
      </w:r>
      <w:r>
        <w:rPr>
          <w:spacing w:val="-13"/>
          <w:sz w:val="24"/>
        </w:rPr>
        <w:t> </w:t>
      </w:r>
      <w:r>
        <w:rPr>
          <w:sz w:val="24"/>
        </w:rPr>
        <w:t>un</w:t>
      </w:r>
      <w:r>
        <w:rPr>
          <w:spacing w:val="-13"/>
          <w:sz w:val="24"/>
        </w:rPr>
        <w:t> </w:t>
      </w:r>
      <w:r>
        <w:rPr>
          <w:sz w:val="24"/>
        </w:rPr>
        <w:t>bijis</w:t>
      </w:r>
      <w:r>
        <w:rPr>
          <w:spacing w:val="-12"/>
          <w:sz w:val="24"/>
        </w:rPr>
        <w:t> </w:t>
      </w:r>
      <w:r>
        <w:rPr>
          <w:sz w:val="24"/>
        </w:rPr>
        <w:t>spiests</w:t>
      </w:r>
      <w:r>
        <w:rPr>
          <w:spacing w:val="-11"/>
          <w:sz w:val="24"/>
        </w:rPr>
        <w:t> </w:t>
      </w:r>
      <w:r>
        <w:rPr>
          <w:sz w:val="24"/>
        </w:rPr>
        <w:t>pārdot</w:t>
      </w:r>
      <w:r>
        <w:rPr>
          <w:spacing w:val="-11"/>
          <w:sz w:val="24"/>
        </w:rPr>
        <w:t> </w:t>
      </w:r>
      <w:r>
        <w:rPr>
          <w:sz w:val="24"/>
        </w:rPr>
        <w:t>mantu,</w:t>
      </w:r>
      <w:r>
        <w:rPr>
          <w:spacing w:val="-14"/>
          <w:sz w:val="24"/>
        </w:rPr>
        <w:t> </w:t>
      </w:r>
      <w:r>
        <w:rPr>
          <w:sz w:val="24"/>
        </w:rPr>
        <w:t>kura</w:t>
      </w:r>
      <w:r>
        <w:rPr>
          <w:spacing w:val="-13"/>
          <w:sz w:val="24"/>
        </w:rPr>
        <w:t> </w:t>
      </w:r>
      <w:r>
        <w:rPr>
          <w:sz w:val="24"/>
        </w:rPr>
        <w:t>pašam nebija nepieciešama. Naudas līdzekļi bija nepieciešami iztikai, veselības problēmu risināšanai (iesniegti pierādījumi), kā arī lai samaksātu valsts nodevu un depozītu maksātnespējas pasludināšanai. Tiesa norāda: “Samērojot kreditoru prasījumu apmēru ar minētajos darījumos iegūto summu, kā arī izvērtējot parādnieka maksātnespējas iestāšanās cēloni, nav nekāda tiesiska pamata uzskatīt, ka tieši šo darījumu noslēgšanas rezultātā būtu iestājusies parādnieka maksātnespēja. … Attiecībā uz to, ir vai nav darījumu noslēgšanas nodarīti zaudējumi kreditoriem, tiesa atzīst, ka nav strīda par to, ka no darījumiem saņemtie līdzekļi netika nodoti kreditoriem.</w:t>
      </w:r>
      <w:r>
        <w:rPr>
          <w:spacing w:val="-11"/>
          <w:sz w:val="24"/>
        </w:rPr>
        <w:t> </w:t>
      </w:r>
      <w:r>
        <w:rPr>
          <w:sz w:val="24"/>
        </w:rPr>
        <w:t>Taču</w:t>
      </w:r>
      <w:r>
        <w:rPr>
          <w:spacing w:val="-10"/>
          <w:sz w:val="24"/>
        </w:rPr>
        <w:t> </w:t>
      </w:r>
      <w:r>
        <w:rPr>
          <w:sz w:val="24"/>
        </w:rPr>
        <w:t>no</w:t>
      </w:r>
      <w:r>
        <w:rPr>
          <w:spacing w:val="-10"/>
          <w:sz w:val="24"/>
        </w:rPr>
        <w:t> </w:t>
      </w:r>
      <w:r>
        <w:rPr>
          <w:sz w:val="24"/>
        </w:rPr>
        <w:t>tā</w:t>
      </w:r>
      <w:r>
        <w:rPr>
          <w:spacing w:val="-10"/>
          <w:sz w:val="24"/>
        </w:rPr>
        <w:t> </w:t>
      </w:r>
      <w:r>
        <w:rPr>
          <w:sz w:val="24"/>
        </w:rPr>
        <w:t>vien</w:t>
      </w:r>
      <w:r>
        <w:rPr>
          <w:spacing w:val="-10"/>
          <w:sz w:val="24"/>
        </w:rPr>
        <w:t> </w:t>
      </w:r>
      <w:r>
        <w:rPr>
          <w:sz w:val="24"/>
        </w:rPr>
        <w:t>nevar</w:t>
      </w:r>
      <w:r>
        <w:rPr>
          <w:spacing w:val="-10"/>
          <w:sz w:val="24"/>
        </w:rPr>
        <w:t> </w:t>
      </w:r>
      <w:r>
        <w:rPr>
          <w:sz w:val="24"/>
        </w:rPr>
        <w:t>konstatēt</w:t>
      </w:r>
      <w:r>
        <w:rPr>
          <w:spacing w:val="-10"/>
          <w:sz w:val="24"/>
        </w:rPr>
        <w:t> </w:t>
      </w:r>
      <w:r>
        <w:rPr>
          <w:sz w:val="24"/>
        </w:rPr>
        <w:t>zaudējumu</w:t>
      </w:r>
      <w:r>
        <w:rPr>
          <w:spacing w:val="-10"/>
          <w:sz w:val="24"/>
        </w:rPr>
        <w:t> </w:t>
      </w:r>
      <w:r>
        <w:rPr>
          <w:sz w:val="24"/>
        </w:rPr>
        <w:t>nodarīšanas</w:t>
      </w:r>
      <w:r>
        <w:rPr>
          <w:spacing w:val="-12"/>
          <w:sz w:val="24"/>
        </w:rPr>
        <w:t> </w:t>
      </w:r>
      <w:r>
        <w:rPr>
          <w:sz w:val="24"/>
        </w:rPr>
        <w:t>faktu.</w:t>
      </w:r>
      <w:r>
        <w:rPr>
          <w:spacing w:val="-10"/>
          <w:sz w:val="24"/>
        </w:rPr>
        <w:t> </w:t>
      </w:r>
      <w:r>
        <w:rPr>
          <w:sz w:val="24"/>
        </w:rPr>
        <w:t>…</w:t>
      </w:r>
      <w:r>
        <w:rPr>
          <w:spacing w:val="-10"/>
          <w:sz w:val="24"/>
        </w:rPr>
        <w:t> </w:t>
      </w:r>
      <w:r>
        <w:rPr>
          <w:sz w:val="24"/>
        </w:rPr>
        <w:t>Tiesa atzīst,</w:t>
      </w:r>
      <w:r>
        <w:rPr>
          <w:spacing w:val="-16"/>
          <w:sz w:val="24"/>
        </w:rPr>
        <w:t> </w:t>
      </w:r>
      <w:r>
        <w:rPr>
          <w:sz w:val="24"/>
        </w:rPr>
        <w:t>ka</w:t>
      </w:r>
      <w:r>
        <w:rPr>
          <w:spacing w:val="-15"/>
          <w:sz w:val="24"/>
        </w:rPr>
        <w:t> </w:t>
      </w:r>
      <w:r>
        <w:rPr>
          <w:sz w:val="24"/>
        </w:rPr>
        <w:t>arī</w:t>
      </w:r>
      <w:r>
        <w:rPr>
          <w:spacing w:val="-17"/>
          <w:sz w:val="24"/>
        </w:rPr>
        <w:t> </w:t>
      </w:r>
      <w:r>
        <w:rPr>
          <w:sz w:val="24"/>
        </w:rPr>
        <w:t>maksātnespējas</w:t>
      </w:r>
      <w:r>
        <w:rPr>
          <w:spacing w:val="-15"/>
          <w:sz w:val="24"/>
        </w:rPr>
        <w:t> </w:t>
      </w:r>
      <w:r>
        <w:rPr>
          <w:sz w:val="24"/>
        </w:rPr>
        <w:t>pieteikuma</w:t>
      </w:r>
      <w:r>
        <w:rPr>
          <w:spacing w:val="-13"/>
          <w:sz w:val="24"/>
        </w:rPr>
        <w:t> </w:t>
      </w:r>
      <w:r>
        <w:rPr>
          <w:sz w:val="24"/>
        </w:rPr>
        <w:t>iesniegšanai,</w:t>
      </w:r>
      <w:r>
        <w:rPr>
          <w:spacing w:val="-16"/>
          <w:sz w:val="24"/>
        </w:rPr>
        <w:t> </w:t>
      </w:r>
      <w:r>
        <w:rPr>
          <w:sz w:val="24"/>
        </w:rPr>
        <w:t>t.i.</w:t>
      </w:r>
      <w:r>
        <w:rPr>
          <w:spacing w:val="-15"/>
          <w:sz w:val="24"/>
        </w:rPr>
        <w:t> </w:t>
      </w:r>
      <w:r>
        <w:rPr>
          <w:sz w:val="24"/>
        </w:rPr>
        <w:t>valsts</w:t>
      </w:r>
      <w:r>
        <w:rPr>
          <w:spacing w:val="-12"/>
          <w:sz w:val="24"/>
        </w:rPr>
        <w:t> </w:t>
      </w:r>
      <w:r>
        <w:rPr>
          <w:sz w:val="24"/>
        </w:rPr>
        <w:t>nodevas</w:t>
      </w:r>
      <w:r>
        <w:rPr>
          <w:spacing w:val="-15"/>
          <w:sz w:val="24"/>
        </w:rPr>
        <w:t> </w:t>
      </w:r>
      <w:r>
        <w:rPr>
          <w:sz w:val="24"/>
        </w:rPr>
        <w:t>un</w:t>
      </w:r>
      <w:r>
        <w:rPr>
          <w:spacing w:val="-12"/>
          <w:sz w:val="24"/>
        </w:rPr>
        <w:t> </w:t>
      </w:r>
      <w:r>
        <w:rPr>
          <w:sz w:val="24"/>
        </w:rPr>
        <w:t>depozīta nomaksai ir nepieciešami ievērojami naudas</w:t>
      </w:r>
      <w:r>
        <w:rPr>
          <w:spacing w:val="-1"/>
          <w:sz w:val="24"/>
        </w:rPr>
        <w:t> </w:t>
      </w:r>
      <w:r>
        <w:rPr>
          <w:sz w:val="24"/>
        </w:rPr>
        <w:t>līdzekļi.”</w:t>
      </w:r>
      <w:r>
        <w:rPr>
          <w:position w:val="9"/>
          <w:sz w:val="16"/>
        </w:rPr>
        <w:t>222</w:t>
      </w:r>
    </w:p>
    <w:p>
      <w:pPr>
        <w:pStyle w:val="BodyText"/>
        <w:spacing w:before="9"/>
        <w:jc w:val="left"/>
        <w:rPr>
          <w:sz w:val="10"/>
        </w:rPr>
      </w:pPr>
      <w:r>
        <w:rPr/>
        <w:pict>
          <v:shape style="position:absolute;margin-left:90pt;margin-top:8.489004pt;width:144pt;height:.1pt;mso-position-horizontal-relative:page;mso-position-vertical-relative:paragraph;z-index:-251607040;mso-wrap-distance-left:0;mso-wrap-distance-right:0" coordorigin="1800,170" coordsize="2880,0" path="m1800,170l4680,170e" filled="false" stroked="true" strokeweight=".600037pt" strokecolor="#000000">
            <v:path arrowok="t"/>
            <v:stroke dashstyle="solid"/>
            <w10:wrap type="topAndBottom"/>
          </v:shape>
        </w:pict>
      </w:r>
    </w:p>
    <w:p>
      <w:pPr>
        <w:spacing w:line="233" w:lineRule="exact" w:before="70"/>
        <w:ind w:left="620" w:right="0" w:firstLine="0"/>
        <w:jc w:val="left"/>
        <w:rPr>
          <w:sz w:val="20"/>
        </w:rPr>
      </w:pPr>
      <w:r>
        <w:rPr>
          <w:position w:val="7"/>
          <w:sz w:val="13"/>
        </w:rPr>
        <w:t>220 </w:t>
      </w:r>
      <w:r>
        <w:rPr>
          <w:sz w:val="20"/>
        </w:rPr>
        <w:t>Rīgas pilsētas Vidzemes priekšpilsētas tiesas 2017.gada 3.maija nolēmums lietā Nr. C30631214</w:t>
      </w:r>
    </w:p>
    <w:p>
      <w:pPr>
        <w:spacing w:line="230" w:lineRule="exact" w:before="0"/>
        <w:ind w:left="620" w:right="0" w:firstLine="0"/>
        <w:jc w:val="left"/>
        <w:rPr>
          <w:sz w:val="20"/>
        </w:rPr>
      </w:pPr>
      <w:r>
        <w:rPr>
          <w:position w:val="7"/>
          <w:sz w:val="13"/>
        </w:rPr>
        <w:t>221 </w:t>
      </w:r>
      <w:r>
        <w:rPr>
          <w:sz w:val="20"/>
        </w:rPr>
        <w:t>Rīgas pilsētas Vidzemes priekšpilsētas tiesas 2017.gada 11.decembra nolēmums lietā Nr. C30572117</w:t>
      </w:r>
    </w:p>
    <w:p>
      <w:pPr>
        <w:spacing w:line="233" w:lineRule="exact" w:before="0"/>
        <w:ind w:left="620" w:right="0" w:firstLine="0"/>
        <w:jc w:val="left"/>
        <w:rPr>
          <w:sz w:val="20"/>
        </w:rPr>
      </w:pPr>
      <w:r>
        <w:rPr>
          <w:position w:val="7"/>
          <w:sz w:val="13"/>
        </w:rPr>
        <w:t>222 </w:t>
      </w:r>
      <w:r>
        <w:rPr>
          <w:sz w:val="20"/>
        </w:rPr>
        <w:t>Vidzemes rajona tiesas 2018.gada 8.augusta nolēmums lietā Nr. C71152018</w:t>
      </w:r>
    </w:p>
    <w:p>
      <w:pPr>
        <w:spacing w:after="0" w:line="233" w:lineRule="exact"/>
        <w:jc w:val="left"/>
        <w:rPr>
          <w:sz w:val="20"/>
        </w:rPr>
        <w:sectPr>
          <w:pgSz w:w="11910" w:h="16840"/>
          <w:pgMar w:header="0" w:footer="1055" w:top="1340" w:bottom="1240" w:left="1180" w:right="1040"/>
        </w:sectPr>
      </w:pPr>
    </w:p>
    <w:p>
      <w:pPr>
        <w:pStyle w:val="ListParagraph"/>
        <w:numPr>
          <w:ilvl w:val="2"/>
          <w:numId w:val="42"/>
        </w:numPr>
        <w:tabs>
          <w:tab w:pos="980" w:val="left" w:leader="none"/>
        </w:tabs>
        <w:spacing w:line="237" w:lineRule="auto" w:before="111" w:after="0"/>
        <w:ind w:left="980" w:right="762" w:hanging="360"/>
        <w:jc w:val="both"/>
        <w:rPr>
          <w:sz w:val="24"/>
        </w:rPr>
      </w:pPr>
      <w:r>
        <w:rPr>
          <w:b/>
          <w:sz w:val="24"/>
        </w:rPr>
        <w:t>Parādnieka un kreditora interešu samērīgums. </w:t>
      </w:r>
      <w:r>
        <w:rPr>
          <w:sz w:val="24"/>
        </w:rPr>
        <w:t>Pamatojoties uz prokurora iesniegto   protestu,   ar   Augstākās   tiesas    Civillietu    departamenta   2017.gada 16.februāra lēmumu lietā Nr.C37101714 (SPC-5/2017)</w:t>
      </w:r>
      <w:r>
        <w:rPr>
          <w:position w:val="9"/>
          <w:sz w:val="16"/>
        </w:rPr>
        <w:t>223 </w:t>
      </w:r>
      <w:r>
        <w:rPr>
          <w:sz w:val="24"/>
        </w:rPr>
        <w:t>tika atcelts Tukuma</w:t>
      </w:r>
      <w:r>
        <w:rPr>
          <w:spacing w:val="-13"/>
          <w:sz w:val="24"/>
        </w:rPr>
        <w:t> </w:t>
      </w:r>
      <w:r>
        <w:rPr>
          <w:sz w:val="24"/>
        </w:rPr>
        <w:t>rajona</w:t>
      </w:r>
      <w:r>
        <w:rPr>
          <w:spacing w:val="-16"/>
          <w:sz w:val="24"/>
        </w:rPr>
        <w:t> </w:t>
      </w:r>
      <w:r>
        <w:rPr>
          <w:sz w:val="24"/>
        </w:rPr>
        <w:t>tiesas</w:t>
      </w:r>
      <w:r>
        <w:rPr>
          <w:spacing w:val="-16"/>
          <w:sz w:val="24"/>
        </w:rPr>
        <w:t> </w:t>
      </w:r>
      <w:r>
        <w:rPr>
          <w:sz w:val="24"/>
        </w:rPr>
        <w:t>2016.gada</w:t>
      </w:r>
      <w:r>
        <w:rPr>
          <w:spacing w:val="-13"/>
          <w:sz w:val="24"/>
        </w:rPr>
        <w:t> </w:t>
      </w:r>
      <w:r>
        <w:rPr>
          <w:sz w:val="24"/>
        </w:rPr>
        <w:t>7.marta</w:t>
      </w:r>
      <w:r>
        <w:rPr>
          <w:spacing w:val="-12"/>
          <w:sz w:val="24"/>
        </w:rPr>
        <w:t> </w:t>
      </w:r>
      <w:r>
        <w:rPr>
          <w:sz w:val="24"/>
        </w:rPr>
        <w:t>lēmums</w:t>
      </w:r>
      <w:r>
        <w:rPr>
          <w:spacing w:val="-13"/>
          <w:sz w:val="24"/>
        </w:rPr>
        <w:t> </w:t>
      </w:r>
      <w:r>
        <w:rPr>
          <w:sz w:val="24"/>
        </w:rPr>
        <w:t>daļā,</w:t>
      </w:r>
      <w:r>
        <w:rPr>
          <w:spacing w:val="-16"/>
          <w:sz w:val="24"/>
        </w:rPr>
        <w:t> </w:t>
      </w:r>
      <w:r>
        <w:rPr>
          <w:sz w:val="24"/>
        </w:rPr>
        <w:t>ar</w:t>
      </w:r>
      <w:r>
        <w:rPr>
          <w:spacing w:val="-12"/>
          <w:sz w:val="24"/>
        </w:rPr>
        <w:t> </w:t>
      </w:r>
      <w:r>
        <w:rPr>
          <w:sz w:val="24"/>
        </w:rPr>
        <w:t>kuru</w:t>
      </w:r>
      <w:r>
        <w:rPr>
          <w:spacing w:val="-16"/>
          <w:sz w:val="24"/>
        </w:rPr>
        <w:t> </w:t>
      </w:r>
      <w:r>
        <w:rPr>
          <w:sz w:val="24"/>
        </w:rPr>
        <w:t>noraidīts</w:t>
      </w:r>
      <w:r>
        <w:rPr>
          <w:spacing w:val="-11"/>
          <w:sz w:val="24"/>
        </w:rPr>
        <w:t> </w:t>
      </w:r>
      <w:r>
        <w:rPr>
          <w:sz w:val="24"/>
        </w:rPr>
        <w:t>parādnieces pieteikums par viņas atbrīvošanu no saistību dzēšanas plānā paredzētajām atlikušajām saistībām, un pieteikums šajā daļā nodots jaunai izskatīšanai. Šajā</w:t>
      </w:r>
      <w:r>
        <w:rPr>
          <w:spacing w:val="-38"/>
          <w:sz w:val="24"/>
        </w:rPr>
        <w:t> </w:t>
      </w:r>
      <w:r>
        <w:rPr>
          <w:sz w:val="24"/>
        </w:rPr>
        <w:t>lietā rajona tiesa nebija rūpīgi izvērtējusi lietas faktiskos un tiesiskos apstākļus, no kuriem</w:t>
      </w:r>
      <w:r>
        <w:rPr>
          <w:spacing w:val="-6"/>
          <w:sz w:val="24"/>
        </w:rPr>
        <w:t> </w:t>
      </w:r>
      <w:r>
        <w:rPr>
          <w:sz w:val="24"/>
        </w:rPr>
        <w:t>bija</w:t>
      </w:r>
      <w:r>
        <w:rPr>
          <w:spacing w:val="-5"/>
          <w:sz w:val="24"/>
        </w:rPr>
        <w:t> </w:t>
      </w:r>
      <w:r>
        <w:rPr>
          <w:sz w:val="24"/>
        </w:rPr>
        <w:t>redzams,</w:t>
      </w:r>
      <w:r>
        <w:rPr>
          <w:spacing w:val="-6"/>
          <w:sz w:val="24"/>
        </w:rPr>
        <w:t> </w:t>
      </w:r>
      <w:r>
        <w:rPr>
          <w:sz w:val="24"/>
        </w:rPr>
        <w:t>ka</w:t>
      </w:r>
      <w:r>
        <w:rPr>
          <w:spacing w:val="-3"/>
          <w:sz w:val="24"/>
        </w:rPr>
        <w:t> </w:t>
      </w:r>
      <w:r>
        <w:rPr>
          <w:sz w:val="24"/>
        </w:rPr>
        <w:t>parādniece</w:t>
      </w:r>
      <w:r>
        <w:rPr>
          <w:spacing w:val="-6"/>
          <w:sz w:val="24"/>
        </w:rPr>
        <w:t> </w:t>
      </w:r>
      <w:r>
        <w:rPr>
          <w:sz w:val="24"/>
        </w:rPr>
        <w:t>ir</w:t>
      </w:r>
      <w:r>
        <w:rPr>
          <w:spacing w:val="-4"/>
          <w:sz w:val="24"/>
        </w:rPr>
        <w:t> </w:t>
      </w:r>
      <w:r>
        <w:rPr>
          <w:sz w:val="24"/>
        </w:rPr>
        <w:t>izpildījusi</w:t>
      </w:r>
      <w:r>
        <w:rPr>
          <w:spacing w:val="-6"/>
          <w:sz w:val="24"/>
        </w:rPr>
        <w:t> </w:t>
      </w:r>
      <w:r>
        <w:rPr>
          <w:sz w:val="24"/>
        </w:rPr>
        <w:t>saistību</w:t>
      </w:r>
      <w:r>
        <w:rPr>
          <w:spacing w:val="-5"/>
          <w:sz w:val="24"/>
        </w:rPr>
        <w:t> </w:t>
      </w:r>
      <w:r>
        <w:rPr>
          <w:sz w:val="24"/>
        </w:rPr>
        <w:t>dzēšanas</w:t>
      </w:r>
      <w:r>
        <w:rPr>
          <w:spacing w:val="-7"/>
          <w:sz w:val="24"/>
        </w:rPr>
        <w:t> </w:t>
      </w:r>
      <w:r>
        <w:rPr>
          <w:sz w:val="24"/>
        </w:rPr>
        <w:t>plānu</w:t>
      </w:r>
      <w:r>
        <w:rPr>
          <w:spacing w:val="-6"/>
          <w:sz w:val="24"/>
        </w:rPr>
        <w:t> </w:t>
      </w:r>
      <w:r>
        <w:rPr>
          <w:sz w:val="24"/>
        </w:rPr>
        <w:t>un</w:t>
      </w:r>
      <w:r>
        <w:rPr>
          <w:spacing w:val="-3"/>
          <w:sz w:val="24"/>
        </w:rPr>
        <w:t> </w:t>
      </w:r>
      <w:r>
        <w:rPr>
          <w:sz w:val="24"/>
        </w:rPr>
        <w:t>veikusi saistību dzēšanas plānā norādītos maksājumus</w:t>
      </w:r>
      <w:r>
        <w:rPr>
          <w:spacing w:val="-6"/>
          <w:sz w:val="24"/>
        </w:rPr>
        <w:t> </w:t>
      </w:r>
      <w:r>
        <w:rPr>
          <w:sz w:val="24"/>
        </w:rPr>
        <w:t>kreditoriem.</w:t>
      </w:r>
    </w:p>
    <w:p>
      <w:pPr>
        <w:pStyle w:val="BodyText"/>
        <w:spacing w:before="8"/>
        <w:jc w:val="left"/>
      </w:pPr>
    </w:p>
    <w:p>
      <w:pPr>
        <w:pStyle w:val="BodyText"/>
        <w:ind w:left="967" w:right="761" w:firstLine="12"/>
      </w:pPr>
      <w:r>
        <w:rPr/>
        <w:t>Civillietu departaments secināja, ka tiesa nav noskaidrojusi un izvērtējusi tos likumā noteiktos apstākļus, kuriem ir būtiska nozīme tiesiska un pamatota lēmuma taisīšanā par fiziskās personas atbrīvošanu no saistību dzēšanas plānā norādītajām atlikušajām saistībām, kā arī nav ievērojusi Civilprocesa likuma 97.panta prasības par pierādījumu vispusīgu, pilnīgu un objektīvu pārbaudi. Šis procesuālo tiesību normu pārkāpums uzskatāms par būtisku, jo novedis pie lietas nepareizas izspriešanas, ar ko nepamatoti personai liegtas tiesības uz saistību dzēšanu Maksātnespējas likumā paredzētajā kārtībā.</w:t>
      </w:r>
    </w:p>
    <w:p>
      <w:pPr>
        <w:pStyle w:val="BodyText"/>
        <w:jc w:val="left"/>
      </w:pPr>
    </w:p>
    <w:p>
      <w:pPr>
        <w:pStyle w:val="BodyText"/>
        <w:ind w:left="967" w:right="764"/>
      </w:pPr>
      <w:r>
        <w:rPr/>
        <w:t>Civillietu departaments norādīja, ka tiesai, lemjot par fiziskas personas</w:t>
      </w:r>
      <w:r>
        <w:rPr>
          <w:spacing w:val="-38"/>
        </w:rPr>
        <w:t> </w:t>
      </w:r>
      <w:r>
        <w:rPr/>
        <w:t>atbrīvošanu vai</w:t>
      </w:r>
      <w:r>
        <w:rPr>
          <w:spacing w:val="-6"/>
        </w:rPr>
        <w:t> </w:t>
      </w:r>
      <w:r>
        <w:rPr/>
        <w:t>neatbrīvošanu</w:t>
      </w:r>
      <w:r>
        <w:rPr>
          <w:spacing w:val="-5"/>
        </w:rPr>
        <w:t> </w:t>
      </w:r>
      <w:r>
        <w:rPr/>
        <w:t>no</w:t>
      </w:r>
      <w:r>
        <w:rPr>
          <w:spacing w:val="-6"/>
        </w:rPr>
        <w:t> </w:t>
      </w:r>
      <w:r>
        <w:rPr/>
        <w:t>saistību</w:t>
      </w:r>
      <w:r>
        <w:rPr>
          <w:spacing w:val="-5"/>
        </w:rPr>
        <w:t> </w:t>
      </w:r>
      <w:r>
        <w:rPr/>
        <w:t>dzēšanas</w:t>
      </w:r>
      <w:r>
        <w:rPr>
          <w:spacing w:val="-8"/>
        </w:rPr>
        <w:t> </w:t>
      </w:r>
      <w:r>
        <w:rPr/>
        <w:t>plānā</w:t>
      </w:r>
      <w:r>
        <w:rPr>
          <w:spacing w:val="-8"/>
        </w:rPr>
        <w:t> </w:t>
      </w:r>
      <w:r>
        <w:rPr/>
        <w:t>atlikušajām</w:t>
      </w:r>
      <w:r>
        <w:rPr>
          <w:spacing w:val="-7"/>
        </w:rPr>
        <w:t> </w:t>
      </w:r>
      <w:r>
        <w:rPr/>
        <w:t>saistībām,</w:t>
      </w:r>
      <w:r>
        <w:rPr>
          <w:spacing w:val="-6"/>
        </w:rPr>
        <w:t> </w:t>
      </w:r>
      <w:r>
        <w:rPr/>
        <w:t>rūpīgi</w:t>
      </w:r>
      <w:r>
        <w:rPr>
          <w:spacing w:val="-5"/>
        </w:rPr>
        <w:t> </w:t>
      </w:r>
      <w:r>
        <w:rPr/>
        <w:t>jāizvērtē lietas</w:t>
      </w:r>
      <w:r>
        <w:rPr>
          <w:spacing w:val="-16"/>
        </w:rPr>
        <w:t> </w:t>
      </w:r>
      <w:r>
        <w:rPr/>
        <w:t>faktiskie</w:t>
      </w:r>
      <w:r>
        <w:rPr>
          <w:spacing w:val="-16"/>
        </w:rPr>
        <w:t> </w:t>
      </w:r>
      <w:r>
        <w:rPr/>
        <w:t>un</w:t>
      </w:r>
      <w:r>
        <w:rPr>
          <w:spacing w:val="-15"/>
        </w:rPr>
        <w:t> </w:t>
      </w:r>
      <w:r>
        <w:rPr/>
        <w:t>tiesiskie</w:t>
      </w:r>
      <w:r>
        <w:rPr>
          <w:spacing w:val="-16"/>
        </w:rPr>
        <w:t> </w:t>
      </w:r>
      <w:r>
        <w:rPr/>
        <w:t>apstākļi,</w:t>
      </w:r>
      <w:r>
        <w:rPr>
          <w:spacing w:val="-16"/>
        </w:rPr>
        <w:t> </w:t>
      </w:r>
      <w:r>
        <w:rPr/>
        <w:t>kā</w:t>
      </w:r>
      <w:r>
        <w:rPr>
          <w:spacing w:val="-15"/>
        </w:rPr>
        <w:t> </w:t>
      </w:r>
      <w:r>
        <w:rPr/>
        <w:t>arī</w:t>
      </w:r>
      <w:r>
        <w:rPr>
          <w:spacing w:val="-16"/>
        </w:rPr>
        <w:t> </w:t>
      </w:r>
      <w:r>
        <w:rPr/>
        <w:t>samērīgums</w:t>
      </w:r>
      <w:r>
        <w:rPr>
          <w:spacing w:val="-15"/>
        </w:rPr>
        <w:t> </w:t>
      </w:r>
      <w:r>
        <w:rPr/>
        <w:t>starp</w:t>
      </w:r>
      <w:r>
        <w:rPr>
          <w:spacing w:val="-16"/>
        </w:rPr>
        <w:t> </w:t>
      </w:r>
      <w:r>
        <w:rPr/>
        <w:t>parādnieka</w:t>
      </w:r>
      <w:r>
        <w:rPr>
          <w:spacing w:val="-18"/>
        </w:rPr>
        <w:t> </w:t>
      </w:r>
      <w:r>
        <w:rPr/>
        <w:t>un</w:t>
      </w:r>
      <w:r>
        <w:rPr>
          <w:spacing w:val="-10"/>
        </w:rPr>
        <w:t> </w:t>
      </w:r>
      <w:r>
        <w:rPr/>
        <w:t>kreditoru interesēm, ievērojot fiziskas personas maksātnespējas procesa mērķi un iesaistīto personu labticību, kas konkrētajā gadījumā nav</w:t>
      </w:r>
      <w:r>
        <w:rPr>
          <w:spacing w:val="-5"/>
        </w:rPr>
        <w:t> </w:t>
      </w:r>
      <w:r>
        <w:rPr/>
        <w:t>izdarīts.</w:t>
      </w:r>
    </w:p>
    <w:p>
      <w:pPr>
        <w:pStyle w:val="BodyText"/>
        <w:spacing w:before="5"/>
        <w:jc w:val="left"/>
      </w:pPr>
    </w:p>
    <w:p>
      <w:pPr>
        <w:pStyle w:val="ListParagraph"/>
        <w:numPr>
          <w:ilvl w:val="2"/>
          <w:numId w:val="42"/>
        </w:numPr>
        <w:tabs>
          <w:tab w:pos="980" w:val="left" w:leader="none"/>
        </w:tabs>
        <w:spacing w:line="240" w:lineRule="auto" w:before="0" w:after="0"/>
        <w:ind w:left="980" w:right="760" w:hanging="360"/>
        <w:jc w:val="both"/>
        <w:rPr>
          <w:sz w:val="24"/>
        </w:rPr>
      </w:pPr>
      <w:r>
        <w:rPr>
          <w:b/>
          <w:sz w:val="24"/>
        </w:rPr>
        <w:t>Mazāku maksājumu veikšana par saistību dzēšanas plānā norādīto (saistībā ar ienākumu samazināšanos). </w:t>
      </w:r>
      <w:r>
        <w:rPr>
          <w:sz w:val="24"/>
        </w:rPr>
        <w:t>Pamatojoties uz prokurora iesniegto protestu, ar Augstākās</w:t>
      </w:r>
      <w:r>
        <w:rPr>
          <w:spacing w:val="-11"/>
          <w:sz w:val="24"/>
        </w:rPr>
        <w:t> </w:t>
      </w:r>
      <w:r>
        <w:rPr>
          <w:sz w:val="24"/>
        </w:rPr>
        <w:t>tiesas</w:t>
      </w:r>
      <w:r>
        <w:rPr>
          <w:spacing w:val="-9"/>
          <w:sz w:val="24"/>
        </w:rPr>
        <w:t> </w:t>
      </w:r>
      <w:r>
        <w:rPr>
          <w:sz w:val="24"/>
        </w:rPr>
        <w:t>Civillietu</w:t>
      </w:r>
      <w:r>
        <w:rPr>
          <w:spacing w:val="-9"/>
          <w:sz w:val="24"/>
        </w:rPr>
        <w:t> </w:t>
      </w:r>
      <w:r>
        <w:rPr>
          <w:sz w:val="24"/>
        </w:rPr>
        <w:t>departamenta</w:t>
      </w:r>
      <w:r>
        <w:rPr>
          <w:spacing w:val="-8"/>
          <w:sz w:val="24"/>
        </w:rPr>
        <w:t> </w:t>
      </w:r>
      <w:r>
        <w:rPr>
          <w:sz w:val="24"/>
        </w:rPr>
        <w:t>2017.gada</w:t>
      </w:r>
      <w:r>
        <w:rPr>
          <w:spacing w:val="-9"/>
          <w:sz w:val="24"/>
        </w:rPr>
        <w:t> </w:t>
      </w:r>
      <w:r>
        <w:rPr>
          <w:sz w:val="24"/>
        </w:rPr>
        <w:t>28.septembra</w:t>
      </w:r>
      <w:r>
        <w:rPr>
          <w:spacing w:val="-12"/>
          <w:sz w:val="24"/>
        </w:rPr>
        <w:t> </w:t>
      </w:r>
      <w:r>
        <w:rPr>
          <w:sz w:val="24"/>
        </w:rPr>
        <w:t>lēmumu</w:t>
      </w:r>
      <w:r>
        <w:rPr>
          <w:spacing w:val="-8"/>
          <w:sz w:val="24"/>
        </w:rPr>
        <w:t> </w:t>
      </w:r>
      <w:r>
        <w:rPr>
          <w:sz w:val="24"/>
        </w:rPr>
        <w:t>lietā</w:t>
      </w:r>
      <w:r>
        <w:rPr>
          <w:spacing w:val="-11"/>
          <w:sz w:val="24"/>
        </w:rPr>
        <w:t> </w:t>
      </w:r>
      <w:r>
        <w:rPr>
          <w:sz w:val="24"/>
        </w:rPr>
        <w:t>Nr. C33459812</w:t>
      </w:r>
      <w:r>
        <w:rPr>
          <w:spacing w:val="-11"/>
          <w:sz w:val="24"/>
        </w:rPr>
        <w:t> </w:t>
      </w:r>
      <w:r>
        <w:rPr>
          <w:sz w:val="24"/>
        </w:rPr>
        <w:t>(SKC-19/2017)</w:t>
      </w:r>
      <w:r>
        <w:rPr>
          <w:position w:val="9"/>
          <w:sz w:val="16"/>
        </w:rPr>
        <w:t>224</w:t>
      </w:r>
      <w:r>
        <w:rPr>
          <w:spacing w:val="12"/>
          <w:position w:val="9"/>
          <w:sz w:val="16"/>
        </w:rPr>
        <w:t> </w:t>
      </w:r>
      <w:r>
        <w:rPr>
          <w:sz w:val="24"/>
        </w:rPr>
        <w:t>tika</w:t>
      </w:r>
      <w:r>
        <w:rPr>
          <w:spacing w:val="-11"/>
          <w:sz w:val="24"/>
        </w:rPr>
        <w:t> </w:t>
      </w:r>
      <w:r>
        <w:rPr>
          <w:sz w:val="24"/>
        </w:rPr>
        <w:t>atcelts</w:t>
      </w:r>
      <w:r>
        <w:rPr>
          <w:spacing w:val="-7"/>
          <w:sz w:val="24"/>
        </w:rPr>
        <w:t> </w:t>
      </w:r>
      <w:r>
        <w:rPr>
          <w:sz w:val="24"/>
        </w:rPr>
        <w:t>Rīgas</w:t>
      </w:r>
      <w:r>
        <w:rPr>
          <w:spacing w:val="-8"/>
          <w:sz w:val="24"/>
        </w:rPr>
        <w:t> </w:t>
      </w:r>
      <w:r>
        <w:rPr>
          <w:sz w:val="24"/>
        </w:rPr>
        <w:t>rajona</w:t>
      </w:r>
      <w:r>
        <w:rPr>
          <w:spacing w:val="-10"/>
          <w:sz w:val="24"/>
        </w:rPr>
        <w:t> </w:t>
      </w:r>
      <w:r>
        <w:rPr>
          <w:sz w:val="24"/>
        </w:rPr>
        <w:t>tiesas</w:t>
      </w:r>
      <w:r>
        <w:rPr>
          <w:spacing w:val="-11"/>
          <w:sz w:val="24"/>
        </w:rPr>
        <w:t> </w:t>
      </w:r>
      <w:r>
        <w:rPr>
          <w:sz w:val="24"/>
        </w:rPr>
        <w:t>2016.gada</w:t>
      </w:r>
      <w:r>
        <w:rPr>
          <w:spacing w:val="-10"/>
          <w:sz w:val="24"/>
        </w:rPr>
        <w:t> </w:t>
      </w:r>
      <w:r>
        <w:rPr>
          <w:sz w:val="24"/>
        </w:rPr>
        <w:t>26.augusta lēmums daļā, ar kuru noraidīts parādnieka pieteikums par personas atbrīvošanu no saistību</w:t>
      </w:r>
      <w:r>
        <w:rPr>
          <w:spacing w:val="-15"/>
          <w:sz w:val="24"/>
        </w:rPr>
        <w:t> </w:t>
      </w:r>
      <w:r>
        <w:rPr>
          <w:sz w:val="24"/>
        </w:rPr>
        <w:t>dzēšanas</w:t>
      </w:r>
      <w:r>
        <w:rPr>
          <w:spacing w:val="-17"/>
          <w:sz w:val="24"/>
        </w:rPr>
        <w:t> </w:t>
      </w:r>
      <w:r>
        <w:rPr>
          <w:sz w:val="24"/>
        </w:rPr>
        <w:t>plānā</w:t>
      </w:r>
      <w:r>
        <w:rPr>
          <w:spacing w:val="-16"/>
          <w:sz w:val="24"/>
        </w:rPr>
        <w:t> </w:t>
      </w:r>
      <w:r>
        <w:rPr>
          <w:sz w:val="24"/>
        </w:rPr>
        <w:t>paredzētajām</w:t>
      </w:r>
      <w:r>
        <w:rPr>
          <w:spacing w:val="-12"/>
          <w:sz w:val="24"/>
        </w:rPr>
        <w:t> </w:t>
      </w:r>
      <w:r>
        <w:rPr>
          <w:sz w:val="24"/>
        </w:rPr>
        <w:t>atlikušajām</w:t>
      </w:r>
      <w:r>
        <w:rPr>
          <w:spacing w:val="-14"/>
          <w:sz w:val="24"/>
        </w:rPr>
        <w:t> </w:t>
      </w:r>
      <w:r>
        <w:rPr>
          <w:sz w:val="24"/>
        </w:rPr>
        <w:t>saistībām,</w:t>
      </w:r>
      <w:r>
        <w:rPr>
          <w:spacing w:val="-15"/>
          <w:sz w:val="24"/>
        </w:rPr>
        <w:t> </w:t>
      </w:r>
      <w:r>
        <w:rPr>
          <w:sz w:val="24"/>
        </w:rPr>
        <w:t>un</w:t>
      </w:r>
      <w:r>
        <w:rPr>
          <w:spacing w:val="-15"/>
          <w:sz w:val="24"/>
        </w:rPr>
        <w:t> </w:t>
      </w:r>
      <w:r>
        <w:rPr>
          <w:sz w:val="24"/>
        </w:rPr>
        <w:t>pieteikums</w:t>
      </w:r>
      <w:r>
        <w:rPr>
          <w:spacing w:val="-14"/>
          <w:sz w:val="24"/>
        </w:rPr>
        <w:t> </w:t>
      </w:r>
      <w:r>
        <w:rPr>
          <w:sz w:val="24"/>
        </w:rPr>
        <w:t>šajā</w:t>
      </w:r>
      <w:r>
        <w:rPr>
          <w:spacing w:val="-17"/>
          <w:sz w:val="24"/>
        </w:rPr>
        <w:t> </w:t>
      </w:r>
      <w:r>
        <w:rPr>
          <w:sz w:val="24"/>
        </w:rPr>
        <w:t>daļā nodots jaunai izskatīšanai. Protests tika pamatots ar materiālo tiesību normu nepareizu iztulkošanu un piemērošanu. Proti, apstāklis, ka parādnieks ir kļūdījies savās prognozēs par paredzamo ienākumu apmēru un nav veicis attiecīgus grozījumus saistību dzēšanas plānā, nevar būt par pamatu pieteikuma par saistību dzēšanas procedūras izbeigšanu noraidīšanai, jo viņa ienākumi nav nedz samazinājušies, nedz palielinājušies tādā apmērā, lai tas varētu ietekmēt Maksātnespējas likuma 155.pantā noteikto saistību dzēšanas plāna īstenošanas termiņu. Tas nozīmē, ka tiesa nav noskaidrojusi un izvērtējusi tos likumā</w:t>
      </w:r>
      <w:r>
        <w:rPr>
          <w:spacing w:val="-20"/>
          <w:sz w:val="24"/>
        </w:rPr>
        <w:t> </w:t>
      </w:r>
      <w:r>
        <w:rPr>
          <w:sz w:val="24"/>
        </w:rPr>
        <w:t>noteiktos apstākļus, kuriem ir būtiska nozīme tiesiska un pamatota lēmuma taisīšanā par fiziskās</w:t>
      </w:r>
      <w:r>
        <w:rPr>
          <w:spacing w:val="-11"/>
          <w:sz w:val="24"/>
        </w:rPr>
        <w:t> </w:t>
      </w:r>
      <w:r>
        <w:rPr>
          <w:sz w:val="24"/>
        </w:rPr>
        <w:t>personas</w:t>
      </w:r>
      <w:r>
        <w:rPr>
          <w:spacing w:val="-11"/>
          <w:sz w:val="24"/>
        </w:rPr>
        <w:t> </w:t>
      </w:r>
      <w:r>
        <w:rPr>
          <w:sz w:val="24"/>
        </w:rPr>
        <w:t>saistību</w:t>
      </w:r>
      <w:r>
        <w:rPr>
          <w:spacing w:val="-11"/>
          <w:sz w:val="24"/>
        </w:rPr>
        <w:t> </w:t>
      </w:r>
      <w:r>
        <w:rPr>
          <w:sz w:val="24"/>
        </w:rPr>
        <w:t>dzēšanas</w:t>
      </w:r>
      <w:r>
        <w:rPr>
          <w:spacing w:val="-12"/>
          <w:sz w:val="24"/>
        </w:rPr>
        <w:t> </w:t>
      </w:r>
      <w:r>
        <w:rPr>
          <w:sz w:val="24"/>
        </w:rPr>
        <w:t>procedūras</w:t>
      </w:r>
      <w:r>
        <w:rPr>
          <w:spacing w:val="-11"/>
          <w:sz w:val="24"/>
        </w:rPr>
        <w:t> </w:t>
      </w:r>
      <w:r>
        <w:rPr>
          <w:sz w:val="24"/>
        </w:rPr>
        <w:t>izbeigšanu,</w:t>
      </w:r>
      <w:r>
        <w:rPr>
          <w:spacing w:val="-9"/>
          <w:sz w:val="24"/>
        </w:rPr>
        <w:t> </w:t>
      </w:r>
      <w:r>
        <w:rPr>
          <w:sz w:val="24"/>
        </w:rPr>
        <w:t>kas</w:t>
      </w:r>
      <w:r>
        <w:rPr>
          <w:spacing w:val="-11"/>
          <w:sz w:val="24"/>
        </w:rPr>
        <w:t> </w:t>
      </w:r>
      <w:r>
        <w:rPr>
          <w:sz w:val="24"/>
        </w:rPr>
        <w:t>novedis</w:t>
      </w:r>
      <w:r>
        <w:rPr>
          <w:spacing w:val="-8"/>
          <w:sz w:val="24"/>
        </w:rPr>
        <w:t> </w:t>
      </w:r>
      <w:r>
        <w:rPr>
          <w:sz w:val="24"/>
        </w:rPr>
        <w:t>pie</w:t>
      </w:r>
      <w:r>
        <w:rPr>
          <w:spacing w:val="-11"/>
          <w:sz w:val="24"/>
        </w:rPr>
        <w:t> </w:t>
      </w:r>
      <w:r>
        <w:rPr>
          <w:sz w:val="24"/>
        </w:rPr>
        <w:t>kļūdaina Maksātnespējas likuma 162.panta normu iztulkojuma un lietas nepareizas izspriešanas, ar ko nepamatoti personai liegtas tiesības uz saistību dzēšanu Maksātnespējas likumā paredzētajā</w:t>
      </w:r>
      <w:r>
        <w:rPr>
          <w:spacing w:val="-4"/>
          <w:sz w:val="24"/>
        </w:rPr>
        <w:t> </w:t>
      </w:r>
      <w:r>
        <w:rPr>
          <w:sz w:val="24"/>
        </w:rPr>
        <w:t>kārtībā.</w:t>
      </w:r>
    </w:p>
    <w:p>
      <w:pPr>
        <w:pStyle w:val="BodyText"/>
        <w:jc w:val="left"/>
        <w:rPr>
          <w:sz w:val="20"/>
        </w:rPr>
      </w:pPr>
    </w:p>
    <w:p>
      <w:pPr>
        <w:pStyle w:val="BodyText"/>
        <w:spacing w:before="10"/>
        <w:jc w:val="left"/>
        <w:rPr>
          <w:sz w:val="14"/>
        </w:rPr>
      </w:pPr>
      <w:r>
        <w:rPr/>
        <w:pict>
          <v:shape style="position:absolute;margin-left:72pt;margin-top:10.803169pt;width:144pt;height:.1pt;mso-position-horizontal-relative:page;mso-position-vertical-relative:paragraph;z-index:-251606016;mso-wrap-distance-left:0;mso-wrap-distance-right:0" coordorigin="1440,216" coordsize="2880,0" path="m1440,216l4320,216e" filled="false" stroked="true" strokeweight=".599991pt" strokecolor="#000000">
            <v:path arrowok="t"/>
            <v:stroke dashstyle="solid"/>
            <w10:wrap type="topAndBottom"/>
          </v:shape>
        </w:pict>
      </w:r>
    </w:p>
    <w:p>
      <w:pPr>
        <w:spacing w:before="70"/>
        <w:ind w:left="260" w:right="635" w:firstLine="0"/>
        <w:jc w:val="left"/>
        <w:rPr>
          <w:sz w:val="20"/>
        </w:rPr>
      </w:pPr>
      <w:r>
        <w:rPr>
          <w:position w:val="7"/>
          <w:sz w:val="13"/>
        </w:rPr>
        <w:t>223 </w:t>
      </w:r>
      <w:r>
        <w:rPr>
          <w:sz w:val="20"/>
        </w:rPr>
        <w:t>Augstākās tiesas Civillietu departamenta 2017.gada 16.februāra lēmums lietā Nr.C37101714 (SPC- 5/2017)</w:t>
      </w:r>
    </w:p>
    <w:p>
      <w:pPr>
        <w:pStyle w:val="ListParagraph"/>
        <w:numPr>
          <w:ilvl w:val="0"/>
          <w:numId w:val="44"/>
        </w:numPr>
        <w:tabs>
          <w:tab w:pos="565" w:val="left" w:leader="none"/>
        </w:tabs>
        <w:spacing w:line="240" w:lineRule="exact" w:before="31" w:after="0"/>
        <w:ind w:left="260" w:right="1182" w:firstLine="0"/>
        <w:jc w:val="left"/>
        <w:rPr>
          <w:sz w:val="20"/>
        </w:rPr>
      </w:pPr>
      <w:r>
        <w:rPr>
          <w:sz w:val="20"/>
        </w:rPr>
        <w:t>Augstākās tiesas Civillietu departamenta 2017.gada 28.septembra lēmums civillietā Nr.C33459812 (SKC-19/2017)</w:t>
      </w:r>
    </w:p>
    <w:p>
      <w:pPr>
        <w:spacing w:after="0" w:line="240" w:lineRule="exact"/>
        <w:jc w:val="left"/>
        <w:rPr>
          <w:sz w:val="20"/>
        </w:rPr>
        <w:sectPr>
          <w:pgSz w:w="11910" w:h="16840"/>
          <w:pgMar w:header="0" w:footer="1055" w:top="1580" w:bottom="1240" w:left="1180" w:right="1040"/>
        </w:sectPr>
      </w:pPr>
    </w:p>
    <w:p>
      <w:pPr>
        <w:pStyle w:val="BodyText"/>
        <w:spacing w:before="73"/>
        <w:ind w:left="1327" w:right="404"/>
      </w:pPr>
      <w:r>
        <w:rPr/>
        <w:t>Civillietu</w:t>
      </w:r>
      <w:r>
        <w:rPr>
          <w:spacing w:val="-13"/>
        </w:rPr>
        <w:t> </w:t>
      </w:r>
      <w:r>
        <w:rPr/>
        <w:t>departaments</w:t>
      </w:r>
      <w:r>
        <w:rPr>
          <w:spacing w:val="-11"/>
        </w:rPr>
        <w:t> </w:t>
      </w:r>
      <w:r>
        <w:rPr/>
        <w:t>konstatēja,</w:t>
      </w:r>
      <w:r>
        <w:rPr>
          <w:spacing w:val="-12"/>
        </w:rPr>
        <w:t> </w:t>
      </w:r>
      <w:r>
        <w:rPr/>
        <w:t>ka</w:t>
      </w:r>
      <w:r>
        <w:rPr>
          <w:spacing w:val="-12"/>
        </w:rPr>
        <w:t> </w:t>
      </w:r>
      <w:r>
        <w:rPr/>
        <w:t>tiesa</w:t>
      </w:r>
      <w:r>
        <w:rPr>
          <w:spacing w:val="-12"/>
        </w:rPr>
        <w:t> </w:t>
      </w:r>
      <w:r>
        <w:rPr/>
        <w:t>nav</w:t>
      </w:r>
      <w:r>
        <w:rPr>
          <w:spacing w:val="-16"/>
        </w:rPr>
        <w:t> </w:t>
      </w:r>
      <w:r>
        <w:rPr/>
        <w:t>pārbaudījusi</w:t>
      </w:r>
      <w:r>
        <w:rPr>
          <w:spacing w:val="-10"/>
        </w:rPr>
        <w:t> </w:t>
      </w:r>
      <w:r>
        <w:rPr/>
        <w:t>un</w:t>
      </w:r>
      <w:r>
        <w:rPr>
          <w:spacing w:val="-13"/>
        </w:rPr>
        <w:t> </w:t>
      </w:r>
      <w:r>
        <w:rPr/>
        <w:t>objektīvi</w:t>
      </w:r>
      <w:r>
        <w:rPr>
          <w:spacing w:val="-12"/>
        </w:rPr>
        <w:t> </w:t>
      </w:r>
      <w:r>
        <w:rPr/>
        <w:t>izvērtējusi faktiskos</w:t>
      </w:r>
      <w:r>
        <w:rPr>
          <w:spacing w:val="-10"/>
        </w:rPr>
        <w:t> </w:t>
      </w:r>
      <w:r>
        <w:rPr/>
        <w:t>un</w:t>
      </w:r>
      <w:r>
        <w:rPr>
          <w:spacing w:val="-10"/>
        </w:rPr>
        <w:t> </w:t>
      </w:r>
      <w:r>
        <w:rPr/>
        <w:t>tiesiskos</w:t>
      </w:r>
      <w:r>
        <w:rPr>
          <w:spacing w:val="-10"/>
        </w:rPr>
        <w:t> </w:t>
      </w:r>
      <w:r>
        <w:rPr/>
        <w:t>apstākļus,</w:t>
      </w:r>
      <w:r>
        <w:rPr>
          <w:spacing w:val="-10"/>
        </w:rPr>
        <w:t> </w:t>
      </w:r>
      <w:r>
        <w:rPr/>
        <w:t>kuriem</w:t>
      </w:r>
      <w:r>
        <w:rPr>
          <w:spacing w:val="-12"/>
        </w:rPr>
        <w:t> </w:t>
      </w:r>
      <w:r>
        <w:rPr/>
        <w:t>ir</w:t>
      </w:r>
      <w:r>
        <w:rPr>
          <w:spacing w:val="-7"/>
        </w:rPr>
        <w:t> </w:t>
      </w:r>
      <w:r>
        <w:rPr/>
        <w:t>svarīga</w:t>
      </w:r>
      <w:r>
        <w:rPr>
          <w:spacing w:val="-6"/>
        </w:rPr>
        <w:t> </w:t>
      </w:r>
      <w:r>
        <w:rPr/>
        <w:t>nozīme</w:t>
      </w:r>
      <w:r>
        <w:rPr>
          <w:spacing w:val="-12"/>
        </w:rPr>
        <w:t> </w:t>
      </w:r>
      <w:r>
        <w:rPr/>
        <w:t>lietas</w:t>
      </w:r>
      <w:r>
        <w:rPr>
          <w:spacing w:val="-12"/>
        </w:rPr>
        <w:t> </w:t>
      </w:r>
      <w:r>
        <w:rPr/>
        <w:t>pareizā</w:t>
      </w:r>
      <w:r>
        <w:rPr>
          <w:spacing w:val="-10"/>
        </w:rPr>
        <w:t> </w:t>
      </w:r>
      <w:r>
        <w:rPr/>
        <w:t>izspriešanā, kā arī nepareizi izpratusi tiesību normas, kas reglamentē parādnieka pienākumu sagatavot saistību dzēšanas plāna grozījumus, kad mainījušies viņa ienākumi</w:t>
      </w:r>
      <w:r>
        <w:rPr>
          <w:spacing w:val="-14"/>
        </w:rPr>
        <w:t> </w:t>
      </w:r>
      <w:r>
        <w:rPr/>
        <w:t>plāna izpildes</w:t>
      </w:r>
      <w:r>
        <w:rPr>
          <w:spacing w:val="-3"/>
        </w:rPr>
        <w:t> </w:t>
      </w:r>
      <w:r>
        <w:rPr/>
        <w:t>laikā.</w:t>
      </w:r>
    </w:p>
    <w:p>
      <w:pPr>
        <w:pStyle w:val="BodyText"/>
        <w:ind w:left="1327" w:right="402"/>
      </w:pPr>
      <w:r>
        <w:rPr/>
        <w:t>Civillietu departaments norādīja, ka lietā iesniegtie pierādījumi bija pietiekami, lai atzītu, ka parādnieks saistību dzēšanas procedūras ietvaros kreditoru prasījumu apmierināšanai ir novirzījis ne mazāk kā vienu trešdaļu no saviem ienākumiem, kā tas arī paredzēts saistību dzēšanas plānā un noteikts likumā. Citi pierādījumi, kas liecinātu par parādnieka negodprātīgu rīcību, tostarp savu patieso ienākumu slēpšanu, lietā nav atrodami (piemēram, kreditoru lūgums administratoram veikt parādnieka uzraudzību, viņa rīcības pārbaudi).</w:t>
      </w:r>
    </w:p>
    <w:p>
      <w:pPr>
        <w:pStyle w:val="BodyText"/>
        <w:jc w:val="left"/>
      </w:pPr>
    </w:p>
    <w:p>
      <w:pPr>
        <w:pStyle w:val="BodyText"/>
        <w:spacing w:before="1"/>
        <w:ind w:left="1327" w:right="402"/>
      </w:pPr>
      <w:r>
        <w:rPr/>
        <w:t>Ienākumu gūšanas faktors ir noteicošs fizikās personas maksātnespējas procesa sekmīgā norisē, proti, parādnieka vēlme pēc iespējas pilnīgāk apmierināt kreditora prasījumus un veikt visu nepieciešamo, lai gūtu ienākumus, no kuriem varētu</w:t>
      </w:r>
      <w:r>
        <w:rPr>
          <w:spacing w:val="-26"/>
        </w:rPr>
        <w:t> </w:t>
      </w:r>
      <w:r>
        <w:rPr/>
        <w:t>veikt maksājumus kreditoriem. Tomēr, ja ienākumu palielināšanās, tostarp minimālās darba algas likmes paaugstināšanas dēļ, vai samazināšanās nav tik būtiska, lai ietekmētu parādsaistību apmēru, ko fiziskā persona spējīga segt maksātnespējas procesā, un attiecīgi – saistību dzēšanas termiņu, tad grozījumi saistību dzēšanas plānā nav</w:t>
      </w:r>
      <w:r>
        <w:rPr>
          <w:spacing w:val="-3"/>
        </w:rPr>
        <w:t> </w:t>
      </w:r>
      <w:r>
        <w:rPr/>
        <w:t>jāveic.</w:t>
      </w:r>
    </w:p>
    <w:p>
      <w:pPr>
        <w:pStyle w:val="BodyText"/>
        <w:jc w:val="left"/>
      </w:pPr>
    </w:p>
    <w:p>
      <w:pPr>
        <w:pStyle w:val="BodyText"/>
        <w:ind w:left="1327" w:right="404"/>
      </w:pPr>
      <w:r>
        <w:rPr/>
        <w:t>Tā kā no lietai pievienotajiem samaksu apliecinošiem dokumentiem redzams, ka maksājumi veikti saistību dzēšanas plānā noteiktajos termiņos un apmērā, kā tas pamatoti norādīts protestā, lēmumā izdarītais secinājums, ka parādniekam, mainoties ienākumiem, bija jāgroza saistību dzēšanas plāns, nav balstīts uz pienācīgi noskaidrotiem faktiskajiem apstākļiem un lietā esošo pierādījumu, kā arī samērīguma starp parādnieka un kreditoru interesēm, ievērojot fiziskās personas maksātnespējas procesa mērķi un iesaistīto personu labticību, izvērtējumu, kas novedis pie kļūdainas Maksātnespējas likuma 162.panta normu tiesisko sastāvu veidojošo apstākļu izpratnes un attiecīgi nepamatotiem secinājumiem par tiesas apstiprinātā saistību dzēšanas plāna neizpildīšanu.</w:t>
      </w:r>
    </w:p>
    <w:p>
      <w:pPr>
        <w:spacing w:after="0"/>
        <w:sectPr>
          <w:pgSz w:w="11910" w:h="16840"/>
          <w:pgMar w:header="0" w:footer="1055" w:top="1340" w:bottom="1240" w:left="1180" w:right="1040"/>
        </w:sectPr>
      </w:pPr>
    </w:p>
    <w:p>
      <w:pPr>
        <w:pStyle w:val="Heading2"/>
        <w:numPr>
          <w:ilvl w:val="1"/>
          <w:numId w:val="6"/>
        </w:numPr>
        <w:tabs>
          <w:tab w:pos="4522" w:val="left" w:leader="none"/>
          <w:tab w:pos="4523" w:val="left" w:leader="none"/>
        </w:tabs>
        <w:spacing w:line="322" w:lineRule="exact" w:before="59" w:after="0"/>
        <w:ind w:left="4522" w:right="0" w:hanging="721"/>
        <w:jc w:val="left"/>
      </w:pPr>
      <w:r>
        <w:rPr>
          <w:color w:val="4472C3"/>
        </w:rPr>
        <w:t>NODAĻA</w:t>
      </w:r>
    </w:p>
    <w:p>
      <w:pPr>
        <w:spacing w:before="0"/>
        <w:ind w:left="1318" w:right="0" w:firstLine="0"/>
        <w:jc w:val="left"/>
        <w:rPr>
          <w:b/>
          <w:sz w:val="28"/>
        </w:rPr>
      </w:pPr>
      <w:r>
        <w:rPr>
          <w:b/>
          <w:color w:val="4472C3"/>
          <w:sz w:val="28"/>
        </w:rPr>
        <w:t>MAKSĀTNESPĒJAS PROCESU ANALĪZES REZULTĀTI</w:t>
      </w:r>
    </w:p>
    <w:p>
      <w:pPr>
        <w:pStyle w:val="BodyText"/>
        <w:jc w:val="left"/>
        <w:rPr>
          <w:b/>
          <w:sz w:val="30"/>
        </w:rPr>
      </w:pPr>
    </w:p>
    <w:p>
      <w:pPr>
        <w:pStyle w:val="BodyText"/>
        <w:spacing w:before="1"/>
        <w:jc w:val="left"/>
        <w:rPr>
          <w:b/>
          <w:sz w:val="26"/>
        </w:rPr>
      </w:pPr>
    </w:p>
    <w:p>
      <w:pPr>
        <w:pStyle w:val="ListParagraph"/>
        <w:numPr>
          <w:ilvl w:val="1"/>
          <w:numId w:val="44"/>
        </w:numPr>
        <w:tabs>
          <w:tab w:pos="1062" w:val="left" w:leader="none"/>
        </w:tabs>
        <w:spacing w:line="240" w:lineRule="auto" w:before="0" w:after="0"/>
        <w:ind w:left="1702" w:right="850" w:hanging="1001"/>
        <w:jc w:val="left"/>
        <w:rPr>
          <w:b/>
          <w:sz w:val="28"/>
        </w:rPr>
      </w:pPr>
      <w:r>
        <w:rPr>
          <w:b/>
          <w:sz w:val="28"/>
        </w:rPr>
        <w:t>Dati par fizisko personu maksātnespējas procesiem laika periodā no 2010.gada 1.novembra līdz 2015.gada</w:t>
      </w:r>
      <w:r>
        <w:rPr>
          <w:b/>
          <w:spacing w:val="-8"/>
          <w:sz w:val="28"/>
        </w:rPr>
        <w:t> </w:t>
      </w:r>
      <w:r>
        <w:rPr>
          <w:b/>
          <w:sz w:val="28"/>
        </w:rPr>
        <w:t>28.februārim</w:t>
      </w:r>
    </w:p>
    <w:p>
      <w:pPr>
        <w:pStyle w:val="BodyText"/>
        <w:spacing w:before="10"/>
        <w:jc w:val="left"/>
        <w:rPr>
          <w:b/>
          <w:sz w:val="23"/>
        </w:rPr>
      </w:pPr>
    </w:p>
    <w:p>
      <w:pPr>
        <w:pStyle w:val="Heading4"/>
        <w:numPr>
          <w:ilvl w:val="1"/>
          <w:numId w:val="45"/>
        </w:numPr>
        <w:tabs>
          <w:tab w:pos="982" w:val="left" w:leader="none"/>
        </w:tabs>
        <w:spacing w:line="240" w:lineRule="auto" w:before="0" w:after="0"/>
        <w:ind w:left="980" w:right="1516" w:hanging="360"/>
        <w:jc w:val="left"/>
      </w:pPr>
      <w:bookmarkStart w:name="_TOC_250058" w:id="20"/>
      <w:r>
        <w:rPr>
          <w:i/>
        </w:rPr>
        <w:t>Fizisko personu maksātnespējas procesu iedalījums atkarībā no tā, vai </w:t>
      </w:r>
      <w:r>
        <w:rPr>
          <w:i/>
          <w:spacing w:val="-8"/>
        </w:rPr>
        <w:t>ir </w:t>
      </w:r>
      <w:r>
        <w:rPr/>
        <w:t>sastādīts ziņojums par mantas neesamību vai mantas pārdošanas</w:t>
      </w:r>
      <w:r>
        <w:rPr>
          <w:spacing w:val="-7"/>
        </w:rPr>
        <w:t> </w:t>
      </w:r>
      <w:bookmarkEnd w:id="20"/>
      <w:r>
        <w:rPr/>
        <w:t>plāns</w:t>
      </w:r>
    </w:p>
    <w:p>
      <w:pPr>
        <w:pStyle w:val="BodyText"/>
        <w:spacing w:before="3"/>
        <w:jc w:val="left"/>
        <w:rPr>
          <w:b/>
          <w:i/>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8"/>
        <w:gridCol w:w="968"/>
        <w:gridCol w:w="1206"/>
      </w:tblGrid>
      <w:tr>
        <w:trPr>
          <w:trHeight w:val="275" w:hRule="atLeast"/>
        </w:trPr>
        <w:tc>
          <w:tcPr>
            <w:tcW w:w="6478" w:type="dxa"/>
          </w:tcPr>
          <w:p>
            <w:pPr>
              <w:pStyle w:val="TableParagraph"/>
              <w:spacing w:line="256" w:lineRule="exact"/>
              <w:ind w:left="107"/>
              <w:rPr>
                <w:sz w:val="24"/>
              </w:rPr>
            </w:pPr>
            <w:r>
              <w:rPr>
                <w:sz w:val="24"/>
              </w:rPr>
              <w:t>Procesi</w:t>
            </w:r>
          </w:p>
        </w:tc>
        <w:tc>
          <w:tcPr>
            <w:tcW w:w="968" w:type="dxa"/>
          </w:tcPr>
          <w:p>
            <w:pPr>
              <w:pStyle w:val="TableParagraph"/>
              <w:spacing w:line="256" w:lineRule="exact"/>
              <w:ind w:left="106"/>
              <w:rPr>
                <w:sz w:val="24"/>
              </w:rPr>
            </w:pPr>
            <w:r>
              <w:rPr>
                <w:sz w:val="24"/>
              </w:rPr>
              <w:t>173</w:t>
            </w:r>
          </w:p>
        </w:tc>
        <w:tc>
          <w:tcPr>
            <w:tcW w:w="1206" w:type="dxa"/>
          </w:tcPr>
          <w:p>
            <w:pPr>
              <w:pStyle w:val="TableParagraph"/>
              <w:rPr>
                <w:sz w:val="20"/>
              </w:rPr>
            </w:pPr>
          </w:p>
        </w:tc>
      </w:tr>
      <w:tr>
        <w:trPr>
          <w:trHeight w:val="551" w:hRule="atLeast"/>
        </w:trPr>
        <w:tc>
          <w:tcPr>
            <w:tcW w:w="6478" w:type="dxa"/>
          </w:tcPr>
          <w:p>
            <w:pPr>
              <w:pStyle w:val="TableParagraph"/>
              <w:spacing w:line="268" w:lineRule="exact"/>
              <w:ind w:left="107"/>
              <w:rPr>
                <w:sz w:val="24"/>
              </w:rPr>
            </w:pPr>
            <w:r>
              <w:rPr>
                <w:sz w:val="24"/>
              </w:rPr>
              <w:t>Fizisko personu maksātnespējas procesi, kuros sastādīts</w:t>
            </w:r>
          </w:p>
          <w:p>
            <w:pPr>
              <w:pStyle w:val="TableParagraph"/>
              <w:spacing w:line="264" w:lineRule="exact"/>
              <w:ind w:left="107"/>
              <w:rPr>
                <w:sz w:val="24"/>
              </w:rPr>
            </w:pPr>
            <w:r>
              <w:rPr>
                <w:sz w:val="24"/>
              </w:rPr>
              <w:t>ziņojums par mantas neesamību</w:t>
            </w:r>
          </w:p>
        </w:tc>
        <w:tc>
          <w:tcPr>
            <w:tcW w:w="968" w:type="dxa"/>
          </w:tcPr>
          <w:p>
            <w:pPr>
              <w:pStyle w:val="TableParagraph"/>
              <w:spacing w:line="268" w:lineRule="exact"/>
              <w:ind w:left="107"/>
              <w:rPr>
                <w:sz w:val="24"/>
              </w:rPr>
            </w:pPr>
            <w:r>
              <w:rPr>
                <w:sz w:val="24"/>
              </w:rPr>
              <w:t>72</w:t>
            </w:r>
          </w:p>
        </w:tc>
        <w:tc>
          <w:tcPr>
            <w:tcW w:w="1206" w:type="dxa"/>
          </w:tcPr>
          <w:p>
            <w:pPr>
              <w:pStyle w:val="TableParagraph"/>
              <w:spacing w:line="268" w:lineRule="exact"/>
              <w:ind w:left="106"/>
              <w:rPr>
                <w:sz w:val="24"/>
              </w:rPr>
            </w:pPr>
            <w:r>
              <w:rPr>
                <w:sz w:val="24"/>
              </w:rPr>
              <w:t>41,62 %</w:t>
            </w:r>
          </w:p>
        </w:tc>
      </w:tr>
      <w:tr>
        <w:trPr>
          <w:trHeight w:val="554" w:hRule="atLeast"/>
        </w:trPr>
        <w:tc>
          <w:tcPr>
            <w:tcW w:w="6478" w:type="dxa"/>
          </w:tcPr>
          <w:p>
            <w:pPr>
              <w:pStyle w:val="TableParagraph"/>
              <w:spacing w:line="268" w:lineRule="exact"/>
              <w:ind w:left="107"/>
              <w:rPr>
                <w:sz w:val="24"/>
              </w:rPr>
            </w:pPr>
            <w:r>
              <w:rPr>
                <w:sz w:val="24"/>
              </w:rPr>
              <w:t>Fizisko personu maksātnespējas procesi, kuros sastādīts mantas</w:t>
            </w:r>
          </w:p>
          <w:p>
            <w:pPr>
              <w:pStyle w:val="TableParagraph"/>
              <w:spacing w:line="266" w:lineRule="exact"/>
              <w:ind w:left="107"/>
              <w:rPr>
                <w:sz w:val="24"/>
              </w:rPr>
            </w:pPr>
            <w:r>
              <w:rPr>
                <w:sz w:val="24"/>
              </w:rPr>
              <w:t>pārdošanas plāns</w:t>
            </w:r>
          </w:p>
        </w:tc>
        <w:tc>
          <w:tcPr>
            <w:tcW w:w="968" w:type="dxa"/>
          </w:tcPr>
          <w:p>
            <w:pPr>
              <w:pStyle w:val="TableParagraph"/>
              <w:spacing w:line="268" w:lineRule="exact"/>
              <w:ind w:left="107"/>
              <w:rPr>
                <w:sz w:val="24"/>
              </w:rPr>
            </w:pPr>
            <w:r>
              <w:rPr>
                <w:sz w:val="24"/>
              </w:rPr>
              <w:t>101</w:t>
            </w:r>
          </w:p>
        </w:tc>
        <w:tc>
          <w:tcPr>
            <w:tcW w:w="1206" w:type="dxa"/>
          </w:tcPr>
          <w:p>
            <w:pPr>
              <w:pStyle w:val="TableParagraph"/>
              <w:spacing w:line="268" w:lineRule="exact"/>
              <w:ind w:left="106"/>
              <w:rPr>
                <w:sz w:val="24"/>
              </w:rPr>
            </w:pPr>
            <w:r>
              <w:rPr>
                <w:sz w:val="24"/>
              </w:rPr>
              <w:t>58,38 %</w:t>
            </w:r>
          </w:p>
        </w:tc>
      </w:tr>
    </w:tbl>
    <w:p>
      <w:pPr>
        <w:pStyle w:val="BodyText"/>
        <w:spacing w:before="7"/>
        <w:jc w:val="left"/>
        <w:rPr>
          <w:b/>
          <w:i/>
          <w:sz w:val="20"/>
        </w:rPr>
      </w:pPr>
      <w:r>
        <w:rPr/>
        <w:pict>
          <v:group style="position:absolute;margin-left:147.240005pt;margin-top:13.799963pt;width:282.5pt;height:175.95pt;mso-position-horizontal-relative:page;mso-position-vertical-relative:paragraph;z-index:-251600896;mso-wrap-distance-left:0;mso-wrap-distance-right:0" coordorigin="2945,276" coordsize="5650,3519">
            <v:shape style="position:absolute;left:4473;top:1260;width:2535;height:1460" type="#_x0000_t75" stroked="false">
              <v:imagedata r:id="rId45" o:title=""/>
            </v:shape>
            <v:rect style="position:absolute;left:3561;top:2913;width:89;height:89" filled="true" fillcolor="#4472c3" stroked="false">
              <v:fill type="solid"/>
            </v:rect>
            <v:shape style="position:absolute;left:3540;top:2892;width:130;height:130" coordorigin="3540,2892" coordsize="130,130" path="m3662,3022l3550,3022,3540,3014,3540,2902,3550,2892,3662,2892,3670,2902,3670,2914,3581,2914,3562,2933,3581,2933,3581,2983,3562,2983,3581,3002,3670,3002,3670,3014,3662,3022xm3581,2933l3562,2933,3581,2914,3581,2933xm3631,2933l3581,2933,3581,2914,3631,2914,3631,2933xm3631,3002l3631,2914,3650,2933,3670,2933,3670,2983,3650,2983,3631,3002xm3670,2933l3650,2933,3631,2914,3670,2914,3670,2933xm3581,3002l3562,2983,3581,2983,3581,3002xm3631,3002l3581,3002,3581,2983,3631,2983,3631,3002xm3670,3002l3631,3002,3650,2983,3670,2983,3670,3002xe" filled="true" fillcolor="#ffffff" stroked="false">
              <v:path arrowok="t"/>
              <v:fill type="solid"/>
            </v:shape>
            <v:rect style="position:absolute;left:6266;top:2913;width:92;height:89" filled="true" fillcolor="#ed7c31" stroked="false">
              <v:fill type="solid"/>
            </v:rect>
            <v:shape style="position:absolute;left:6247;top:2892;width:130;height:130" coordorigin="6247,2892" coordsize="130,130" path="m6367,3022l6257,3022,6247,3014,6247,2902,6257,2892,6367,2892,6377,2902,6377,2914,6288,2914,6266,2933,6288,2933,6288,2983,6266,2983,6288,3002,6377,3002,6377,3014,6367,3022xm6288,2933l6266,2933,6288,2914,6288,2933xm6336,2933l6288,2933,6288,2914,6336,2914,6336,2933xm6336,3002l6336,2914,6358,2933,6377,2933,6377,2983,6358,2983,6336,3002xm6377,2933l6358,2933,6336,2914,6377,2914,6377,2933xm6288,3002l6266,2983,6288,2983,6288,3002xm6336,3002l6288,3002,6288,2983,6336,2983,6336,3002xm6377,3002l6336,3002,6358,2983,6377,2983,6377,3002xe" filled="true" fillcolor="#ffffff" stroked="false">
              <v:path arrowok="t"/>
              <v:fill type="solid"/>
            </v:shape>
            <v:shape style="position:absolute;left:2944;top:276;width:5650;height:3519" coordorigin="2945,276" coordsize="5650,3519" path="m2957,3794l2945,3794,2945,276,8594,276,8594,276,2959,276,2952,283,2959,283,2959,3790,2952,3790,2957,3794xm2959,283l2952,283,2959,276,2959,283xm8578,283l2959,283,2959,276,8578,276,8578,283xm8581,3794l8578,3794,8578,276,8587,283,8594,283,8594,3790,8587,3790,8581,3794xm8594,283l8587,283,8578,276,8594,276,8594,283xm2959,3794l2957,3794,2952,3790,2959,3790,2959,3794xm8578,3794l2959,3794,2959,3790,8578,3790,8578,3794xm8594,3794l8581,3794,8587,3790,8594,3790,8594,3794xe" filled="true" fillcolor="#000000" stroked="false">
              <v:path arrowok="t"/>
              <v:fill type="solid"/>
            </v:shape>
            <v:shape style="position:absolute;left:3660;top:434;width:4232;height:542" type="#_x0000_t202" filled="false" stroked="false">
              <v:textbox inset="0,0,0,0">
                <w:txbxContent>
                  <w:p>
                    <w:pPr>
                      <w:spacing w:line="240" w:lineRule="auto" w:before="0"/>
                      <w:ind w:left="1082" w:right="0" w:hanging="1083"/>
                      <w:jc w:val="left"/>
                      <w:rPr>
                        <w:sz w:val="24"/>
                      </w:rPr>
                    </w:pPr>
                    <w:r>
                      <w:rPr>
                        <w:sz w:val="24"/>
                      </w:rPr>
                      <w:t>Ziņojums par mantas neesamību vs. Mantas pārdošanas plāns (%)</w:t>
                    </w:r>
                  </w:p>
                </w:txbxContent>
              </v:textbox>
              <w10:wrap type="none"/>
            </v:shape>
            <v:shape style="position:absolute;left:6172;top:1497;width:429;height:200" type="#_x0000_t202" filled="false" stroked="false">
              <v:textbox inset="0,0,0,0">
                <w:txbxContent>
                  <w:p>
                    <w:pPr>
                      <w:spacing w:line="199" w:lineRule="exact" w:before="0"/>
                      <w:ind w:left="0" w:right="0" w:firstLine="0"/>
                      <w:jc w:val="left"/>
                      <w:rPr>
                        <w:sz w:val="18"/>
                      </w:rPr>
                    </w:pPr>
                    <w:r>
                      <w:rPr>
                        <w:sz w:val="18"/>
                      </w:rPr>
                      <w:t>41,62</w:t>
                    </w:r>
                  </w:p>
                </w:txbxContent>
              </v:textbox>
              <w10:wrap type="none"/>
            </v:shape>
            <v:shape style="position:absolute;left:4672;top:1826;width:429;height:200" type="#_x0000_t202" filled="false" stroked="false">
              <v:textbox inset="0,0,0,0">
                <w:txbxContent>
                  <w:p>
                    <w:pPr>
                      <w:spacing w:line="199" w:lineRule="exact" w:before="0"/>
                      <w:ind w:left="0" w:right="0" w:firstLine="0"/>
                      <w:jc w:val="left"/>
                      <w:rPr>
                        <w:sz w:val="18"/>
                      </w:rPr>
                    </w:pPr>
                    <w:r>
                      <w:rPr>
                        <w:sz w:val="18"/>
                      </w:rPr>
                      <w:t>58,38</w:t>
                    </w:r>
                  </w:p>
                </w:txbxContent>
              </v:textbox>
              <w10:wrap type="none"/>
            </v:shape>
            <v:shape style="position:absolute;left:3686;top:2851;width:4528;height:200" type="#_x0000_t202" filled="false" stroked="false">
              <v:textbox inset="0,0,0,0">
                <w:txbxContent>
                  <w:p>
                    <w:pPr>
                      <w:tabs>
                        <w:tab w:pos="2707" w:val="left" w:leader="none"/>
                      </w:tabs>
                      <w:spacing w:line="199" w:lineRule="exact" w:before="0"/>
                      <w:ind w:left="0" w:right="0" w:firstLine="0"/>
                      <w:jc w:val="left"/>
                      <w:rPr>
                        <w:sz w:val="18"/>
                      </w:rPr>
                    </w:pPr>
                    <w:r>
                      <w:rPr>
                        <w:sz w:val="18"/>
                      </w:rPr>
                      <w:t>Ziņojums par</w:t>
                    </w:r>
                    <w:r>
                      <w:rPr>
                        <w:spacing w:val="-4"/>
                        <w:sz w:val="18"/>
                      </w:rPr>
                      <w:t> </w:t>
                    </w:r>
                    <w:r>
                      <w:rPr>
                        <w:sz w:val="18"/>
                      </w:rPr>
                      <w:t>mantas</w:t>
                    </w:r>
                    <w:r>
                      <w:rPr>
                        <w:spacing w:val="-1"/>
                        <w:sz w:val="18"/>
                      </w:rPr>
                      <w:t> </w:t>
                    </w:r>
                    <w:r>
                      <w:rPr>
                        <w:sz w:val="18"/>
                      </w:rPr>
                      <w:t>neesamību</w:t>
                      <w:tab/>
                      <w:t>Mantas pārdošanas</w:t>
                    </w:r>
                    <w:r>
                      <w:rPr>
                        <w:spacing w:val="-4"/>
                        <w:sz w:val="18"/>
                      </w:rPr>
                      <w:t> </w:t>
                    </w:r>
                    <w:r>
                      <w:rPr>
                        <w:sz w:val="18"/>
                      </w:rPr>
                      <w:t>plāns</w:t>
                    </w:r>
                  </w:p>
                </w:txbxContent>
              </v:textbox>
              <w10:wrap type="none"/>
            </v:shape>
            <w10:wrap type="topAndBottom"/>
          </v:group>
        </w:pict>
      </w:r>
    </w:p>
    <w:p>
      <w:pPr>
        <w:pStyle w:val="BodyText"/>
        <w:spacing w:before="2"/>
        <w:jc w:val="left"/>
        <w:rPr>
          <w:b/>
          <w:i/>
          <w:sz w:val="21"/>
        </w:rPr>
      </w:pPr>
    </w:p>
    <w:p>
      <w:pPr>
        <w:pStyle w:val="Heading4"/>
        <w:numPr>
          <w:ilvl w:val="1"/>
          <w:numId w:val="45"/>
        </w:numPr>
        <w:tabs>
          <w:tab w:pos="982" w:val="left" w:leader="none"/>
        </w:tabs>
        <w:spacing w:line="240" w:lineRule="auto" w:before="0" w:after="0"/>
        <w:ind w:left="981" w:right="0" w:hanging="362"/>
        <w:jc w:val="left"/>
        <w:rPr>
          <w:i/>
        </w:rPr>
      </w:pPr>
      <w:bookmarkStart w:name="_TOC_250057" w:id="21"/>
      <w:bookmarkEnd w:id="21"/>
      <w:r>
        <w:rPr>
          <w:i/>
        </w:rPr>
        <w:t>Saistību apmērs</w:t>
      </w:r>
    </w:p>
    <w:p>
      <w:pPr>
        <w:pStyle w:val="BodyText"/>
        <w:spacing w:before="3"/>
        <w:jc w:val="left"/>
        <w:rPr>
          <w:b/>
          <w:i/>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2"/>
        <w:gridCol w:w="3124"/>
        <w:gridCol w:w="2373"/>
      </w:tblGrid>
      <w:tr>
        <w:trPr>
          <w:trHeight w:val="2207" w:hRule="atLeast"/>
        </w:trPr>
        <w:tc>
          <w:tcPr>
            <w:tcW w:w="3122" w:type="dxa"/>
          </w:tcPr>
          <w:p>
            <w:pPr>
              <w:pStyle w:val="TableParagraph"/>
              <w:spacing w:before="8"/>
              <w:rPr>
                <w:b/>
                <w:i/>
                <w:sz w:val="23"/>
              </w:rPr>
            </w:pPr>
          </w:p>
          <w:p>
            <w:pPr>
              <w:pStyle w:val="TableParagraph"/>
              <w:ind w:left="107" w:right="211"/>
              <w:rPr>
                <w:b/>
                <w:sz w:val="24"/>
              </w:rPr>
            </w:pPr>
            <w:r>
              <w:rPr>
                <w:b/>
                <w:sz w:val="24"/>
              </w:rPr>
              <w:t>Vidējais saistību apmērs fizisko personu maksātnespējas procesos, kuros periodā no 01.11.2010. līdz 28.02.2015.</w:t>
            </w:r>
          </w:p>
          <w:p>
            <w:pPr>
              <w:pStyle w:val="TableParagraph"/>
              <w:spacing w:line="270" w:lineRule="atLeast"/>
              <w:ind w:left="107" w:right="358"/>
              <w:rPr>
                <w:b/>
                <w:sz w:val="24"/>
              </w:rPr>
            </w:pPr>
            <w:r>
              <w:rPr>
                <w:b/>
                <w:sz w:val="24"/>
              </w:rPr>
              <w:t>ir sastādīts ziņojums par mantas neesamību (EUR)</w:t>
            </w:r>
          </w:p>
        </w:tc>
        <w:tc>
          <w:tcPr>
            <w:tcW w:w="3124" w:type="dxa"/>
          </w:tcPr>
          <w:p>
            <w:pPr>
              <w:pStyle w:val="TableParagraph"/>
              <w:spacing w:before="8"/>
              <w:rPr>
                <w:b/>
                <w:i/>
                <w:sz w:val="23"/>
              </w:rPr>
            </w:pPr>
          </w:p>
          <w:p>
            <w:pPr>
              <w:pStyle w:val="TableParagraph"/>
              <w:ind w:left="105" w:right="215"/>
              <w:rPr>
                <w:b/>
                <w:sz w:val="24"/>
              </w:rPr>
            </w:pPr>
            <w:r>
              <w:rPr>
                <w:b/>
                <w:sz w:val="24"/>
              </w:rPr>
              <w:t>Vidējais saistību apmērs fizisko personu maksātnespējas procesos, kuros periodā no 01.11.2010. līdz 28.02.2015.</w:t>
            </w:r>
          </w:p>
          <w:p>
            <w:pPr>
              <w:pStyle w:val="TableParagraph"/>
              <w:spacing w:line="270" w:lineRule="atLeast"/>
              <w:ind w:left="105" w:right="481"/>
              <w:rPr>
                <w:b/>
                <w:sz w:val="24"/>
              </w:rPr>
            </w:pPr>
            <w:r>
              <w:rPr>
                <w:b/>
                <w:sz w:val="24"/>
              </w:rPr>
              <w:t>ir sastādīts mantas pārdošanas plāns (EUR)</w:t>
            </w:r>
          </w:p>
        </w:tc>
        <w:tc>
          <w:tcPr>
            <w:tcW w:w="2373" w:type="dxa"/>
          </w:tcPr>
          <w:p>
            <w:pPr>
              <w:pStyle w:val="TableParagraph"/>
              <w:ind w:left="108" w:right="547"/>
              <w:rPr>
                <w:b/>
                <w:sz w:val="24"/>
              </w:rPr>
            </w:pPr>
            <w:r>
              <w:rPr>
                <w:b/>
                <w:sz w:val="24"/>
              </w:rPr>
              <w:t>Vidējais saistību apmērs fizisko personu maksātnespējas procesos laika periodā no 01.11.2010. līdz</w:t>
            </w:r>
          </w:p>
          <w:p>
            <w:pPr>
              <w:pStyle w:val="TableParagraph"/>
              <w:spacing w:line="259" w:lineRule="exact"/>
              <w:ind w:left="108"/>
              <w:rPr>
                <w:b/>
                <w:sz w:val="24"/>
              </w:rPr>
            </w:pPr>
            <w:r>
              <w:rPr>
                <w:b/>
                <w:sz w:val="24"/>
              </w:rPr>
              <w:t>28.02.2015. (EUR)</w:t>
            </w:r>
          </w:p>
        </w:tc>
      </w:tr>
      <w:tr>
        <w:trPr>
          <w:trHeight w:val="347" w:hRule="atLeast"/>
        </w:trPr>
        <w:tc>
          <w:tcPr>
            <w:tcW w:w="3122" w:type="dxa"/>
          </w:tcPr>
          <w:p>
            <w:pPr>
              <w:pStyle w:val="TableParagraph"/>
              <w:spacing w:line="259" w:lineRule="exact" w:before="68"/>
              <w:ind w:left="1931"/>
              <w:rPr>
                <w:b/>
                <w:sz w:val="24"/>
              </w:rPr>
            </w:pPr>
            <w:r>
              <w:rPr>
                <w:b/>
                <w:sz w:val="24"/>
              </w:rPr>
              <w:t>131 010,55</w:t>
            </w:r>
          </w:p>
        </w:tc>
        <w:tc>
          <w:tcPr>
            <w:tcW w:w="3124" w:type="dxa"/>
          </w:tcPr>
          <w:p>
            <w:pPr>
              <w:pStyle w:val="TableParagraph"/>
              <w:spacing w:line="259" w:lineRule="exact" w:before="68"/>
              <w:ind w:left="1934"/>
              <w:rPr>
                <w:b/>
                <w:sz w:val="24"/>
              </w:rPr>
            </w:pPr>
            <w:r>
              <w:rPr>
                <w:b/>
                <w:sz w:val="24"/>
              </w:rPr>
              <w:t>132 911,53</w:t>
            </w:r>
          </w:p>
        </w:tc>
        <w:tc>
          <w:tcPr>
            <w:tcW w:w="2373" w:type="dxa"/>
          </w:tcPr>
          <w:p>
            <w:pPr>
              <w:pStyle w:val="TableParagraph"/>
              <w:spacing w:line="273" w:lineRule="exact"/>
              <w:ind w:left="1188"/>
              <w:rPr>
                <w:b/>
                <w:sz w:val="24"/>
              </w:rPr>
            </w:pPr>
            <w:r>
              <w:rPr>
                <w:b/>
                <w:sz w:val="24"/>
              </w:rPr>
              <w:t>132 141,20</w:t>
            </w:r>
          </w:p>
        </w:tc>
      </w:tr>
      <w:tr>
        <w:trPr>
          <w:trHeight w:val="827" w:hRule="atLeast"/>
        </w:trPr>
        <w:tc>
          <w:tcPr>
            <w:tcW w:w="3122" w:type="dxa"/>
          </w:tcPr>
          <w:p>
            <w:pPr>
              <w:pStyle w:val="TableParagraph"/>
              <w:spacing w:before="3"/>
              <w:rPr>
                <w:b/>
                <w:i/>
                <w:sz w:val="23"/>
              </w:rPr>
            </w:pPr>
          </w:p>
          <w:p>
            <w:pPr>
              <w:pStyle w:val="TableParagraph"/>
              <w:spacing w:line="270" w:lineRule="atLeast"/>
              <w:ind w:left="1444" w:right="80" w:hanging="632"/>
              <w:rPr>
                <w:sz w:val="24"/>
              </w:rPr>
            </w:pPr>
            <w:r>
              <w:rPr>
                <w:sz w:val="24"/>
              </w:rPr>
              <w:t>8 122 654,35 (kopējais saistību apmērs)</w:t>
            </w:r>
          </w:p>
        </w:tc>
        <w:tc>
          <w:tcPr>
            <w:tcW w:w="3124" w:type="dxa"/>
          </w:tcPr>
          <w:p>
            <w:pPr>
              <w:pStyle w:val="TableParagraph"/>
              <w:spacing w:before="3"/>
              <w:rPr>
                <w:b/>
                <w:i/>
                <w:sz w:val="23"/>
              </w:rPr>
            </w:pPr>
          </w:p>
          <w:p>
            <w:pPr>
              <w:pStyle w:val="TableParagraph"/>
              <w:ind w:right="97"/>
              <w:jc w:val="right"/>
              <w:rPr>
                <w:sz w:val="24"/>
              </w:rPr>
            </w:pPr>
            <w:r>
              <w:rPr>
                <w:sz w:val="24"/>
              </w:rPr>
              <w:t>12 094 949,37</w:t>
            </w:r>
            <w:r>
              <w:rPr>
                <w:spacing w:val="-2"/>
                <w:sz w:val="24"/>
              </w:rPr>
              <w:t> </w:t>
            </w:r>
            <w:r>
              <w:rPr>
                <w:sz w:val="24"/>
              </w:rPr>
              <w:t>(kopējais</w:t>
            </w:r>
          </w:p>
          <w:p>
            <w:pPr>
              <w:pStyle w:val="TableParagraph"/>
              <w:spacing w:line="264" w:lineRule="exact"/>
              <w:ind w:right="98"/>
              <w:jc w:val="right"/>
              <w:rPr>
                <w:sz w:val="24"/>
              </w:rPr>
            </w:pPr>
            <w:r>
              <w:rPr>
                <w:sz w:val="24"/>
              </w:rPr>
              <w:t>saistību apmērs)</w:t>
            </w:r>
          </w:p>
        </w:tc>
        <w:tc>
          <w:tcPr>
            <w:tcW w:w="2373" w:type="dxa"/>
          </w:tcPr>
          <w:p>
            <w:pPr>
              <w:pStyle w:val="TableParagraph"/>
              <w:spacing w:line="268" w:lineRule="exact"/>
              <w:ind w:right="91"/>
              <w:jc w:val="right"/>
              <w:rPr>
                <w:sz w:val="24"/>
              </w:rPr>
            </w:pPr>
            <w:r>
              <w:rPr>
                <w:sz w:val="24"/>
              </w:rPr>
              <w:t>20 217 603,72</w:t>
            </w:r>
          </w:p>
          <w:p>
            <w:pPr>
              <w:pStyle w:val="TableParagraph"/>
              <w:ind w:right="91"/>
              <w:jc w:val="right"/>
              <w:rPr>
                <w:sz w:val="24"/>
              </w:rPr>
            </w:pPr>
            <w:r>
              <w:rPr>
                <w:sz w:val="24"/>
              </w:rPr>
              <w:t>(kopējais saistību</w:t>
            </w:r>
          </w:p>
          <w:p>
            <w:pPr>
              <w:pStyle w:val="TableParagraph"/>
              <w:spacing w:line="264" w:lineRule="exact"/>
              <w:ind w:right="94"/>
              <w:jc w:val="right"/>
              <w:rPr>
                <w:sz w:val="24"/>
              </w:rPr>
            </w:pPr>
            <w:r>
              <w:rPr>
                <w:spacing w:val="-1"/>
                <w:sz w:val="24"/>
              </w:rPr>
              <w:t>apmērs)</w:t>
            </w:r>
          </w:p>
        </w:tc>
      </w:tr>
    </w:tbl>
    <w:p>
      <w:pPr>
        <w:spacing w:after="0" w:line="264" w:lineRule="exact"/>
        <w:jc w:val="right"/>
        <w:rPr>
          <w:sz w:val="24"/>
        </w:rPr>
        <w:sectPr>
          <w:pgSz w:w="11910" w:h="16840"/>
          <w:pgMar w:header="0" w:footer="1055" w:top="1360" w:bottom="1240" w:left="1180" w:right="1040"/>
        </w:sectPr>
      </w:pPr>
    </w:p>
    <w:p>
      <w:pPr>
        <w:pStyle w:val="BodyText"/>
        <w:ind w:left="2403"/>
        <w:jc w:val="left"/>
        <w:rPr>
          <w:sz w:val="20"/>
        </w:rPr>
      </w:pPr>
      <w:r>
        <w:rPr>
          <w:sz w:val="20"/>
        </w:rPr>
        <w:pict>
          <v:group style="width:254.65pt;height:180.6pt;mso-position-horizontal-relative:char;mso-position-vertical-relative:line" coordorigin="0,0" coordsize="5093,3612">
            <v:shape style="position:absolute;left:1423;top:542;width:2228;height:1296" type="#_x0000_t75" stroked="false">
              <v:imagedata r:id="rId46" o:title=""/>
            </v:shape>
            <v:rect style="position:absolute;left:340;top:2200;width:92;height:92" filled="true" fillcolor="#4472c3" stroked="false">
              <v:fill type="solid"/>
            </v:rect>
            <v:shape style="position:absolute;left:321;top:2181;width:130;height:130" coordorigin="322,2182" coordsize="130,130" path="m442,2311l331,2311,322,2302,322,2191,331,2182,442,2182,451,2191,451,2201,362,2201,341,2222,362,2222,362,2270,341,2270,362,2292,451,2292,451,2302,442,2311xm362,2222l341,2222,362,2201,362,2222xm410,2222l362,2222,362,2201,410,2201,410,2222xm410,2292l410,2201,432,2222,451,2222,451,2270,432,2270,410,2292xm451,2222l432,2222,410,2201,451,2201,451,2222xm362,2292l341,2270,362,2270,362,2292xm410,2292l362,2292,362,2270,410,2270,410,2292xm451,2292l410,2292,432,2270,451,2270,451,2292xe" filled="true" fillcolor="#ffffff" stroked="false">
              <v:path arrowok="t"/>
              <v:fill type="solid"/>
            </v:shape>
            <v:rect style="position:absolute;left:340;top:2798;width:92;height:89" filled="true" fillcolor="#ed7c31" stroked="false">
              <v:fill type="solid"/>
            </v:rect>
            <v:shape style="position:absolute;left:321;top:2776;width:130;height:130" coordorigin="322,2777" coordsize="130,130" path="m442,2906l331,2906,322,2899,322,2786,331,2777,442,2777,451,2786,451,2798,362,2798,341,2818,362,2818,362,2868,341,2868,362,2887,451,2887,451,2899,442,2906xm362,2818l341,2818,362,2798,362,2818xm410,2818l362,2818,362,2798,410,2798,410,2818xm410,2887l410,2798,432,2818,451,2818,451,2868,432,2868,410,2887xm451,2818l432,2818,410,2798,451,2798,451,2818xm362,2887l341,2868,362,2868,362,2887xm410,2887l362,2887,362,2868,410,2868,410,2887xm451,2887l410,2887,432,2868,451,2868,451,2887xe" filled="true" fillcolor="#ffffff" stroked="false">
              <v:path arrowok="t"/>
              <v:fill type="solid"/>
            </v:shape>
            <v:shape style="position:absolute;left:0;top:0;width:5093;height:3612" coordorigin="0,0" coordsize="5093,3612" path="m5088,3612l5,3612,0,3610,0,0,14,0,7,10,14,10,14,3598,7,3598,14,3605,5093,3605,5093,3610,5088,3612xm14,10l7,10,14,0,14,0,14,10xm5078,10l14,10,14,0,5078,0,5078,10xm5078,3605l5078,0,5086,10,5093,10,5093,3598,5086,3598,5078,3605xm5093,10l5086,10,5078,0,5093,0,5093,10xm14,3605l7,3598,14,3598,14,3605xm5078,3605l14,3605,14,3598,5078,3598,5078,3605xm5093,3605l5078,3605,5086,3598,5093,3598,5093,3605xe" filled="true" fillcolor="#000000" stroked="false">
              <v:path arrowok="t"/>
              <v:fill type="solid"/>
            </v:shape>
            <v:shape style="position:absolute;left:1430;top:160;width:2246;height:266" type="#_x0000_t202" filled="false" stroked="false">
              <v:textbox inset="0,0,0,0">
                <w:txbxContent>
                  <w:p>
                    <w:pPr>
                      <w:spacing w:line="266" w:lineRule="exact" w:before="0"/>
                      <w:ind w:left="0" w:right="0" w:firstLine="0"/>
                      <w:jc w:val="left"/>
                      <w:rPr>
                        <w:sz w:val="24"/>
                      </w:rPr>
                    </w:pPr>
                    <w:r>
                      <w:rPr>
                        <w:sz w:val="24"/>
                      </w:rPr>
                      <w:t>Saistību apmērs (EUR)</w:t>
                    </w:r>
                  </w:p>
                </w:txbxContent>
              </v:textbox>
              <w10:wrap type="none"/>
            </v:shape>
            <v:shape style="position:absolute;left:1636;top:893;width:793;height:200" type="#_x0000_t202" filled="false" stroked="false">
              <v:textbox inset="0,0,0,0">
                <w:txbxContent>
                  <w:p>
                    <w:pPr>
                      <w:spacing w:line="199" w:lineRule="exact" w:before="0"/>
                      <w:ind w:left="0" w:right="0" w:firstLine="0"/>
                      <w:jc w:val="left"/>
                      <w:rPr>
                        <w:sz w:val="18"/>
                      </w:rPr>
                    </w:pPr>
                    <w:r>
                      <w:rPr>
                        <w:sz w:val="18"/>
                      </w:rPr>
                      <w:t>132911,53</w:t>
                    </w:r>
                  </w:p>
                </w:txbxContent>
              </v:textbox>
              <w10:wrap type="none"/>
            </v:shape>
            <v:shape style="position:absolute;left:2551;top:787;width:793;height:200" type="#_x0000_t202" filled="false" stroked="false">
              <v:textbox inset="0,0,0,0">
                <w:txbxContent>
                  <w:p>
                    <w:pPr>
                      <w:spacing w:line="199" w:lineRule="exact" w:before="0"/>
                      <w:ind w:left="0" w:right="0" w:firstLine="0"/>
                      <w:jc w:val="left"/>
                      <w:rPr>
                        <w:sz w:val="18"/>
                      </w:rPr>
                    </w:pPr>
                    <w:r>
                      <w:rPr>
                        <w:sz w:val="18"/>
                      </w:rPr>
                      <w:t>131010,55</w:t>
                    </w:r>
                  </w:p>
                </w:txbxContent>
              </v:textbox>
              <w10:wrap type="none"/>
            </v:shape>
            <v:shape style="position:absolute;left:468;top:2141;width:4279;height:1004" type="#_x0000_t202" filled="false" stroked="false">
              <v:textbox inset="0,0,0,0">
                <w:txbxContent>
                  <w:p>
                    <w:pPr>
                      <w:spacing w:line="240" w:lineRule="auto" w:before="0"/>
                      <w:ind w:left="0" w:right="-1" w:firstLine="0"/>
                      <w:jc w:val="left"/>
                      <w:rPr>
                        <w:sz w:val="18"/>
                      </w:rPr>
                    </w:pPr>
                    <w:r>
                      <w:rPr>
                        <w:sz w:val="18"/>
                      </w:rPr>
                      <w:t>Vidējais saistību apmērs to fizisko personu maksātnespējas procesos, kuros sastādīts ziņojums par mantas neesamību</w:t>
                    </w:r>
                  </w:p>
                  <w:p>
                    <w:pPr>
                      <w:spacing w:before="173"/>
                      <w:ind w:left="0" w:right="-1" w:firstLine="0"/>
                      <w:jc w:val="left"/>
                      <w:rPr>
                        <w:sz w:val="18"/>
                      </w:rPr>
                    </w:pPr>
                    <w:r>
                      <w:rPr>
                        <w:sz w:val="18"/>
                      </w:rPr>
                      <w:t>Vidējais saistību apmērs to fizisko personu maksātnespējas procesos, kuros sastādīts mantas pārdošanas plāns</w:t>
                    </w:r>
                  </w:p>
                </w:txbxContent>
              </v:textbox>
              <w10:wrap type="none"/>
            </v:shape>
          </v:group>
        </w:pict>
      </w:r>
      <w:r>
        <w:rPr>
          <w:sz w:val="20"/>
        </w:rPr>
      </w:r>
    </w:p>
    <w:p>
      <w:pPr>
        <w:pStyle w:val="BodyText"/>
        <w:spacing w:before="11"/>
        <w:jc w:val="left"/>
        <w:rPr>
          <w:b/>
          <w:i/>
          <w:sz w:val="15"/>
        </w:rPr>
      </w:pPr>
    </w:p>
    <w:p>
      <w:pPr>
        <w:pStyle w:val="Heading4"/>
        <w:numPr>
          <w:ilvl w:val="1"/>
          <w:numId w:val="45"/>
        </w:numPr>
        <w:tabs>
          <w:tab w:pos="1342" w:val="left" w:leader="none"/>
        </w:tabs>
        <w:spacing w:line="240" w:lineRule="auto" w:before="90" w:after="0"/>
        <w:ind w:left="1341" w:right="0" w:hanging="362"/>
        <w:jc w:val="left"/>
        <w:rPr>
          <w:i/>
        </w:rPr>
      </w:pPr>
      <w:bookmarkStart w:name="_TOC_250056" w:id="22"/>
      <w:r>
        <w:rPr>
          <w:i/>
        </w:rPr>
        <w:t>Kreditoru</w:t>
      </w:r>
      <w:r>
        <w:rPr>
          <w:i/>
          <w:spacing w:val="3"/>
        </w:rPr>
        <w:t> </w:t>
      </w:r>
      <w:bookmarkEnd w:id="22"/>
      <w:r>
        <w:rPr>
          <w:i/>
        </w:rPr>
        <w:t>skaits</w:t>
      </w:r>
    </w:p>
    <w:p>
      <w:pPr>
        <w:pStyle w:val="BodyText"/>
        <w:spacing w:before="3"/>
        <w:jc w:val="left"/>
        <w:rPr>
          <w:b/>
          <w:i/>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1"/>
        <w:gridCol w:w="2827"/>
        <w:gridCol w:w="2693"/>
      </w:tblGrid>
      <w:tr>
        <w:trPr>
          <w:trHeight w:val="1931" w:hRule="atLeast"/>
        </w:trPr>
        <w:tc>
          <w:tcPr>
            <w:tcW w:w="3091" w:type="dxa"/>
          </w:tcPr>
          <w:p>
            <w:pPr>
              <w:pStyle w:val="TableParagraph"/>
              <w:ind w:left="107" w:right="180"/>
              <w:rPr>
                <w:b/>
                <w:sz w:val="24"/>
              </w:rPr>
            </w:pPr>
            <w:r>
              <w:rPr>
                <w:b/>
                <w:sz w:val="24"/>
              </w:rPr>
              <w:t>Vidējais kreditoru skaits fizisko personu maksātnespējas procesos, kuros laika periodā no 01.11.2010. līdz 28.02.2015.</w:t>
            </w:r>
          </w:p>
          <w:p>
            <w:pPr>
              <w:pStyle w:val="TableParagraph"/>
              <w:spacing w:line="270" w:lineRule="atLeast"/>
              <w:ind w:left="107" w:right="427"/>
              <w:rPr>
                <w:b/>
                <w:sz w:val="24"/>
              </w:rPr>
            </w:pPr>
            <w:r>
              <w:rPr>
                <w:b/>
                <w:sz w:val="24"/>
              </w:rPr>
              <w:t>ir sastādīts ziņojums par mantas neesamību</w:t>
            </w:r>
          </w:p>
        </w:tc>
        <w:tc>
          <w:tcPr>
            <w:tcW w:w="2827" w:type="dxa"/>
          </w:tcPr>
          <w:p>
            <w:pPr>
              <w:pStyle w:val="TableParagraph"/>
              <w:ind w:left="108" w:right="155"/>
              <w:rPr>
                <w:b/>
                <w:sz w:val="24"/>
              </w:rPr>
            </w:pPr>
            <w:r>
              <w:rPr>
                <w:b/>
                <w:sz w:val="24"/>
              </w:rPr>
              <w:t>Vidējais kreditoru skaits fizisko personu maksātnespējas procesos, kuros laika periodā no 01.11.2010.</w:t>
            </w:r>
          </w:p>
          <w:p>
            <w:pPr>
              <w:pStyle w:val="TableParagraph"/>
              <w:spacing w:line="270" w:lineRule="atLeast"/>
              <w:ind w:left="108" w:right="119"/>
              <w:rPr>
                <w:b/>
                <w:sz w:val="24"/>
              </w:rPr>
            </w:pPr>
            <w:r>
              <w:rPr>
                <w:b/>
                <w:sz w:val="24"/>
              </w:rPr>
              <w:t>līdz 28.02.2015. ir mantas pārdošanas</w:t>
            </w:r>
            <w:r>
              <w:rPr>
                <w:b/>
                <w:spacing w:val="2"/>
                <w:sz w:val="24"/>
              </w:rPr>
              <w:t> </w:t>
            </w:r>
            <w:r>
              <w:rPr>
                <w:b/>
                <w:spacing w:val="-4"/>
                <w:sz w:val="24"/>
              </w:rPr>
              <w:t>plāns</w:t>
            </w:r>
          </w:p>
        </w:tc>
        <w:tc>
          <w:tcPr>
            <w:tcW w:w="2693" w:type="dxa"/>
          </w:tcPr>
          <w:p>
            <w:pPr>
              <w:pStyle w:val="TableParagraph"/>
              <w:ind w:left="108" w:right="354"/>
              <w:rPr>
                <w:b/>
                <w:sz w:val="24"/>
              </w:rPr>
            </w:pPr>
            <w:r>
              <w:rPr>
                <w:b/>
                <w:sz w:val="24"/>
              </w:rPr>
              <w:t>Vidējais kreditoru skaits fizisko personu maksātnespējas procesos periodā no 01.11.2010. līdz</w:t>
            </w:r>
          </w:p>
          <w:p>
            <w:pPr>
              <w:pStyle w:val="TableParagraph"/>
              <w:ind w:left="108"/>
              <w:rPr>
                <w:b/>
                <w:sz w:val="24"/>
              </w:rPr>
            </w:pPr>
            <w:r>
              <w:rPr>
                <w:b/>
                <w:sz w:val="24"/>
              </w:rPr>
              <w:t>28.02.2015.</w:t>
            </w:r>
          </w:p>
        </w:tc>
      </w:tr>
      <w:tr>
        <w:trPr>
          <w:trHeight w:val="328" w:hRule="atLeast"/>
        </w:trPr>
        <w:tc>
          <w:tcPr>
            <w:tcW w:w="3091" w:type="dxa"/>
          </w:tcPr>
          <w:p>
            <w:pPr>
              <w:pStyle w:val="TableParagraph"/>
              <w:spacing w:line="259" w:lineRule="exact" w:before="49"/>
              <w:ind w:right="95"/>
              <w:jc w:val="right"/>
              <w:rPr>
                <w:b/>
                <w:sz w:val="24"/>
              </w:rPr>
            </w:pPr>
            <w:r>
              <w:rPr>
                <w:b/>
                <w:sz w:val="24"/>
              </w:rPr>
              <w:t>4,55</w:t>
            </w:r>
          </w:p>
        </w:tc>
        <w:tc>
          <w:tcPr>
            <w:tcW w:w="2827" w:type="dxa"/>
          </w:tcPr>
          <w:p>
            <w:pPr>
              <w:pStyle w:val="TableParagraph"/>
              <w:spacing w:line="259" w:lineRule="exact" w:before="49"/>
              <w:ind w:right="95"/>
              <w:jc w:val="right"/>
              <w:rPr>
                <w:b/>
                <w:sz w:val="24"/>
              </w:rPr>
            </w:pPr>
            <w:r>
              <w:rPr>
                <w:b/>
                <w:sz w:val="24"/>
              </w:rPr>
              <w:t>4,44</w:t>
            </w:r>
          </w:p>
        </w:tc>
        <w:tc>
          <w:tcPr>
            <w:tcW w:w="2693" w:type="dxa"/>
          </w:tcPr>
          <w:p>
            <w:pPr>
              <w:pStyle w:val="TableParagraph"/>
              <w:spacing w:line="272" w:lineRule="exact"/>
              <w:ind w:right="95"/>
              <w:jc w:val="right"/>
              <w:rPr>
                <w:b/>
                <w:sz w:val="24"/>
              </w:rPr>
            </w:pPr>
            <w:r>
              <w:rPr>
                <w:b/>
                <w:sz w:val="24"/>
              </w:rPr>
              <w:t>4,49</w:t>
            </w:r>
          </w:p>
        </w:tc>
      </w:tr>
      <w:tr>
        <w:trPr>
          <w:trHeight w:val="604" w:hRule="atLeast"/>
        </w:trPr>
        <w:tc>
          <w:tcPr>
            <w:tcW w:w="3091" w:type="dxa"/>
          </w:tcPr>
          <w:p>
            <w:pPr>
              <w:pStyle w:val="TableParagraph"/>
              <w:spacing w:before="44"/>
              <w:ind w:right="98"/>
              <w:jc w:val="right"/>
              <w:rPr>
                <w:sz w:val="24"/>
              </w:rPr>
            </w:pPr>
            <w:r>
              <w:rPr>
                <w:sz w:val="24"/>
              </w:rPr>
              <w:t>296 (kopējais skaits)</w:t>
            </w:r>
          </w:p>
        </w:tc>
        <w:tc>
          <w:tcPr>
            <w:tcW w:w="2827" w:type="dxa"/>
          </w:tcPr>
          <w:p>
            <w:pPr>
              <w:pStyle w:val="TableParagraph"/>
              <w:spacing w:before="44"/>
              <w:ind w:right="98"/>
              <w:jc w:val="right"/>
              <w:rPr>
                <w:sz w:val="24"/>
              </w:rPr>
            </w:pPr>
            <w:r>
              <w:rPr>
                <w:sz w:val="24"/>
              </w:rPr>
              <w:t>431 (kopējais skaits)</w:t>
            </w:r>
          </w:p>
        </w:tc>
        <w:tc>
          <w:tcPr>
            <w:tcW w:w="2693" w:type="dxa"/>
          </w:tcPr>
          <w:p>
            <w:pPr>
              <w:pStyle w:val="TableParagraph"/>
              <w:spacing w:line="268" w:lineRule="exact"/>
              <w:ind w:right="98"/>
              <w:jc w:val="right"/>
              <w:rPr>
                <w:sz w:val="24"/>
              </w:rPr>
            </w:pPr>
            <w:r>
              <w:rPr>
                <w:sz w:val="24"/>
              </w:rPr>
              <w:t>727 (kopējais skaits)</w:t>
            </w:r>
          </w:p>
        </w:tc>
      </w:tr>
    </w:tbl>
    <w:p>
      <w:pPr>
        <w:pStyle w:val="BodyText"/>
        <w:spacing w:before="7"/>
        <w:jc w:val="left"/>
        <w:rPr>
          <w:b/>
          <w:i/>
          <w:sz w:val="20"/>
        </w:rPr>
      </w:pPr>
      <w:r>
        <w:rPr/>
        <w:pict>
          <v:group style="position:absolute;margin-left:142.200027pt;margin-top:13.799968pt;width:327pt;height:164.9pt;mso-position-horizontal-relative:page;mso-position-vertical-relative:paragraph;z-index:-251590656;mso-wrap-distance-left:0;mso-wrap-distance-right:0" coordorigin="2844,276" coordsize="6540,3298">
            <v:shape style="position:absolute;left:4963;top:763;width:2112;height:1224" type="#_x0000_t75" stroked="false">
              <v:imagedata r:id="rId47" o:title=""/>
            </v:shape>
            <v:rect style="position:absolute;left:3556;top:2092;width:89;height:89" filled="true" fillcolor="#4472c3" stroked="false">
              <v:fill type="solid"/>
            </v:rect>
            <v:shape style="position:absolute;left:3537;top:2073;width:130;height:130" coordorigin="3538,2074" coordsize="130,130" path="m3658,2203l3547,2203,3538,2194,3538,2081,3547,2074,3658,2074,3667,2081,3667,2093,3576,2093,3557,2112,3576,2112,3576,2162,3557,2162,3576,2182,3667,2182,3667,2194,3658,2203xm3576,2112l3557,2112,3576,2093,3576,2112xm3626,2112l3576,2112,3576,2093,3626,2093,3626,2112xm3626,2182l3626,2093,3646,2112,3667,2112,3667,2162,3646,2162,3626,2182xm3667,2112l3646,2112,3626,2093,3667,2093,3667,2112xm3576,2182l3557,2162,3576,2162,3576,2182xm3626,2182l3576,2182,3576,2162,3626,2162,3626,2182xm3667,2182l3626,2182,3646,2162,3667,2162,3667,2182xe" filled="true" fillcolor="#ffffff" stroked="false">
              <v:path arrowok="t"/>
              <v:fill type="solid"/>
            </v:shape>
            <v:rect style="position:absolute;left:3556;top:2546;width:89;height:89" filled="true" fillcolor="#ed7c31" stroked="false">
              <v:fill type="solid"/>
            </v:rect>
            <v:shape style="position:absolute;left:3537;top:2524;width:130;height:130" coordorigin="3538,2525" coordsize="130,130" path="m3658,2654l3547,2654,3538,2647,3538,2534,3547,2525,3658,2525,3667,2534,3667,2546,3576,2546,3557,2566,3576,2566,3576,2616,3557,2616,3576,2635,3667,2635,3667,2647,3658,2654xm3576,2566l3557,2566,3576,2546,3576,2566xm3626,2566l3576,2566,3576,2546,3626,2546,3626,2566xm3626,2635l3626,2546,3646,2566,3667,2566,3667,2616,3646,2616,3626,2635xm3667,2566l3646,2566,3626,2546,3667,2546,3667,2566xm3576,2635l3557,2616,3576,2616,3576,2635xm3626,2635l3576,2635,3576,2616,3626,2616,3626,2635xm3667,2635l3626,2635,3646,2616,3667,2616,3667,2635xe" filled="true" fillcolor="#ffffff" stroked="false">
              <v:path arrowok="t"/>
              <v:fill type="solid"/>
            </v:shape>
            <v:shape style="position:absolute;left:2844;top:276;width:6540;height:3298" coordorigin="2844,276" coordsize="6540,3298" path="m9382,3574l2846,3574,2844,3569,2844,276,9384,276,9384,278,2858,278,2851,286,2858,286,2858,3557,2851,3557,2858,3564,9384,3564,9384,3569,9382,3574xm2858,286l2851,286,2858,278,2858,286xm9370,286l2858,286,2858,278,9370,278,9370,286xm9370,3564l9370,278,9377,286,9384,286,9384,3557,9377,3557,9370,3564xm9384,286l9377,286,9370,278,9384,278,9384,286xm2858,3564l2851,3557,2858,3557,2858,3564xm9370,3564l2858,3564,2858,3557,9370,3557,9370,3564xm9384,3564l9370,3564,9377,3557,9384,3557,9384,3564xe" filled="true" fillcolor="#000000" stroked="false">
              <v:path arrowok="t"/>
              <v:fill type="solid"/>
            </v:shape>
            <v:shape style="position:absolute;left:5335;top:316;width:1561;height:266" type="#_x0000_t202" filled="false" stroked="false">
              <v:textbox inset="0,0,0,0">
                <w:txbxContent>
                  <w:p>
                    <w:pPr>
                      <w:spacing w:line="266" w:lineRule="exact" w:before="0"/>
                      <w:ind w:left="0" w:right="0" w:firstLine="0"/>
                      <w:jc w:val="left"/>
                      <w:rPr>
                        <w:sz w:val="24"/>
                      </w:rPr>
                    </w:pPr>
                    <w:r>
                      <w:rPr>
                        <w:sz w:val="24"/>
                      </w:rPr>
                      <w:t>Kreditoru skaits</w:t>
                    </w:r>
                  </w:p>
                </w:txbxContent>
              </v:textbox>
              <w10:wrap type="none"/>
            </v:shape>
            <v:shape style="position:absolute;left:5323;top:974;width:339;height:200" type="#_x0000_t202" filled="false" stroked="false">
              <v:textbox inset="0,0,0,0">
                <w:txbxContent>
                  <w:p>
                    <w:pPr>
                      <w:spacing w:line="199" w:lineRule="exact" w:before="0"/>
                      <w:ind w:left="0" w:right="0" w:firstLine="0"/>
                      <w:jc w:val="left"/>
                      <w:rPr>
                        <w:sz w:val="18"/>
                      </w:rPr>
                    </w:pPr>
                    <w:r>
                      <w:rPr>
                        <w:sz w:val="18"/>
                      </w:rPr>
                      <w:t>4,44</w:t>
                    </w:r>
                  </w:p>
                </w:txbxContent>
              </v:textbox>
              <w10:wrap type="none"/>
            </v:shape>
            <v:shape style="position:absolute;left:6551;top:1094;width:339;height:200" type="#_x0000_t202" filled="false" stroked="false">
              <v:textbox inset="0,0,0,0">
                <w:txbxContent>
                  <w:p>
                    <w:pPr>
                      <w:spacing w:line="199" w:lineRule="exact" w:before="0"/>
                      <w:ind w:left="0" w:right="0" w:firstLine="0"/>
                      <w:jc w:val="left"/>
                      <w:rPr>
                        <w:sz w:val="18"/>
                      </w:rPr>
                    </w:pPr>
                    <w:r>
                      <w:rPr>
                        <w:sz w:val="18"/>
                      </w:rPr>
                      <w:t>4,55</w:t>
                    </w:r>
                  </w:p>
                </w:txbxContent>
              </v:textbox>
              <w10:wrap type="none"/>
            </v:shape>
            <v:shape style="position:absolute;left:3684;top:2033;width:5258;height:860" type="#_x0000_t202" filled="false" stroked="false">
              <v:textbox inset="0,0,0,0">
                <w:txbxContent>
                  <w:p>
                    <w:pPr>
                      <w:spacing w:line="240" w:lineRule="auto" w:before="0"/>
                      <w:ind w:left="0" w:right="-1" w:firstLine="0"/>
                      <w:jc w:val="left"/>
                      <w:rPr>
                        <w:sz w:val="18"/>
                      </w:rPr>
                    </w:pPr>
                    <w:r>
                      <w:rPr>
                        <w:sz w:val="18"/>
                      </w:rPr>
                      <w:t>Vidējais kreditoru skaits fizisko personu maksātnespējas procesos, kuros sastādīts ziņojums par mantas neesamību</w:t>
                    </w:r>
                  </w:p>
                  <w:p>
                    <w:pPr>
                      <w:spacing w:before="29"/>
                      <w:ind w:left="0" w:right="-1" w:firstLine="0"/>
                      <w:jc w:val="left"/>
                      <w:rPr>
                        <w:sz w:val="18"/>
                      </w:rPr>
                    </w:pPr>
                    <w:r>
                      <w:rPr>
                        <w:sz w:val="18"/>
                      </w:rPr>
                      <w:t>Vidējais kreditoru skaits fizisko personu maksātnespējas procesos, kuros sastādīts mantas pārdošanas plāns</w:t>
                    </w:r>
                  </w:p>
                </w:txbxContent>
              </v:textbox>
              <w10:wrap type="none"/>
            </v:shape>
            <w10:wrap type="topAndBottom"/>
          </v:group>
        </w:pict>
      </w:r>
    </w:p>
    <w:p>
      <w:pPr>
        <w:pStyle w:val="BodyText"/>
        <w:jc w:val="left"/>
        <w:rPr>
          <w:b/>
          <w:i/>
          <w:sz w:val="26"/>
        </w:rPr>
      </w:pPr>
    </w:p>
    <w:p>
      <w:pPr>
        <w:pStyle w:val="BodyText"/>
        <w:spacing w:before="3"/>
        <w:jc w:val="left"/>
        <w:rPr>
          <w:b/>
          <w:i/>
          <w:sz w:val="21"/>
        </w:rPr>
      </w:pPr>
    </w:p>
    <w:p>
      <w:pPr>
        <w:pStyle w:val="Heading4"/>
        <w:numPr>
          <w:ilvl w:val="1"/>
          <w:numId w:val="45"/>
        </w:numPr>
        <w:tabs>
          <w:tab w:pos="1342" w:val="left" w:leader="none"/>
        </w:tabs>
        <w:spacing w:line="240" w:lineRule="auto" w:before="0" w:after="0"/>
        <w:ind w:left="1341" w:right="0" w:hanging="362"/>
        <w:jc w:val="left"/>
        <w:rPr>
          <w:i/>
        </w:rPr>
      </w:pPr>
      <w:bookmarkStart w:name="_TOC_250055" w:id="23"/>
      <w:r>
        <w:rPr>
          <w:i/>
        </w:rPr>
        <w:t>Saistību dzēšanas plāna</w:t>
      </w:r>
      <w:r>
        <w:rPr>
          <w:i/>
          <w:spacing w:val="-3"/>
        </w:rPr>
        <w:t> </w:t>
      </w:r>
      <w:bookmarkEnd w:id="23"/>
      <w:r>
        <w:rPr>
          <w:i/>
        </w:rPr>
        <w:t>termiņš</w:t>
      </w:r>
    </w:p>
    <w:p>
      <w:pPr>
        <w:pStyle w:val="BodyText"/>
        <w:spacing w:before="3"/>
        <w:jc w:val="left"/>
        <w:rPr>
          <w:b/>
          <w:i/>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8"/>
        <w:gridCol w:w="708"/>
        <w:gridCol w:w="1318"/>
      </w:tblGrid>
      <w:tr>
        <w:trPr>
          <w:trHeight w:val="275" w:hRule="atLeast"/>
        </w:trPr>
        <w:tc>
          <w:tcPr>
            <w:tcW w:w="4958" w:type="dxa"/>
          </w:tcPr>
          <w:p>
            <w:pPr>
              <w:pStyle w:val="TableParagraph"/>
              <w:spacing w:line="256" w:lineRule="exact"/>
              <w:ind w:left="107"/>
              <w:rPr>
                <w:b/>
                <w:sz w:val="24"/>
              </w:rPr>
            </w:pPr>
            <w:r>
              <w:rPr>
                <w:b/>
                <w:sz w:val="24"/>
              </w:rPr>
              <w:t>Procesu skaits, kuros sastādīts s.dz.plāns</w:t>
            </w:r>
          </w:p>
        </w:tc>
        <w:tc>
          <w:tcPr>
            <w:tcW w:w="708" w:type="dxa"/>
          </w:tcPr>
          <w:p>
            <w:pPr>
              <w:pStyle w:val="TableParagraph"/>
              <w:spacing w:line="256" w:lineRule="exact"/>
              <w:ind w:right="95"/>
              <w:jc w:val="right"/>
              <w:rPr>
                <w:b/>
                <w:sz w:val="24"/>
              </w:rPr>
            </w:pPr>
            <w:r>
              <w:rPr>
                <w:b/>
                <w:sz w:val="24"/>
              </w:rPr>
              <w:t>162</w:t>
            </w:r>
          </w:p>
        </w:tc>
        <w:tc>
          <w:tcPr>
            <w:tcW w:w="1318" w:type="dxa"/>
          </w:tcPr>
          <w:p>
            <w:pPr>
              <w:pStyle w:val="TableParagraph"/>
              <w:rPr>
                <w:sz w:val="20"/>
              </w:rPr>
            </w:pPr>
          </w:p>
        </w:tc>
      </w:tr>
      <w:tr>
        <w:trPr>
          <w:trHeight w:val="294" w:hRule="atLeast"/>
        </w:trPr>
        <w:tc>
          <w:tcPr>
            <w:tcW w:w="4958" w:type="dxa"/>
          </w:tcPr>
          <w:p>
            <w:pPr>
              <w:pStyle w:val="TableParagraph"/>
              <w:spacing w:line="259" w:lineRule="exact" w:before="15"/>
              <w:ind w:left="107"/>
              <w:rPr>
                <w:b/>
                <w:sz w:val="24"/>
              </w:rPr>
            </w:pPr>
            <w:r>
              <w:rPr>
                <w:b/>
                <w:sz w:val="24"/>
              </w:rPr>
              <w:t>1 gads</w:t>
            </w:r>
          </w:p>
        </w:tc>
        <w:tc>
          <w:tcPr>
            <w:tcW w:w="708" w:type="dxa"/>
          </w:tcPr>
          <w:p>
            <w:pPr>
              <w:pStyle w:val="TableParagraph"/>
              <w:spacing w:line="259" w:lineRule="exact" w:before="15"/>
              <w:ind w:right="96"/>
              <w:jc w:val="right"/>
              <w:rPr>
                <w:b/>
                <w:sz w:val="24"/>
              </w:rPr>
            </w:pPr>
            <w:r>
              <w:rPr>
                <w:b/>
                <w:sz w:val="24"/>
              </w:rPr>
              <w:t>12</w:t>
            </w:r>
          </w:p>
        </w:tc>
        <w:tc>
          <w:tcPr>
            <w:tcW w:w="1318" w:type="dxa"/>
          </w:tcPr>
          <w:p>
            <w:pPr>
              <w:pStyle w:val="TableParagraph"/>
              <w:spacing w:line="259" w:lineRule="exact" w:before="15"/>
              <w:ind w:left="105"/>
              <w:rPr>
                <w:b/>
                <w:sz w:val="24"/>
              </w:rPr>
            </w:pPr>
            <w:r>
              <w:rPr>
                <w:b/>
                <w:sz w:val="24"/>
              </w:rPr>
              <w:t>7,41 %</w:t>
            </w:r>
          </w:p>
        </w:tc>
      </w:tr>
      <w:tr>
        <w:trPr>
          <w:trHeight w:val="275" w:hRule="atLeast"/>
        </w:trPr>
        <w:tc>
          <w:tcPr>
            <w:tcW w:w="4958" w:type="dxa"/>
          </w:tcPr>
          <w:p>
            <w:pPr>
              <w:pStyle w:val="TableParagraph"/>
              <w:spacing w:line="256" w:lineRule="exact"/>
              <w:ind w:left="107"/>
              <w:rPr>
                <w:b/>
                <w:sz w:val="24"/>
              </w:rPr>
            </w:pPr>
            <w:r>
              <w:rPr>
                <w:b/>
                <w:sz w:val="24"/>
              </w:rPr>
              <w:t>1 gads un seši mēneši</w:t>
            </w:r>
          </w:p>
        </w:tc>
        <w:tc>
          <w:tcPr>
            <w:tcW w:w="708" w:type="dxa"/>
          </w:tcPr>
          <w:p>
            <w:pPr>
              <w:pStyle w:val="TableParagraph"/>
              <w:spacing w:line="256" w:lineRule="exact"/>
              <w:ind w:right="96"/>
              <w:jc w:val="right"/>
              <w:rPr>
                <w:b/>
                <w:sz w:val="24"/>
              </w:rPr>
            </w:pPr>
            <w:r>
              <w:rPr>
                <w:b/>
                <w:sz w:val="24"/>
              </w:rPr>
              <w:t>1</w:t>
            </w:r>
          </w:p>
        </w:tc>
        <w:tc>
          <w:tcPr>
            <w:tcW w:w="1318" w:type="dxa"/>
          </w:tcPr>
          <w:p>
            <w:pPr>
              <w:pStyle w:val="TableParagraph"/>
              <w:spacing w:line="256" w:lineRule="exact"/>
              <w:ind w:left="105"/>
              <w:rPr>
                <w:b/>
                <w:sz w:val="24"/>
              </w:rPr>
            </w:pPr>
            <w:r>
              <w:rPr>
                <w:b/>
                <w:sz w:val="24"/>
              </w:rPr>
              <w:t>0,62 %</w:t>
            </w:r>
          </w:p>
        </w:tc>
      </w:tr>
      <w:tr>
        <w:trPr>
          <w:trHeight w:val="278" w:hRule="atLeast"/>
        </w:trPr>
        <w:tc>
          <w:tcPr>
            <w:tcW w:w="4958" w:type="dxa"/>
          </w:tcPr>
          <w:p>
            <w:pPr>
              <w:pStyle w:val="TableParagraph"/>
              <w:spacing w:line="258" w:lineRule="exact"/>
              <w:ind w:left="107"/>
              <w:rPr>
                <w:b/>
                <w:sz w:val="24"/>
              </w:rPr>
            </w:pPr>
            <w:r>
              <w:rPr>
                <w:b/>
                <w:sz w:val="24"/>
              </w:rPr>
              <w:t>2 gadi</w:t>
            </w:r>
          </w:p>
        </w:tc>
        <w:tc>
          <w:tcPr>
            <w:tcW w:w="708" w:type="dxa"/>
          </w:tcPr>
          <w:p>
            <w:pPr>
              <w:pStyle w:val="TableParagraph"/>
              <w:spacing w:line="258" w:lineRule="exact"/>
              <w:ind w:right="96"/>
              <w:jc w:val="right"/>
              <w:rPr>
                <w:b/>
                <w:sz w:val="24"/>
              </w:rPr>
            </w:pPr>
            <w:r>
              <w:rPr>
                <w:b/>
                <w:sz w:val="24"/>
              </w:rPr>
              <w:t>114</w:t>
            </w:r>
          </w:p>
        </w:tc>
        <w:tc>
          <w:tcPr>
            <w:tcW w:w="1318" w:type="dxa"/>
          </w:tcPr>
          <w:p>
            <w:pPr>
              <w:pStyle w:val="TableParagraph"/>
              <w:spacing w:line="258" w:lineRule="exact"/>
              <w:ind w:left="105"/>
              <w:rPr>
                <w:b/>
                <w:sz w:val="24"/>
              </w:rPr>
            </w:pPr>
            <w:r>
              <w:rPr>
                <w:b/>
                <w:sz w:val="24"/>
              </w:rPr>
              <w:t>70,37 %</w:t>
            </w:r>
          </w:p>
        </w:tc>
      </w:tr>
      <w:tr>
        <w:trPr>
          <w:trHeight w:val="297" w:hRule="atLeast"/>
        </w:trPr>
        <w:tc>
          <w:tcPr>
            <w:tcW w:w="4958" w:type="dxa"/>
          </w:tcPr>
          <w:p>
            <w:pPr>
              <w:pStyle w:val="TableParagraph"/>
              <w:spacing w:line="259" w:lineRule="exact" w:before="18"/>
              <w:ind w:left="107"/>
              <w:rPr>
                <w:b/>
                <w:sz w:val="24"/>
              </w:rPr>
            </w:pPr>
            <w:r>
              <w:rPr>
                <w:b/>
                <w:sz w:val="24"/>
              </w:rPr>
              <w:t>3 gadi</w:t>
            </w:r>
          </w:p>
        </w:tc>
        <w:tc>
          <w:tcPr>
            <w:tcW w:w="708" w:type="dxa"/>
          </w:tcPr>
          <w:p>
            <w:pPr>
              <w:pStyle w:val="TableParagraph"/>
              <w:spacing w:line="259" w:lineRule="exact" w:before="18"/>
              <w:ind w:right="96"/>
              <w:jc w:val="right"/>
              <w:rPr>
                <w:b/>
                <w:sz w:val="24"/>
              </w:rPr>
            </w:pPr>
            <w:r>
              <w:rPr>
                <w:b/>
                <w:sz w:val="24"/>
              </w:rPr>
              <w:t>5</w:t>
            </w:r>
          </w:p>
        </w:tc>
        <w:tc>
          <w:tcPr>
            <w:tcW w:w="1318" w:type="dxa"/>
          </w:tcPr>
          <w:p>
            <w:pPr>
              <w:pStyle w:val="TableParagraph"/>
              <w:spacing w:line="259" w:lineRule="exact" w:before="18"/>
              <w:ind w:left="105"/>
              <w:rPr>
                <w:b/>
                <w:sz w:val="24"/>
              </w:rPr>
            </w:pPr>
            <w:r>
              <w:rPr>
                <w:b/>
                <w:sz w:val="24"/>
              </w:rPr>
              <w:t>3,09 %</w:t>
            </w:r>
          </w:p>
        </w:tc>
      </w:tr>
      <w:tr>
        <w:trPr>
          <w:trHeight w:val="275" w:hRule="atLeast"/>
        </w:trPr>
        <w:tc>
          <w:tcPr>
            <w:tcW w:w="4958" w:type="dxa"/>
          </w:tcPr>
          <w:p>
            <w:pPr>
              <w:pStyle w:val="TableParagraph"/>
              <w:spacing w:line="256" w:lineRule="exact"/>
              <w:ind w:left="107"/>
              <w:rPr>
                <w:b/>
                <w:sz w:val="24"/>
              </w:rPr>
            </w:pPr>
            <w:r>
              <w:rPr>
                <w:b/>
                <w:sz w:val="24"/>
              </w:rPr>
              <w:t>3 gadi un seši mēneši</w:t>
            </w:r>
          </w:p>
        </w:tc>
        <w:tc>
          <w:tcPr>
            <w:tcW w:w="708" w:type="dxa"/>
          </w:tcPr>
          <w:p>
            <w:pPr>
              <w:pStyle w:val="TableParagraph"/>
              <w:spacing w:line="256" w:lineRule="exact"/>
              <w:ind w:right="96"/>
              <w:jc w:val="right"/>
              <w:rPr>
                <w:b/>
                <w:sz w:val="24"/>
              </w:rPr>
            </w:pPr>
            <w:r>
              <w:rPr>
                <w:b/>
                <w:sz w:val="24"/>
              </w:rPr>
              <w:t>30</w:t>
            </w:r>
          </w:p>
        </w:tc>
        <w:tc>
          <w:tcPr>
            <w:tcW w:w="1318" w:type="dxa"/>
          </w:tcPr>
          <w:p>
            <w:pPr>
              <w:pStyle w:val="TableParagraph"/>
              <w:spacing w:line="256" w:lineRule="exact"/>
              <w:ind w:left="105"/>
              <w:rPr>
                <w:b/>
                <w:sz w:val="24"/>
              </w:rPr>
            </w:pPr>
            <w:r>
              <w:rPr>
                <w:b/>
                <w:sz w:val="24"/>
              </w:rPr>
              <w:t>18,52 %</w:t>
            </w:r>
          </w:p>
        </w:tc>
      </w:tr>
    </w:tbl>
    <w:p>
      <w:pPr>
        <w:spacing w:after="0" w:line="256" w:lineRule="exact"/>
        <w:rPr>
          <w:sz w:val="24"/>
        </w:rPr>
        <w:sectPr>
          <w:pgSz w:w="11910" w:h="16840"/>
          <w:pgMar w:header="0" w:footer="1055" w:top="1420" w:bottom="1240" w:left="1180" w:right="1040"/>
        </w:sectPr>
      </w:pPr>
    </w:p>
    <w:p>
      <w:pPr>
        <w:pStyle w:val="BodyText"/>
        <w:spacing w:before="2"/>
        <w:jc w:val="left"/>
        <w:rPr>
          <w:b/>
          <w:i/>
          <w:sz w:val="10"/>
        </w:rPr>
      </w:pPr>
    </w:p>
    <w:p>
      <w:pPr>
        <w:pStyle w:val="BodyText"/>
        <w:ind w:left="1323"/>
        <w:jc w:val="left"/>
        <w:rPr>
          <w:sz w:val="20"/>
        </w:rPr>
      </w:pPr>
      <w:r>
        <w:rPr>
          <w:sz w:val="20"/>
        </w:rPr>
        <w:pict>
          <v:group style="width:325.8pt;height:198.6pt;mso-position-horizontal-relative:char;mso-position-vertical-relative:line" coordorigin="0,0" coordsize="6516,3972">
            <v:shape style="position:absolute;left:1610;top:674;width:3840;height:2266" type="#_x0000_t75" stroked="false">
              <v:imagedata r:id="rId48" o:title=""/>
            </v:shape>
            <v:shape style="position:absolute;left:1581;top:1113;width:279;height:77" coordorigin="1582,1114" coordsize="279,77" path="m1855,1190l1668,1128,1582,1128,1582,1114,1673,1114,1860,1176,1855,1190xe" filled="true" fillcolor="#a5a5a5" stroked="false">
              <v:path arrowok="t"/>
              <v:fill type="solid"/>
            </v:shape>
            <v:rect style="position:absolute;left:940;top:3086;width:111;height:111" filled="true" fillcolor="#4472c3" stroked="false">
              <v:fill type="solid"/>
            </v:rect>
            <v:shape style="position:absolute;left:921;top:3067;width:149;height:149" coordorigin="922,3067" coordsize="149,149" path="m1061,3216l929,3216,922,3209,922,3077,929,3067,1061,3067,1070,3077,1070,3086,960,3086,941,3108,960,3108,960,3178,941,3178,960,3197,1070,3197,1070,3209,1061,3216xm960,3108l941,3108,960,3086,960,3108xm1030,3108l960,3108,960,3086,1030,3086,1030,3108xm1030,3197l1030,3086,1051,3108,1070,3108,1070,3178,1051,3178,1030,3197xm1070,3108l1051,3108,1030,3086,1070,3086,1070,3108xm960,3197l941,3178,960,3178,960,3197xm1030,3197l960,3197,960,3178,1030,3178,1030,3197xm1070,3197l1030,3197,1051,3178,1070,3178,1070,3197xe" filled="true" fillcolor="#ffffff" stroked="false">
              <v:path arrowok="t"/>
              <v:fill type="solid"/>
            </v:shape>
            <v:rect style="position:absolute;left:1867;top:3086;width:111;height:111" filled="true" fillcolor="#ed7c31" stroked="false">
              <v:fill type="solid"/>
            </v:rect>
            <v:shape style="position:absolute;left:1848;top:3067;width:149;height:149" coordorigin="1848,3067" coordsize="149,149" path="m1987,3216l1855,3216,1848,3209,1848,3077,1855,3067,1987,3067,1997,3077,1997,3086,1886,3086,1867,3108,1886,3108,1886,3178,1867,3178,1886,3197,1997,3197,1997,3209,1987,3216xm1886,3108l1867,3108,1886,3086,1886,3108xm1956,3108l1886,3108,1886,3086,1956,3086,1956,3108xm1956,3197l1956,3086,1978,3108,1997,3108,1997,3178,1978,3178,1956,3197xm1997,3108l1978,3108,1956,3086,1997,3086,1997,3108xm1886,3197l1867,3178,1886,3178,1886,3197xm1956,3197l1886,3197,1886,3178,1956,3178,1956,3197xm1997,3197l1956,3197,1978,3178,1997,3178,1997,3197xe" filled="true" fillcolor="#ffffff" stroked="false">
              <v:path arrowok="t"/>
              <v:fill type="solid"/>
            </v:shape>
            <v:rect style="position:absolute;left:2935;top:3086;width:108;height:111" filled="true" fillcolor="#a5a5a5" stroked="false">
              <v:fill type="solid"/>
            </v:rect>
            <v:shape style="position:absolute;left:2913;top:3067;width:152;height:149" coordorigin="2914,3067" coordsize="152,149" path="m3055,3216l2923,3216,2914,3209,2914,3077,2923,3067,3055,3067,3065,3077,3065,3086,2954,3086,2935,3108,2954,3108,2954,3178,2935,3178,2954,3197,3065,3197,3065,3209,3055,3216xm2954,3108l2935,3108,2954,3086,2954,3108xm3024,3108l2954,3108,2954,3086,3024,3086,3024,3108xm3024,3197l3024,3086,3043,3108,3065,3108,3065,3178,3043,3178,3024,3197xm3065,3108l3043,3108,3024,3086,3065,3086,3065,3108xm2954,3197l2935,3178,2954,3178,2954,3197xm3024,3197l2954,3197,2954,3178,3024,3178,3024,3197xm3065,3197l3024,3197,3043,3178,3065,3178,3065,3197xe" filled="true" fillcolor="#ffffff" stroked="false">
              <v:path arrowok="t"/>
              <v:fill type="solid"/>
            </v:shape>
            <v:rect style="position:absolute;left:3835;top:3086;width:111;height:111" filled="true" fillcolor="#ffbf00" stroked="false">
              <v:fill type="solid"/>
            </v:rect>
            <v:shape style="position:absolute;left:3816;top:3067;width:149;height:149" coordorigin="3816,3067" coordsize="149,149" path="m3958,3216l3826,3216,3816,3209,3816,3077,3826,3067,3958,3067,3965,3077,3965,3086,3857,3086,3835,3108,3857,3108,3857,3178,3835,3178,3857,3197,3965,3197,3965,3209,3958,3216xm3857,3108l3835,3108,3857,3086,3857,3108xm3926,3108l3857,3108,3857,3086,3926,3086,3926,3108xm3926,3197l3926,3086,3946,3108,3965,3108,3965,3178,3946,3178,3926,3197xm3965,3108l3946,3108,3926,3086,3965,3086,3965,3108xm3857,3197l3835,3178,3857,3178,3857,3197xm3926,3197l3857,3197,3857,3178,3926,3178,3926,3197xm3965,3197l3926,3197,3946,3178,3965,3178,3965,3197xe" filled="true" fillcolor="#ffffff" stroked="false">
              <v:path arrowok="t"/>
              <v:fill type="solid"/>
            </v:shape>
            <v:rect style="position:absolute;left:4737;top:3086;width:111;height:111" filled="true" fillcolor="#5b9ad4" stroked="false">
              <v:fill type="solid"/>
            </v:rect>
            <v:shape style="position:absolute;left:4718;top:3067;width:149;height:149" coordorigin="4718,3067" coordsize="149,149" path="m4858,3216l4726,3216,4718,3209,4718,3077,4726,3067,4858,3067,4867,3077,4867,3086,4757,3086,4738,3108,4757,3108,4757,3178,4738,3178,4757,3197,4867,3197,4867,3209,4858,3216xm4757,3108l4738,3108,4757,3086,4757,3108xm4826,3108l4757,3108,4757,3086,4826,3086,4826,3108xm4826,3197l4826,3086,4848,3108,4867,3108,4867,3178,4848,3178,4826,3197xm4867,3108l4848,3108,4826,3086,4867,3086,4867,3108xm4757,3197l4738,3178,4757,3178,4757,3197xm4826,3197l4757,3197,4757,3178,4826,3178,4826,3197xm4867,3197l4826,3197,4848,3178,4867,3178,4867,3197xe" filled="true" fillcolor="#ffffff" stroked="false">
              <v:path arrowok="t"/>
              <v:fill type="solid"/>
            </v:shape>
            <v:shape style="position:absolute;left:0;top:0;width:6516;height:3972" coordorigin="0,0" coordsize="6516,3972" path="m6514,3972l5,3972,0,3970,0,0,6516,0,6516,0,14,0,7,10,14,10,14,3958,7,3958,14,3965,6516,3965,6516,3970,6514,3972xm14,10l7,10,14,0,14,10xm6502,10l14,10,14,0,6502,0,6502,10xm6502,3965l6502,0,6509,10,6516,10,6516,3958,6509,3958,6502,3965xm6516,10l6509,10,6502,0,6516,0,6516,10xm14,3965l7,3958,14,3958,14,3965xm6502,3965l14,3965,14,3958,6502,3958,6502,3965xm6516,3965l6502,3965,6509,3958,6516,3958,6516,3965xe" filled="true" fillcolor="#000000" stroked="false">
              <v:path arrowok="t"/>
              <v:fill type="solid"/>
            </v:shape>
            <v:shape style="position:absolute;left:1526;top:160;width:3484;height:565" type="#_x0000_t202" filled="false" stroked="false">
              <v:textbox inset="0,0,0,0">
                <w:txbxContent>
                  <w:p>
                    <w:pPr>
                      <w:spacing w:line="266" w:lineRule="exact" w:before="0"/>
                      <w:ind w:left="0" w:right="0" w:firstLine="0"/>
                      <w:jc w:val="left"/>
                      <w:rPr>
                        <w:sz w:val="24"/>
                      </w:rPr>
                    </w:pPr>
                    <w:r>
                      <w:rPr>
                        <w:sz w:val="24"/>
                      </w:rPr>
                      <w:t>Saistību dzēšanas plāna termiņš (%)</w:t>
                    </w:r>
                  </w:p>
                  <w:p>
                    <w:pPr>
                      <w:spacing w:before="68"/>
                      <w:ind w:left="0" w:right="318" w:firstLine="0"/>
                      <w:jc w:val="right"/>
                      <w:rPr>
                        <w:sz w:val="20"/>
                      </w:rPr>
                    </w:pPr>
                    <w:r>
                      <w:rPr>
                        <w:sz w:val="20"/>
                      </w:rPr>
                      <w:t>0,62</w:t>
                    </w:r>
                  </w:p>
                </w:txbxContent>
              </v:textbox>
              <w10:wrap type="none"/>
            </v:shape>
            <v:shape style="position:absolute;left:1190;top:955;width:373;height:221" type="#_x0000_t202" filled="false" stroked="false">
              <v:textbox inset="0,0,0,0">
                <w:txbxContent>
                  <w:p>
                    <w:pPr>
                      <w:spacing w:line="221" w:lineRule="exact" w:before="0"/>
                      <w:ind w:left="0" w:right="0" w:firstLine="0"/>
                      <w:jc w:val="left"/>
                      <w:rPr>
                        <w:sz w:val="20"/>
                      </w:rPr>
                    </w:pPr>
                    <w:r>
                      <w:rPr>
                        <w:sz w:val="20"/>
                      </w:rPr>
                      <w:t>3,09</w:t>
                    </w:r>
                  </w:p>
                </w:txbxContent>
              </v:textbox>
              <w10:wrap type="none"/>
            </v:shape>
            <v:shape style="position:absolute;left:2704;top:864;width:473;height:221" type="#_x0000_t202" filled="false" stroked="false">
              <v:textbox inset="0,0,0,0">
                <w:txbxContent>
                  <w:p>
                    <w:pPr>
                      <w:spacing w:line="221" w:lineRule="exact" w:before="0"/>
                      <w:ind w:left="0" w:right="0" w:firstLine="0"/>
                      <w:jc w:val="left"/>
                      <w:rPr>
                        <w:sz w:val="20"/>
                      </w:rPr>
                    </w:pPr>
                    <w:r>
                      <w:rPr>
                        <w:sz w:val="20"/>
                      </w:rPr>
                      <w:t>18,52</w:t>
                    </w:r>
                  </w:p>
                </w:txbxContent>
              </v:textbox>
              <w10:wrap type="none"/>
            </v:shape>
            <v:shape style="position:absolute;left:3575;top:804;width:373;height:221" type="#_x0000_t202" filled="false" stroked="false">
              <v:textbox inset="0,0,0,0">
                <w:txbxContent>
                  <w:p>
                    <w:pPr>
                      <w:spacing w:line="221" w:lineRule="exact" w:before="0"/>
                      <w:ind w:left="0" w:right="0" w:firstLine="0"/>
                      <w:jc w:val="left"/>
                      <w:rPr>
                        <w:sz w:val="20"/>
                      </w:rPr>
                    </w:pPr>
                    <w:r>
                      <w:rPr>
                        <w:sz w:val="20"/>
                      </w:rPr>
                      <w:t>7,41</w:t>
                    </w:r>
                  </w:p>
                </w:txbxContent>
              </v:textbox>
              <w10:wrap type="none"/>
            </v:shape>
            <v:shape style="position:absolute;left:4130;top:2049;width:473;height:221" type="#_x0000_t202" filled="false" stroked="false">
              <v:textbox inset="0,0,0,0">
                <w:txbxContent>
                  <w:p>
                    <w:pPr>
                      <w:spacing w:line="221" w:lineRule="exact" w:before="0"/>
                      <w:ind w:left="0" w:right="0" w:firstLine="0"/>
                      <w:jc w:val="left"/>
                      <w:rPr>
                        <w:sz w:val="20"/>
                      </w:rPr>
                    </w:pPr>
                    <w:r>
                      <w:rPr>
                        <w:sz w:val="20"/>
                      </w:rPr>
                      <w:t>70,37</w:t>
                    </w:r>
                  </w:p>
                </w:txbxContent>
              </v:textbox>
              <w10:wrap type="none"/>
            </v:shape>
            <v:shape style="position:absolute;left:1096;top:3012;width:4526;height:245" type="#_x0000_t202" filled="false" stroked="false">
              <v:textbox inset="0,0,0,0">
                <w:txbxContent>
                  <w:p>
                    <w:pPr>
                      <w:tabs>
                        <w:tab w:pos="926" w:val="left" w:leader="none"/>
                        <w:tab w:pos="1991" w:val="left" w:leader="none"/>
                        <w:tab w:pos="2894" w:val="left" w:leader="none"/>
                        <w:tab w:pos="3796" w:val="left" w:leader="none"/>
                      </w:tabs>
                      <w:spacing w:line="244" w:lineRule="exact" w:before="0"/>
                      <w:ind w:left="0" w:right="0" w:firstLine="0"/>
                      <w:jc w:val="left"/>
                      <w:rPr>
                        <w:sz w:val="22"/>
                      </w:rPr>
                    </w:pPr>
                    <w:r>
                      <w:rPr>
                        <w:sz w:val="22"/>
                      </w:rPr>
                      <w:t>1 gads</w:t>
                      <w:tab/>
                      <w:t>1,5</w:t>
                    </w:r>
                    <w:r>
                      <w:rPr>
                        <w:spacing w:val="-1"/>
                        <w:sz w:val="22"/>
                      </w:rPr>
                      <w:t> </w:t>
                    </w:r>
                    <w:r>
                      <w:rPr>
                        <w:sz w:val="22"/>
                      </w:rPr>
                      <w:t>gadi</w:t>
                      <w:tab/>
                      <w:t>2 gadi</w:t>
                      <w:tab/>
                      <w:t>3</w:t>
                    </w:r>
                    <w:r>
                      <w:rPr>
                        <w:spacing w:val="-1"/>
                        <w:sz w:val="22"/>
                      </w:rPr>
                      <w:t> </w:t>
                    </w:r>
                    <w:r>
                      <w:rPr>
                        <w:sz w:val="22"/>
                      </w:rPr>
                      <w:t>gadi</w:t>
                      <w:tab/>
                      <w:t>3,5</w:t>
                    </w:r>
                    <w:r>
                      <w:rPr>
                        <w:spacing w:val="-1"/>
                        <w:sz w:val="22"/>
                      </w:rPr>
                      <w:t> </w:t>
                    </w:r>
                    <w:r>
                      <w:rPr>
                        <w:sz w:val="22"/>
                      </w:rPr>
                      <w:t>gadi</w:t>
                    </w:r>
                  </w:p>
                </w:txbxContent>
              </v:textbox>
              <w10:wrap type="none"/>
            </v:shape>
          </v:group>
        </w:pict>
      </w:r>
      <w:r>
        <w:rPr>
          <w:sz w:val="20"/>
        </w:rPr>
      </w:r>
    </w:p>
    <w:p>
      <w:pPr>
        <w:pStyle w:val="BodyText"/>
        <w:jc w:val="left"/>
        <w:rPr>
          <w:b/>
          <w:i/>
          <w:sz w:val="20"/>
        </w:rPr>
      </w:pPr>
    </w:p>
    <w:p>
      <w:pPr>
        <w:pStyle w:val="BodyText"/>
        <w:spacing w:before="11"/>
        <w:jc w:val="left"/>
        <w:rPr>
          <w:b/>
          <w:i/>
          <w:sz w:val="19"/>
        </w:rPr>
      </w:pPr>
    </w:p>
    <w:p>
      <w:pPr>
        <w:pStyle w:val="Heading4"/>
        <w:numPr>
          <w:ilvl w:val="1"/>
          <w:numId w:val="45"/>
        </w:numPr>
        <w:tabs>
          <w:tab w:pos="982" w:val="left" w:leader="none"/>
        </w:tabs>
        <w:spacing w:line="240" w:lineRule="auto" w:before="90" w:after="0"/>
        <w:ind w:left="981" w:right="0" w:hanging="362"/>
        <w:jc w:val="left"/>
        <w:rPr>
          <w:i/>
        </w:rPr>
      </w:pPr>
      <w:bookmarkStart w:name="_TOC_250054" w:id="24"/>
      <w:r>
        <w:rPr>
          <w:i/>
        </w:rPr>
        <w:t>Kreditoriem maksājamā</w:t>
      </w:r>
      <w:r>
        <w:rPr>
          <w:i/>
          <w:spacing w:val="-4"/>
        </w:rPr>
        <w:t> </w:t>
      </w:r>
      <w:bookmarkEnd w:id="24"/>
      <w:r>
        <w:rPr>
          <w:i/>
        </w:rPr>
        <w:t>summa</w:t>
      </w:r>
    </w:p>
    <w:p>
      <w:pPr>
        <w:pStyle w:val="BodyText"/>
        <w:jc w:val="left"/>
        <w:rPr>
          <w:b/>
          <w:i/>
        </w:rPr>
      </w:pPr>
    </w:p>
    <w:p>
      <w:pPr>
        <w:pStyle w:val="ListParagraph"/>
        <w:numPr>
          <w:ilvl w:val="0"/>
          <w:numId w:val="46"/>
        </w:numPr>
        <w:tabs>
          <w:tab w:pos="980" w:val="left" w:leader="none"/>
        </w:tabs>
        <w:spacing w:line="240" w:lineRule="auto" w:before="0" w:after="0"/>
        <w:ind w:left="980" w:right="763" w:hanging="360"/>
        <w:jc w:val="both"/>
        <w:rPr>
          <w:b/>
          <w:i/>
          <w:sz w:val="24"/>
        </w:rPr>
      </w:pPr>
      <w:r>
        <w:rPr>
          <w:b/>
          <w:i/>
          <w:sz w:val="24"/>
        </w:rPr>
        <w:t>Minimālo maksājumu proporcija maksātnespējas procesos, kuros sastādīts </w:t>
      </w:r>
      <w:r>
        <w:rPr>
          <w:b/>
          <w:i/>
          <w:sz w:val="24"/>
        </w:rPr>
        <w:t>mantas pārdošanas plāns un maksātnespējas procesos, kuros sastādīts ziņojums par mantas</w:t>
      </w:r>
      <w:r>
        <w:rPr>
          <w:b/>
          <w:i/>
          <w:spacing w:val="-1"/>
          <w:sz w:val="24"/>
        </w:rPr>
        <w:t> </w:t>
      </w:r>
      <w:r>
        <w:rPr>
          <w:b/>
          <w:i/>
          <w:sz w:val="24"/>
        </w:rPr>
        <w:t>neesamību</w:t>
      </w:r>
    </w:p>
    <w:p>
      <w:pPr>
        <w:pStyle w:val="BodyText"/>
        <w:spacing w:before="6"/>
        <w:jc w:val="left"/>
        <w:rPr>
          <w:b/>
          <w:i/>
          <w:sz w:val="23"/>
        </w:rPr>
      </w:pPr>
    </w:p>
    <w:p>
      <w:pPr>
        <w:pStyle w:val="BodyText"/>
        <w:spacing w:before="1"/>
        <w:ind w:left="260" w:right="763" w:firstLine="360"/>
      </w:pPr>
      <w:r>
        <w:rPr/>
        <w:t>No analizējamajiem maksātnespējas procesiem 101 maksātnespējas procesā saistību dzēšanas plānā tika paredzēts kreditoru prasījumu segšanai novirzīt 1/3 daļu no minimālās algas. No minētajiem procesiem 40 bija tādi, kuros bija sastādīts ziņojums par mantas neesamību,</w:t>
      </w:r>
      <w:r>
        <w:rPr>
          <w:spacing w:val="-9"/>
        </w:rPr>
        <w:t> </w:t>
      </w:r>
      <w:r>
        <w:rPr/>
        <w:t>bet</w:t>
      </w:r>
      <w:r>
        <w:rPr>
          <w:spacing w:val="-9"/>
        </w:rPr>
        <w:t> </w:t>
      </w:r>
      <w:r>
        <w:rPr/>
        <w:t>61</w:t>
      </w:r>
      <w:r>
        <w:rPr>
          <w:spacing w:val="-9"/>
        </w:rPr>
        <w:t> </w:t>
      </w:r>
      <w:r>
        <w:rPr/>
        <w:t>process,</w:t>
      </w:r>
      <w:r>
        <w:rPr>
          <w:spacing w:val="-6"/>
        </w:rPr>
        <w:t> </w:t>
      </w:r>
      <w:r>
        <w:rPr/>
        <w:t>kurā</w:t>
      </w:r>
      <w:r>
        <w:rPr>
          <w:spacing w:val="-9"/>
        </w:rPr>
        <w:t> </w:t>
      </w:r>
      <w:r>
        <w:rPr/>
        <w:t>bija</w:t>
      </w:r>
      <w:r>
        <w:rPr>
          <w:spacing w:val="-8"/>
        </w:rPr>
        <w:t> </w:t>
      </w:r>
      <w:r>
        <w:rPr/>
        <w:t>sastādīts</w:t>
      </w:r>
      <w:r>
        <w:rPr>
          <w:spacing w:val="-9"/>
        </w:rPr>
        <w:t> </w:t>
      </w:r>
      <w:r>
        <w:rPr/>
        <w:t>mantas</w:t>
      </w:r>
      <w:r>
        <w:rPr>
          <w:spacing w:val="-11"/>
        </w:rPr>
        <w:t> </w:t>
      </w:r>
      <w:r>
        <w:rPr/>
        <w:t>pārdošanas</w:t>
      </w:r>
      <w:r>
        <w:rPr>
          <w:spacing w:val="-9"/>
        </w:rPr>
        <w:t> </w:t>
      </w:r>
      <w:r>
        <w:rPr/>
        <w:t>plāns.</w:t>
      </w:r>
      <w:r>
        <w:rPr>
          <w:spacing w:val="-9"/>
        </w:rPr>
        <w:t> </w:t>
      </w:r>
      <w:r>
        <w:rPr/>
        <w:t>Attiecīgi</w:t>
      </w:r>
      <w:r>
        <w:rPr>
          <w:spacing w:val="-8"/>
        </w:rPr>
        <w:t> </w:t>
      </w:r>
      <w:r>
        <w:rPr/>
        <w:t>no</w:t>
      </w:r>
      <w:r>
        <w:rPr>
          <w:spacing w:val="-9"/>
        </w:rPr>
        <w:t> </w:t>
      </w:r>
      <w:r>
        <w:rPr/>
        <w:t>kopējā analizējamo</w:t>
      </w:r>
      <w:r>
        <w:rPr>
          <w:spacing w:val="19"/>
        </w:rPr>
        <w:t> </w:t>
      </w:r>
      <w:r>
        <w:rPr/>
        <w:t>maksātnespējas</w:t>
      </w:r>
      <w:r>
        <w:rPr>
          <w:spacing w:val="19"/>
        </w:rPr>
        <w:t> </w:t>
      </w:r>
      <w:r>
        <w:rPr/>
        <w:t>procesu</w:t>
      </w:r>
      <w:r>
        <w:rPr>
          <w:spacing w:val="19"/>
        </w:rPr>
        <w:t> </w:t>
      </w:r>
      <w:r>
        <w:rPr/>
        <w:t>skaita,</w:t>
      </w:r>
      <w:r>
        <w:rPr>
          <w:spacing w:val="19"/>
        </w:rPr>
        <w:t> </w:t>
      </w:r>
      <w:r>
        <w:rPr/>
        <w:t>kas</w:t>
      </w:r>
      <w:r>
        <w:rPr>
          <w:spacing w:val="17"/>
        </w:rPr>
        <w:t> </w:t>
      </w:r>
      <w:r>
        <w:rPr/>
        <w:t>tika</w:t>
      </w:r>
      <w:r>
        <w:rPr>
          <w:spacing w:val="19"/>
        </w:rPr>
        <w:t> </w:t>
      </w:r>
      <w:r>
        <w:rPr/>
        <w:t>uzsākti</w:t>
      </w:r>
      <w:r>
        <w:rPr>
          <w:spacing w:val="19"/>
        </w:rPr>
        <w:t> </w:t>
      </w:r>
      <w:r>
        <w:rPr/>
        <w:t>laika</w:t>
      </w:r>
      <w:r>
        <w:rPr>
          <w:spacing w:val="19"/>
        </w:rPr>
        <w:t> </w:t>
      </w:r>
      <w:r>
        <w:rPr/>
        <w:t>periodā</w:t>
      </w:r>
      <w:r>
        <w:rPr>
          <w:spacing w:val="20"/>
        </w:rPr>
        <w:t> </w:t>
      </w:r>
      <w:r>
        <w:rPr/>
        <w:t>no</w:t>
      </w:r>
      <w:r>
        <w:rPr>
          <w:spacing w:val="19"/>
        </w:rPr>
        <w:t> </w:t>
      </w:r>
      <w:r>
        <w:rPr/>
        <w:t>2010.</w:t>
      </w:r>
      <w:r>
        <w:rPr>
          <w:spacing w:val="2"/>
        </w:rPr>
        <w:t> </w:t>
      </w:r>
      <w:r>
        <w:rPr/>
        <w:t>gada</w:t>
      </w:r>
    </w:p>
    <w:p>
      <w:pPr>
        <w:pStyle w:val="ListParagraph"/>
        <w:numPr>
          <w:ilvl w:val="0"/>
          <w:numId w:val="47"/>
        </w:numPr>
        <w:tabs>
          <w:tab w:pos="500" w:val="left" w:leader="none"/>
        </w:tabs>
        <w:spacing w:line="240" w:lineRule="auto" w:before="0" w:after="0"/>
        <w:ind w:left="260" w:right="765" w:firstLine="0"/>
        <w:jc w:val="both"/>
        <w:rPr>
          <w:sz w:val="24"/>
        </w:rPr>
      </w:pPr>
      <w:r>
        <w:rPr>
          <w:sz w:val="24"/>
        </w:rPr>
        <w:t>novembra līdz 2015. gada 28. februārim, un kuros kreditoriem tika paredzēts veikt minimālos maksājumus, 60,40 % gadījumu tie bija maksātnespējas procesi, kuros parādniekam piederēja manta, bet 39,60 % gadījumu maksātnespējas procesi, kuros parādniekam nepiederēja</w:t>
      </w:r>
      <w:r>
        <w:rPr>
          <w:spacing w:val="-2"/>
          <w:sz w:val="24"/>
        </w:rPr>
        <w:t> </w:t>
      </w:r>
      <w:r>
        <w:rPr>
          <w:sz w:val="24"/>
        </w:rPr>
        <w:t>manta.</w:t>
      </w:r>
    </w:p>
    <w:p>
      <w:pPr>
        <w:pStyle w:val="BodyText"/>
        <w:jc w:val="left"/>
        <w:rPr>
          <w:sz w:val="20"/>
        </w:rPr>
      </w:pPr>
    </w:p>
    <w:p>
      <w:pPr>
        <w:pStyle w:val="BodyText"/>
        <w:spacing w:before="5" w:after="1"/>
        <w:jc w:val="left"/>
        <w:rPr>
          <w:sz w:val="28"/>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7"/>
        <w:gridCol w:w="591"/>
        <w:gridCol w:w="1136"/>
      </w:tblGrid>
      <w:tr>
        <w:trPr>
          <w:trHeight w:val="278" w:hRule="atLeast"/>
        </w:trPr>
        <w:tc>
          <w:tcPr>
            <w:tcW w:w="6917" w:type="dxa"/>
          </w:tcPr>
          <w:p>
            <w:pPr>
              <w:pStyle w:val="TableParagraph"/>
              <w:spacing w:line="258" w:lineRule="exact"/>
              <w:ind w:left="107"/>
              <w:rPr>
                <w:b/>
                <w:sz w:val="24"/>
              </w:rPr>
            </w:pPr>
            <w:r>
              <w:rPr>
                <w:b/>
                <w:sz w:val="24"/>
              </w:rPr>
              <w:t>Procesu skaits, kuros paredzēts veikt minimālos maksājumus</w:t>
            </w:r>
          </w:p>
        </w:tc>
        <w:tc>
          <w:tcPr>
            <w:tcW w:w="591" w:type="dxa"/>
          </w:tcPr>
          <w:p>
            <w:pPr>
              <w:pStyle w:val="TableParagraph"/>
              <w:spacing w:line="258" w:lineRule="exact"/>
              <w:ind w:left="107"/>
              <w:rPr>
                <w:b/>
                <w:sz w:val="24"/>
              </w:rPr>
            </w:pPr>
            <w:r>
              <w:rPr>
                <w:b/>
                <w:sz w:val="24"/>
              </w:rPr>
              <w:t>101</w:t>
            </w:r>
          </w:p>
        </w:tc>
        <w:tc>
          <w:tcPr>
            <w:tcW w:w="1136" w:type="dxa"/>
          </w:tcPr>
          <w:p>
            <w:pPr>
              <w:pStyle w:val="TableParagraph"/>
              <w:rPr>
                <w:sz w:val="20"/>
              </w:rPr>
            </w:pPr>
          </w:p>
        </w:tc>
      </w:tr>
      <w:tr>
        <w:trPr>
          <w:trHeight w:val="830" w:hRule="atLeast"/>
        </w:trPr>
        <w:tc>
          <w:tcPr>
            <w:tcW w:w="6917" w:type="dxa"/>
          </w:tcPr>
          <w:p>
            <w:pPr>
              <w:pStyle w:val="TableParagraph"/>
              <w:spacing w:line="276" w:lineRule="exact" w:before="2"/>
              <w:ind w:left="107" w:right="300"/>
              <w:rPr>
                <w:b/>
                <w:sz w:val="24"/>
              </w:rPr>
            </w:pPr>
            <w:r>
              <w:rPr>
                <w:b/>
                <w:sz w:val="24"/>
              </w:rPr>
              <w:t>Gadījumi, kuros maksājumi kreditoriem tiek veikti 1/3 apmērā no minimālās algas, ja ir sastādīts ziņojums par mantas neesamību</w:t>
            </w:r>
          </w:p>
        </w:tc>
        <w:tc>
          <w:tcPr>
            <w:tcW w:w="591" w:type="dxa"/>
          </w:tcPr>
          <w:p>
            <w:pPr>
              <w:pStyle w:val="TableParagraph"/>
              <w:spacing w:line="275" w:lineRule="exact"/>
              <w:ind w:left="107"/>
              <w:rPr>
                <w:b/>
                <w:sz w:val="24"/>
              </w:rPr>
            </w:pPr>
            <w:r>
              <w:rPr>
                <w:b/>
                <w:sz w:val="24"/>
              </w:rPr>
              <w:t>40</w:t>
            </w:r>
          </w:p>
        </w:tc>
        <w:tc>
          <w:tcPr>
            <w:tcW w:w="1136" w:type="dxa"/>
          </w:tcPr>
          <w:p>
            <w:pPr>
              <w:pStyle w:val="TableParagraph"/>
              <w:spacing w:line="275" w:lineRule="exact"/>
              <w:ind w:left="107"/>
              <w:rPr>
                <w:b/>
                <w:sz w:val="24"/>
              </w:rPr>
            </w:pPr>
            <w:r>
              <w:rPr>
                <w:b/>
                <w:sz w:val="24"/>
              </w:rPr>
              <w:t>39,60 %</w:t>
            </w:r>
          </w:p>
        </w:tc>
      </w:tr>
      <w:tr>
        <w:trPr>
          <w:trHeight w:val="551" w:hRule="atLeast"/>
        </w:trPr>
        <w:tc>
          <w:tcPr>
            <w:tcW w:w="6917" w:type="dxa"/>
          </w:tcPr>
          <w:p>
            <w:pPr>
              <w:pStyle w:val="TableParagraph"/>
              <w:spacing w:line="273" w:lineRule="exact"/>
              <w:ind w:left="107"/>
              <w:rPr>
                <w:b/>
                <w:sz w:val="24"/>
              </w:rPr>
            </w:pPr>
            <w:r>
              <w:rPr>
                <w:b/>
                <w:sz w:val="24"/>
              </w:rPr>
              <w:t>Gadījumi, kuros maksājumi kreditoriem tiek veikti 1/3 apmērā</w:t>
            </w:r>
          </w:p>
          <w:p>
            <w:pPr>
              <w:pStyle w:val="TableParagraph"/>
              <w:spacing w:line="259" w:lineRule="exact"/>
              <w:ind w:left="107"/>
              <w:rPr>
                <w:b/>
                <w:sz w:val="24"/>
              </w:rPr>
            </w:pPr>
            <w:r>
              <w:rPr>
                <w:b/>
                <w:sz w:val="24"/>
              </w:rPr>
              <w:t>no minimālās algas, ja ir sastādīts mantas pārdošanas plāns</w:t>
            </w:r>
          </w:p>
        </w:tc>
        <w:tc>
          <w:tcPr>
            <w:tcW w:w="591" w:type="dxa"/>
          </w:tcPr>
          <w:p>
            <w:pPr>
              <w:pStyle w:val="TableParagraph"/>
              <w:spacing w:line="273" w:lineRule="exact"/>
              <w:ind w:left="107"/>
              <w:rPr>
                <w:b/>
                <w:sz w:val="24"/>
              </w:rPr>
            </w:pPr>
            <w:r>
              <w:rPr>
                <w:b/>
                <w:sz w:val="24"/>
              </w:rPr>
              <w:t>61</w:t>
            </w:r>
          </w:p>
        </w:tc>
        <w:tc>
          <w:tcPr>
            <w:tcW w:w="1136" w:type="dxa"/>
          </w:tcPr>
          <w:p>
            <w:pPr>
              <w:pStyle w:val="TableParagraph"/>
              <w:spacing w:line="273" w:lineRule="exact"/>
              <w:ind w:left="107"/>
              <w:rPr>
                <w:b/>
                <w:sz w:val="24"/>
              </w:rPr>
            </w:pPr>
            <w:r>
              <w:rPr>
                <w:b/>
                <w:sz w:val="24"/>
              </w:rPr>
              <w:t>60,40 %</w:t>
            </w:r>
          </w:p>
        </w:tc>
      </w:tr>
    </w:tbl>
    <w:p>
      <w:pPr>
        <w:spacing w:after="0" w:line="273" w:lineRule="exact"/>
        <w:rPr>
          <w:sz w:val="24"/>
        </w:rPr>
        <w:sectPr>
          <w:pgSz w:w="11910" w:h="16840"/>
          <w:pgMar w:header="0" w:footer="1055" w:top="1580" w:bottom="1240" w:left="1180" w:right="1040"/>
        </w:sectPr>
      </w:pPr>
    </w:p>
    <w:p>
      <w:pPr>
        <w:pStyle w:val="BodyText"/>
        <w:ind w:left="1344"/>
        <w:jc w:val="left"/>
        <w:rPr>
          <w:sz w:val="20"/>
        </w:rPr>
      </w:pPr>
      <w:r>
        <w:rPr>
          <w:sz w:val="20"/>
        </w:rPr>
        <w:pict>
          <v:group style="width:360.75pt;height:203.05pt;mso-position-horizontal-relative:char;mso-position-vertical-relative:line" coordorigin="0,0" coordsize="7215,4061">
            <v:shape style="position:absolute;left:2150;top:825;width:2842;height:1666" type="#_x0000_t75" stroked="false">
              <v:imagedata r:id="rId49" o:title=""/>
            </v:shape>
            <v:rect style="position:absolute;left:597;top:2704;width:89;height:89" filled="true" fillcolor="#4472c3" stroked="false">
              <v:fill type="solid"/>
            </v:rect>
            <v:shape style="position:absolute;left:578;top:2685;width:130;height:130" coordorigin="578,2686" coordsize="130,130" path="m698,2815l586,2815,578,2806,578,2695,586,2686,698,2686,708,2695,708,2705,617,2705,598,2724,617,2724,617,2774,598,2774,617,2794,708,2794,708,2806,698,2815xm617,2724l598,2724,617,2705,617,2724xm667,2724l617,2724,617,2705,667,2705,667,2724xm667,2794l667,2705,686,2724,708,2724,708,2774,686,2774,667,2794xm708,2724l686,2724,667,2705,708,2705,708,2724xm617,2794l598,2774,617,2774,617,2794xm667,2794l617,2794,617,2774,667,2774,667,2794xm708,2794l667,2794,686,2774,708,2774,708,2794xe" filled="true" fillcolor="#ffffff" stroked="false">
              <v:path arrowok="t"/>
              <v:fill type="solid"/>
            </v:shape>
            <v:rect style="position:absolute;left:597;top:3196;width:89;height:89" filled="true" fillcolor="#ed7c31" stroked="false">
              <v:fill type="solid"/>
            </v:rect>
            <v:shape style="position:absolute;left:578;top:3175;width:130;height:130" coordorigin="578,3175" coordsize="130,130" path="m698,3305l586,3305,578,3298,578,3185,586,3175,698,3175,708,3185,708,3197,617,3197,598,3216,617,3216,617,3266,598,3266,617,3286,708,3286,708,3298,698,3305xm617,3216l598,3216,617,3197,617,3216xm667,3216l617,3216,617,3197,667,3197,667,3216xm667,3286l667,3197,686,3216,708,3216,708,3266,686,3266,667,3286xm708,3216l686,3216,667,3197,708,3197,708,3216xm617,3286l598,3266,617,3266,617,3286xm667,3286l617,3286,617,3266,667,3266,667,3286xm708,3286l667,3286,686,3266,708,3266,708,3286xe" filled="true" fillcolor="#ffffff" stroked="false">
              <v:path arrowok="t"/>
              <v:fill type="solid"/>
            </v:shape>
            <v:shape style="position:absolute;left:0;top:0;width:7215;height:4061" coordorigin="0,0" coordsize="7215,4061" path="m7210,4061l2,4061,0,4058,0,0,14,0,7,10,14,10,14,4046,7,4046,14,4054,7214,4054,7214,4058,7210,4061xm14,10l7,10,14,0,14,0,14,10xm7200,10l14,10,14,0,7200,0,7200,10xm7200,4054l7200,0,7207,10,7214,10,7214,4046,7207,4046,7200,4054xm7214,10l7207,10,7200,0,7214,0,7214,10xm14,4054l7,4046,14,4046,14,4054xm7200,4054l14,4054,14,4046,7200,4046,7200,4054xm7214,4054l7200,4054,7207,4046,7214,4046,7214,4054xe" filled="true" fillcolor="#000000" stroked="false">
              <v:path arrowok="t"/>
              <v:fill type="solid"/>
            </v:shape>
            <v:shape style="position:absolute;left:952;top:160;width:5322;height:1547" type="#_x0000_t202" filled="false" stroked="false">
              <v:textbox inset="0,0,0,0">
                <w:txbxContent>
                  <w:p>
                    <w:pPr>
                      <w:spacing w:line="240" w:lineRule="auto" w:before="0"/>
                      <w:ind w:left="2471" w:right="-3" w:hanging="2472"/>
                      <w:jc w:val="left"/>
                      <w:rPr>
                        <w:sz w:val="24"/>
                      </w:rPr>
                    </w:pPr>
                    <w:r>
                      <w:rPr>
                        <w:sz w:val="24"/>
                      </w:rPr>
                      <w:t>Maksājumi kreditoriem 1/3 apmērā no minimālās algas (%)</w:t>
                    </w:r>
                  </w:p>
                  <w:p>
                    <w:pPr>
                      <w:spacing w:line="240" w:lineRule="auto" w:before="2"/>
                      <w:rPr>
                        <w:sz w:val="33"/>
                      </w:rPr>
                    </w:pPr>
                  </w:p>
                  <w:p>
                    <w:pPr>
                      <w:spacing w:before="0"/>
                      <w:ind w:left="3172" w:right="0" w:firstLine="0"/>
                      <w:jc w:val="left"/>
                      <w:rPr>
                        <w:sz w:val="18"/>
                      </w:rPr>
                    </w:pPr>
                    <w:r>
                      <w:rPr>
                        <w:sz w:val="18"/>
                      </w:rPr>
                      <w:t>39,60</w:t>
                    </w:r>
                  </w:p>
                  <w:p>
                    <w:pPr>
                      <w:spacing w:line="240" w:lineRule="auto" w:before="3"/>
                      <w:rPr>
                        <w:sz w:val="17"/>
                      </w:rPr>
                    </w:pPr>
                  </w:p>
                  <w:p>
                    <w:pPr>
                      <w:spacing w:before="0"/>
                      <w:ind w:left="1418" w:right="0" w:firstLine="0"/>
                      <w:jc w:val="left"/>
                      <w:rPr>
                        <w:sz w:val="18"/>
                      </w:rPr>
                    </w:pPr>
                    <w:r>
                      <w:rPr>
                        <w:sz w:val="18"/>
                      </w:rPr>
                      <w:t>60,40</w:t>
                    </w:r>
                  </w:p>
                </w:txbxContent>
              </v:textbox>
              <w10:wrap type="none"/>
            </v:shape>
            <v:shape style="position:absolute;left:722;top:2645;width:6007;height:898" type="#_x0000_t202" filled="false" stroked="false">
              <v:textbox inset="0,0,0,0">
                <w:txbxContent>
                  <w:p>
                    <w:pPr>
                      <w:spacing w:line="240" w:lineRule="auto" w:before="0"/>
                      <w:ind w:left="0" w:right="-2" w:firstLine="0"/>
                      <w:jc w:val="left"/>
                      <w:rPr>
                        <w:sz w:val="18"/>
                      </w:rPr>
                    </w:pPr>
                    <w:r>
                      <w:rPr>
                        <w:sz w:val="18"/>
                      </w:rPr>
                      <w:t>Gadījumi, kuros maksājumi kreditoriem tiek veikti 1/3 apmērā no minimālās algas, ja ir sastādīts ziņojums par mantas neesamību (%)</w:t>
                    </w:r>
                  </w:p>
                  <w:p>
                    <w:pPr>
                      <w:spacing w:before="68"/>
                      <w:ind w:left="0" w:right="-2" w:firstLine="0"/>
                      <w:jc w:val="left"/>
                      <w:rPr>
                        <w:sz w:val="18"/>
                      </w:rPr>
                    </w:pPr>
                    <w:r>
                      <w:rPr>
                        <w:sz w:val="18"/>
                      </w:rPr>
                      <w:t>Gadījumi, kuros maksājumi kreditoriem tiek veikti 1/3 apmērā no minimālās algas, ja ir sastādīts mantas pārdošanas plāns (%)</w:t>
                    </w:r>
                  </w:p>
                </w:txbxContent>
              </v:textbox>
              <w10:wrap type="none"/>
            </v:shape>
          </v:group>
        </w:pict>
      </w:r>
      <w:r>
        <w:rPr>
          <w:sz w:val="20"/>
        </w:rPr>
      </w:r>
    </w:p>
    <w:p>
      <w:pPr>
        <w:pStyle w:val="BodyText"/>
        <w:jc w:val="left"/>
        <w:rPr>
          <w:sz w:val="20"/>
        </w:rPr>
      </w:pPr>
    </w:p>
    <w:p>
      <w:pPr>
        <w:pStyle w:val="BodyText"/>
        <w:jc w:val="left"/>
        <w:rPr>
          <w:sz w:val="19"/>
        </w:rPr>
      </w:pPr>
    </w:p>
    <w:p>
      <w:pPr>
        <w:pStyle w:val="Heading4"/>
        <w:numPr>
          <w:ilvl w:val="0"/>
          <w:numId w:val="46"/>
        </w:numPr>
        <w:tabs>
          <w:tab w:pos="1340" w:val="left" w:leader="none"/>
        </w:tabs>
        <w:spacing w:line="240" w:lineRule="auto" w:before="90" w:after="0"/>
        <w:ind w:left="1340" w:right="402" w:hanging="360"/>
        <w:jc w:val="left"/>
      </w:pPr>
      <w:r>
        <w:rPr>
          <w:i/>
        </w:rPr>
        <w:t>Minimālo maksājumu proporcija maksātnespējas procesos, kuros tika sastādīts </w:t>
      </w:r>
      <w:r>
        <w:rPr/>
        <w:t>mantas pārdošanas</w:t>
      </w:r>
      <w:r>
        <w:rPr>
          <w:spacing w:val="-1"/>
        </w:rPr>
        <w:t> </w:t>
      </w:r>
      <w:r>
        <w:rPr/>
        <w:t>plāns</w:t>
      </w:r>
    </w:p>
    <w:p>
      <w:pPr>
        <w:pStyle w:val="BodyText"/>
        <w:spacing w:before="7"/>
        <w:jc w:val="left"/>
        <w:rPr>
          <w:b/>
          <w:i/>
          <w:sz w:val="23"/>
        </w:rPr>
      </w:pPr>
    </w:p>
    <w:p>
      <w:pPr>
        <w:pStyle w:val="BodyText"/>
        <w:ind w:left="620" w:right="403" w:firstLine="360"/>
      </w:pPr>
      <w:r>
        <w:rPr/>
        <w:t>Rēķinot proporcionālo attiecību analizējamajos maksātnespējas procesos, kuros ir</w:t>
      </w:r>
      <w:r>
        <w:rPr>
          <w:spacing w:val="-26"/>
        </w:rPr>
        <w:t> </w:t>
      </w:r>
      <w:r>
        <w:rPr>
          <w:spacing w:val="-3"/>
        </w:rPr>
        <w:t>bijis </w:t>
      </w:r>
      <w:r>
        <w:rPr/>
        <w:t>sastādīts mantas pārdošanas plāns, secināms, ka 64,21 % gadījumu kreditoriem saistību dzēšanas plānā tika paredzēts kreditoru prasījumu segšanai novirzīt 1/3 daļu no minimālās algas, bet 35,79 % gadījumu – maksājumus, kas pārsniedz 1/3 no minimālās</w:t>
      </w:r>
      <w:r>
        <w:rPr>
          <w:spacing w:val="-4"/>
        </w:rPr>
        <w:t> </w:t>
      </w:r>
      <w:r>
        <w:rPr/>
        <w:t>algas.</w:t>
      </w:r>
    </w:p>
    <w:p>
      <w:pPr>
        <w:pStyle w:val="BodyText"/>
        <w:spacing w:before="8"/>
        <w:jc w:val="left"/>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9"/>
        <w:gridCol w:w="775"/>
        <w:gridCol w:w="1044"/>
      </w:tblGrid>
      <w:tr>
        <w:trPr>
          <w:trHeight w:val="294" w:hRule="atLeast"/>
        </w:trPr>
        <w:tc>
          <w:tcPr>
            <w:tcW w:w="6799" w:type="dxa"/>
          </w:tcPr>
          <w:p>
            <w:pPr>
              <w:pStyle w:val="TableParagraph"/>
              <w:spacing w:line="273" w:lineRule="exact"/>
              <w:ind w:left="107"/>
              <w:rPr>
                <w:b/>
                <w:sz w:val="24"/>
              </w:rPr>
            </w:pPr>
            <w:r>
              <w:rPr>
                <w:b/>
                <w:sz w:val="24"/>
              </w:rPr>
              <w:t>Procesu skaits, kuros sastādīts mantas pārdošanas plāns</w:t>
            </w:r>
          </w:p>
        </w:tc>
        <w:tc>
          <w:tcPr>
            <w:tcW w:w="775" w:type="dxa"/>
          </w:tcPr>
          <w:p>
            <w:pPr>
              <w:pStyle w:val="TableParagraph"/>
              <w:spacing w:line="273" w:lineRule="exact"/>
              <w:ind w:left="107"/>
              <w:rPr>
                <w:b/>
                <w:sz w:val="24"/>
              </w:rPr>
            </w:pPr>
            <w:r>
              <w:rPr>
                <w:b/>
                <w:sz w:val="24"/>
              </w:rPr>
              <w:t>95</w:t>
            </w:r>
          </w:p>
        </w:tc>
        <w:tc>
          <w:tcPr>
            <w:tcW w:w="1044" w:type="dxa"/>
          </w:tcPr>
          <w:p>
            <w:pPr>
              <w:pStyle w:val="TableParagraph"/>
              <w:rPr>
                <w:sz w:val="20"/>
              </w:rPr>
            </w:pPr>
          </w:p>
        </w:tc>
      </w:tr>
      <w:tr>
        <w:trPr>
          <w:trHeight w:val="277" w:hRule="atLeast"/>
        </w:trPr>
        <w:tc>
          <w:tcPr>
            <w:tcW w:w="6799" w:type="dxa"/>
            <w:tcBorders>
              <w:bottom w:val="nil"/>
            </w:tcBorders>
          </w:tcPr>
          <w:p>
            <w:pPr>
              <w:pStyle w:val="TableParagraph"/>
              <w:spacing w:line="258" w:lineRule="exact"/>
              <w:ind w:left="107"/>
              <w:rPr>
                <w:b/>
                <w:sz w:val="24"/>
              </w:rPr>
            </w:pPr>
            <w:r>
              <w:rPr>
                <w:b/>
                <w:sz w:val="24"/>
              </w:rPr>
              <w:t>Gadījumi, kurs maksājumi kreditoriem tiek veikti 1/3 apmērā</w:t>
            </w:r>
          </w:p>
        </w:tc>
        <w:tc>
          <w:tcPr>
            <w:tcW w:w="775" w:type="dxa"/>
            <w:tcBorders>
              <w:bottom w:val="nil"/>
            </w:tcBorders>
          </w:tcPr>
          <w:p>
            <w:pPr>
              <w:pStyle w:val="TableParagraph"/>
              <w:spacing w:line="258" w:lineRule="exact"/>
              <w:ind w:left="107"/>
              <w:rPr>
                <w:b/>
                <w:sz w:val="24"/>
              </w:rPr>
            </w:pPr>
            <w:r>
              <w:rPr>
                <w:b/>
                <w:sz w:val="24"/>
              </w:rPr>
              <w:t>61</w:t>
            </w:r>
          </w:p>
        </w:tc>
        <w:tc>
          <w:tcPr>
            <w:tcW w:w="1044" w:type="dxa"/>
            <w:tcBorders>
              <w:bottom w:val="nil"/>
            </w:tcBorders>
          </w:tcPr>
          <w:p>
            <w:pPr>
              <w:pStyle w:val="TableParagraph"/>
              <w:spacing w:line="258" w:lineRule="exact"/>
              <w:ind w:left="108"/>
              <w:rPr>
                <w:b/>
                <w:sz w:val="24"/>
              </w:rPr>
            </w:pPr>
            <w:r>
              <w:rPr>
                <w:b/>
                <w:sz w:val="24"/>
              </w:rPr>
              <w:t>64,21</w:t>
            </w:r>
          </w:p>
        </w:tc>
      </w:tr>
      <w:tr>
        <w:trPr>
          <w:trHeight w:val="309" w:hRule="atLeast"/>
        </w:trPr>
        <w:tc>
          <w:tcPr>
            <w:tcW w:w="6799" w:type="dxa"/>
            <w:tcBorders>
              <w:top w:val="nil"/>
            </w:tcBorders>
          </w:tcPr>
          <w:p>
            <w:pPr>
              <w:pStyle w:val="TableParagraph"/>
              <w:spacing w:line="271" w:lineRule="exact"/>
              <w:ind w:left="107"/>
              <w:rPr>
                <w:b/>
                <w:sz w:val="24"/>
              </w:rPr>
            </w:pPr>
            <w:r>
              <w:rPr>
                <w:b/>
                <w:sz w:val="24"/>
              </w:rPr>
              <w:t>no minimālās algas, ja ir sastādīts mantas pārdošanas plāns</w:t>
            </w:r>
          </w:p>
        </w:tc>
        <w:tc>
          <w:tcPr>
            <w:tcW w:w="775" w:type="dxa"/>
            <w:tcBorders>
              <w:top w:val="nil"/>
            </w:tcBorders>
          </w:tcPr>
          <w:p>
            <w:pPr>
              <w:pStyle w:val="TableParagraph"/>
              <w:rPr>
                <w:sz w:val="20"/>
              </w:rPr>
            </w:pPr>
          </w:p>
        </w:tc>
        <w:tc>
          <w:tcPr>
            <w:tcW w:w="1044" w:type="dxa"/>
            <w:tcBorders>
              <w:top w:val="nil"/>
            </w:tcBorders>
          </w:tcPr>
          <w:p>
            <w:pPr>
              <w:pStyle w:val="TableParagraph"/>
              <w:spacing w:line="271" w:lineRule="exact"/>
              <w:ind w:left="108"/>
              <w:rPr>
                <w:b/>
                <w:sz w:val="24"/>
              </w:rPr>
            </w:pPr>
            <w:r>
              <w:rPr>
                <w:b/>
                <w:sz w:val="24"/>
              </w:rPr>
              <w:t>%</w:t>
            </w:r>
          </w:p>
        </w:tc>
      </w:tr>
      <w:tr>
        <w:trPr>
          <w:trHeight w:val="277" w:hRule="atLeast"/>
        </w:trPr>
        <w:tc>
          <w:tcPr>
            <w:tcW w:w="6799" w:type="dxa"/>
            <w:tcBorders>
              <w:bottom w:val="nil"/>
            </w:tcBorders>
          </w:tcPr>
          <w:p>
            <w:pPr>
              <w:pStyle w:val="TableParagraph"/>
              <w:spacing w:line="258" w:lineRule="exact"/>
              <w:ind w:left="107"/>
              <w:rPr>
                <w:b/>
                <w:sz w:val="24"/>
              </w:rPr>
            </w:pPr>
            <w:r>
              <w:rPr>
                <w:b/>
                <w:sz w:val="24"/>
              </w:rPr>
              <w:t>Gadījumi, kuros maksājumi kreditoriem tiek veikti vairāk nekā</w:t>
            </w:r>
          </w:p>
        </w:tc>
        <w:tc>
          <w:tcPr>
            <w:tcW w:w="775" w:type="dxa"/>
            <w:tcBorders>
              <w:bottom w:val="nil"/>
            </w:tcBorders>
          </w:tcPr>
          <w:p>
            <w:pPr>
              <w:pStyle w:val="TableParagraph"/>
              <w:spacing w:line="258" w:lineRule="exact"/>
              <w:ind w:left="107"/>
              <w:rPr>
                <w:b/>
                <w:sz w:val="24"/>
              </w:rPr>
            </w:pPr>
            <w:r>
              <w:rPr>
                <w:b/>
                <w:sz w:val="24"/>
              </w:rPr>
              <w:t>34</w:t>
            </w:r>
          </w:p>
        </w:tc>
        <w:tc>
          <w:tcPr>
            <w:tcW w:w="1044" w:type="dxa"/>
            <w:tcBorders>
              <w:bottom w:val="nil"/>
            </w:tcBorders>
          </w:tcPr>
          <w:p>
            <w:pPr>
              <w:pStyle w:val="TableParagraph"/>
              <w:spacing w:line="258" w:lineRule="exact"/>
              <w:ind w:left="108"/>
              <w:rPr>
                <w:b/>
                <w:sz w:val="24"/>
              </w:rPr>
            </w:pPr>
            <w:r>
              <w:rPr>
                <w:b/>
                <w:sz w:val="24"/>
              </w:rPr>
              <w:t>35,79</w:t>
            </w:r>
          </w:p>
        </w:tc>
      </w:tr>
      <w:tr>
        <w:trPr>
          <w:trHeight w:val="275" w:hRule="atLeast"/>
        </w:trPr>
        <w:tc>
          <w:tcPr>
            <w:tcW w:w="6799" w:type="dxa"/>
            <w:tcBorders>
              <w:top w:val="nil"/>
              <w:bottom w:val="nil"/>
            </w:tcBorders>
          </w:tcPr>
          <w:p>
            <w:pPr>
              <w:pStyle w:val="TableParagraph"/>
              <w:spacing w:line="256" w:lineRule="exact"/>
              <w:ind w:left="107"/>
              <w:rPr>
                <w:b/>
                <w:sz w:val="24"/>
              </w:rPr>
            </w:pPr>
            <w:r>
              <w:rPr>
                <w:b/>
                <w:sz w:val="24"/>
              </w:rPr>
              <w:t>1/3 apmērā no minimālās algas, ja ir sastādīts mantas</w:t>
            </w:r>
          </w:p>
        </w:tc>
        <w:tc>
          <w:tcPr>
            <w:tcW w:w="775" w:type="dxa"/>
            <w:tcBorders>
              <w:top w:val="nil"/>
              <w:bottom w:val="nil"/>
            </w:tcBorders>
          </w:tcPr>
          <w:p>
            <w:pPr>
              <w:pStyle w:val="TableParagraph"/>
              <w:rPr>
                <w:sz w:val="20"/>
              </w:rPr>
            </w:pPr>
          </w:p>
        </w:tc>
        <w:tc>
          <w:tcPr>
            <w:tcW w:w="1044" w:type="dxa"/>
            <w:tcBorders>
              <w:top w:val="nil"/>
              <w:bottom w:val="nil"/>
            </w:tcBorders>
          </w:tcPr>
          <w:p>
            <w:pPr>
              <w:pStyle w:val="TableParagraph"/>
              <w:spacing w:line="256" w:lineRule="exact"/>
              <w:ind w:left="108"/>
              <w:rPr>
                <w:b/>
                <w:sz w:val="24"/>
              </w:rPr>
            </w:pPr>
            <w:r>
              <w:rPr>
                <w:b/>
                <w:sz w:val="24"/>
              </w:rPr>
              <w:t>%</w:t>
            </w:r>
          </w:p>
        </w:tc>
      </w:tr>
      <w:tr>
        <w:trPr>
          <w:trHeight w:val="273" w:hRule="atLeast"/>
        </w:trPr>
        <w:tc>
          <w:tcPr>
            <w:tcW w:w="6799" w:type="dxa"/>
            <w:tcBorders>
              <w:top w:val="nil"/>
            </w:tcBorders>
          </w:tcPr>
          <w:p>
            <w:pPr>
              <w:pStyle w:val="TableParagraph"/>
              <w:spacing w:line="254" w:lineRule="exact"/>
              <w:ind w:left="107"/>
              <w:rPr>
                <w:b/>
                <w:sz w:val="24"/>
              </w:rPr>
            </w:pPr>
            <w:r>
              <w:rPr>
                <w:b/>
                <w:sz w:val="24"/>
              </w:rPr>
              <w:t>pārdošanas plāns</w:t>
            </w:r>
          </w:p>
        </w:tc>
        <w:tc>
          <w:tcPr>
            <w:tcW w:w="775" w:type="dxa"/>
            <w:tcBorders>
              <w:top w:val="nil"/>
            </w:tcBorders>
          </w:tcPr>
          <w:p>
            <w:pPr>
              <w:pStyle w:val="TableParagraph"/>
              <w:rPr>
                <w:sz w:val="20"/>
              </w:rPr>
            </w:pPr>
          </w:p>
        </w:tc>
        <w:tc>
          <w:tcPr>
            <w:tcW w:w="1044" w:type="dxa"/>
            <w:tcBorders>
              <w:top w:val="nil"/>
            </w:tcBorders>
          </w:tcPr>
          <w:p>
            <w:pPr>
              <w:pStyle w:val="TableParagraph"/>
              <w:rPr>
                <w:sz w:val="20"/>
              </w:rPr>
            </w:pPr>
          </w:p>
        </w:tc>
      </w:tr>
    </w:tbl>
    <w:p>
      <w:pPr>
        <w:pStyle w:val="BodyText"/>
        <w:jc w:val="left"/>
        <w:rPr>
          <w:sz w:val="20"/>
        </w:rPr>
      </w:pPr>
    </w:p>
    <w:p>
      <w:pPr>
        <w:pStyle w:val="BodyText"/>
        <w:spacing w:before="7"/>
        <w:jc w:val="left"/>
      </w:pPr>
      <w:r>
        <w:rPr/>
        <w:pict>
          <v:group style="position:absolute;margin-left:138.960007pt;margin-top:16.100927pt;width:334.35pt;height:199.1pt;mso-position-horizontal-relative:page;mso-position-vertical-relative:paragraph;z-index:-251577344;mso-wrap-distance-left:0;mso-wrap-distance-right:0" coordorigin="2779,322" coordsize="6687,3982">
            <v:shape style="position:absolute;left:4665;top:1217;width:2919;height:1685" type="#_x0000_t75" stroked="false">
              <v:imagedata r:id="rId50" o:title=""/>
            </v:shape>
            <v:rect style="position:absolute;left:3360;top:2981;width:99;height:99" filled="true" fillcolor="#4472c3" stroked="false">
              <v:fill type="solid"/>
            </v:rect>
            <v:shape style="position:absolute;left:3338;top:2959;width:140;height:140" coordorigin="3338,2960" coordsize="140,140" path="m3468,3099l3348,3099,3338,3089,3338,2969,3348,2960,3468,2960,3478,2969,3478,2981,3379,2981,3360,3000,3379,3000,3379,3058,3360,3058,3379,3080,3478,3080,3478,3089,3468,3099xm3379,3000l3360,3000,3379,2981,3379,3000xm3439,3000l3379,3000,3379,2981,3439,2981,3439,3000xm3439,3080l3439,2981,3458,3000,3478,3000,3478,3058,3458,3058,3439,3080xm3478,3000l3458,3000,3439,2981,3478,2981,3478,3000xm3379,3080l3360,3058,3379,3058,3379,3080xm3439,3080l3379,3080,3379,3058,3439,3058,3439,3080xm3478,3080l3439,3080,3458,3058,3478,3058,3478,3080xe" filled="true" fillcolor="#ffffff" stroked="false">
              <v:path arrowok="t"/>
              <v:fill type="solid"/>
            </v:shape>
            <v:rect style="position:absolute;left:3360;top:3432;width:99;height:99" filled="true" fillcolor="#ed7c31" stroked="false">
              <v:fill type="solid"/>
            </v:rect>
            <v:shape style="position:absolute;left:3338;top:3410;width:140;height:140" coordorigin="3338,3411" coordsize="140,140" path="m3468,3550l3348,3550,3338,3540,3338,3420,3348,3411,3468,3411,3478,3420,3478,3432,3379,3432,3360,3452,3379,3452,3379,3512,3360,3512,3379,3531,3478,3531,3478,3540,3468,3550xm3379,3452l3360,3452,3379,3432,3379,3452xm3439,3452l3379,3452,3379,3432,3439,3432,3439,3452xm3439,3531l3439,3432,3458,3452,3478,3452,3478,3512,3458,3512,3439,3531xm3478,3452l3458,3452,3439,3432,3478,3432,3478,3452xm3379,3531l3360,3512,3379,3512,3379,3531xm3439,3531l3379,3531,3379,3512,3439,3512,3439,3531xm3478,3531l3439,3531,3458,3512,3478,3512,3478,3531xe" filled="true" fillcolor="#ffffff" stroked="false">
              <v:path arrowok="t"/>
              <v:fill type="solid"/>
            </v:shape>
            <v:shape style="position:absolute;left:2779;top:322;width:6687;height:3982" coordorigin="2779,322" coordsize="6687,3982" path="m9466,4304l2779,4304,2779,322,9466,322,9466,324,2794,324,2786,332,2794,332,2794,4289,2786,4289,2794,4296,9466,4296,9466,4304xm2794,332l2786,332,2794,324,2794,332xm9451,332l2794,332,2794,324,9451,324,9451,332xm9451,4296l9451,324,9458,332,9466,332,9466,4289,9458,4289,9451,4296xm9466,332l9458,332,9451,324,9466,324,9466,332xm2794,4296l2786,4289,2794,4289,2794,4296xm9451,4296l2794,4296,2794,4289,9451,4289,9451,4296xm9466,4296l9451,4296,9458,4289,9466,4289,9466,4296xe" filled="true" fillcolor="#000000" stroked="false">
              <v:path arrowok="t"/>
              <v:fill type="solid"/>
            </v:shape>
            <v:shape style="position:absolute;left:3784;top:665;width:5176;height:1478" type="#_x0000_t202" filled="false" stroked="false">
              <v:textbox inset="0,0,0,0">
                <w:txbxContent>
                  <w:p>
                    <w:pPr>
                      <w:spacing w:line="286" w:lineRule="exact" w:before="0"/>
                      <w:ind w:left="-1" w:right="18" w:firstLine="0"/>
                      <w:jc w:val="center"/>
                      <w:rPr>
                        <w:rFonts w:ascii="Calibri" w:hAnsi="Calibri"/>
                        <w:sz w:val="28"/>
                      </w:rPr>
                    </w:pPr>
                    <w:r>
                      <w:rPr>
                        <w:rFonts w:ascii="Calibri" w:hAnsi="Calibri"/>
                        <w:sz w:val="28"/>
                      </w:rPr>
                      <w:t>Maksājumi kreditoriem, ja ir sastādīts</w:t>
                    </w:r>
                    <w:r>
                      <w:rPr>
                        <w:rFonts w:ascii="Calibri" w:hAnsi="Calibri"/>
                        <w:spacing w:val="-39"/>
                        <w:sz w:val="28"/>
                      </w:rPr>
                      <w:t> </w:t>
                    </w:r>
                    <w:r>
                      <w:rPr>
                        <w:rFonts w:ascii="Calibri" w:hAnsi="Calibri"/>
                        <w:sz w:val="28"/>
                      </w:rPr>
                      <w:t>mantas</w:t>
                    </w:r>
                  </w:p>
                  <w:p>
                    <w:pPr>
                      <w:spacing w:before="1"/>
                      <w:ind w:left="1570" w:right="1592" w:firstLine="0"/>
                      <w:jc w:val="center"/>
                      <w:rPr>
                        <w:rFonts w:ascii="Calibri" w:hAnsi="Calibri"/>
                        <w:sz w:val="28"/>
                      </w:rPr>
                    </w:pPr>
                    <w:r>
                      <w:rPr>
                        <w:rFonts w:ascii="Calibri" w:hAnsi="Calibri"/>
                        <w:sz w:val="28"/>
                      </w:rPr>
                      <w:t>pārdošanas plāns</w:t>
                    </w:r>
                  </w:p>
                  <w:p>
                    <w:pPr>
                      <w:spacing w:before="152"/>
                      <w:ind w:left="1444" w:right="0" w:firstLine="0"/>
                      <w:jc w:val="left"/>
                      <w:rPr>
                        <w:rFonts w:ascii="Calibri"/>
                        <w:sz w:val="18"/>
                      </w:rPr>
                    </w:pPr>
                    <w:r>
                      <w:rPr>
                        <w:rFonts w:ascii="Calibri"/>
                        <w:sz w:val="18"/>
                      </w:rPr>
                      <w:t>35,79</w:t>
                    </w:r>
                  </w:p>
                  <w:p>
                    <w:pPr>
                      <w:spacing w:line="240" w:lineRule="auto" w:before="4"/>
                      <w:rPr>
                        <w:rFonts w:ascii="Calibri"/>
                        <w:sz w:val="21"/>
                      </w:rPr>
                    </w:pPr>
                  </w:p>
                  <w:p>
                    <w:pPr>
                      <w:spacing w:line="216" w:lineRule="exact" w:before="0"/>
                      <w:ind w:left="3079" w:right="0" w:firstLine="0"/>
                      <w:jc w:val="left"/>
                      <w:rPr>
                        <w:rFonts w:ascii="Calibri"/>
                        <w:sz w:val="18"/>
                      </w:rPr>
                    </w:pPr>
                    <w:r>
                      <w:rPr>
                        <w:rFonts w:ascii="Calibri"/>
                        <w:sz w:val="18"/>
                      </w:rPr>
                      <w:t>64,21</w:t>
                    </w:r>
                  </w:p>
                </w:txbxContent>
              </v:textbox>
              <w10:wrap type="none"/>
            </v:shape>
            <v:shape style="position:absolute;left:3499;top:2944;width:5654;height:853" type="#_x0000_t202" filled="false" stroked="false">
              <v:textbox inset="0,0,0,0">
                <w:txbxContent>
                  <w:p>
                    <w:pPr>
                      <w:spacing w:line="183" w:lineRule="exact" w:before="0"/>
                      <w:ind w:left="0" w:right="0" w:firstLine="0"/>
                      <w:jc w:val="left"/>
                      <w:rPr>
                        <w:rFonts w:ascii="Calibri" w:hAnsi="Calibri"/>
                        <w:sz w:val="18"/>
                      </w:rPr>
                    </w:pPr>
                    <w:r>
                      <w:rPr>
                        <w:rFonts w:ascii="Calibri" w:hAnsi="Calibri"/>
                        <w:sz w:val="18"/>
                      </w:rPr>
                      <w:t>Gadījumi, kuros maksājumi kreditoriem tiek veikti 1/3 apmērā no minimālās</w:t>
                    </w:r>
                  </w:p>
                  <w:p>
                    <w:pPr>
                      <w:spacing w:line="219" w:lineRule="exact" w:before="0"/>
                      <w:ind w:left="0" w:right="0" w:firstLine="0"/>
                      <w:jc w:val="left"/>
                      <w:rPr>
                        <w:rFonts w:ascii="Calibri" w:hAnsi="Calibri"/>
                        <w:sz w:val="18"/>
                      </w:rPr>
                    </w:pPr>
                    <w:r>
                      <w:rPr>
                        <w:rFonts w:ascii="Calibri" w:hAnsi="Calibri"/>
                        <w:sz w:val="18"/>
                      </w:rPr>
                      <w:t>algas, ja ir sastādīts mantas pārdošanas plāns (%)</w:t>
                    </w:r>
                  </w:p>
                  <w:p>
                    <w:pPr>
                      <w:spacing w:before="13"/>
                      <w:ind w:left="0" w:right="0" w:firstLine="0"/>
                      <w:jc w:val="left"/>
                      <w:rPr>
                        <w:rFonts w:ascii="Calibri" w:hAnsi="Calibri"/>
                        <w:sz w:val="18"/>
                      </w:rPr>
                    </w:pPr>
                    <w:r>
                      <w:rPr>
                        <w:rFonts w:ascii="Calibri" w:hAnsi="Calibri"/>
                        <w:sz w:val="18"/>
                      </w:rPr>
                      <w:t>Gadījumi, kuros maksājumi kreditoriem tiek veikti vairāk nekā 1/3 apmērā no minimālās algas, ja ir sastādīts mantas pārdošanas plāns (%)</w:t>
                    </w:r>
                  </w:p>
                </w:txbxContent>
              </v:textbox>
              <w10:wrap type="none"/>
            </v:shape>
            <w10:wrap type="topAndBottom"/>
          </v:group>
        </w:pict>
      </w:r>
    </w:p>
    <w:p>
      <w:pPr>
        <w:spacing w:after="0"/>
        <w:jc w:val="left"/>
        <w:sectPr>
          <w:pgSz w:w="11910" w:h="16840"/>
          <w:pgMar w:header="0" w:footer="1055" w:top="1420" w:bottom="1240" w:left="1180" w:right="1040"/>
        </w:sectPr>
      </w:pPr>
    </w:p>
    <w:p>
      <w:pPr>
        <w:pStyle w:val="Heading4"/>
        <w:numPr>
          <w:ilvl w:val="0"/>
          <w:numId w:val="46"/>
        </w:numPr>
        <w:tabs>
          <w:tab w:pos="980" w:val="left" w:leader="none"/>
        </w:tabs>
        <w:spacing w:line="240" w:lineRule="auto" w:before="78" w:after="0"/>
        <w:ind w:left="980" w:right="762" w:hanging="360"/>
        <w:jc w:val="left"/>
      </w:pPr>
      <w:r>
        <w:rPr>
          <w:i/>
        </w:rPr>
        <w:t>Minimālo maksājumu proporcija maksātnespējas procesos, kuros tika sastādīts </w:t>
      </w:r>
      <w:r>
        <w:rPr/>
        <w:t>ziņojums par mantas</w:t>
      </w:r>
      <w:r>
        <w:rPr>
          <w:spacing w:val="-3"/>
        </w:rPr>
        <w:t> </w:t>
      </w:r>
      <w:r>
        <w:rPr/>
        <w:t>neesamību</w:t>
      </w:r>
    </w:p>
    <w:p>
      <w:pPr>
        <w:pStyle w:val="BodyText"/>
        <w:spacing w:before="7"/>
        <w:jc w:val="left"/>
        <w:rPr>
          <w:b/>
          <w:i/>
          <w:sz w:val="23"/>
        </w:rPr>
      </w:pPr>
    </w:p>
    <w:p>
      <w:pPr>
        <w:pStyle w:val="BodyText"/>
        <w:ind w:left="260" w:right="763" w:firstLine="360"/>
      </w:pPr>
      <w:r>
        <w:rPr/>
        <w:t>Rēķinot proporcionālo attiecību analizējamajos maksātnespējas procesos, kuros ir</w:t>
      </w:r>
      <w:r>
        <w:rPr>
          <w:spacing w:val="-26"/>
        </w:rPr>
        <w:t> </w:t>
      </w:r>
      <w:r>
        <w:rPr>
          <w:spacing w:val="-3"/>
        </w:rPr>
        <w:t>bijis </w:t>
      </w:r>
      <w:r>
        <w:rPr/>
        <w:t>sastādīts ziņojums par mantas neesamību, secināms, ka 64,52 % gadījumu </w:t>
      </w:r>
      <w:r>
        <w:rPr>
          <w:spacing w:val="-3"/>
        </w:rPr>
        <w:t>kreditoriem</w:t>
      </w:r>
      <w:r>
        <w:rPr>
          <w:spacing w:val="54"/>
        </w:rPr>
        <w:t> </w:t>
      </w:r>
      <w:r>
        <w:rPr/>
        <w:t>saistību dzēšanas plānā tika paredzēts kreditoru prasījumu segšanai novirzīt 1/3 daļu no minimālās algas, bet 35,48 % gadījumu – maksājumus, kas pārsniedz 1/3 no </w:t>
      </w:r>
      <w:r>
        <w:rPr>
          <w:spacing w:val="-3"/>
        </w:rPr>
        <w:t>minimālās </w:t>
      </w:r>
      <w:r>
        <w:rPr/>
        <w:t>algas.</w:t>
      </w:r>
    </w:p>
    <w:p>
      <w:pPr>
        <w:pStyle w:val="BodyText"/>
        <w:spacing w:before="8"/>
        <w:jc w:val="left"/>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88"/>
        <w:gridCol w:w="674"/>
        <w:gridCol w:w="1044"/>
      </w:tblGrid>
      <w:tr>
        <w:trPr>
          <w:trHeight w:val="285" w:hRule="atLeast"/>
        </w:trPr>
        <w:tc>
          <w:tcPr>
            <w:tcW w:w="6888" w:type="dxa"/>
          </w:tcPr>
          <w:p>
            <w:pPr>
              <w:pStyle w:val="TableParagraph"/>
              <w:spacing w:line="265" w:lineRule="exact"/>
              <w:ind w:left="107"/>
              <w:rPr>
                <w:b/>
                <w:sz w:val="24"/>
              </w:rPr>
            </w:pPr>
            <w:r>
              <w:rPr>
                <w:b/>
                <w:sz w:val="24"/>
              </w:rPr>
              <w:t>Procesu skaits, kuros sastādīts ziņojums par mantas neesamību</w:t>
            </w:r>
          </w:p>
        </w:tc>
        <w:tc>
          <w:tcPr>
            <w:tcW w:w="674" w:type="dxa"/>
          </w:tcPr>
          <w:p>
            <w:pPr>
              <w:pStyle w:val="TableParagraph"/>
              <w:spacing w:line="265" w:lineRule="exact"/>
              <w:ind w:left="109"/>
              <w:rPr>
                <w:b/>
                <w:sz w:val="24"/>
              </w:rPr>
            </w:pPr>
            <w:r>
              <w:rPr>
                <w:b/>
                <w:sz w:val="24"/>
              </w:rPr>
              <w:t>66</w:t>
            </w:r>
          </w:p>
        </w:tc>
        <w:tc>
          <w:tcPr>
            <w:tcW w:w="1044" w:type="dxa"/>
          </w:tcPr>
          <w:p>
            <w:pPr>
              <w:pStyle w:val="TableParagraph"/>
              <w:rPr>
                <w:sz w:val="20"/>
              </w:rPr>
            </w:pPr>
          </w:p>
        </w:tc>
      </w:tr>
      <w:tr>
        <w:trPr>
          <w:trHeight w:val="277" w:hRule="atLeast"/>
        </w:trPr>
        <w:tc>
          <w:tcPr>
            <w:tcW w:w="6888" w:type="dxa"/>
            <w:tcBorders>
              <w:bottom w:val="nil"/>
            </w:tcBorders>
          </w:tcPr>
          <w:p>
            <w:pPr>
              <w:pStyle w:val="TableParagraph"/>
              <w:spacing w:line="258" w:lineRule="exact"/>
              <w:ind w:left="107"/>
              <w:rPr>
                <w:b/>
                <w:sz w:val="24"/>
              </w:rPr>
            </w:pPr>
            <w:r>
              <w:rPr>
                <w:b/>
                <w:sz w:val="24"/>
              </w:rPr>
              <w:t>Gadījumi, kurs maksājumi kreditoriem tiek veikti 1/3 apmērā</w:t>
            </w:r>
          </w:p>
        </w:tc>
        <w:tc>
          <w:tcPr>
            <w:tcW w:w="674" w:type="dxa"/>
            <w:tcBorders>
              <w:bottom w:val="nil"/>
            </w:tcBorders>
          </w:tcPr>
          <w:p>
            <w:pPr>
              <w:pStyle w:val="TableParagraph"/>
              <w:spacing w:line="258" w:lineRule="exact"/>
              <w:ind w:left="107"/>
              <w:rPr>
                <w:b/>
                <w:sz w:val="24"/>
              </w:rPr>
            </w:pPr>
            <w:r>
              <w:rPr>
                <w:b/>
                <w:sz w:val="24"/>
              </w:rPr>
              <w:t>40</w:t>
            </w:r>
          </w:p>
        </w:tc>
        <w:tc>
          <w:tcPr>
            <w:tcW w:w="1044" w:type="dxa"/>
            <w:tcBorders>
              <w:bottom w:val="nil"/>
            </w:tcBorders>
          </w:tcPr>
          <w:p>
            <w:pPr>
              <w:pStyle w:val="TableParagraph"/>
              <w:spacing w:line="258" w:lineRule="exact"/>
              <w:ind w:left="108"/>
              <w:rPr>
                <w:b/>
                <w:sz w:val="24"/>
              </w:rPr>
            </w:pPr>
            <w:r>
              <w:rPr>
                <w:b/>
                <w:sz w:val="24"/>
              </w:rPr>
              <w:t>64,52</w:t>
            </w:r>
          </w:p>
        </w:tc>
      </w:tr>
      <w:tr>
        <w:trPr>
          <w:trHeight w:val="275" w:hRule="atLeast"/>
        </w:trPr>
        <w:tc>
          <w:tcPr>
            <w:tcW w:w="6888" w:type="dxa"/>
            <w:tcBorders>
              <w:top w:val="nil"/>
              <w:bottom w:val="nil"/>
            </w:tcBorders>
          </w:tcPr>
          <w:p>
            <w:pPr>
              <w:pStyle w:val="TableParagraph"/>
              <w:spacing w:line="256" w:lineRule="exact"/>
              <w:ind w:left="107"/>
              <w:rPr>
                <w:b/>
                <w:sz w:val="24"/>
              </w:rPr>
            </w:pPr>
            <w:r>
              <w:rPr>
                <w:b/>
                <w:sz w:val="24"/>
              </w:rPr>
              <w:t>no minimālās algas, ja ir sastādīts ziņojums par mantas</w:t>
            </w:r>
          </w:p>
        </w:tc>
        <w:tc>
          <w:tcPr>
            <w:tcW w:w="674" w:type="dxa"/>
            <w:tcBorders>
              <w:top w:val="nil"/>
              <w:bottom w:val="nil"/>
            </w:tcBorders>
          </w:tcPr>
          <w:p>
            <w:pPr>
              <w:pStyle w:val="TableParagraph"/>
              <w:rPr>
                <w:sz w:val="20"/>
              </w:rPr>
            </w:pPr>
          </w:p>
        </w:tc>
        <w:tc>
          <w:tcPr>
            <w:tcW w:w="1044" w:type="dxa"/>
            <w:tcBorders>
              <w:top w:val="nil"/>
              <w:bottom w:val="nil"/>
            </w:tcBorders>
          </w:tcPr>
          <w:p>
            <w:pPr>
              <w:pStyle w:val="TableParagraph"/>
              <w:spacing w:line="256" w:lineRule="exact"/>
              <w:ind w:left="108"/>
              <w:rPr>
                <w:b/>
                <w:sz w:val="24"/>
              </w:rPr>
            </w:pPr>
            <w:r>
              <w:rPr>
                <w:b/>
                <w:sz w:val="24"/>
              </w:rPr>
              <w:t>%</w:t>
            </w:r>
          </w:p>
        </w:tc>
      </w:tr>
      <w:tr>
        <w:trPr>
          <w:trHeight w:val="273" w:hRule="atLeast"/>
        </w:trPr>
        <w:tc>
          <w:tcPr>
            <w:tcW w:w="6888" w:type="dxa"/>
            <w:tcBorders>
              <w:top w:val="nil"/>
            </w:tcBorders>
          </w:tcPr>
          <w:p>
            <w:pPr>
              <w:pStyle w:val="TableParagraph"/>
              <w:spacing w:line="254" w:lineRule="exact"/>
              <w:ind w:left="107"/>
              <w:rPr>
                <w:b/>
                <w:sz w:val="24"/>
              </w:rPr>
            </w:pPr>
            <w:r>
              <w:rPr>
                <w:b/>
                <w:sz w:val="24"/>
              </w:rPr>
              <w:t>neesamību</w:t>
            </w:r>
          </w:p>
        </w:tc>
        <w:tc>
          <w:tcPr>
            <w:tcW w:w="674" w:type="dxa"/>
            <w:tcBorders>
              <w:top w:val="nil"/>
            </w:tcBorders>
          </w:tcPr>
          <w:p>
            <w:pPr>
              <w:pStyle w:val="TableParagraph"/>
              <w:rPr>
                <w:sz w:val="20"/>
              </w:rPr>
            </w:pPr>
          </w:p>
        </w:tc>
        <w:tc>
          <w:tcPr>
            <w:tcW w:w="1044" w:type="dxa"/>
            <w:tcBorders>
              <w:top w:val="nil"/>
            </w:tcBorders>
          </w:tcPr>
          <w:p>
            <w:pPr>
              <w:pStyle w:val="TableParagraph"/>
              <w:rPr>
                <w:sz w:val="20"/>
              </w:rPr>
            </w:pPr>
          </w:p>
        </w:tc>
      </w:tr>
      <w:tr>
        <w:trPr>
          <w:trHeight w:val="277" w:hRule="atLeast"/>
        </w:trPr>
        <w:tc>
          <w:tcPr>
            <w:tcW w:w="6888" w:type="dxa"/>
            <w:tcBorders>
              <w:bottom w:val="nil"/>
            </w:tcBorders>
          </w:tcPr>
          <w:p>
            <w:pPr>
              <w:pStyle w:val="TableParagraph"/>
              <w:spacing w:line="258" w:lineRule="exact"/>
              <w:ind w:left="107"/>
              <w:rPr>
                <w:b/>
                <w:sz w:val="24"/>
              </w:rPr>
            </w:pPr>
            <w:r>
              <w:rPr>
                <w:b/>
                <w:sz w:val="24"/>
              </w:rPr>
              <w:t>Gadījumi, kuros maksājumi kreditoriem tiek veikti vairāk nekā</w:t>
            </w:r>
          </w:p>
        </w:tc>
        <w:tc>
          <w:tcPr>
            <w:tcW w:w="674" w:type="dxa"/>
            <w:tcBorders>
              <w:bottom w:val="nil"/>
            </w:tcBorders>
          </w:tcPr>
          <w:p>
            <w:pPr>
              <w:pStyle w:val="TableParagraph"/>
              <w:spacing w:line="258" w:lineRule="exact"/>
              <w:ind w:left="107"/>
              <w:rPr>
                <w:b/>
                <w:sz w:val="24"/>
              </w:rPr>
            </w:pPr>
            <w:r>
              <w:rPr>
                <w:b/>
                <w:sz w:val="24"/>
              </w:rPr>
              <w:t>22</w:t>
            </w:r>
          </w:p>
        </w:tc>
        <w:tc>
          <w:tcPr>
            <w:tcW w:w="1044" w:type="dxa"/>
            <w:tcBorders>
              <w:bottom w:val="nil"/>
            </w:tcBorders>
          </w:tcPr>
          <w:p>
            <w:pPr>
              <w:pStyle w:val="TableParagraph"/>
              <w:spacing w:line="258" w:lineRule="exact"/>
              <w:ind w:left="108"/>
              <w:rPr>
                <w:b/>
                <w:sz w:val="24"/>
              </w:rPr>
            </w:pPr>
            <w:r>
              <w:rPr>
                <w:b/>
                <w:sz w:val="24"/>
              </w:rPr>
              <w:t>35,48</w:t>
            </w:r>
          </w:p>
        </w:tc>
      </w:tr>
      <w:tr>
        <w:trPr>
          <w:trHeight w:val="275" w:hRule="atLeast"/>
        </w:trPr>
        <w:tc>
          <w:tcPr>
            <w:tcW w:w="6888" w:type="dxa"/>
            <w:tcBorders>
              <w:top w:val="nil"/>
              <w:bottom w:val="nil"/>
            </w:tcBorders>
          </w:tcPr>
          <w:p>
            <w:pPr>
              <w:pStyle w:val="TableParagraph"/>
              <w:spacing w:line="256" w:lineRule="exact"/>
              <w:ind w:left="107"/>
              <w:rPr>
                <w:b/>
                <w:sz w:val="24"/>
              </w:rPr>
            </w:pPr>
            <w:r>
              <w:rPr>
                <w:b/>
                <w:sz w:val="24"/>
              </w:rPr>
              <w:t>1/3 apmērā no minimālās algas, ja ir sastādīts ziņojums par</w:t>
            </w:r>
          </w:p>
        </w:tc>
        <w:tc>
          <w:tcPr>
            <w:tcW w:w="674" w:type="dxa"/>
            <w:tcBorders>
              <w:top w:val="nil"/>
              <w:bottom w:val="nil"/>
            </w:tcBorders>
          </w:tcPr>
          <w:p>
            <w:pPr>
              <w:pStyle w:val="TableParagraph"/>
              <w:rPr>
                <w:sz w:val="20"/>
              </w:rPr>
            </w:pPr>
          </w:p>
        </w:tc>
        <w:tc>
          <w:tcPr>
            <w:tcW w:w="1044" w:type="dxa"/>
            <w:tcBorders>
              <w:top w:val="nil"/>
              <w:bottom w:val="nil"/>
            </w:tcBorders>
          </w:tcPr>
          <w:p>
            <w:pPr>
              <w:pStyle w:val="TableParagraph"/>
              <w:spacing w:line="256" w:lineRule="exact"/>
              <w:ind w:left="108"/>
              <w:rPr>
                <w:b/>
                <w:sz w:val="24"/>
              </w:rPr>
            </w:pPr>
            <w:r>
              <w:rPr>
                <w:b/>
                <w:sz w:val="24"/>
              </w:rPr>
              <w:t>%</w:t>
            </w:r>
          </w:p>
        </w:tc>
      </w:tr>
      <w:tr>
        <w:trPr>
          <w:trHeight w:val="290" w:hRule="atLeast"/>
        </w:trPr>
        <w:tc>
          <w:tcPr>
            <w:tcW w:w="6888" w:type="dxa"/>
            <w:tcBorders>
              <w:top w:val="nil"/>
            </w:tcBorders>
          </w:tcPr>
          <w:p>
            <w:pPr>
              <w:pStyle w:val="TableParagraph"/>
              <w:spacing w:line="271" w:lineRule="exact"/>
              <w:ind w:left="107"/>
              <w:rPr>
                <w:b/>
                <w:sz w:val="24"/>
              </w:rPr>
            </w:pPr>
            <w:r>
              <w:rPr>
                <w:b/>
                <w:sz w:val="24"/>
              </w:rPr>
              <w:t>mantas neesamību</w:t>
            </w:r>
          </w:p>
        </w:tc>
        <w:tc>
          <w:tcPr>
            <w:tcW w:w="674" w:type="dxa"/>
            <w:tcBorders>
              <w:top w:val="nil"/>
            </w:tcBorders>
          </w:tcPr>
          <w:p>
            <w:pPr>
              <w:pStyle w:val="TableParagraph"/>
              <w:rPr>
                <w:sz w:val="20"/>
              </w:rPr>
            </w:pPr>
          </w:p>
        </w:tc>
        <w:tc>
          <w:tcPr>
            <w:tcW w:w="1044" w:type="dxa"/>
            <w:tcBorders>
              <w:top w:val="nil"/>
            </w:tcBorders>
          </w:tcPr>
          <w:p>
            <w:pPr>
              <w:pStyle w:val="TableParagraph"/>
              <w:rPr>
                <w:sz w:val="20"/>
              </w:rPr>
            </w:pPr>
          </w:p>
        </w:tc>
      </w:tr>
    </w:tbl>
    <w:p>
      <w:pPr>
        <w:pStyle w:val="BodyText"/>
        <w:jc w:val="left"/>
        <w:rPr>
          <w:sz w:val="20"/>
        </w:rPr>
      </w:pPr>
    </w:p>
    <w:p>
      <w:pPr>
        <w:pStyle w:val="BodyText"/>
        <w:spacing w:before="7"/>
        <w:jc w:val="left"/>
      </w:pPr>
      <w:r>
        <w:rPr/>
        <w:pict>
          <v:group style="position:absolute;margin-left:110.400002pt;margin-top:16.100920pt;width:355.45pt;height:185.9pt;mso-position-horizontal-relative:page;mso-position-vertical-relative:paragraph;z-index:-251574272;mso-wrap-distance-left:0;mso-wrap-distance-right:0" coordorigin="2208,322" coordsize="7109,3718">
            <v:shape style="position:absolute;left:4502;top:1150;width:2458;height:1450" type="#_x0000_t75" stroked="false">
              <v:imagedata r:id="rId51" o:title=""/>
            </v:shape>
            <v:rect style="position:absolute;left:2752;top:2789;width:92;height:92" filled="true" fillcolor="#4472c3" stroked="false">
              <v:fill type="solid"/>
            </v:rect>
            <v:shape style="position:absolute;left:2733;top:2770;width:130;height:130" coordorigin="2734,2770" coordsize="130,130" path="m2854,2900l2743,2900,2734,2890,2734,2780,2743,2770,2854,2770,2863,2780,2863,2789,2772,2789,2753,2811,2772,2811,2772,2859,2753,2859,2772,2880,2863,2880,2863,2890,2854,2900xm2772,2811l2753,2811,2772,2789,2772,2811xm2822,2811l2772,2811,2772,2789,2822,2789,2822,2811xm2822,2880l2822,2789,2844,2811,2863,2811,2863,2859,2844,2859,2822,2880xm2863,2811l2844,2811,2822,2789,2863,2789,2863,2811xm2772,2880l2753,2859,2772,2859,2772,2880xm2822,2880l2772,2880,2772,2859,2822,2859,2822,2880xm2863,2880l2822,2880,2844,2859,2863,2859,2863,2880xe" filled="true" fillcolor="#ffffff" stroked="false">
              <v:path arrowok="t"/>
              <v:fill type="solid"/>
            </v:shape>
            <v:rect style="position:absolute;left:2752;top:3257;width:92;height:92" filled="true" fillcolor="#ed7c31" stroked="false">
              <v:fill type="solid"/>
            </v:rect>
            <v:shape style="position:absolute;left:2733;top:3238;width:130;height:130" coordorigin="2734,3238" coordsize="130,130" path="m2854,3368l2743,3368,2734,3358,2734,3248,2743,3238,2854,3238,2863,3248,2863,3257,2772,3257,2753,3279,2772,3279,2772,3329,2753,3329,2772,3348,2863,3348,2863,3358,2854,3368xm2772,3279l2753,3279,2772,3257,2772,3279xm2822,3279l2772,3279,2772,3257,2822,3257,2822,3279xm2822,3348l2822,3257,2844,3279,2863,3279,2863,3329,2844,3329,2822,3348xm2863,3279l2844,3279,2822,3257,2863,3257,2863,3279xm2772,3348l2753,3329,2772,3329,2772,3348xm2822,3348l2772,3348,2772,3329,2822,3329,2822,3348xm2863,3348l2822,3348,2844,3329,2863,3329,2863,3348xe" filled="true" fillcolor="#ffffff" stroked="false">
              <v:path arrowok="t"/>
              <v:fill type="solid"/>
            </v:shape>
            <v:shape style="position:absolute;left:2208;top:322;width:7109;height:3718" coordorigin="2208,322" coordsize="7109,3718" path="m9312,4040l2213,4040,2208,4035,2208,322,9317,322,9317,322,2225,322,2215,332,2225,332,2225,4023,2215,4023,2225,4030,9317,4030,9317,4035,9312,4040xm2225,332l2215,332,2225,322,2225,332xm9300,332l2225,332,2225,322,9300,322,9300,332xm9300,4030l9300,322,9307,332,9317,332,9317,4023,9307,4023,9300,4030xm9317,332l9307,332,9300,322,9317,322,9317,332xm2225,4030l2215,4023,2225,4023,2225,4030xm9300,4030l2225,4030,2225,4023,9300,4023,9300,4030xm9317,4030l9300,4030,9307,4023,9317,4023,9317,4030xe" filled="true" fillcolor="#000000" stroked="false">
              <v:path arrowok="t"/>
              <v:fill type="solid"/>
            </v:shape>
            <v:shape style="position:absolute;left:3290;top:480;width:4958;height:1489" type="#_x0000_t202" filled="false" stroked="false">
              <v:textbox inset="0,0,0,0">
                <w:txbxContent>
                  <w:p>
                    <w:pPr>
                      <w:spacing w:line="240" w:lineRule="auto" w:before="0"/>
                      <w:ind w:left="1586" w:right="0" w:hanging="1587"/>
                      <w:jc w:val="left"/>
                      <w:rPr>
                        <w:sz w:val="24"/>
                      </w:rPr>
                    </w:pPr>
                    <w:r>
                      <w:rPr>
                        <w:sz w:val="24"/>
                      </w:rPr>
                      <w:t>Maksājumi kreditoriem, ja ir sastādīts ziņojums par mantas neesamību</w:t>
                    </w:r>
                  </w:p>
                  <w:p>
                    <w:pPr>
                      <w:spacing w:line="240" w:lineRule="auto" w:before="2"/>
                      <w:rPr>
                        <w:sz w:val="28"/>
                      </w:rPr>
                    </w:pPr>
                  </w:p>
                  <w:p>
                    <w:pPr>
                      <w:spacing w:before="0"/>
                      <w:ind w:left="2773" w:right="1740" w:firstLine="0"/>
                      <w:jc w:val="center"/>
                      <w:rPr>
                        <w:sz w:val="18"/>
                      </w:rPr>
                    </w:pPr>
                    <w:r>
                      <w:rPr>
                        <w:sz w:val="18"/>
                      </w:rPr>
                      <w:t>35,48</w:t>
                    </w:r>
                  </w:p>
                  <w:p>
                    <w:pPr>
                      <w:spacing w:line="240" w:lineRule="auto" w:before="3"/>
                      <w:rPr>
                        <w:sz w:val="17"/>
                      </w:rPr>
                    </w:pPr>
                  </w:p>
                  <w:p>
                    <w:pPr>
                      <w:spacing w:before="0"/>
                      <w:ind w:left="1456" w:right="0" w:firstLine="0"/>
                      <w:jc w:val="left"/>
                      <w:rPr>
                        <w:sz w:val="18"/>
                      </w:rPr>
                    </w:pPr>
                    <w:r>
                      <w:rPr>
                        <w:sz w:val="18"/>
                      </w:rPr>
                      <w:t>64,52</w:t>
                    </w:r>
                  </w:p>
                </w:txbxContent>
              </v:textbox>
              <w10:wrap type="none"/>
            </v:shape>
            <v:shape style="position:absolute;left:2880;top:2729;width:6007;height:874" type="#_x0000_t202" filled="false" stroked="false">
              <v:textbox inset="0,0,0,0">
                <w:txbxContent>
                  <w:p>
                    <w:pPr>
                      <w:spacing w:line="240" w:lineRule="auto" w:before="0"/>
                      <w:ind w:left="0" w:right="373" w:firstLine="0"/>
                      <w:jc w:val="left"/>
                      <w:rPr>
                        <w:sz w:val="18"/>
                      </w:rPr>
                    </w:pPr>
                    <w:r>
                      <w:rPr>
                        <w:sz w:val="18"/>
                      </w:rPr>
                      <w:t>Gadījumi, kuros maksājumi kreditoriem tiek veikti vairāk nekā 1/3 apmērā no minimālās algas, ja ir sastādīts ziņojums par mantas neesamību (%)</w:t>
                    </w:r>
                  </w:p>
                  <w:p>
                    <w:pPr>
                      <w:spacing w:before="46"/>
                      <w:ind w:left="0" w:right="-2" w:firstLine="0"/>
                      <w:jc w:val="left"/>
                      <w:rPr>
                        <w:sz w:val="18"/>
                      </w:rPr>
                    </w:pPr>
                    <w:r>
                      <w:rPr>
                        <w:sz w:val="18"/>
                      </w:rPr>
                      <w:t>Gadījumi, kuros maksājumi kreditoriem tiek veikti 1/3 apmērā no minimālās algas, ja ir sastādīts ziņojums par mantas neesamību (%)</w:t>
                    </w:r>
                  </w:p>
                </w:txbxContent>
              </v:textbox>
              <w10:wrap type="none"/>
            </v:shape>
            <w10:wrap type="topAndBottom"/>
          </v:group>
        </w:pict>
      </w:r>
    </w:p>
    <w:p>
      <w:pPr>
        <w:pStyle w:val="BodyText"/>
        <w:jc w:val="left"/>
        <w:rPr>
          <w:sz w:val="26"/>
        </w:rPr>
      </w:pPr>
    </w:p>
    <w:p>
      <w:pPr>
        <w:pStyle w:val="BodyText"/>
        <w:jc w:val="left"/>
        <w:rPr>
          <w:sz w:val="26"/>
        </w:rPr>
      </w:pPr>
    </w:p>
    <w:p>
      <w:pPr>
        <w:pStyle w:val="Heading4"/>
        <w:numPr>
          <w:ilvl w:val="1"/>
          <w:numId w:val="45"/>
        </w:numPr>
        <w:tabs>
          <w:tab w:pos="1041" w:val="left" w:leader="none"/>
        </w:tabs>
        <w:spacing w:line="240" w:lineRule="auto" w:before="200" w:after="0"/>
        <w:ind w:left="1040" w:right="0" w:hanging="421"/>
        <w:jc w:val="left"/>
        <w:rPr>
          <w:i/>
        </w:rPr>
      </w:pPr>
      <w:bookmarkStart w:name="_TOC_250053" w:id="25"/>
      <w:bookmarkEnd w:id="25"/>
      <w:r>
        <w:rPr>
          <w:i/>
        </w:rPr>
        <w:t>Parādnieka dzimums</w:t>
      </w:r>
    </w:p>
    <w:p>
      <w:pPr>
        <w:pStyle w:val="BodyText"/>
        <w:spacing w:before="3"/>
        <w:jc w:val="left"/>
        <w:rPr>
          <w:b/>
          <w:i/>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4"/>
        <w:gridCol w:w="1169"/>
        <w:gridCol w:w="1491"/>
      </w:tblGrid>
      <w:tr>
        <w:trPr>
          <w:trHeight w:val="275" w:hRule="atLeast"/>
        </w:trPr>
        <w:tc>
          <w:tcPr>
            <w:tcW w:w="3574" w:type="dxa"/>
          </w:tcPr>
          <w:p>
            <w:pPr>
              <w:pStyle w:val="TableParagraph"/>
              <w:spacing w:line="256" w:lineRule="exact"/>
              <w:ind w:left="107"/>
              <w:rPr>
                <w:sz w:val="24"/>
              </w:rPr>
            </w:pPr>
            <w:r>
              <w:rPr>
                <w:sz w:val="24"/>
              </w:rPr>
              <w:t>Parādnieku skaits</w:t>
            </w:r>
          </w:p>
        </w:tc>
        <w:tc>
          <w:tcPr>
            <w:tcW w:w="1169" w:type="dxa"/>
          </w:tcPr>
          <w:p>
            <w:pPr>
              <w:pStyle w:val="TableParagraph"/>
              <w:spacing w:line="256" w:lineRule="exact"/>
              <w:ind w:left="106"/>
              <w:rPr>
                <w:sz w:val="24"/>
              </w:rPr>
            </w:pPr>
            <w:r>
              <w:rPr>
                <w:sz w:val="24"/>
              </w:rPr>
              <w:t>173</w:t>
            </w:r>
          </w:p>
        </w:tc>
        <w:tc>
          <w:tcPr>
            <w:tcW w:w="1491" w:type="dxa"/>
          </w:tcPr>
          <w:p>
            <w:pPr>
              <w:pStyle w:val="TableParagraph"/>
              <w:rPr>
                <w:sz w:val="20"/>
              </w:rPr>
            </w:pPr>
          </w:p>
        </w:tc>
      </w:tr>
      <w:tr>
        <w:trPr>
          <w:trHeight w:val="275" w:hRule="atLeast"/>
        </w:trPr>
        <w:tc>
          <w:tcPr>
            <w:tcW w:w="3574" w:type="dxa"/>
          </w:tcPr>
          <w:p>
            <w:pPr>
              <w:pStyle w:val="TableParagraph"/>
              <w:spacing w:line="256" w:lineRule="exact"/>
              <w:ind w:left="107"/>
              <w:rPr>
                <w:sz w:val="24"/>
              </w:rPr>
            </w:pPr>
            <w:r>
              <w:rPr>
                <w:sz w:val="24"/>
              </w:rPr>
              <w:t>Parādnieki – sievietes</w:t>
            </w:r>
          </w:p>
        </w:tc>
        <w:tc>
          <w:tcPr>
            <w:tcW w:w="1169" w:type="dxa"/>
          </w:tcPr>
          <w:p>
            <w:pPr>
              <w:pStyle w:val="TableParagraph"/>
              <w:spacing w:line="256" w:lineRule="exact"/>
              <w:ind w:left="107"/>
              <w:rPr>
                <w:sz w:val="24"/>
              </w:rPr>
            </w:pPr>
            <w:r>
              <w:rPr>
                <w:sz w:val="24"/>
              </w:rPr>
              <w:t>77</w:t>
            </w:r>
          </w:p>
        </w:tc>
        <w:tc>
          <w:tcPr>
            <w:tcW w:w="1491" w:type="dxa"/>
          </w:tcPr>
          <w:p>
            <w:pPr>
              <w:pStyle w:val="TableParagraph"/>
              <w:spacing w:line="256" w:lineRule="exact"/>
              <w:ind w:left="104"/>
              <w:rPr>
                <w:sz w:val="24"/>
              </w:rPr>
            </w:pPr>
            <w:r>
              <w:rPr>
                <w:sz w:val="24"/>
              </w:rPr>
              <w:t>44,51 %</w:t>
            </w:r>
          </w:p>
        </w:tc>
      </w:tr>
      <w:tr>
        <w:trPr>
          <w:trHeight w:val="278" w:hRule="atLeast"/>
        </w:trPr>
        <w:tc>
          <w:tcPr>
            <w:tcW w:w="3574" w:type="dxa"/>
          </w:tcPr>
          <w:p>
            <w:pPr>
              <w:pStyle w:val="TableParagraph"/>
              <w:spacing w:line="258" w:lineRule="exact"/>
              <w:ind w:left="107"/>
              <w:rPr>
                <w:sz w:val="24"/>
              </w:rPr>
            </w:pPr>
            <w:r>
              <w:rPr>
                <w:sz w:val="24"/>
              </w:rPr>
              <w:t>Parādnieki - vīrieši</w:t>
            </w:r>
          </w:p>
        </w:tc>
        <w:tc>
          <w:tcPr>
            <w:tcW w:w="1169" w:type="dxa"/>
          </w:tcPr>
          <w:p>
            <w:pPr>
              <w:pStyle w:val="TableParagraph"/>
              <w:spacing w:line="258" w:lineRule="exact"/>
              <w:ind w:left="106"/>
              <w:rPr>
                <w:sz w:val="24"/>
              </w:rPr>
            </w:pPr>
            <w:r>
              <w:rPr>
                <w:sz w:val="24"/>
              </w:rPr>
              <w:t>96</w:t>
            </w:r>
          </w:p>
        </w:tc>
        <w:tc>
          <w:tcPr>
            <w:tcW w:w="1491" w:type="dxa"/>
          </w:tcPr>
          <w:p>
            <w:pPr>
              <w:pStyle w:val="TableParagraph"/>
              <w:spacing w:line="258" w:lineRule="exact"/>
              <w:ind w:left="103"/>
              <w:rPr>
                <w:sz w:val="24"/>
              </w:rPr>
            </w:pPr>
            <w:r>
              <w:rPr>
                <w:sz w:val="24"/>
              </w:rPr>
              <w:t>55,49 %</w:t>
            </w:r>
          </w:p>
        </w:tc>
      </w:tr>
    </w:tbl>
    <w:p>
      <w:pPr>
        <w:spacing w:after="0" w:line="258" w:lineRule="exact"/>
        <w:rPr>
          <w:sz w:val="24"/>
        </w:rPr>
        <w:sectPr>
          <w:pgSz w:w="11910" w:h="16840"/>
          <w:pgMar w:header="0" w:footer="1055" w:top="1340" w:bottom="1240" w:left="1180" w:right="1040"/>
        </w:sectPr>
      </w:pPr>
    </w:p>
    <w:p>
      <w:pPr>
        <w:pStyle w:val="BodyText"/>
        <w:ind w:left="2043"/>
        <w:jc w:val="left"/>
        <w:rPr>
          <w:sz w:val="20"/>
        </w:rPr>
      </w:pPr>
      <w:r>
        <w:rPr>
          <w:sz w:val="20"/>
        </w:rPr>
        <w:pict>
          <v:group style="width:289.8pt;height:181.7pt;mso-position-horizontal-relative:char;mso-position-vertical-relative:line" coordorigin="0,0" coordsize="5796,3634">
            <v:shape style="position:absolute;left:1581;top:892;width:2573;height:1517" type="#_x0000_t75" stroked="false">
              <v:imagedata r:id="rId52" o:title=""/>
            </v:shape>
            <v:rect style="position:absolute;left:1932;top:2800;width:111;height:111" filled="true" fillcolor="#4472c3" stroked="false">
              <v:fill type="solid"/>
            </v:rect>
            <v:shape style="position:absolute;left:1912;top:2781;width:149;height:149" coordorigin="1913,2782" coordsize="149,149" path="m2054,2930l1922,2930,1913,2921,1913,2791,1922,2782,2054,2782,2062,2791,2062,2801,1954,2801,1932,2820,1954,2820,1954,2890,1932,2890,1954,2911,2062,2911,2062,2921,2054,2930xm1954,2820l1932,2820,1954,2801,1954,2820xm2023,2820l1954,2820,1954,2801,2023,2801,2023,2820xm2023,2911l2023,2801,2042,2820,2062,2820,2062,2890,2042,2890,2023,2911xm2062,2820l2042,2820,2023,2801,2062,2801,2062,2820xm1954,2911l1932,2890,1954,2890,1954,2911xm2023,2911l1954,2911,1954,2890,2023,2890,2023,2911xm2062,2911l2023,2911,2042,2890,2062,2890,2062,2911xe" filled="true" fillcolor="#ffffff" stroked="false">
              <v:path arrowok="t"/>
              <v:fill type="solid"/>
            </v:shape>
            <v:rect style="position:absolute;left:3134;top:2800;width:111;height:111" filled="true" fillcolor="#ed7c31" stroked="false">
              <v:fill type="solid"/>
            </v:rect>
            <v:shape style="position:absolute;left:3115;top:2781;width:149;height:149" coordorigin="3115,2782" coordsize="149,149" path="m3257,2930l3125,2930,3115,2921,3115,2791,3125,2782,3257,2782,3264,2791,3264,2801,3156,2801,3134,2820,3156,2820,3156,2890,3134,2890,3156,2911,3264,2911,3264,2921,3257,2930xm3156,2820l3134,2820,3156,2801,3156,2820xm3226,2820l3156,2820,3156,2801,3226,2801,3226,2820xm3226,2911l3226,2801,3245,2820,3264,2820,3264,2890,3245,2890,3226,2911xm3264,2820l3245,2820,3226,2801,3264,2801,3264,2820xm3156,2911l3134,2890,3156,2890,3156,2911xm3226,2911l3156,2911,3156,2890,3226,2890,3226,2911xm3264,2911l3226,2911,3245,2890,3264,2890,3264,2911xe" filled="true" fillcolor="#ffffff" stroked="false">
              <v:path arrowok="t"/>
              <v:fill type="solid"/>
            </v:shape>
            <v:shape style="position:absolute;left:0;top:0;width:5796;height:3634" coordorigin="0,0" coordsize="5796,3634" path="m5794,3634l5,3634,0,3631,0,0,14,0,7,10,14,10,14,3619,7,3619,14,3626,5796,3626,5796,3631,5794,3634xm14,10l7,10,14,0,14,0,14,10xm5782,10l14,10,14,0,5782,0,5782,10xm5782,3626l5782,0,5789,10,5796,10,5796,3619,5789,3619,5782,3626xm5796,10l5789,10,5782,0,5796,0,5796,10xm14,3626l7,3619,14,3619,14,3626xm5782,3626l14,3626,14,3619,5782,3619,5782,3626xm5796,3626l5782,3626,5789,3619,5796,3619,5796,3626xe" filled="true" fillcolor="#000000" stroked="false">
              <v:path arrowok="t"/>
              <v:fill type="solid"/>
            </v:shape>
            <v:shape style="position:absolute;left:1214;top:160;width:3385;height:542" type="#_x0000_t202" filled="false" stroked="false">
              <v:textbox inset="0,0,0,0">
                <w:txbxContent>
                  <w:p>
                    <w:pPr>
                      <w:spacing w:line="240" w:lineRule="auto" w:before="0"/>
                      <w:ind w:left="278" w:right="0" w:hanging="279"/>
                      <w:jc w:val="left"/>
                      <w:rPr>
                        <w:sz w:val="24"/>
                      </w:rPr>
                    </w:pPr>
                    <w:r>
                      <w:rPr>
                        <w:sz w:val="24"/>
                      </w:rPr>
                      <w:t>Dzimumu attiecība fizisko personu maksātnespējas procesos (%)</w:t>
                    </w:r>
                  </w:p>
                </w:txbxContent>
              </v:textbox>
              <w10:wrap type="none"/>
            </v:shape>
            <v:shape style="position:absolute;left:3201;top:1120;width:517;height:245" type="#_x0000_t202" filled="false" stroked="false">
              <v:textbox inset="0,0,0,0">
                <w:txbxContent>
                  <w:p>
                    <w:pPr>
                      <w:spacing w:line="244" w:lineRule="exact" w:before="0"/>
                      <w:ind w:left="0" w:right="0" w:firstLine="0"/>
                      <w:jc w:val="left"/>
                      <w:rPr>
                        <w:sz w:val="22"/>
                      </w:rPr>
                    </w:pPr>
                    <w:r>
                      <w:rPr>
                        <w:sz w:val="22"/>
                      </w:rPr>
                      <w:t>44,51</w:t>
                    </w:r>
                  </w:p>
                </w:txbxContent>
              </v:textbox>
              <w10:wrap type="none"/>
            </v:shape>
            <v:shape style="position:absolute;left:1761;top:1449;width:517;height:245" type="#_x0000_t202" filled="false" stroked="false">
              <v:textbox inset="0,0,0,0">
                <w:txbxContent>
                  <w:p>
                    <w:pPr>
                      <w:spacing w:line="244" w:lineRule="exact" w:before="0"/>
                      <w:ind w:left="0" w:right="0" w:firstLine="0"/>
                      <w:jc w:val="left"/>
                      <w:rPr>
                        <w:sz w:val="22"/>
                      </w:rPr>
                    </w:pPr>
                    <w:r>
                      <w:rPr>
                        <w:sz w:val="22"/>
                      </w:rPr>
                      <w:t>55,49</w:t>
                    </w:r>
                  </w:p>
                </w:txbxContent>
              </v:textbox>
              <w10:wrap type="none"/>
            </v:shape>
            <v:shape style="position:absolute;left:2087;top:2726;width:815;height:245" type="#_x0000_t202" filled="false" stroked="false">
              <v:textbox inset="0,0,0,0">
                <w:txbxContent>
                  <w:p>
                    <w:pPr>
                      <w:spacing w:line="244" w:lineRule="exact" w:before="0"/>
                      <w:ind w:left="0" w:right="0" w:firstLine="0"/>
                      <w:jc w:val="left"/>
                      <w:rPr>
                        <w:sz w:val="22"/>
                      </w:rPr>
                    </w:pPr>
                    <w:r>
                      <w:rPr>
                        <w:sz w:val="22"/>
                      </w:rPr>
                      <w:t>Sievietes</w:t>
                    </w:r>
                  </w:p>
                </w:txbxContent>
              </v:textbox>
              <w10:wrap type="none"/>
            </v:shape>
            <v:shape style="position:absolute;left:3290;top:2726;width:618;height:245" type="#_x0000_t202" filled="false" stroked="false">
              <v:textbox inset="0,0,0,0">
                <w:txbxContent>
                  <w:p>
                    <w:pPr>
                      <w:spacing w:line="244" w:lineRule="exact" w:before="0"/>
                      <w:ind w:left="0" w:right="0" w:firstLine="0"/>
                      <w:jc w:val="left"/>
                      <w:rPr>
                        <w:sz w:val="22"/>
                      </w:rPr>
                    </w:pPr>
                    <w:r>
                      <w:rPr>
                        <w:sz w:val="22"/>
                      </w:rPr>
                      <w:t>Vīrieši</w:t>
                    </w:r>
                  </w:p>
                </w:txbxContent>
              </v:textbox>
              <w10:wrap type="none"/>
            </v:shape>
          </v:group>
        </w:pict>
      </w:r>
      <w:r>
        <w:rPr>
          <w:sz w:val="20"/>
        </w:rPr>
      </w:r>
    </w:p>
    <w:p>
      <w:pPr>
        <w:pStyle w:val="BodyText"/>
        <w:jc w:val="left"/>
        <w:rPr>
          <w:b/>
          <w:i/>
          <w:sz w:val="20"/>
        </w:rPr>
      </w:pPr>
    </w:p>
    <w:p>
      <w:pPr>
        <w:pStyle w:val="BodyText"/>
        <w:spacing w:before="4"/>
        <w:jc w:val="left"/>
        <w:rPr>
          <w:b/>
          <w:i/>
          <w:sz w:val="17"/>
        </w:rPr>
      </w:pPr>
    </w:p>
    <w:p>
      <w:pPr>
        <w:pStyle w:val="Heading4"/>
        <w:numPr>
          <w:ilvl w:val="1"/>
          <w:numId w:val="45"/>
        </w:numPr>
        <w:tabs>
          <w:tab w:pos="1342" w:val="left" w:leader="none"/>
        </w:tabs>
        <w:spacing w:line="240" w:lineRule="auto" w:before="90" w:after="0"/>
        <w:ind w:left="1341" w:right="0" w:hanging="362"/>
        <w:jc w:val="left"/>
        <w:rPr>
          <w:i/>
        </w:rPr>
      </w:pPr>
      <w:bookmarkStart w:name="_TOC_250052" w:id="26"/>
      <w:bookmarkEnd w:id="26"/>
      <w:r>
        <w:rPr>
          <w:i/>
        </w:rPr>
        <w:t>Tiesas lēmuma būtība</w:t>
      </w:r>
    </w:p>
    <w:p>
      <w:pPr>
        <w:pStyle w:val="BodyText"/>
        <w:spacing w:before="3"/>
        <w:jc w:val="left"/>
        <w:rPr>
          <w:b/>
          <w:i/>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74"/>
        <w:gridCol w:w="2789"/>
        <w:gridCol w:w="2559"/>
      </w:tblGrid>
      <w:tr>
        <w:trPr>
          <w:trHeight w:val="1295" w:hRule="atLeast"/>
        </w:trPr>
        <w:tc>
          <w:tcPr>
            <w:tcW w:w="3274" w:type="dxa"/>
          </w:tcPr>
          <w:p>
            <w:pPr>
              <w:pStyle w:val="TableParagraph"/>
              <w:spacing w:line="270" w:lineRule="atLeast" w:before="188"/>
              <w:ind w:left="405" w:right="396" w:hanging="2"/>
              <w:jc w:val="center"/>
              <w:rPr>
                <w:b/>
                <w:sz w:val="24"/>
              </w:rPr>
            </w:pPr>
            <w:r>
              <w:rPr>
                <w:b/>
                <w:sz w:val="24"/>
              </w:rPr>
              <w:t>Maksātnespējas process izbeigts, pēc bankrota procedūras pabeigšanas nepiemērojot SDzP (%)</w:t>
            </w:r>
          </w:p>
        </w:tc>
        <w:tc>
          <w:tcPr>
            <w:tcW w:w="2789" w:type="dxa"/>
          </w:tcPr>
          <w:p>
            <w:pPr>
              <w:pStyle w:val="TableParagraph"/>
              <w:spacing w:line="270" w:lineRule="atLeast" w:before="188"/>
              <w:ind w:left="162" w:right="155"/>
              <w:jc w:val="center"/>
              <w:rPr>
                <w:b/>
                <w:sz w:val="24"/>
              </w:rPr>
            </w:pPr>
            <w:r>
              <w:rPr>
                <w:b/>
                <w:sz w:val="24"/>
              </w:rPr>
              <w:t>Maksātnespējas process izbeigts, dzēšot SDzP laikā nesegtās saistības (%)</w:t>
            </w:r>
          </w:p>
        </w:tc>
        <w:tc>
          <w:tcPr>
            <w:tcW w:w="2559" w:type="dxa"/>
          </w:tcPr>
          <w:p>
            <w:pPr>
              <w:pStyle w:val="TableParagraph"/>
              <w:spacing w:line="270" w:lineRule="atLeast" w:before="188"/>
              <w:ind w:left="157" w:right="146" w:hanging="3"/>
              <w:jc w:val="center"/>
              <w:rPr>
                <w:b/>
                <w:sz w:val="24"/>
              </w:rPr>
            </w:pPr>
            <w:r>
              <w:rPr>
                <w:b/>
                <w:sz w:val="24"/>
              </w:rPr>
              <w:t>Maksātnespējas process izbeigts, nedzēšot SDzP laikā nesegtās saistības (%)</w:t>
            </w:r>
          </w:p>
        </w:tc>
      </w:tr>
      <w:tr>
        <w:trPr>
          <w:trHeight w:val="318" w:hRule="atLeast"/>
        </w:trPr>
        <w:tc>
          <w:tcPr>
            <w:tcW w:w="3274" w:type="dxa"/>
          </w:tcPr>
          <w:p>
            <w:pPr>
              <w:pStyle w:val="TableParagraph"/>
              <w:spacing w:line="259" w:lineRule="exact" w:before="39"/>
              <w:ind w:right="96"/>
              <w:jc w:val="right"/>
              <w:rPr>
                <w:b/>
                <w:sz w:val="24"/>
              </w:rPr>
            </w:pPr>
            <w:r>
              <w:rPr>
                <w:b/>
                <w:sz w:val="24"/>
              </w:rPr>
              <w:t>5,20</w:t>
            </w:r>
          </w:p>
        </w:tc>
        <w:tc>
          <w:tcPr>
            <w:tcW w:w="2789" w:type="dxa"/>
          </w:tcPr>
          <w:p>
            <w:pPr>
              <w:pStyle w:val="TableParagraph"/>
              <w:spacing w:line="259" w:lineRule="exact" w:before="39"/>
              <w:ind w:right="96"/>
              <w:jc w:val="right"/>
              <w:rPr>
                <w:b/>
                <w:sz w:val="24"/>
              </w:rPr>
            </w:pPr>
            <w:r>
              <w:rPr>
                <w:b/>
                <w:sz w:val="24"/>
              </w:rPr>
              <w:t>87,28</w:t>
            </w:r>
          </w:p>
        </w:tc>
        <w:tc>
          <w:tcPr>
            <w:tcW w:w="2559" w:type="dxa"/>
          </w:tcPr>
          <w:p>
            <w:pPr>
              <w:pStyle w:val="TableParagraph"/>
              <w:spacing w:line="259" w:lineRule="exact" w:before="39"/>
              <w:ind w:right="97"/>
              <w:jc w:val="right"/>
              <w:rPr>
                <w:b/>
                <w:sz w:val="24"/>
              </w:rPr>
            </w:pPr>
            <w:r>
              <w:rPr>
                <w:b/>
                <w:sz w:val="24"/>
              </w:rPr>
              <w:t>7,52</w:t>
            </w:r>
          </w:p>
        </w:tc>
      </w:tr>
      <w:tr>
        <w:trPr>
          <w:trHeight w:val="870" w:hRule="atLeast"/>
        </w:trPr>
        <w:tc>
          <w:tcPr>
            <w:tcW w:w="3274" w:type="dxa"/>
          </w:tcPr>
          <w:p>
            <w:pPr>
              <w:pStyle w:val="TableParagraph"/>
              <w:spacing w:before="3"/>
              <w:rPr>
                <w:b/>
                <w:i/>
                <w:sz w:val="23"/>
              </w:rPr>
            </w:pPr>
          </w:p>
          <w:p>
            <w:pPr>
              <w:pStyle w:val="TableParagraph"/>
              <w:ind w:right="100"/>
              <w:jc w:val="right"/>
              <w:rPr>
                <w:sz w:val="24"/>
              </w:rPr>
            </w:pPr>
            <w:r>
              <w:rPr>
                <w:sz w:val="24"/>
              </w:rPr>
              <w:t>9 maksātnespējas procesi</w:t>
            </w:r>
          </w:p>
        </w:tc>
        <w:tc>
          <w:tcPr>
            <w:tcW w:w="2789" w:type="dxa"/>
          </w:tcPr>
          <w:p>
            <w:pPr>
              <w:pStyle w:val="TableParagraph"/>
              <w:spacing w:line="268" w:lineRule="exact"/>
              <w:ind w:right="96"/>
              <w:jc w:val="right"/>
              <w:rPr>
                <w:sz w:val="24"/>
              </w:rPr>
            </w:pPr>
            <w:r>
              <w:rPr>
                <w:sz w:val="24"/>
              </w:rPr>
              <w:t>151</w:t>
            </w:r>
            <w:r>
              <w:rPr>
                <w:spacing w:val="-3"/>
                <w:sz w:val="24"/>
              </w:rPr>
              <w:t> </w:t>
            </w:r>
            <w:r>
              <w:rPr>
                <w:sz w:val="24"/>
              </w:rPr>
              <w:t>maksātnespējas</w:t>
            </w:r>
          </w:p>
          <w:p>
            <w:pPr>
              <w:pStyle w:val="TableParagraph"/>
              <w:ind w:right="100"/>
              <w:jc w:val="right"/>
              <w:rPr>
                <w:sz w:val="24"/>
              </w:rPr>
            </w:pPr>
            <w:r>
              <w:rPr>
                <w:spacing w:val="-1"/>
                <w:sz w:val="24"/>
              </w:rPr>
              <w:t>process</w:t>
            </w:r>
          </w:p>
        </w:tc>
        <w:tc>
          <w:tcPr>
            <w:tcW w:w="2559" w:type="dxa"/>
          </w:tcPr>
          <w:p>
            <w:pPr>
              <w:pStyle w:val="TableParagraph"/>
              <w:spacing w:line="268" w:lineRule="exact"/>
              <w:ind w:right="97"/>
              <w:jc w:val="right"/>
              <w:rPr>
                <w:sz w:val="24"/>
              </w:rPr>
            </w:pPr>
            <w:r>
              <w:rPr>
                <w:sz w:val="24"/>
              </w:rPr>
              <w:t>13</w:t>
            </w:r>
            <w:r>
              <w:rPr>
                <w:spacing w:val="-3"/>
                <w:sz w:val="24"/>
              </w:rPr>
              <w:t> </w:t>
            </w:r>
            <w:r>
              <w:rPr>
                <w:sz w:val="24"/>
              </w:rPr>
              <w:t>maksātnespējas</w:t>
            </w:r>
          </w:p>
          <w:p>
            <w:pPr>
              <w:pStyle w:val="TableParagraph"/>
              <w:ind w:right="101"/>
              <w:jc w:val="right"/>
              <w:rPr>
                <w:sz w:val="24"/>
              </w:rPr>
            </w:pPr>
            <w:r>
              <w:rPr>
                <w:spacing w:val="-1"/>
                <w:sz w:val="24"/>
              </w:rPr>
              <w:t>procesi</w:t>
            </w:r>
          </w:p>
        </w:tc>
      </w:tr>
    </w:tbl>
    <w:p>
      <w:pPr>
        <w:pStyle w:val="BodyText"/>
        <w:spacing w:before="7"/>
        <w:jc w:val="left"/>
        <w:rPr>
          <w:b/>
          <w:i/>
          <w:sz w:val="20"/>
        </w:rPr>
      </w:pPr>
      <w:r>
        <w:rPr/>
        <w:pict>
          <v:group style="position:absolute;margin-left:126.240005pt;margin-top:13.799942pt;width:359.4pt;height:227.2pt;mso-position-horizontal-relative:page;mso-position-vertical-relative:paragraph;z-index:-251564032;mso-wrap-distance-left:0;mso-wrap-distance-right:0" coordorigin="2525,276" coordsize="7188,4544">
            <v:shape style="position:absolute;left:4512;top:1216;width:3303;height:1920" type="#_x0000_t75" stroked="false">
              <v:imagedata r:id="rId53" o:title=""/>
            </v:shape>
            <v:rect style="position:absolute;left:3324;top:3223;width:89;height:89" filled="true" fillcolor="#4472c3" stroked="false">
              <v:fill type="solid"/>
            </v:rect>
            <v:shape style="position:absolute;left:3304;top:3204;width:130;height:130" coordorigin="3305,3204" coordsize="130,130" path="m3425,3334l3312,3334,3305,3324,3305,3211,3312,3204,3425,3204,3434,3211,3434,3223,3343,3223,3324,3242,3343,3242,3343,3293,3324,3293,3343,3312,3434,3312,3434,3324,3425,3334xm3343,3242l3324,3242,3343,3223,3343,3242xm3394,3242l3343,3242,3343,3223,3394,3223,3394,3242xm3394,3312l3394,3223,3413,3242,3434,3242,3434,3293,3413,3293,3394,3312xm3434,3242l3413,3242,3394,3223,3434,3223,3434,3242xm3343,3312l3324,3293,3343,3293,3343,3312xm3394,3312l3343,3312,3343,3293,3394,3293,3394,3312xm3434,3312l3394,3312,3413,3293,3434,3293,3434,3312xe" filled="true" fillcolor="#ffffff" stroked="false">
              <v:path arrowok="t"/>
              <v:fill type="solid"/>
            </v:shape>
            <v:rect style="position:absolute;left:3324;top:3669;width:89;height:89" filled="true" fillcolor="#ed7c31" stroked="false">
              <v:fill type="solid"/>
            </v:rect>
            <v:shape style="position:absolute;left:3304;top:3648;width:130;height:130" coordorigin="3305,3648" coordsize="130,130" path="m3425,3778l3312,3778,3305,3770,3305,3658,3312,3648,3425,3648,3434,3658,3434,3670,3343,3670,3324,3689,3343,3689,3343,3739,3324,3739,3343,3758,3434,3758,3434,3770,3425,3778xm3343,3689l3324,3689,3343,3670,3343,3689xm3394,3689l3343,3689,3343,3670,3394,3670,3394,3689xm3394,3758l3394,3670,3413,3689,3434,3689,3434,3739,3413,3739,3394,3758xm3434,3689l3413,3689,3394,3670,3434,3670,3434,3689xm3343,3758l3324,3739,3343,3739,3343,3758xm3394,3758l3343,3758,3343,3739,3394,3739,3394,3758xm3434,3758l3394,3758,3413,3739,3434,3739,3434,3758xe" filled="true" fillcolor="#ffffff" stroked="false">
              <v:path arrowok="t"/>
              <v:fill type="solid"/>
            </v:shape>
            <v:rect style="position:absolute;left:3324;top:4113;width:89;height:89" filled="true" fillcolor="#a5a5a5" stroked="false">
              <v:fill type="solid"/>
            </v:rect>
            <v:shape style="position:absolute;left:3304;top:4094;width:130;height:130" coordorigin="3305,4094" coordsize="130,130" path="m3425,4224l3312,4224,3305,4214,3305,4104,3312,4094,3425,4094,3434,4104,3434,4114,3343,4114,3324,4133,3343,4133,3343,4183,3324,4183,3343,4202,3434,4202,3434,4214,3425,4224xm3343,4133l3324,4133,3343,4114,3343,4133xm3394,4133l3343,4133,3343,4114,3394,4114,3394,4133xm3394,4202l3394,4114,3413,4133,3434,4133,3434,4183,3413,4183,3394,4202xm3434,4133l3413,4133,3394,4114,3434,4114,3434,4133xm3343,4202l3324,4183,3343,4183,3343,4202xm3394,4202l3343,4202,3343,4183,3394,4183,3394,4202xm3434,4202l3394,4202,3413,4183,3434,4183,3434,4202xe" filled="true" fillcolor="#ffffff" stroked="false">
              <v:path arrowok="t"/>
              <v:fill type="solid"/>
            </v:shape>
            <v:shape style="position:absolute;left:2524;top:276;width:7188;height:4544" coordorigin="2525,276" coordsize="7188,4544" path="m9708,4819l2527,4819,2525,4817,2525,276,9713,276,9713,276,2539,276,2532,283,2539,283,2539,4805,2532,4805,2539,4812,9713,4812,9713,4817,9708,4819xm2539,283l2532,283,2539,276,2539,283xm9696,283l2539,283,2539,276,9696,276,9696,283xm9696,4812l9696,276,9703,283,9713,283,9713,4805,9703,4805,9696,4812xm9713,283l9703,283,9696,276,9713,276,9713,283xm2539,4812l2532,4805,2539,4805,2539,4812xm9696,4812l2539,4812,2539,4805,9696,4805,9696,4812xm9713,4812l9696,4812,9703,4805,9713,4805,9713,4812xe" filled="true" fillcolor="#000000" stroked="false">
              <v:path arrowok="t"/>
              <v:fill type="solid"/>
            </v:shape>
            <v:shape style="position:absolute;left:3880;top:434;width:4544;height:1098" type="#_x0000_t202" filled="false" stroked="false">
              <v:textbox inset="0,0,0,0">
                <w:txbxContent>
                  <w:p>
                    <w:pPr>
                      <w:spacing w:line="240" w:lineRule="auto" w:before="0"/>
                      <w:ind w:left="875" w:right="-8" w:hanging="876"/>
                      <w:jc w:val="left"/>
                      <w:rPr>
                        <w:sz w:val="24"/>
                      </w:rPr>
                    </w:pPr>
                    <w:r>
                      <w:rPr>
                        <w:sz w:val="24"/>
                      </w:rPr>
                      <w:t>Tiesas lēmumu veidi, izbeidzot fizisko personu maksātnespējas procesu (%)</w:t>
                    </w:r>
                  </w:p>
                  <w:p>
                    <w:pPr>
                      <w:spacing w:before="38"/>
                      <w:ind w:left="1944" w:right="1048" w:firstLine="0"/>
                      <w:jc w:val="center"/>
                      <w:rPr>
                        <w:sz w:val="18"/>
                      </w:rPr>
                    </w:pPr>
                    <w:r>
                      <w:rPr>
                        <w:sz w:val="18"/>
                      </w:rPr>
                      <w:t>5,20</w:t>
                    </w:r>
                  </w:p>
                  <w:p>
                    <w:pPr>
                      <w:spacing w:before="93"/>
                      <w:ind w:left="1345" w:right="1646" w:firstLine="0"/>
                      <w:jc w:val="center"/>
                      <w:rPr>
                        <w:sz w:val="18"/>
                      </w:rPr>
                    </w:pPr>
                    <w:r>
                      <w:rPr>
                        <w:sz w:val="18"/>
                      </w:rPr>
                      <w:t>7,52</w:t>
                    </w:r>
                  </w:p>
                </w:txbxContent>
              </v:textbox>
              <w10:wrap type="none"/>
            </v:shape>
            <v:shape style="position:absolute;left:6215;top:2457;width:429;height:200" type="#_x0000_t202" filled="false" stroked="false">
              <v:textbox inset="0,0,0,0">
                <w:txbxContent>
                  <w:p>
                    <w:pPr>
                      <w:spacing w:line="199" w:lineRule="exact" w:before="0"/>
                      <w:ind w:left="0" w:right="0" w:firstLine="0"/>
                      <w:jc w:val="left"/>
                      <w:rPr>
                        <w:sz w:val="18"/>
                      </w:rPr>
                    </w:pPr>
                    <w:r>
                      <w:rPr>
                        <w:sz w:val="18"/>
                      </w:rPr>
                      <w:t>87,28</w:t>
                    </w:r>
                  </w:p>
                </w:txbxContent>
              </v:textbox>
              <w10:wrap type="none"/>
            </v:shape>
            <v:shape style="position:absolute;left:3451;top:3163;width:5578;height:1297" type="#_x0000_t202" filled="false" stroked="false">
              <v:textbox inset="0,0,0,0">
                <w:txbxContent>
                  <w:p>
                    <w:pPr>
                      <w:spacing w:line="240" w:lineRule="auto" w:before="0"/>
                      <w:ind w:left="0" w:right="464" w:firstLine="0"/>
                      <w:jc w:val="left"/>
                      <w:rPr>
                        <w:sz w:val="18"/>
                      </w:rPr>
                    </w:pPr>
                    <w:r>
                      <w:rPr>
                        <w:sz w:val="18"/>
                      </w:rPr>
                      <w:t>Maksātnespējas process izbeigts, pēc bankrota procedūras pabeigšanas nepiemērojot SDzP (%)</w:t>
                    </w:r>
                  </w:p>
                  <w:p>
                    <w:pPr>
                      <w:spacing w:before="22"/>
                      <w:ind w:left="0" w:right="169" w:firstLine="0"/>
                      <w:jc w:val="left"/>
                      <w:rPr>
                        <w:sz w:val="18"/>
                      </w:rPr>
                    </w:pPr>
                    <w:r>
                      <w:rPr>
                        <w:sz w:val="18"/>
                      </w:rPr>
                      <w:t>Maksātnespējas process izbeigts, dzēšot saistību dzēšanas procedūras laikā nesegtās saistības</w:t>
                    </w:r>
                    <w:r>
                      <w:rPr>
                        <w:spacing w:val="-1"/>
                        <w:sz w:val="18"/>
                      </w:rPr>
                      <w:t> </w:t>
                    </w:r>
                    <w:r>
                      <w:rPr>
                        <w:sz w:val="18"/>
                      </w:rPr>
                      <w:t>(%)</w:t>
                    </w:r>
                  </w:p>
                  <w:p>
                    <w:pPr>
                      <w:spacing w:before="32"/>
                      <w:ind w:left="0" w:right="0" w:firstLine="0"/>
                      <w:jc w:val="left"/>
                      <w:rPr>
                        <w:sz w:val="18"/>
                      </w:rPr>
                    </w:pPr>
                    <w:r>
                      <w:rPr>
                        <w:sz w:val="18"/>
                      </w:rPr>
                      <w:t>Maksātnespējas process izbeigts, nedzēšot saistību dzēšanas procedūras</w:t>
                    </w:r>
                    <w:r>
                      <w:rPr>
                        <w:spacing w:val="-23"/>
                        <w:sz w:val="18"/>
                      </w:rPr>
                      <w:t> </w:t>
                    </w:r>
                    <w:r>
                      <w:rPr>
                        <w:sz w:val="18"/>
                      </w:rPr>
                      <w:t>laikā nesegtās saistības</w:t>
                    </w:r>
                    <w:r>
                      <w:rPr>
                        <w:spacing w:val="-1"/>
                        <w:sz w:val="18"/>
                      </w:rPr>
                      <w:t> </w:t>
                    </w:r>
                    <w:r>
                      <w:rPr>
                        <w:sz w:val="18"/>
                      </w:rPr>
                      <w:t>(%)</w:t>
                    </w:r>
                  </w:p>
                </w:txbxContent>
              </v:textbox>
              <w10:wrap type="none"/>
            </v:shape>
            <w10:wrap type="topAndBottom"/>
          </v:group>
        </w:pict>
      </w:r>
    </w:p>
    <w:p>
      <w:pPr>
        <w:spacing w:after="0"/>
        <w:jc w:val="left"/>
        <w:rPr>
          <w:sz w:val="20"/>
        </w:rPr>
        <w:sectPr>
          <w:pgSz w:w="11910" w:h="16840"/>
          <w:pgMar w:header="0" w:footer="1055" w:top="1420" w:bottom="1240" w:left="1180" w:right="1040"/>
        </w:sectPr>
      </w:pPr>
    </w:p>
    <w:p>
      <w:pPr>
        <w:pStyle w:val="ListParagraph"/>
        <w:numPr>
          <w:ilvl w:val="0"/>
          <w:numId w:val="47"/>
        </w:numPr>
        <w:tabs>
          <w:tab w:pos="1062" w:val="left" w:leader="none"/>
        </w:tabs>
        <w:spacing w:line="322" w:lineRule="exact" w:before="59" w:after="0"/>
        <w:ind w:left="1061" w:right="0" w:hanging="361"/>
        <w:jc w:val="left"/>
        <w:rPr>
          <w:b/>
          <w:sz w:val="28"/>
        </w:rPr>
      </w:pPr>
      <w:r>
        <w:rPr>
          <w:b/>
          <w:sz w:val="28"/>
        </w:rPr>
        <w:t>Dati par fizisko personu maksātnespējas procesiem laika</w:t>
      </w:r>
      <w:r>
        <w:rPr>
          <w:b/>
          <w:spacing w:val="-8"/>
          <w:sz w:val="28"/>
        </w:rPr>
        <w:t> </w:t>
      </w:r>
      <w:r>
        <w:rPr>
          <w:b/>
          <w:sz w:val="28"/>
        </w:rPr>
        <w:t>periodā</w:t>
      </w:r>
    </w:p>
    <w:p>
      <w:pPr>
        <w:spacing w:before="0"/>
        <w:ind w:left="3655" w:right="0" w:firstLine="0"/>
        <w:jc w:val="left"/>
        <w:rPr>
          <w:b/>
          <w:sz w:val="28"/>
        </w:rPr>
      </w:pPr>
      <w:r>
        <w:rPr>
          <w:b/>
          <w:sz w:val="28"/>
        </w:rPr>
        <w:t>no 2015.gada 1.marta</w:t>
      </w:r>
    </w:p>
    <w:p>
      <w:pPr>
        <w:pStyle w:val="BodyText"/>
        <w:spacing w:before="9"/>
        <w:jc w:val="left"/>
        <w:rPr>
          <w:b/>
          <w:sz w:val="27"/>
        </w:rPr>
      </w:pPr>
    </w:p>
    <w:p>
      <w:pPr>
        <w:pStyle w:val="Heading4"/>
        <w:numPr>
          <w:ilvl w:val="1"/>
          <w:numId w:val="48"/>
        </w:numPr>
        <w:tabs>
          <w:tab w:pos="982" w:val="left" w:leader="none"/>
        </w:tabs>
        <w:spacing w:line="240" w:lineRule="auto" w:before="1" w:after="0"/>
        <w:ind w:left="980" w:right="1516" w:hanging="360"/>
        <w:jc w:val="left"/>
      </w:pPr>
      <w:bookmarkStart w:name="_TOC_250051" w:id="27"/>
      <w:r>
        <w:rPr>
          <w:i/>
        </w:rPr>
        <w:t>Fizisko personu maksātnespējas procesu iedalījums atkarībā no tā, vai </w:t>
      </w:r>
      <w:r>
        <w:rPr>
          <w:i/>
          <w:spacing w:val="-8"/>
        </w:rPr>
        <w:t>ir </w:t>
      </w:r>
      <w:r>
        <w:rPr/>
        <w:t>sastādīts ziņojums par mantas neesamību vai mantas pārdošanas</w:t>
      </w:r>
      <w:r>
        <w:rPr>
          <w:spacing w:val="-7"/>
        </w:rPr>
        <w:t> </w:t>
      </w:r>
      <w:bookmarkEnd w:id="27"/>
      <w:r>
        <w:rPr/>
        <w:t>plāns</w:t>
      </w:r>
    </w:p>
    <w:p>
      <w:pPr>
        <w:pStyle w:val="BodyText"/>
        <w:spacing w:before="3"/>
        <w:jc w:val="left"/>
        <w:rPr>
          <w:b/>
          <w:i/>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6"/>
        <w:gridCol w:w="708"/>
        <w:gridCol w:w="1320"/>
      </w:tblGrid>
      <w:tr>
        <w:trPr>
          <w:trHeight w:val="465" w:hRule="atLeast"/>
        </w:trPr>
        <w:tc>
          <w:tcPr>
            <w:tcW w:w="4956" w:type="dxa"/>
          </w:tcPr>
          <w:p>
            <w:pPr>
              <w:pStyle w:val="TableParagraph"/>
              <w:spacing w:line="259" w:lineRule="exact" w:before="186"/>
              <w:ind w:left="107"/>
              <w:rPr>
                <w:b/>
                <w:sz w:val="24"/>
              </w:rPr>
            </w:pPr>
            <w:r>
              <w:rPr>
                <w:b/>
                <w:sz w:val="24"/>
              </w:rPr>
              <w:t>Procesu skaits</w:t>
            </w:r>
          </w:p>
        </w:tc>
        <w:tc>
          <w:tcPr>
            <w:tcW w:w="708" w:type="dxa"/>
          </w:tcPr>
          <w:p>
            <w:pPr>
              <w:pStyle w:val="TableParagraph"/>
              <w:spacing w:line="259" w:lineRule="exact" w:before="186"/>
              <w:ind w:right="96"/>
              <w:jc w:val="right"/>
              <w:rPr>
                <w:b/>
                <w:sz w:val="24"/>
              </w:rPr>
            </w:pPr>
            <w:r>
              <w:rPr>
                <w:b/>
                <w:sz w:val="24"/>
              </w:rPr>
              <w:t>100</w:t>
            </w:r>
          </w:p>
        </w:tc>
        <w:tc>
          <w:tcPr>
            <w:tcW w:w="1320" w:type="dxa"/>
          </w:tcPr>
          <w:p>
            <w:pPr>
              <w:pStyle w:val="TableParagraph"/>
              <w:rPr>
                <w:sz w:val="22"/>
              </w:rPr>
            </w:pPr>
          </w:p>
        </w:tc>
      </w:tr>
      <w:tr>
        <w:trPr>
          <w:trHeight w:val="553" w:hRule="atLeast"/>
        </w:trPr>
        <w:tc>
          <w:tcPr>
            <w:tcW w:w="4956" w:type="dxa"/>
          </w:tcPr>
          <w:p>
            <w:pPr>
              <w:pStyle w:val="TableParagraph"/>
              <w:spacing w:line="276" w:lineRule="exact" w:before="2"/>
              <w:ind w:left="107" w:right="25"/>
              <w:rPr>
                <w:b/>
                <w:sz w:val="24"/>
              </w:rPr>
            </w:pPr>
            <w:r>
              <w:rPr>
                <w:b/>
                <w:sz w:val="24"/>
              </w:rPr>
              <w:t>Fizisko personu maksātnespējas procesi, kuros sastādīts ziņojums par mantas neesamību</w:t>
            </w:r>
          </w:p>
        </w:tc>
        <w:tc>
          <w:tcPr>
            <w:tcW w:w="708" w:type="dxa"/>
          </w:tcPr>
          <w:p>
            <w:pPr>
              <w:pStyle w:val="TableParagraph"/>
              <w:spacing w:before="10"/>
              <w:rPr>
                <w:b/>
                <w:i/>
                <w:sz w:val="23"/>
              </w:rPr>
            </w:pPr>
          </w:p>
          <w:p>
            <w:pPr>
              <w:pStyle w:val="TableParagraph"/>
              <w:spacing w:line="259" w:lineRule="exact"/>
              <w:ind w:right="95"/>
              <w:jc w:val="right"/>
              <w:rPr>
                <w:b/>
                <w:sz w:val="24"/>
              </w:rPr>
            </w:pPr>
            <w:r>
              <w:rPr>
                <w:b/>
                <w:sz w:val="24"/>
              </w:rPr>
              <w:t>71</w:t>
            </w:r>
          </w:p>
        </w:tc>
        <w:tc>
          <w:tcPr>
            <w:tcW w:w="1320" w:type="dxa"/>
          </w:tcPr>
          <w:p>
            <w:pPr>
              <w:pStyle w:val="TableParagraph"/>
              <w:spacing w:before="10"/>
              <w:rPr>
                <w:b/>
                <w:i/>
                <w:sz w:val="23"/>
              </w:rPr>
            </w:pPr>
          </w:p>
          <w:p>
            <w:pPr>
              <w:pStyle w:val="TableParagraph"/>
              <w:spacing w:line="259" w:lineRule="exact"/>
              <w:ind w:right="96"/>
              <w:jc w:val="right"/>
              <w:rPr>
                <w:b/>
                <w:sz w:val="24"/>
              </w:rPr>
            </w:pPr>
            <w:r>
              <w:rPr>
                <w:b/>
                <w:sz w:val="24"/>
              </w:rPr>
              <w:t>71,00 %</w:t>
            </w:r>
          </w:p>
        </w:tc>
      </w:tr>
      <w:tr>
        <w:trPr>
          <w:trHeight w:val="551" w:hRule="atLeast"/>
        </w:trPr>
        <w:tc>
          <w:tcPr>
            <w:tcW w:w="4956" w:type="dxa"/>
          </w:tcPr>
          <w:p>
            <w:pPr>
              <w:pStyle w:val="TableParagraph"/>
              <w:spacing w:line="276" w:lineRule="exact"/>
              <w:ind w:left="107" w:right="25"/>
              <w:rPr>
                <w:b/>
                <w:sz w:val="24"/>
              </w:rPr>
            </w:pPr>
            <w:r>
              <w:rPr>
                <w:b/>
                <w:sz w:val="24"/>
              </w:rPr>
              <w:t>Fizisko personu maksātnespējas procesi, kuros sastādīts mantas pārdošanas plāns</w:t>
            </w:r>
          </w:p>
        </w:tc>
        <w:tc>
          <w:tcPr>
            <w:tcW w:w="708" w:type="dxa"/>
          </w:tcPr>
          <w:p>
            <w:pPr>
              <w:pStyle w:val="TableParagraph"/>
              <w:spacing w:before="8"/>
              <w:rPr>
                <w:b/>
                <w:i/>
                <w:sz w:val="23"/>
              </w:rPr>
            </w:pPr>
          </w:p>
          <w:p>
            <w:pPr>
              <w:pStyle w:val="TableParagraph"/>
              <w:spacing w:line="259" w:lineRule="exact"/>
              <w:ind w:right="96"/>
              <w:jc w:val="right"/>
              <w:rPr>
                <w:b/>
                <w:sz w:val="24"/>
              </w:rPr>
            </w:pPr>
            <w:r>
              <w:rPr>
                <w:b/>
                <w:sz w:val="24"/>
              </w:rPr>
              <w:t>29</w:t>
            </w:r>
          </w:p>
        </w:tc>
        <w:tc>
          <w:tcPr>
            <w:tcW w:w="1320" w:type="dxa"/>
          </w:tcPr>
          <w:p>
            <w:pPr>
              <w:pStyle w:val="TableParagraph"/>
              <w:spacing w:before="8"/>
              <w:rPr>
                <w:b/>
                <w:i/>
                <w:sz w:val="23"/>
              </w:rPr>
            </w:pPr>
          </w:p>
          <w:p>
            <w:pPr>
              <w:pStyle w:val="TableParagraph"/>
              <w:spacing w:line="259" w:lineRule="exact"/>
              <w:ind w:right="96"/>
              <w:jc w:val="right"/>
              <w:rPr>
                <w:b/>
                <w:sz w:val="24"/>
              </w:rPr>
            </w:pPr>
            <w:r>
              <w:rPr>
                <w:b/>
                <w:sz w:val="24"/>
              </w:rPr>
              <w:t>29,00 %</w:t>
            </w:r>
          </w:p>
        </w:tc>
      </w:tr>
    </w:tbl>
    <w:p>
      <w:pPr>
        <w:pStyle w:val="BodyText"/>
        <w:jc w:val="left"/>
        <w:rPr>
          <w:b/>
          <w:i/>
          <w:sz w:val="20"/>
        </w:rPr>
      </w:pPr>
    </w:p>
    <w:p>
      <w:pPr>
        <w:pStyle w:val="BodyText"/>
        <w:spacing w:before="7"/>
        <w:jc w:val="left"/>
        <w:rPr>
          <w:b/>
          <w:i/>
        </w:rPr>
      </w:pPr>
      <w:r>
        <w:rPr/>
        <w:pict>
          <v:group style="position:absolute;margin-left:159.240005pt;margin-top:16.100927pt;width:258pt;height:167.8pt;mso-position-horizontal-relative:page;mso-position-vertical-relative:paragraph;z-index:-251558912;mso-wrap-distance-left:0;mso-wrap-distance-right:0" coordorigin="3185,322" coordsize="5160,3356">
            <v:shape style="position:absolute;left:4752;top:1296;width:1997;height:1196" type="#_x0000_t75" stroked="false">
              <v:imagedata r:id="rId54" o:title=""/>
            </v:shape>
            <v:rect style="position:absolute;left:4555;top:2731;width:89;height:92" filled="true" fillcolor="#4472c3" stroked="false">
              <v:fill type="solid"/>
            </v:rect>
            <v:shape style="position:absolute;left:4533;top:2712;width:130;height:130" coordorigin="4534,2712" coordsize="130,130" path="m4656,2842l4543,2842,4534,2832,4534,2722,4543,2712,4656,2712,4663,2722,4663,2732,4574,2732,4555,2753,4574,2753,4574,2801,4555,2801,4574,2823,4663,2823,4663,2832,4656,2842xm4574,2753l4555,2753,4574,2732,4574,2753xm4625,2753l4574,2753,4574,2732,4625,2732,4625,2753xm4625,2823l4625,2732,4644,2753,4663,2753,4663,2801,4644,2801,4625,2823xm4663,2753l4644,2753,4625,2732,4663,2732,4663,2753xm4574,2823l4555,2801,4574,2801,4574,2823xm4625,2823l4574,2823,4574,2801,4625,2801,4625,2823xm4663,2823l4625,2823,4644,2801,4663,2801,4663,2823xe" filled="true" fillcolor="#ffffff" stroked="false">
              <v:path arrowok="t"/>
              <v:fill type="solid"/>
            </v:shape>
            <v:rect style="position:absolute;left:4555;top:3065;width:89;height:92" filled="true" fillcolor="#ed7c31" stroked="false">
              <v:fill type="solid"/>
            </v:rect>
            <v:shape style="position:absolute;left:4533;top:3046;width:130;height:130" coordorigin="4534,3046" coordsize="130,130" path="m4656,3176l4543,3176,4534,3166,4534,3056,4543,3046,4656,3046,4663,3056,4663,3065,4574,3065,4555,3087,4574,3087,4574,3135,4555,3135,4574,3156,4663,3156,4663,3166,4656,3176xm4574,3087l4555,3087,4574,3065,4574,3087xm4625,3087l4574,3087,4574,3065,4625,3065,4625,3087xm4625,3156l4625,3065,4644,3087,4663,3087,4663,3135,4644,3135,4625,3156xm4663,3087l4644,3087,4625,3065,4663,3065,4663,3087xm4574,3156l4555,3135,4574,3135,4574,3156xm4625,3156l4574,3156,4574,3135,4625,3135,4625,3156xm4663,3156l4625,3156,4644,3135,4663,3135,4663,3156xe" filled="true" fillcolor="#ffffff" stroked="false">
              <v:path arrowok="t"/>
              <v:fill type="solid"/>
            </v:shape>
            <v:shape style="position:absolute;left:3184;top:322;width:5160;height:3356" coordorigin="3185,322" coordsize="5160,3356" path="m8340,3677l3187,3677,3185,3672,3185,322,8345,322,8345,322,3199,322,3192,329,3199,329,3199,3660,3192,3660,3199,3668,8345,3668,8345,3672,8340,3677xm3199,329l3192,329,3199,322,3199,329xm8328,329l3199,329,3199,322,8328,322,8328,329xm8328,3668l8328,322,8335,329,8345,329,8345,3660,8335,3660,8328,3668xm8345,329l8335,329,8328,322,8345,322,8345,329xm3199,3668l3192,3660,3199,3660,3199,3668xm8328,3668l3199,3668,3199,3660,8328,3660,8328,3668xm8345,3668l8328,3668,8335,3660,8345,3660,8345,3668xe" filled="true" fillcolor="#000000" stroked="false">
              <v:path arrowok="t"/>
              <v:fill type="solid"/>
            </v:shape>
            <v:shape style="position:absolute;left:4039;top:480;width:3467;height:542" type="#_x0000_t202" filled="false" stroked="false">
              <v:textbox inset="0,0,0,0">
                <w:txbxContent>
                  <w:p>
                    <w:pPr>
                      <w:spacing w:line="266" w:lineRule="exact" w:before="0"/>
                      <w:ind w:left="0" w:right="18" w:firstLine="0"/>
                      <w:jc w:val="center"/>
                      <w:rPr>
                        <w:sz w:val="24"/>
                      </w:rPr>
                    </w:pPr>
                    <w:r>
                      <w:rPr>
                        <w:sz w:val="24"/>
                      </w:rPr>
                      <w:t>Ziņojums par mantas neesamību vs.</w:t>
                    </w:r>
                  </w:p>
                  <w:p>
                    <w:pPr>
                      <w:spacing w:before="0"/>
                      <w:ind w:left="0" w:right="17" w:firstLine="0"/>
                      <w:jc w:val="center"/>
                      <w:rPr>
                        <w:sz w:val="24"/>
                      </w:rPr>
                    </w:pPr>
                    <w:r>
                      <w:rPr>
                        <w:sz w:val="24"/>
                      </w:rPr>
                      <w:t>Mantas pārdošanas plāns (%)</w:t>
                    </w:r>
                  </w:p>
                </w:txbxContent>
              </v:textbox>
              <w10:wrap type="none"/>
            </v:shape>
            <v:shape style="position:absolute;left:5198;top:1455;width:429;height:200" type="#_x0000_t202" filled="false" stroked="false">
              <v:textbox inset="0,0,0,0">
                <w:txbxContent>
                  <w:p>
                    <w:pPr>
                      <w:spacing w:line="199" w:lineRule="exact" w:before="0"/>
                      <w:ind w:left="0" w:right="0" w:firstLine="0"/>
                      <w:jc w:val="left"/>
                      <w:rPr>
                        <w:sz w:val="18"/>
                      </w:rPr>
                    </w:pPr>
                    <w:r>
                      <w:rPr>
                        <w:sz w:val="18"/>
                      </w:rPr>
                      <w:t>29,00</w:t>
                    </w:r>
                  </w:p>
                </w:txbxContent>
              </v:textbox>
              <w10:wrap type="none"/>
            </v:shape>
            <v:shape style="position:absolute;left:6067;top:1829;width:429;height:200" type="#_x0000_t202" filled="false" stroked="false">
              <v:textbox inset="0,0,0,0">
                <w:txbxContent>
                  <w:p>
                    <w:pPr>
                      <w:spacing w:line="199" w:lineRule="exact" w:before="0"/>
                      <w:ind w:left="0" w:right="0" w:firstLine="0"/>
                      <w:jc w:val="left"/>
                      <w:rPr>
                        <w:sz w:val="18"/>
                      </w:rPr>
                    </w:pPr>
                    <w:r>
                      <w:rPr>
                        <w:sz w:val="18"/>
                      </w:rPr>
                      <w:t>71,00</w:t>
                    </w:r>
                  </w:p>
                </w:txbxContent>
              </v:textbox>
              <w10:wrap type="none"/>
            </v:shape>
            <v:shape style="position:absolute;left:4679;top:2672;width:2671;height:533" type="#_x0000_t202" filled="false" stroked="false">
              <v:textbox inset="0,0,0,0">
                <w:txbxContent>
                  <w:p>
                    <w:pPr>
                      <w:spacing w:line="199" w:lineRule="exact" w:before="0"/>
                      <w:ind w:left="0" w:right="0" w:firstLine="0"/>
                      <w:jc w:val="left"/>
                      <w:rPr>
                        <w:sz w:val="18"/>
                      </w:rPr>
                    </w:pPr>
                    <w:r>
                      <w:rPr>
                        <w:sz w:val="18"/>
                      </w:rPr>
                      <w:t>Ziņojums par mantas neesamību (%)</w:t>
                    </w:r>
                  </w:p>
                  <w:p>
                    <w:pPr>
                      <w:spacing w:before="126"/>
                      <w:ind w:left="0" w:right="0" w:firstLine="0"/>
                      <w:jc w:val="left"/>
                      <w:rPr>
                        <w:sz w:val="18"/>
                      </w:rPr>
                    </w:pPr>
                    <w:r>
                      <w:rPr>
                        <w:sz w:val="18"/>
                      </w:rPr>
                      <w:t>Mantas pārdošanas plāns (%)</w:t>
                    </w:r>
                  </w:p>
                </w:txbxContent>
              </v:textbox>
              <w10:wrap type="none"/>
            </v:shape>
            <w10:wrap type="topAndBottom"/>
          </v:group>
        </w:pict>
      </w:r>
    </w:p>
    <w:p>
      <w:pPr>
        <w:pStyle w:val="BodyText"/>
        <w:jc w:val="left"/>
        <w:rPr>
          <w:b/>
          <w:i/>
          <w:sz w:val="26"/>
        </w:rPr>
      </w:pPr>
    </w:p>
    <w:p>
      <w:pPr>
        <w:pStyle w:val="Heading4"/>
        <w:numPr>
          <w:ilvl w:val="1"/>
          <w:numId w:val="48"/>
        </w:numPr>
        <w:tabs>
          <w:tab w:pos="681" w:val="left" w:leader="none"/>
        </w:tabs>
        <w:spacing w:line="240" w:lineRule="auto" w:before="225" w:after="0"/>
        <w:ind w:left="680" w:right="0" w:hanging="421"/>
        <w:jc w:val="left"/>
        <w:rPr>
          <w:i/>
        </w:rPr>
      </w:pPr>
      <w:bookmarkStart w:name="_TOC_250050" w:id="28"/>
      <w:bookmarkEnd w:id="28"/>
      <w:r>
        <w:rPr>
          <w:i/>
        </w:rPr>
        <w:t>Saistību apmērs</w:t>
      </w:r>
    </w:p>
    <w:p>
      <w:pPr>
        <w:pStyle w:val="BodyText"/>
        <w:spacing w:before="3" w:after="1"/>
        <w:jc w:val="left"/>
        <w:rPr>
          <w:b/>
          <w:i/>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4"/>
        <w:gridCol w:w="3101"/>
        <w:gridCol w:w="2527"/>
      </w:tblGrid>
      <w:tr>
        <w:trPr>
          <w:trHeight w:val="1931" w:hRule="atLeast"/>
        </w:trPr>
        <w:tc>
          <w:tcPr>
            <w:tcW w:w="3034" w:type="dxa"/>
          </w:tcPr>
          <w:p>
            <w:pPr>
              <w:pStyle w:val="TableParagraph"/>
              <w:ind w:left="107" w:right="283"/>
              <w:rPr>
                <w:b/>
                <w:sz w:val="24"/>
              </w:rPr>
            </w:pPr>
            <w:r>
              <w:rPr>
                <w:b/>
                <w:sz w:val="24"/>
              </w:rPr>
              <w:t>Vidējais saistību apmērs fizisko personu maksātnespējas procesos, kuros laika periodā no 01.03.2015. ir sastādīts ziņojums par mantas</w:t>
            </w:r>
          </w:p>
          <w:p>
            <w:pPr>
              <w:pStyle w:val="TableParagraph"/>
              <w:spacing w:line="259" w:lineRule="exact"/>
              <w:ind w:left="107"/>
              <w:rPr>
                <w:b/>
                <w:sz w:val="24"/>
              </w:rPr>
            </w:pPr>
            <w:r>
              <w:rPr>
                <w:b/>
                <w:sz w:val="24"/>
              </w:rPr>
              <w:t>neesamību (EUR)</w:t>
            </w:r>
          </w:p>
        </w:tc>
        <w:tc>
          <w:tcPr>
            <w:tcW w:w="3101" w:type="dxa"/>
          </w:tcPr>
          <w:p>
            <w:pPr>
              <w:pStyle w:val="TableParagraph"/>
              <w:ind w:left="107" w:right="350"/>
              <w:rPr>
                <w:b/>
                <w:sz w:val="24"/>
              </w:rPr>
            </w:pPr>
            <w:r>
              <w:rPr>
                <w:b/>
                <w:sz w:val="24"/>
              </w:rPr>
              <w:t>Vidējais saistību apmērs fizisko personu maksātnespējas procesos, kuros laika periodā no 01.03.2015. ir sastādīts mantas pārdošanas plāns</w:t>
            </w:r>
          </w:p>
          <w:p>
            <w:pPr>
              <w:pStyle w:val="TableParagraph"/>
              <w:spacing w:line="259" w:lineRule="exact"/>
              <w:ind w:left="107"/>
              <w:rPr>
                <w:b/>
                <w:sz w:val="24"/>
              </w:rPr>
            </w:pPr>
            <w:r>
              <w:rPr>
                <w:b/>
                <w:sz w:val="24"/>
              </w:rPr>
              <w:t>(EUR)</w:t>
            </w:r>
          </w:p>
        </w:tc>
        <w:tc>
          <w:tcPr>
            <w:tcW w:w="2527" w:type="dxa"/>
          </w:tcPr>
          <w:p>
            <w:pPr>
              <w:pStyle w:val="TableParagraph"/>
              <w:ind w:left="107" w:right="96"/>
              <w:rPr>
                <w:b/>
                <w:sz w:val="24"/>
              </w:rPr>
            </w:pPr>
            <w:r>
              <w:rPr>
                <w:b/>
                <w:sz w:val="24"/>
              </w:rPr>
              <w:t>Vidējais saistību apmērs fizisko personu maksātnespējas procesos laika periodā no 01.03.2015.</w:t>
            </w:r>
          </w:p>
        </w:tc>
      </w:tr>
      <w:tr>
        <w:trPr>
          <w:trHeight w:val="275" w:hRule="atLeast"/>
        </w:trPr>
        <w:tc>
          <w:tcPr>
            <w:tcW w:w="3034" w:type="dxa"/>
          </w:tcPr>
          <w:p>
            <w:pPr>
              <w:pStyle w:val="TableParagraph"/>
              <w:spacing w:line="256" w:lineRule="exact"/>
              <w:ind w:left="1965"/>
              <w:rPr>
                <w:b/>
                <w:sz w:val="24"/>
              </w:rPr>
            </w:pPr>
            <w:r>
              <w:rPr>
                <w:b/>
                <w:sz w:val="24"/>
              </w:rPr>
              <w:t>48 329,31</w:t>
            </w:r>
          </w:p>
        </w:tc>
        <w:tc>
          <w:tcPr>
            <w:tcW w:w="3101" w:type="dxa"/>
          </w:tcPr>
          <w:p>
            <w:pPr>
              <w:pStyle w:val="TableParagraph"/>
              <w:spacing w:line="256" w:lineRule="exact"/>
              <w:ind w:left="1912"/>
              <w:rPr>
                <w:b/>
                <w:sz w:val="24"/>
              </w:rPr>
            </w:pPr>
            <w:r>
              <w:rPr>
                <w:b/>
                <w:sz w:val="24"/>
              </w:rPr>
              <w:t>212 280,89</w:t>
            </w:r>
          </w:p>
        </w:tc>
        <w:tc>
          <w:tcPr>
            <w:tcW w:w="2527" w:type="dxa"/>
          </w:tcPr>
          <w:p>
            <w:pPr>
              <w:pStyle w:val="TableParagraph"/>
              <w:spacing w:line="256" w:lineRule="exact"/>
              <w:ind w:left="1458"/>
              <w:rPr>
                <w:b/>
                <w:sz w:val="24"/>
              </w:rPr>
            </w:pPr>
            <w:r>
              <w:rPr>
                <w:b/>
                <w:sz w:val="24"/>
              </w:rPr>
              <w:t>97 345,76</w:t>
            </w:r>
          </w:p>
        </w:tc>
      </w:tr>
      <w:tr>
        <w:trPr>
          <w:trHeight w:val="551" w:hRule="atLeast"/>
        </w:trPr>
        <w:tc>
          <w:tcPr>
            <w:tcW w:w="3034" w:type="dxa"/>
          </w:tcPr>
          <w:p>
            <w:pPr>
              <w:pStyle w:val="TableParagraph"/>
              <w:spacing w:line="268" w:lineRule="exact"/>
              <w:ind w:right="97"/>
              <w:jc w:val="right"/>
              <w:rPr>
                <w:sz w:val="24"/>
              </w:rPr>
            </w:pPr>
            <w:r>
              <w:rPr>
                <w:sz w:val="24"/>
              </w:rPr>
              <w:t>3 286 392,93</w:t>
            </w:r>
            <w:r>
              <w:rPr>
                <w:spacing w:val="-2"/>
                <w:sz w:val="24"/>
              </w:rPr>
              <w:t> </w:t>
            </w:r>
            <w:r>
              <w:rPr>
                <w:sz w:val="24"/>
              </w:rPr>
              <w:t>(kopējais</w:t>
            </w:r>
          </w:p>
          <w:p>
            <w:pPr>
              <w:pStyle w:val="TableParagraph"/>
              <w:spacing w:line="264" w:lineRule="exact"/>
              <w:ind w:right="97"/>
              <w:jc w:val="right"/>
              <w:rPr>
                <w:sz w:val="24"/>
              </w:rPr>
            </w:pPr>
            <w:r>
              <w:rPr>
                <w:sz w:val="24"/>
              </w:rPr>
              <w:t>saistību apmērs)</w:t>
            </w:r>
          </w:p>
        </w:tc>
        <w:tc>
          <w:tcPr>
            <w:tcW w:w="3101" w:type="dxa"/>
          </w:tcPr>
          <w:p>
            <w:pPr>
              <w:pStyle w:val="TableParagraph"/>
              <w:spacing w:line="268" w:lineRule="exact"/>
              <w:ind w:right="97"/>
              <w:jc w:val="right"/>
              <w:rPr>
                <w:sz w:val="24"/>
              </w:rPr>
            </w:pPr>
            <w:r>
              <w:rPr>
                <w:sz w:val="24"/>
              </w:rPr>
              <w:t>6 156 145,95</w:t>
            </w:r>
            <w:r>
              <w:rPr>
                <w:spacing w:val="-2"/>
                <w:sz w:val="24"/>
              </w:rPr>
              <w:t> </w:t>
            </w:r>
            <w:r>
              <w:rPr>
                <w:sz w:val="24"/>
              </w:rPr>
              <w:t>(kopējais</w:t>
            </w:r>
          </w:p>
          <w:p>
            <w:pPr>
              <w:pStyle w:val="TableParagraph"/>
              <w:spacing w:line="264" w:lineRule="exact"/>
              <w:ind w:right="97"/>
              <w:jc w:val="right"/>
              <w:rPr>
                <w:sz w:val="24"/>
              </w:rPr>
            </w:pPr>
            <w:r>
              <w:rPr>
                <w:sz w:val="24"/>
              </w:rPr>
              <w:t>saistību apmērs)</w:t>
            </w:r>
          </w:p>
        </w:tc>
        <w:tc>
          <w:tcPr>
            <w:tcW w:w="2527" w:type="dxa"/>
          </w:tcPr>
          <w:p>
            <w:pPr>
              <w:pStyle w:val="TableParagraph"/>
              <w:spacing w:line="268" w:lineRule="exact"/>
              <w:ind w:right="97"/>
              <w:jc w:val="right"/>
              <w:rPr>
                <w:sz w:val="24"/>
              </w:rPr>
            </w:pPr>
            <w:r>
              <w:rPr>
                <w:sz w:val="24"/>
              </w:rPr>
              <w:t>9 442 538,88</w:t>
            </w:r>
            <w:r>
              <w:rPr>
                <w:spacing w:val="-2"/>
                <w:sz w:val="24"/>
              </w:rPr>
              <w:t> </w:t>
            </w:r>
            <w:r>
              <w:rPr>
                <w:sz w:val="24"/>
              </w:rPr>
              <w:t>(kopējais</w:t>
            </w:r>
          </w:p>
          <w:p>
            <w:pPr>
              <w:pStyle w:val="TableParagraph"/>
              <w:spacing w:line="264" w:lineRule="exact"/>
              <w:ind w:right="97"/>
              <w:jc w:val="right"/>
              <w:rPr>
                <w:sz w:val="24"/>
              </w:rPr>
            </w:pPr>
            <w:r>
              <w:rPr>
                <w:sz w:val="24"/>
              </w:rPr>
              <w:t>saistību apmērs)</w:t>
            </w:r>
          </w:p>
        </w:tc>
      </w:tr>
    </w:tbl>
    <w:p>
      <w:pPr>
        <w:spacing w:after="0" w:line="264" w:lineRule="exact"/>
        <w:jc w:val="right"/>
        <w:rPr>
          <w:sz w:val="24"/>
        </w:rPr>
        <w:sectPr>
          <w:pgSz w:w="11910" w:h="16840"/>
          <w:pgMar w:header="0" w:footer="1055" w:top="1360" w:bottom="1240" w:left="1180" w:right="1040"/>
        </w:sectPr>
      </w:pPr>
    </w:p>
    <w:p>
      <w:pPr>
        <w:pStyle w:val="BodyText"/>
        <w:ind w:left="2004"/>
        <w:jc w:val="left"/>
        <w:rPr>
          <w:sz w:val="20"/>
        </w:rPr>
      </w:pPr>
      <w:r>
        <w:rPr>
          <w:sz w:val="20"/>
        </w:rPr>
        <w:pict>
          <v:group style="width:292.8pt;height:168.85pt;mso-position-horizontal-relative:char;mso-position-vertical-relative:line" coordorigin="0,0" coordsize="5856,3377">
            <v:shape style="position:absolute;left:1812;top:796;width:2228;height:1306" type="#_x0000_t75" stroked="false">
              <v:imagedata r:id="rId55" o:title=""/>
            </v:shape>
            <v:rect style="position:absolute;left:633;top:2452;width:89;height:89" filled="true" fillcolor="#4472c3" stroked="false">
              <v:fill type="solid"/>
            </v:rect>
            <v:shape style="position:absolute;left:612;top:2431;width:130;height:130" coordorigin="612,2431" coordsize="130,130" path="m734,2561l622,2561,612,2554,612,2441,622,2431,734,2431,742,2441,742,2453,653,2453,634,2472,653,2472,653,2522,634,2522,653,2542,742,2542,742,2554,734,2561xm653,2472l634,2472,653,2453,653,2472xm703,2472l653,2472,653,2453,703,2453,703,2472xm703,2542l703,2453,722,2472,742,2472,742,2522,722,2522,703,2542xm742,2472l722,2472,703,2453,742,2453,742,2472xm653,2542l634,2522,653,2522,653,2542xm703,2542l653,2542,653,2522,703,2522,703,2542xm742,2542l703,2542,722,2522,742,2522,742,2542xe" filled="true" fillcolor="#ffffff" stroked="false">
              <v:path arrowok="t"/>
              <v:fill type="solid"/>
            </v:shape>
            <v:rect style="position:absolute;left:633;top:2968;width:89;height:89" filled="true" fillcolor="#ed7c31" stroked="false">
              <v:fill type="solid"/>
            </v:rect>
            <v:shape style="position:absolute;left:612;top:2947;width:130;height:130" coordorigin="612,2947" coordsize="130,130" path="m734,3077l622,3077,612,3067,612,2957,622,2947,734,2947,742,2957,742,2969,653,2969,634,2988,653,2988,653,3038,634,3038,653,3058,742,3058,742,3067,734,3077xm653,2988l634,2988,653,2969,653,2988xm703,2988l653,2988,653,2969,703,2969,703,2988xm703,3058l703,2969,722,2988,742,2988,742,3038,722,3038,703,3058xm742,2988l722,2988,703,2969,742,2969,742,2988xm653,3058l634,3038,653,3038,653,3058xm703,3058l653,3058,653,3038,703,3038,703,3058xm742,3058l703,3058,722,3038,742,3038,742,3058xe" filled="true" fillcolor="#ffffff" stroked="false">
              <v:path arrowok="t"/>
              <v:fill type="solid"/>
            </v:shape>
            <v:shape style="position:absolute;left:0;top:0;width:5856;height:3377" coordorigin="0,0" coordsize="5856,3377" path="m5851,3377l2,3377,0,3374,0,0,14,0,7,10,14,10,14,3362,7,3362,14,3370,5856,3370,5856,3374,5851,3377xm14,10l7,10,14,0,14,0,14,10xm5839,10l14,10,14,0,5839,0,5839,10xm5839,3370l5839,0,5846,10,5856,10,5856,3362,5846,3362,5839,3370xm5856,10l5846,10,5839,0,5856,0,5856,10xm14,3370l7,3362,14,3362,14,3370xm5839,3370l14,3370,14,3362,5839,3362,5839,3370xm5856,3370l5839,3370,5846,3362,5856,3362,5856,3370xe" filled="true" fillcolor="#000000" stroked="false">
              <v:path arrowok="t"/>
              <v:fill type="solid"/>
            </v:shape>
            <v:shape style="position:absolute;left:2164;top:160;width:1989;height:678" type="#_x0000_t202" filled="false" stroked="false">
              <v:textbox inset="0,0,0,0">
                <w:txbxContent>
                  <w:p>
                    <w:pPr>
                      <w:spacing w:line="266" w:lineRule="exact" w:before="0"/>
                      <w:ind w:left="0" w:right="0" w:firstLine="0"/>
                      <w:jc w:val="left"/>
                      <w:rPr>
                        <w:sz w:val="24"/>
                      </w:rPr>
                    </w:pPr>
                    <w:r>
                      <w:rPr>
                        <w:sz w:val="24"/>
                      </w:rPr>
                      <w:t>Saistību apmērs</w:t>
                    </w:r>
                  </w:p>
                  <w:p>
                    <w:pPr>
                      <w:spacing w:before="205"/>
                      <w:ind w:left="1286" w:right="0" w:firstLine="0"/>
                      <w:jc w:val="left"/>
                      <w:rPr>
                        <w:sz w:val="18"/>
                      </w:rPr>
                    </w:pPr>
                    <w:r>
                      <w:rPr>
                        <w:sz w:val="18"/>
                      </w:rPr>
                      <w:t>48329,31</w:t>
                    </w:r>
                  </w:p>
                </w:txbxContent>
              </v:textbox>
              <w10:wrap type="none"/>
            </v:shape>
            <v:shape style="position:absolute;left:2025;top:1313;width:793;height:200" type="#_x0000_t202" filled="false" stroked="false">
              <v:textbox inset="0,0,0,0">
                <w:txbxContent>
                  <w:p>
                    <w:pPr>
                      <w:spacing w:line="199" w:lineRule="exact" w:before="0"/>
                      <w:ind w:left="0" w:right="0" w:firstLine="0"/>
                      <w:jc w:val="left"/>
                      <w:rPr>
                        <w:sz w:val="18"/>
                      </w:rPr>
                    </w:pPr>
                    <w:r>
                      <w:rPr>
                        <w:sz w:val="18"/>
                      </w:rPr>
                      <w:t>212280,89</w:t>
                    </w:r>
                  </w:p>
                </w:txbxContent>
              </v:textbox>
              <w10:wrap type="none"/>
            </v:shape>
            <v:shape style="position:absolute;left:758;top:2390;width:4579;height:922" type="#_x0000_t202" filled="false" stroked="false">
              <v:textbox inset="0,0,0,0">
                <w:txbxContent>
                  <w:p>
                    <w:pPr>
                      <w:spacing w:line="240" w:lineRule="auto" w:before="0"/>
                      <w:ind w:left="0" w:right="-1" w:firstLine="0"/>
                      <w:jc w:val="left"/>
                      <w:rPr>
                        <w:sz w:val="18"/>
                      </w:rPr>
                    </w:pPr>
                    <w:r>
                      <w:rPr>
                        <w:sz w:val="18"/>
                      </w:rPr>
                      <w:t>Vidējais saistību apmērs procesos, kuros sastādīts ziņojums par mantas neesamību</w:t>
                    </w:r>
                  </w:p>
                  <w:p>
                    <w:pPr>
                      <w:spacing w:before="94"/>
                      <w:ind w:left="0" w:right="424" w:firstLine="0"/>
                      <w:jc w:val="left"/>
                      <w:rPr>
                        <w:sz w:val="18"/>
                      </w:rPr>
                    </w:pPr>
                    <w:r>
                      <w:rPr>
                        <w:sz w:val="18"/>
                      </w:rPr>
                      <w:t>Vidējais saistību apmērs procesos, kuros sastādīts mantas pārdošanas plāns</w:t>
                    </w:r>
                  </w:p>
                </w:txbxContent>
              </v:textbox>
              <w10:wrap type="none"/>
            </v:shape>
          </v:group>
        </w:pict>
      </w:r>
      <w:r>
        <w:rPr>
          <w:sz w:val="20"/>
        </w:rPr>
      </w:r>
    </w:p>
    <w:p>
      <w:pPr>
        <w:pStyle w:val="BodyText"/>
        <w:jc w:val="left"/>
        <w:rPr>
          <w:b/>
          <w:i/>
          <w:sz w:val="20"/>
        </w:rPr>
      </w:pPr>
    </w:p>
    <w:p>
      <w:pPr>
        <w:pStyle w:val="BodyText"/>
        <w:spacing w:before="7"/>
        <w:jc w:val="left"/>
        <w:rPr>
          <w:b/>
          <w:i/>
          <w:sz w:val="18"/>
        </w:rPr>
      </w:pPr>
    </w:p>
    <w:p>
      <w:pPr>
        <w:pStyle w:val="Heading4"/>
        <w:numPr>
          <w:ilvl w:val="1"/>
          <w:numId w:val="48"/>
        </w:numPr>
        <w:tabs>
          <w:tab w:pos="1401" w:val="left" w:leader="none"/>
        </w:tabs>
        <w:spacing w:line="240" w:lineRule="auto" w:before="90" w:after="0"/>
        <w:ind w:left="1400" w:right="0" w:hanging="421"/>
        <w:jc w:val="left"/>
        <w:rPr>
          <w:i/>
        </w:rPr>
      </w:pPr>
      <w:bookmarkStart w:name="_TOC_250049" w:id="29"/>
      <w:r>
        <w:rPr>
          <w:i/>
        </w:rPr>
        <w:t>Kreditoru</w:t>
      </w:r>
      <w:r>
        <w:rPr>
          <w:i/>
          <w:spacing w:val="3"/>
        </w:rPr>
        <w:t> </w:t>
      </w:r>
      <w:bookmarkEnd w:id="29"/>
      <w:r>
        <w:rPr>
          <w:i/>
        </w:rPr>
        <w:t>skaits</w:t>
      </w:r>
    </w:p>
    <w:p>
      <w:pPr>
        <w:pStyle w:val="BodyText"/>
        <w:spacing w:before="3" w:after="1"/>
        <w:jc w:val="left"/>
        <w:rPr>
          <w:b/>
          <w:i/>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0"/>
        <w:gridCol w:w="2974"/>
        <w:gridCol w:w="2432"/>
      </w:tblGrid>
      <w:tr>
        <w:trPr>
          <w:trHeight w:val="1931" w:hRule="atLeast"/>
        </w:trPr>
        <w:tc>
          <w:tcPr>
            <w:tcW w:w="3240" w:type="dxa"/>
          </w:tcPr>
          <w:p>
            <w:pPr>
              <w:pStyle w:val="TableParagraph"/>
              <w:spacing w:line="276" w:lineRule="exact"/>
              <w:ind w:left="107" w:right="489"/>
              <w:rPr>
                <w:b/>
                <w:sz w:val="24"/>
              </w:rPr>
            </w:pPr>
            <w:r>
              <w:rPr>
                <w:b/>
                <w:sz w:val="24"/>
              </w:rPr>
              <w:t>Vidējais kreditoru skaits fizisko personu maksātnespējas procesos, kuros laika periodā no 01.03.2015. ir sastādīts ziņojums par mantas neesamību</w:t>
            </w:r>
          </w:p>
        </w:tc>
        <w:tc>
          <w:tcPr>
            <w:tcW w:w="2974" w:type="dxa"/>
          </w:tcPr>
          <w:p>
            <w:pPr>
              <w:pStyle w:val="TableParagraph"/>
              <w:spacing w:before="8"/>
              <w:rPr>
                <w:b/>
                <w:i/>
                <w:sz w:val="23"/>
              </w:rPr>
            </w:pPr>
          </w:p>
          <w:p>
            <w:pPr>
              <w:pStyle w:val="TableParagraph"/>
              <w:spacing w:line="270" w:lineRule="atLeast"/>
              <w:ind w:left="107" w:right="223"/>
              <w:rPr>
                <w:b/>
                <w:sz w:val="24"/>
              </w:rPr>
            </w:pPr>
            <w:r>
              <w:rPr>
                <w:b/>
                <w:sz w:val="24"/>
              </w:rPr>
              <w:t>Vidējais kreditoru skaits fizisko personu maksātnespējas procesos, kuros laika periodā no 01.03.2015. ir sastādīts mantas pārdošanas plāns</w:t>
            </w:r>
          </w:p>
        </w:tc>
        <w:tc>
          <w:tcPr>
            <w:tcW w:w="2432" w:type="dxa"/>
          </w:tcPr>
          <w:p>
            <w:pPr>
              <w:pStyle w:val="TableParagraph"/>
              <w:ind w:left="107" w:right="94"/>
              <w:rPr>
                <w:b/>
                <w:sz w:val="24"/>
              </w:rPr>
            </w:pPr>
            <w:r>
              <w:rPr>
                <w:b/>
                <w:sz w:val="24"/>
              </w:rPr>
              <w:t>Vidējais kreditoru skaits fizisko personu maksātnespējas procesos periodā no 01.03.2015.</w:t>
            </w:r>
          </w:p>
        </w:tc>
      </w:tr>
      <w:tr>
        <w:trPr>
          <w:trHeight w:val="376" w:hRule="atLeast"/>
        </w:trPr>
        <w:tc>
          <w:tcPr>
            <w:tcW w:w="3240" w:type="dxa"/>
          </w:tcPr>
          <w:p>
            <w:pPr>
              <w:pStyle w:val="TableParagraph"/>
              <w:spacing w:line="259" w:lineRule="exact" w:before="97"/>
              <w:ind w:right="96"/>
              <w:jc w:val="right"/>
              <w:rPr>
                <w:b/>
                <w:sz w:val="24"/>
              </w:rPr>
            </w:pPr>
            <w:r>
              <w:rPr>
                <w:b/>
                <w:sz w:val="24"/>
              </w:rPr>
              <w:t>5,34</w:t>
            </w:r>
          </w:p>
        </w:tc>
        <w:tc>
          <w:tcPr>
            <w:tcW w:w="2974" w:type="dxa"/>
          </w:tcPr>
          <w:p>
            <w:pPr>
              <w:pStyle w:val="TableParagraph"/>
              <w:spacing w:line="259" w:lineRule="exact" w:before="97"/>
              <w:ind w:right="96"/>
              <w:jc w:val="right"/>
              <w:rPr>
                <w:b/>
                <w:sz w:val="24"/>
              </w:rPr>
            </w:pPr>
            <w:r>
              <w:rPr>
                <w:b/>
                <w:sz w:val="24"/>
              </w:rPr>
              <w:t>5,66</w:t>
            </w:r>
          </w:p>
        </w:tc>
        <w:tc>
          <w:tcPr>
            <w:tcW w:w="2432" w:type="dxa"/>
          </w:tcPr>
          <w:p>
            <w:pPr>
              <w:pStyle w:val="TableParagraph"/>
              <w:spacing w:line="272" w:lineRule="exact"/>
              <w:ind w:right="97"/>
              <w:jc w:val="right"/>
              <w:rPr>
                <w:b/>
                <w:sz w:val="24"/>
              </w:rPr>
            </w:pPr>
            <w:r>
              <w:rPr>
                <w:b/>
                <w:sz w:val="24"/>
              </w:rPr>
              <w:t>5,43</w:t>
            </w:r>
          </w:p>
        </w:tc>
      </w:tr>
      <w:tr>
        <w:trPr>
          <w:trHeight w:val="551" w:hRule="atLeast"/>
        </w:trPr>
        <w:tc>
          <w:tcPr>
            <w:tcW w:w="3240" w:type="dxa"/>
          </w:tcPr>
          <w:p>
            <w:pPr>
              <w:pStyle w:val="TableParagraph"/>
              <w:spacing w:before="3"/>
              <w:rPr>
                <w:b/>
                <w:i/>
                <w:sz w:val="23"/>
              </w:rPr>
            </w:pPr>
          </w:p>
          <w:p>
            <w:pPr>
              <w:pStyle w:val="TableParagraph"/>
              <w:spacing w:line="264" w:lineRule="exact"/>
              <w:ind w:right="98"/>
              <w:jc w:val="right"/>
              <w:rPr>
                <w:sz w:val="24"/>
              </w:rPr>
            </w:pPr>
            <w:r>
              <w:rPr>
                <w:sz w:val="24"/>
              </w:rPr>
              <w:t>363 (kopējais skaits)</w:t>
            </w:r>
          </w:p>
        </w:tc>
        <w:tc>
          <w:tcPr>
            <w:tcW w:w="2974" w:type="dxa"/>
          </w:tcPr>
          <w:p>
            <w:pPr>
              <w:pStyle w:val="TableParagraph"/>
              <w:spacing w:before="3"/>
              <w:rPr>
                <w:b/>
                <w:i/>
                <w:sz w:val="23"/>
              </w:rPr>
            </w:pPr>
          </w:p>
          <w:p>
            <w:pPr>
              <w:pStyle w:val="TableParagraph"/>
              <w:spacing w:line="264" w:lineRule="exact"/>
              <w:ind w:right="99"/>
              <w:jc w:val="right"/>
              <w:rPr>
                <w:sz w:val="24"/>
              </w:rPr>
            </w:pPr>
            <w:r>
              <w:rPr>
                <w:sz w:val="24"/>
              </w:rPr>
              <w:t>164 (kopējais skaits)</w:t>
            </w:r>
          </w:p>
        </w:tc>
        <w:tc>
          <w:tcPr>
            <w:tcW w:w="2432" w:type="dxa"/>
          </w:tcPr>
          <w:p>
            <w:pPr>
              <w:pStyle w:val="TableParagraph"/>
              <w:spacing w:before="3"/>
              <w:rPr>
                <w:b/>
                <w:i/>
                <w:sz w:val="23"/>
              </w:rPr>
            </w:pPr>
          </w:p>
          <w:p>
            <w:pPr>
              <w:pStyle w:val="TableParagraph"/>
              <w:spacing w:line="264" w:lineRule="exact"/>
              <w:ind w:right="100"/>
              <w:jc w:val="right"/>
              <w:rPr>
                <w:sz w:val="24"/>
              </w:rPr>
            </w:pPr>
            <w:r>
              <w:rPr>
                <w:sz w:val="24"/>
              </w:rPr>
              <w:t>527 (kopējais skaits)</w:t>
            </w:r>
          </w:p>
        </w:tc>
      </w:tr>
    </w:tbl>
    <w:p>
      <w:pPr>
        <w:pStyle w:val="BodyText"/>
        <w:jc w:val="left"/>
        <w:rPr>
          <w:b/>
          <w:i/>
          <w:sz w:val="20"/>
        </w:rPr>
      </w:pPr>
    </w:p>
    <w:p>
      <w:pPr>
        <w:pStyle w:val="BodyText"/>
        <w:spacing w:before="7"/>
        <w:jc w:val="left"/>
        <w:rPr>
          <w:b/>
          <w:i/>
        </w:rPr>
      </w:pPr>
      <w:r>
        <w:rPr/>
        <w:pict>
          <v:group style="position:absolute;margin-left:146.400009pt;margin-top:16.100964pt;width:320.05pt;height:206.9pt;mso-position-horizontal-relative:page;mso-position-vertical-relative:paragraph;z-index:-251549696;mso-wrap-distance-left:0;mso-wrap-distance-right:0" coordorigin="2928,322" coordsize="6401,4138">
            <v:shape style="position:absolute;left:4972;top:977;width:2458;height:1436" type="#_x0000_t75" stroked="false">
              <v:imagedata r:id="rId56" o:title=""/>
            </v:shape>
            <v:rect style="position:absolute;left:3674;top:2854;width:89;height:92" filled="true" fillcolor="#4472c3" stroked="false">
              <v:fill type="solid"/>
            </v:rect>
            <v:shape style="position:absolute;left:3655;top:2834;width:130;height:130" coordorigin="3655,2835" coordsize="130,130" path="m3775,2964l3662,2964,3655,2955,3655,2844,3662,2835,3775,2835,3785,2844,3785,2854,3694,2854,3674,2876,3694,2876,3694,2924,3674,2924,3694,2945,3785,2945,3785,2955,3775,2964xm3694,2876l3674,2876,3694,2854,3694,2876xm3744,2876l3694,2876,3694,2854,3744,2854,3744,2876xm3744,2945l3744,2854,3763,2876,3785,2876,3785,2924,3763,2924,3744,2945xm3785,2876l3763,2876,3744,2854,3785,2854,3785,2876xm3694,2945l3674,2924,3694,2924,3694,2945xm3744,2945l3694,2945,3694,2924,3744,2924,3744,2945xm3785,2945l3744,2945,3763,2924,3785,2924,3785,2945xe" filled="true" fillcolor="#ffffff" stroked="false">
              <v:path arrowok="t"/>
              <v:fill type="solid"/>
            </v:shape>
            <v:rect style="position:absolute;left:3674;top:3509;width:89;height:92" filled="true" fillcolor="#ed7c31" stroked="false">
              <v:fill type="solid"/>
            </v:rect>
            <v:shape style="position:absolute;left:3655;top:3490;width:130;height:130" coordorigin="3655,3490" coordsize="130,130" path="m3775,3620l3662,3620,3655,3610,3655,3500,3662,3490,3775,3490,3785,3500,3785,3509,3694,3509,3674,3531,3694,3531,3694,3579,3674,3579,3694,3600,3785,3600,3785,3610,3775,3620xm3694,3531l3674,3531,3694,3509,3694,3531xm3744,3531l3694,3531,3694,3509,3744,3509,3744,3531xm3744,3600l3744,3509,3763,3531,3785,3531,3785,3579,3763,3579,3744,3600xm3785,3531l3763,3531,3744,3509,3785,3509,3785,3531xm3694,3600l3674,3579,3694,3579,3694,3600xm3744,3600l3694,3600,3694,3579,3744,3579,3744,3600xm3785,3600l3744,3600,3763,3579,3785,3579,3785,3600xe" filled="true" fillcolor="#ffffff" stroked="false">
              <v:path arrowok="t"/>
              <v:fill type="solid"/>
            </v:shape>
            <v:shape style="position:absolute;left:2928;top:322;width:6401;height:4138" coordorigin="2928,322" coordsize="6401,4138" path="m9324,4460l2933,4460,2928,4455,2928,322,9329,322,9329,324,2945,324,2935,332,2945,332,2945,4445,2935,4445,2945,4452,9329,4452,9329,4455,9324,4460xm2945,332l2935,332,2945,324,2945,332xm9312,332l2945,332,2945,324,9312,324,9312,332xm9312,4452l9312,324,9319,332,9329,332,9329,4445,9319,4445,9312,4452xm9329,332l9319,332,9312,324,9329,324,9329,332xm2945,4452l2935,4445,2945,4445,2945,4452xm9312,4452l2945,4452,2945,4445,9312,4445,9312,4452xm9329,4452l9312,4452,9319,4445,9329,4445,9329,4452xe" filled="true" fillcolor="#000000" stroked="false">
              <v:path arrowok="t"/>
              <v:fill type="solid"/>
            </v:shape>
            <v:shape style="position:absolute;left:5224;top:484;width:1823;height:311" type="#_x0000_t202" filled="false" stroked="false">
              <v:textbox inset="0,0,0,0">
                <w:txbxContent>
                  <w:p>
                    <w:pPr>
                      <w:spacing w:line="311" w:lineRule="exact" w:before="0"/>
                      <w:ind w:left="0" w:right="0" w:firstLine="0"/>
                      <w:jc w:val="left"/>
                      <w:rPr>
                        <w:sz w:val="28"/>
                      </w:rPr>
                    </w:pPr>
                    <w:r>
                      <w:rPr>
                        <w:sz w:val="28"/>
                      </w:rPr>
                      <w:t>Kreditoru skaits</w:t>
                    </w:r>
                  </w:p>
                </w:txbxContent>
              </v:textbox>
              <w10:wrap type="none"/>
            </v:shape>
            <v:shape style="position:absolute;left:6741;top:1246;width:339;height:200" type="#_x0000_t202" filled="false" stroked="false">
              <v:textbox inset="0,0,0,0">
                <w:txbxContent>
                  <w:p>
                    <w:pPr>
                      <w:spacing w:line="199" w:lineRule="exact" w:before="0"/>
                      <w:ind w:left="0" w:right="0" w:firstLine="0"/>
                      <w:jc w:val="left"/>
                      <w:rPr>
                        <w:sz w:val="18"/>
                      </w:rPr>
                    </w:pPr>
                    <w:r>
                      <w:rPr>
                        <w:sz w:val="18"/>
                      </w:rPr>
                      <w:t>5,34</w:t>
                    </w:r>
                  </w:p>
                </w:txbxContent>
              </v:textbox>
              <w10:wrap type="none"/>
            </v:shape>
            <v:shape style="position:absolute;left:5138;top:1409;width:339;height:200" type="#_x0000_t202" filled="false" stroked="false">
              <v:textbox inset="0,0,0,0">
                <w:txbxContent>
                  <w:p>
                    <w:pPr>
                      <w:spacing w:line="199" w:lineRule="exact" w:before="0"/>
                      <w:ind w:left="0" w:right="0" w:firstLine="0"/>
                      <w:jc w:val="left"/>
                      <w:rPr>
                        <w:sz w:val="18"/>
                      </w:rPr>
                    </w:pPr>
                    <w:r>
                      <w:rPr>
                        <w:sz w:val="18"/>
                      </w:rPr>
                      <w:t>5,66</w:t>
                    </w:r>
                  </w:p>
                </w:txbxContent>
              </v:textbox>
              <w10:wrap type="none"/>
            </v:shape>
            <v:shape style="position:absolute;left:3801;top:2794;width:4812;height:1061" type="#_x0000_t202" filled="false" stroked="false">
              <v:textbox inset="0,0,0,0">
                <w:txbxContent>
                  <w:p>
                    <w:pPr>
                      <w:spacing w:line="240" w:lineRule="auto" w:before="0"/>
                      <w:ind w:left="0" w:right="-2" w:firstLine="0"/>
                      <w:jc w:val="left"/>
                      <w:rPr>
                        <w:sz w:val="18"/>
                      </w:rPr>
                    </w:pPr>
                    <w:r>
                      <w:rPr>
                        <w:sz w:val="18"/>
                      </w:rPr>
                      <w:t>Vidējais kreditoru skaits fizisko personu maksātnespējas procesos, kuros ir sastādīts ziņojums par mantas neesamību</w:t>
                    </w:r>
                  </w:p>
                  <w:p>
                    <w:pPr>
                      <w:spacing w:line="240" w:lineRule="auto" w:before="3"/>
                      <w:rPr>
                        <w:sz w:val="20"/>
                      </w:rPr>
                    </w:pPr>
                  </w:p>
                  <w:p>
                    <w:pPr>
                      <w:spacing w:before="0"/>
                      <w:ind w:left="0" w:right="-2" w:firstLine="0"/>
                      <w:jc w:val="left"/>
                      <w:rPr>
                        <w:sz w:val="18"/>
                      </w:rPr>
                    </w:pPr>
                    <w:r>
                      <w:rPr>
                        <w:sz w:val="18"/>
                      </w:rPr>
                      <w:t>Vidējais kreditoru skaits fizisko personu maksātnespējas procesos, kuros ir sastādīts mantas pārdošanas plāns</w:t>
                    </w:r>
                  </w:p>
                </w:txbxContent>
              </v:textbox>
              <w10:wrap type="none"/>
            </v:shape>
            <w10:wrap type="topAndBottom"/>
          </v:group>
        </w:pict>
      </w:r>
    </w:p>
    <w:p>
      <w:pPr>
        <w:spacing w:after="0"/>
        <w:jc w:val="left"/>
        <w:sectPr>
          <w:pgSz w:w="11910" w:h="16840"/>
          <w:pgMar w:header="0" w:footer="1055" w:top="1420" w:bottom="1240" w:left="1180" w:right="1040"/>
        </w:sectPr>
      </w:pPr>
    </w:p>
    <w:p>
      <w:pPr>
        <w:pStyle w:val="Heading4"/>
        <w:numPr>
          <w:ilvl w:val="1"/>
          <w:numId w:val="48"/>
        </w:numPr>
        <w:tabs>
          <w:tab w:pos="1041" w:val="left" w:leader="none"/>
        </w:tabs>
        <w:spacing w:line="240" w:lineRule="auto" w:before="78" w:after="0"/>
        <w:ind w:left="1040" w:right="0" w:hanging="421"/>
        <w:jc w:val="left"/>
        <w:rPr>
          <w:i/>
        </w:rPr>
      </w:pPr>
      <w:bookmarkStart w:name="_TOC_250048" w:id="30"/>
      <w:r>
        <w:rPr>
          <w:i/>
        </w:rPr>
        <w:t>Saistību dzēšanas plāna</w:t>
      </w:r>
      <w:r>
        <w:rPr>
          <w:i/>
          <w:spacing w:val="-3"/>
        </w:rPr>
        <w:t> </w:t>
      </w:r>
      <w:bookmarkEnd w:id="30"/>
      <w:r>
        <w:rPr>
          <w:i/>
        </w:rPr>
        <w:t>termiņš</w:t>
      </w:r>
    </w:p>
    <w:p>
      <w:pPr>
        <w:pStyle w:val="BodyText"/>
        <w:spacing w:before="3"/>
        <w:jc w:val="left"/>
        <w:rPr>
          <w:b/>
          <w:i/>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8"/>
        <w:gridCol w:w="708"/>
        <w:gridCol w:w="1318"/>
      </w:tblGrid>
      <w:tr>
        <w:trPr>
          <w:trHeight w:val="325" w:hRule="atLeast"/>
        </w:trPr>
        <w:tc>
          <w:tcPr>
            <w:tcW w:w="4958" w:type="dxa"/>
          </w:tcPr>
          <w:p>
            <w:pPr>
              <w:pStyle w:val="TableParagraph"/>
              <w:spacing w:line="259" w:lineRule="exact" w:before="47"/>
              <w:ind w:left="107"/>
              <w:rPr>
                <w:b/>
                <w:sz w:val="24"/>
              </w:rPr>
            </w:pPr>
            <w:r>
              <w:rPr>
                <w:b/>
                <w:sz w:val="24"/>
              </w:rPr>
              <w:t>Procesu skaits, kuros sastādīts s.dz.plāns</w:t>
            </w:r>
          </w:p>
        </w:tc>
        <w:tc>
          <w:tcPr>
            <w:tcW w:w="708" w:type="dxa"/>
          </w:tcPr>
          <w:p>
            <w:pPr>
              <w:pStyle w:val="TableParagraph"/>
              <w:spacing w:line="259" w:lineRule="exact" w:before="47"/>
              <w:ind w:right="95"/>
              <w:jc w:val="right"/>
              <w:rPr>
                <w:b/>
                <w:sz w:val="24"/>
              </w:rPr>
            </w:pPr>
            <w:r>
              <w:rPr>
                <w:b/>
                <w:sz w:val="24"/>
              </w:rPr>
              <w:t>95</w:t>
            </w:r>
          </w:p>
        </w:tc>
        <w:tc>
          <w:tcPr>
            <w:tcW w:w="1318" w:type="dxa"/>
          </w:tcPr>
          <w:p>
            <w:pPr>
              <w:pStyle w:val="TableParagraph"/>
              <w:rPr>
                <w:sz w:val="22"/>
              </w:rPr>
            </w:pPr>
          </w:p>
        </w:tc>
      </w:tr>
      <w:tr>
        <w:trPr>
          <w:trHeight w:val="350" w:hRule="atLeast"/>
        </w:trPr>
        <w:tc>
          <w:tcPr>
            <w:tcW w:w="4958" w:type="dxa"/>
          </w:tcPr>
          <w:p>
            <w:pPr>
              <w:pStyle w:val="TableParagraph"/>
              <w:spacing w:line="259" w:lineRule="exact" w:before="71"/>
              <w:ind w:left="107"/>
              <w:rPr>
                <w:b/>
                <w:sz w:val="24"/>
              </w:rPr>
            </w:pPr>
            <w:r>
              <w:rPr>
                <w:b/>
                <w:sz w:val="24"/>
              </w:rPr>
              <w:t>6 mēneši</w:t>
            </w:r>
          </w:p>
        </w:tc>
        <w:tc>
          <w:tcPr>
            <w:tcW w:w="708" w:type="dxa"/>
          </w:tcPr>
          <w:p>
            <w:pPr>
              <w:pStyle w:val="TableParagraph"/>
              <w:spacing w:line="259" w:lineRule="exact" w:before="71"/>
              <w:ind w:right="96"/>
              <w:jc w:val="right"/>
              <w:rPr>
                <w:b/>
                <w:sz w:val="24"/>
              </w:rPr>
            </w:pPr>
            <w:r>
              <w:rPr>
                <w:b/>
                <w:sz w:val="24"/>
              </w:rPr>
              <w:t>3</w:t>
            </w:r>
          </w:p>
        </w:tc>
        <w:tc>
          <w:tcPr>
            <w:tcW w:w="1318" w:type="dxa"/>
          </w:tcPr>
          <w:p>
            <w:pPr>
              <w:pStyle w:val="TableParagraph"/>
              <w:spacing w:line="259" w:lineRule="exact" w:before="71"/>
              <w:ind w:left="105"/>
              <w:rPr>
                <w:b/>
                <w:sz w:val="24"/>
              </w:rPr>
            </w:pPr>
            <w:r>
              <w:rPr>
                <w:b/>
                <w:sz w:val="24"/>
              </w:rPr>
              <w:t>3,16 %</w:t>
            </w:r>
          </w:p>
        </w:tc>
      </w:tr>
      <w:tr>
        <w:trPr>
          <w:trHeight w:val="297" w:hRule="atLeast"/>
        </w:trPr>
        <w:tc>
          <w:tcPr>
            <w:tcW w:w="4958" w:type="dxa"/>
          </w:tcPr>
          <w:p>
            <w:pPr>
              <w:pStyle w:val="TableParagraph"/>
              <w:spacing w:line="259" w:lineRule="exact" w:before="18"/>
              <w:ind w:left="107"/>
              <w:rPr>
                <w:b/>
                <w:sz w:val="24"/>
              </w:rPr>
            </w:pPr>
            <w:r>
              <w:rPr>
                <w:b/>
                <w:sz w:val="24"/>
              </w:rPr>
              <w:t>1 gads</w:t>
            </w:r>
          </w:p>
        </w:tc>
        <w:tc>
          <w:tcPr>
            <w:tcW w:w="708" w:type="dxa"/>
          </w:tcPr>
          <w:p>
            <w:pPr>
              <w:pStyle w:val="TableParagraph"/>
              <w:spacing w:line="259" w:lineRule="exact" w:before="18"/>
              <w:ind w:right="96"/>
              <w:jc w:val="right"/>
              <w:rPr>
                <w:b/>
                <w:sz w:val="24"/>
              </w:rPr>
            </w:pPr>
            <w:r>
              <w:rPr>
                <w:b/>
                <w:sz w:val="24"/>
              </w:rPr>
              <w:t>53</w:t>
            </w:r>
          </w:p>
        </w:tc>
        <w:tc>
          <w:tcPr>
            <w:tcW w:w="1318" w:type="dxa"/>
          </w:tcPr>
          <w:p>
            <w:pPr>
              <w:pStyle w:val="TableParagraph"/>
              <w:spacing w:line="259" w:lineRule="exact" w:before="18"/>
              <w:ind w:left="105"/>
              <w:rPr>
                <w:b/>
                <w:sz w:val="24"/>
              </w:rPr>
            </w:pPr>
            <w:r>
              <w:rPr>
                <w:b/>
                <w:sz w:val="24"/>
              </w:rPr>
              <w:t>55,79 %</w:t>
            </w:r>
          </w:p>
        </w:tc>
      </w:tr>
      <w:tr>
        <w:trPr>
          <w:trHeight w:val="282" w:hRule="atLeast"/>
        </w:trPr>
        <w:tc>
          <w:tcPr>
            <w:tcW w:w="4958" w:type="dxa"/>
          </w:tcPr>
          <w:p>
            <w:pPr>
              <w:pStyle w:val="TableParagraph"/>
              <w:spacing w:line="259" w:lineRule="exact" w:before="3"/>
              <w:ind w:left="107"/>
              <w:rPr>
                <w:b/>
                <w:sz w:val="24"/>
              </w:rPr>
            </w:pPr>
            <w:r>
              <w:rPr>
                <w:b/>
                <w:sz w:val="24"/>
              </w:rPr>
              <w:t>1 gads un seši mēneši</w:t>
            </w:r>
          </w:p>
        </w:tc>
        <w:tc>
          <w:tcPr>
            <w:tcW w:w="708" w:type="dxa"/>
          </w:tcPr>
          <w:p>
            <w:pPr>
              <w:pStyle w:val="TableParagraph"/>
              <w:spacing w:line="259" w:lineRule="exact" w:before="3"/>
              <w:ind w:right="96"/>
              <w:jc w:val="right"/>
              <w:rPr>
                <w:b/>
                <w:sz w:val="24"/>
              </w:rPr>
            </w:pPr>
            <w:r>
              <w:rPr>
                <w:b/>
                <w:sz w:val="24"/>
              </w:rPr>
              <w:t>8</w:t>
            </w:r>
          </w:p>
        </w:tc>
        <w:tc>
          <w:tcPr>
            <w:tcW w:w="1318" w:type="dxa"/>
          </w:tcPr>
          <w:p>
            <w:pPr>
              <w:pStyle w:val="TableParagraph"/>
              <w:spacing w:line="259" w:lineRule="exact" w:before="3"/>
              <w:ind w:left="105"/>
              <w:rPr>
                <w:b/>
                <w:sz w:val="24"/>
              </w:rPr>
            </w:pPr>
            <w:r>
              <w:rPr>
                <w:b/>
                <w:sz w:val="24"/>
              </w:rPr>
              <w:t>8,42 %</w:t>
            </w:r>
          </w:p>
        </w:tc>
      </w:tr>
      <w:tr>
        <w:trPr>
          <w:trHeight w:val="297" w:hRule="atLeast"/>
        </w:trPr>
        <w:tc>
          <w:tcPr>
            <w:tcW w:w="4958" w:type="dxa"/>
          </w:tcPr>
          <w:p>
            <w:pPr>
              <w:pStyle w:val="TableParagraph"/>
              <w:spacing w:line="259" w:lineRule="exact" w:before="18"/>
              <w:ind w:left="107"/>
              <w:rPr>
                <w:b/>
                <w:sz w:val="24"/>
              </w:rPr>
            </w:pPr>
            <w:r>
              <w:rPr>
                <w:b/>
                <w:sz w:val="24"/>
              </w:rPr>
              <w:t>2 gadi</w:t>
            </w:r>
          </w:p>
        </w:tc>
        <w:tc>
          <w:tcPr>
            <w:tcW w:w="708" w:type="dxa"/>
          </w:tcPr>
          <w:p>
            <w:pPr>
              <w:pStyle w:val="TableParagraph"/>
              <w:spacing w:line="259" w:lineRule="exact" w:before="18"/>
              <w:ind w:right="96"/>
              <w:jc w:val="right"/>
              <w:rPr>
                <w:b/>
                <w:sz w:val="24"/>
              </w:rPr>
            </w:pPr>
            <w:r>
              <w:rPr>
                <w:b/>
                <w:sz w:val="24"/>
              </w:rPr>
              <w:t>26</w:t>
            </w:r>
          </w:p>
        </w:tc>
        <w:tc>
          <w:tcPr>
            <w:tcW w:w="1318" w:type="dxa"/>
          </w:tcPr>
          <w:p>
            <w:pPr>
              <w:pStyle w:val="TableParagraph"/>
              <w:spacing w:line="259" w:lineRule="exact" w:before="18"/>
              <w:ind w:left="105"/>
              <w:rPr>
                <w:b/>
                <w:sz w:val="24"/>
              </w:rPr>
            </w:pPr>
            <w:r>
              <w:rPr>
                <w:b/>
                <w:sz w:val="24"/>
              </w:rPr>
              <w:t>27,37 %</w:t>
            </w:r>
          </w:p>
        </w:tc>
      </w:tr>
      <w:tr>
        <w:trPr>
          <w:trHeight w:val="325" w:hRule="atLeast"/>
        </w:trPr>
        <w:tc>
          <w:tcPr>
            <w:tcW w:w="4958" w:type="dxa"/>
          </w:tcPr>
          <w:p>
            <w:pPr>
              <w:pStyle w:val="TableParagraph"/>
              <w:spacing w:line="259" w:lineRule="exact" w:before="47"/>
              <w:ind w:left="107"/>
              <w:rPr>
                <w:b/>
                <w:sz w:val="24"/>
              </w:rPr>
            </w:pPr>
            <w:r>
              <w:rPr>
                <w:b/>
                <w:sz w:val="24"/>
              </w:rPr>
              <w:t>3 gadi</w:t>
            </w:r>
          </w:p>
        </w:tc>
        <w:tc>
          <w:tcPr>
            <w:tcW w:w="708" w:type="dxa"/>
          </w:tcPr>
          <w:p>
            <w:pPr>
              <w:pStyle w:val="TableParagraph"/>
              <w:spacing w:line="259" w:lineRule="exact" w:before="47"/>
              <w:ind w:right="96"/>
              <w:jc w:val="right"/>
              <w:rPr>
                <w:b/>
                <w:sz w:val="24"/>
              </w:rPr>
            </w:pPr>
            <w:r>
              <w:rPr>
                <w:b/>
                <w:sz w:val="24"/>
              </w:rPr>
              <w:t>4</w:t>
            </w:r>
          </w:p>
        </w:tc>
        <w:tc>
          <w:tcPr>
            <w:tcW w:w="1318" w:type="dxa"/>
          </w:tcPr>
          <w:p>
            <w:pPr>
              <w:pStyle w:val="TableParagraph"/>
              <w:spacing w:line="259" w:lineRule="exact" w:before="47"/>
              <w:ind w:left="105"/>
              <w:rPr>
                <w:b/>
                <w:sz w:val="24"/>
              </w:rPr>
            </w:pPr>
            <w:r>
              <w:rPr>
                <w:b/>
                <w:sz w:val="24"/>
              </w:rPr>
              <w:t>4,21 %</w:t>
            </w:r>
          </w:p>
        </w:tc>
      </w:tr>
      <w:tr>
        <w:trPr>
          <w:trHeight w:val="297" w:hRule="atLeast"/>
        </w:trPr>
        <w:tc>
          <w:tcPr>
            <w:tcW w:w="4958" w:type="dxa"/>
          </w:tcPr>
          <w:p>
            <w:pPr>
              <w:pStyle w:val="TableParagraph"/>
              <w:spacing w:line="259" w:lineRule="exact" w:before="18"/>
              <w:ind w:left="107"/>
              <w:rPr>
                <w:b/>
                <w:sz w:val="24"/>
              </w:rPr>
            </w:pPr>
            <w:r>
              <w:rPr>
                <w:b/>
                <w:sz w:val="24"/>
              </w:rPr>
              <w:t>3 gadi un seši mēneši</w:t>
            </w:r>
          </w:p>
        </w:tc>
        <w:tc>
          <w:tcPr>
            <w:tcW w:w="708" w:type="dxa"/>
          </w:tcPr>
          <w:p>
            <w:pPr>
              <w:pStyle w:val="TableParagraph"/>
              <w:spacing w:line="259" w:lineRule="exact" w:before="18"/>
              <w:ind w:right="96"/>
              <w:jc w:val="right"/>
              <w:rPr>
                <w:b/>
                <w:sz w:val="24"/>
              </w:rPr>
            </w:pPr>
            <w:r>
              <w:rPr>
                <w:b/>
                <w:sz w:val="24"/>
              </w:rPr>
              <w:t>1</w:t>
            </w:r>
          </w:p>
        </w:tc>
        <w:tc>
          <w:tcPr>
            <w:tcW w:w="1318" w:type="dxa"/>
          </w:tcPr>
          <w:p>
            <w:pPr>
              <w:pStyle w:val="TableParagraph"/>
              <w:spacing w:line="259" w:lineRule="exact" w:before="18"/>
              <w:ind w:left="105"/>
              <w:rPr>
                <w:b/>
                <w:sz w:val="24"/>
              </w:rPr>
            </w:pPr>
            <w:r>
              <w:rPr>
                <w:b/>
                <w:sz w:val="24"/>
              </w:rPr>
              <w:t>1,05 %</w:t>
            </w:r>
          </w:p>
        </w:tc>
      </w:tr>
    </w:tbl>
    <w:p>
      <w:pPr>
        <w:pStyle w:val="BodyText"/>
        <w:spacing w:before="7"/>
        <w:jc w:val="left"/>
        <w:rPr>
          <w:b/>
          <w:i/>
          <w:sz w:val="20"/>
        </w:rPr>
      </w:pPr>
      <w:r>
        <w:rPr/>
        <w:pict>
          <v:group style="position:absolute;margin-left:125.640015pt;margin-top:13.799983pt;width:315.5pt;height:171.6pt;mso-position-horizontal-relative:page;mso-position-vertical-relative:paragraph;z-index:-251544576;mso-wrap-distance-left:0;mso-wrap-distance-right:0" coordorigin="2513,276" coordsize="6310,3432">
            <v:shape style="position:absolute;left:4204;top:1104;width:2919;height:1743" type="#_x0000_t75" stroked="false">
              <v:imagedata r:id="rId57" o:title=""/>
            </v:shape>
            <v:rect style="position:absolute;left:3048;top:3146;width:108;height:111" filled="true" fillcolor="#4472c3" stroked="false">
              <v:fill type="solid"/>
            </v:rect>
            <v:shape style="position:absolute;left:3026;top:3127;width:152;height:149" coordorigin="3026,3127" coordsize="152,149" path="m3168,3276l3036,3276,3026,3266,3026,3134,3036,3127,3168,3127,3178,3134,3178,3146,3067,3146,3048,3166,3067,3166,3067,3235,3048,3235,3067,3257,3178,3257,3178,3266,3168,3276xm3067,3166l3048,3166,3067,3146,3067,3166xm3137,3166l3067,3166,3067,3146,3137,3146,3137,3166xm3137,3257l3137,3146,3156,3166,3178,3166,3178,3235,3156,3235,3137,3257xm3178,3166l3156,3166,3137,3146,3178,3146,3178,3166xm3067,3257l3048,3235,3067,3235,3067,3257xm3137,3257l3067,3257,3067,3235,3137,3235,3137,3257xm3178,3257l3137,3257,3156,3235,3178,3235,3178,3257xe" filled="true" fillcolor="#ffffff" stroked="false">
              <v:path arrowok="t"/>
              <v:fill type="solid"/>
            </v:shape>
            <v:rect style="position:absolute;left:4120;top:3146;width:108;height:111" filled="true" fillcolor="#ed7c31" stroked="false">
              <v:fill type="solid"/>
            </v:rect>
            <v:shape style="position:absolute;left:4099;top:3127;width:152;height:149" coordorigin="4099,3127" coordsize="152,149" path="m4241,3276l4109,3276,4099,3266,4099,3134,4109,3127,4241,3127,4250,3134,4250,3146,4140,3146,4121,3166,4140,3166,4140,3235,4121,3235,4140,3257,4250,3257,4250,3266,4241,3276xm4140,3166l4121,3166,4140,3146,4140,3166xm4210,3166l4140,3166,4140,3146,4210,3146,4210,3166xm4210,3257l4210,3146,4229,3166,4250,3166,4250,3235,4229,3235,4210,3257xm4250,3166l4229,3166,4210,3146,4250,3146,4250,3166xm4140,3257l4121,3235,4140,3235,4140,3257xm4210,3257l4140,3257,4140,3235,4210,3235,4210,3257xm4250,3257l4210,3257,4229,3235,4250,3235,4250,3257xe" filled="true" fillcolor="#ffffff" stroked="false">
              <v:path arrowok="t"/>
              <v:fill type="solid"/>
            </v:shape>
            <v:rect style="position:absolute;left:4975;top:3146;width:108;height:111" filled="true" fillcolor="#a5a5a5" stroked="false">
              <v:fill type="solid"/>
            </v:rect>
            <v:shape style="position:absolute;left:4953;top:3127;width:152;height:149" coordorigin="4954,3127" coordsize="152,149" path="m5095,3276l4963,3276,4954,3266,4954,3134,4963,3127,5095,3127,5105,3134,5105,3146,4994,3146,4975,3166,4994,3166,4994,3235,4975,3235,4994,3257,5105,3257,5105,3266,5095,3276xm4994,3166l4975,3166,4994,3146,4994,3166xm5064,3166l4994,3166,4994,3146,5064,3146,5064,3166xm5064,3257l5064,3146,5083,3166,5105,3166,5105,3235,5083,3235,5064,3257xm5105,3166l5083,3166,5064,3146,5105,3146,5105,3166xm4994,3257l4975,3235,4994,3235,4994,3257xm5064,3257l4994,3257,4994,3235,5064,3235,5064,3257xm5105,3257l5064,3257,5083,3235,5105,3235,5105,3257xe" filled="true" fillcolor="#ffffff" stroked="false">
              <v:path arrowok="t"/>
              <v:fill type="solid"/>
            </v:shape>
            <v:rect style="position:absolute;left:5992;top:3146;width:111;height:111" filled="true" fillcolor="#ffbf00" stroked="false">
              <v:fill type="solid"/>
            </v:rect>
            <v:shape style="position:absolute;left:5973;top:3127;width:149;height:149" coordorigin="5974,3127" coordsize="149,149" path="m6113,3276l5981,3276,5974,3266,5974,3134,5981,3127,6113,3127,6122,3134,6122,3146,6012,3146,5993,3166,6012,3166,6012,3235,5993,3235,6012,3257,6122,3257,6122,3266,6113,3276xm6012,3166l5993,3166,6012,3146,6012,3166xm6082,3166l6012,3166,6012,3146,6082,3146,6082,3166xm6082,3257l6082,3146,6103,3166,6122,3166,6122,3235,6103,3235,6082,3257xm6122,3166l6103,3166,6082,3146,6122,3146,6122,3166xm6012,3257l5993,3235,6012,3235,6012,3257xm6082,3257l6012,3257,6012,3235,6082,3235,6082,3257xm6122,3257l6082,3257,6103,3235,6122,3235,6122,3257xe" filled="true" fillcolor="#ffffff" stroked="false">
              <v:path arrowok="t"/>
              <v:fill type="solid"/>
            </v:shape>
            <v:rect style="position:absolute;left:6820;top:3146;width:111;height:111" filled="true" fillcolor="#5b9ad4" stroked="false">
              <v:fill type="solid"/>
            </v:rect>
            <v:shape style="position:absolute;left:6801;top:3127;width:149;height:149" coordorigin="6802,3127" coordsize="149,149" path="m6943,3276l6811,3276,6802,3266,6802,3134,6811,3127,6943,3127,6950,3134,6950,3146,6842,3146,6821,3166,6842,3166,6842,3235,6821,3235,6842,3257,6950,3257,6950,3266,6943,3276xm6842,3166l6821,3166,6842,3146,6842,3166xm6912,3166l6842,3166,6842,3146,6912,3146,6912,3166xm6912,3257l6912,3146,6931,3166,6950,3166,6950,3235,6931,3235,6912,3257xm6950,3166l6931,3166,6912,3146,6950,3146,6950,3166xm6842,3257l6821,3235,6842,3235,6842,3257xm6912,3257l6842,3257,6842,3235,6912,3235,6912,3257xm6950,3257l6912,3257,6931,3235,6950,3235,6950,3257xe" filled="true" fillcolor="#ffffff" stroked="false">
              <v:path arrowok="t"/>
              <v:fill type="solid"/>
            </v:shape>
            <v:rect style="position:absolute;left:7651;top:3146;width:111;height:111" filled="true" fillcolor="#70ac46" stroked="false">
              <v:fill type="solid"/>
            </v:rect>
            <v:shape style="position:absolute;left:7632;top:3127;width:149;height:149" coordorigin="7632,3127" coordsize="149,149" path="m7771,3276l7639,3276,7632,3266,7632,3134,7639,3127,7771,3127,7781,3134,7781,3146,7670,3146,7651,3166,7670,3166,7670,3235,7651,3235,7670,3257,7781,3257,7781,3266,7771,3276xm7670,3166l7651,3166,7670,3146,7670,3166xm7740,3166l7670,3166,7670,3146,7740,3146,7740,3166xm7740,3257l7740,3146,7762,3166,7781,3166,7781,3235,7762,3235,7740,3257xm7781,3166l7762,3166,7740,3146,7781,3146,7781,3166xm7670,3257l7651,3235,7670,3235,7670,3257xm7740,3257l7670,3257,7670,3235,7740,3235,7740,3257xm7781,3257l7740,3257,7762,3235,7781,3235,7781,3257xe" filled="true" fillcolor="#ffffff" stroked="false">
              <v:path arrowok="t"/>
              <v:fill type="solid"/>
            </v:shape>
            <v:shape style="position:absolute;left:2512;top:276;width:6310;height:3432" coordorigin="2513,276" coordsize="6310,3432" path="m8820,3708l2518,3708,2513,3706,2513,276,8822,276,8822,276,2530,276,2520,286,2530,286,2530,3694,2520,3694,2530,3701,8822,3701,8822,3706,8820,3708xm2530,286l2520,286,2530,276,2530,286xm8808,286l2530,286,2530,276,8808,276,8808,286xm8808,3701l8808,276,8815,286,8822,286,8822,3694,8815,3694,8808,3701xm8822,286l8815,286,8808,276,8822,276,8822,286xm2530,3701l2520,3694,2530,3694,2530,3701xm8808,3701l2530,3701,2530,3694,8808,3694,8808,3701xm8822,3701l8808,3701,8815,3694,8822,3694,8822,3701xe" filled="true" fillcolor="#000000" stroked="false">
              <v:path arrowok="t"/>
              <v:fill type="solid"/>
            </v:shape>
            <v:shape style="position:absolute;left:3933;top:436;width:3484;height:1220" type="#_x0000_t202" filled="false" stroked="false">
              <v:textbox inset="0,0,0,0">
                <w:txbxContent>
                  <w:p>
                    <w:pPr>
                      <w:spacing w:line="266" w:lineRule="exact" w:before="0"/>
                      <w:ind w:left="0" w:right="0" w:firstLine="0"/>
                      <w:jc w:val="left"/>
                      <w:rPr>
                        <w:sz w:val="24"/>
                      </w:rPr>
                    </w:pPr>
                    <w:r>
                      <w:rPr>
                        <w:sz w:val="24"/>
                      </w:rPr>
                      <w:t>Saistību dzēšanas plāna termiņš (%)</w:t>
                    </w:r>
                  </w:p>
                  <w:p>
                    <w:pPr>
                      <w:spacing w:before="86"/>
                      <w:ind w:left="1032" w:right="0" w:firstLine="0"/>
                      <w:jc w:val="left"/>
                      <w:rPr>
                        <w:sz w:val="22"/>
                      </w:rPr>
                    </w:pPr>
                    <w:r>
                      <w:rPr>
                        <w:sz w:val="22"/>
                      </w:rPr>
                      <w:t>4,21 </w:t>
                    </w:r>
                    <w:r>
                      <w:rPr>
                        <w:position w:val="2"/>
                        <w:sz w:val="22"/>
                      </w:rPr>
                      <w:t>1,05</w:t>
                    </w:r>
                    <w:r>
                      <w:rPr>
                        <w:position w:val="6"/>
                        <w:sz w:val="22"/>
                      </w:rPr>
                      <w:t>3,16</w:t>
                    </w:r>
                  </w:p>
                  <w:p>
                    <w:pPr>
                      <w:spacing w:line="240" w:lineRule="auto" w:before="2"/>
                      <w:rPr>
                        <w:sz w:val="26"/>
                      </w:rPr>
                    </w:pPr>
                  </w:p>
                  <w:p>
                    <w:pPr>
                      <w:spacing w:before="0"/>
                      <w:ind w:left="686" w:right="0" w:firstLine="0"/>
                      <w:jc w:val="left"/>
                      <w:rPr>
                        <w:sz w:val="22"/>
                      </w:rPr>
                    </w:pPr>
                    <w:r>
                      <w:rPr>
                        <w:sz w:val="22"/>
                      </w:rPr>
                      <w:t>27,37</w:t>
                    </w:r>
                  </w:p>
                </w:txbxContent>
              </v:textbox>
              <w10:wrap type="none"/>
            </v:shape>
            <v:shape style="position:absolute;left:4588;top:1951;width:407;height:245" type="#_x0000_t202" filled="false" stroked="false">
              <v:textbox inset="0,0,0,0">
                <w:txbxContent>
                  <w:p>
                    <w:pPr>
                      <w:spacing w:line="244" w:lineRule="exact" w:before="0"/>
                      <w:ind w:left="0" w:right="0" w:firstLine="0"/>
                      <w:jc w:val="left"/>
                      <w:rPr>
                        <w:sz w:val="22"/>
                      </w:rPr>
                    </w:pPr>
                    <w:r>
                      <w:rPr>
                        <w:sz w:val="22"/>
                      </w:rPr>
                      <w:t>8,42</w:t>
                    </w:r>
                  </w:p>
                </w:txbxContent>
              </v:textbox>
              <w10:wrap type="none"/>
            </v:shape>
            <v:shape style="position:absolute;left:6388;top:1831;width:517;height:245" type="#_x0000_t202" filled="false" stroked="false">
              <v:textbox inset="0,0,0,0">
                <w:txbxContent>
                  <w:p>
                    <w:pPr>
                      <w:spacing w:line="244" w:lineRule="exact" w:before="0"/>
                      <w:ind w:left="0" w:right="0" w:firstLine="0"/>
                      <w:jc w:val="left"/>
                      <w:rPr>
                        <w:sz w:val="22"/>
                      </w:rPr>
                    </w:pPr>
                    <w:r>
                      <w:rPr>
                        <w:sz w:val="22"/>
                      </w:rPr>
                      <w:t>55,79</w:t>
                    </w:r>
                  </w:p>
                </w:txbxContent>
              </v:textbox>
              <w10:wrap type="none"/>
            </v:shape>
            <v:shape style="position:absolute;left:3201;top:3072;width:5334;height:245" type="#_x0000_t202" filled="false" stroked="false">
              <v:textbox inset="0,0,0,0">
                <w:txbxContent>
                  <w:p>
                    <w:pPr>
                      <w:tabs>
                        <w:tab w:pos="1075" w:val="left" w:leader="none"/>
                        <w:tab w:pos="1927" w:val="left" w:leader="none"/>
                        <w:tab w:pos="2947" w:val="left" w:leader="none"/>
                        <w:tab w:pos="3775" w:val="left" w:leader="none"/>
                        <w:tab w:pos="4605" w:val="left" w:leader="none"/>
                      </w:tabs>
                      <w:spacing w:line="244" w:lineRule="exact" w:before="0"/>
                      <w:ind w:left="0" w:right="0" w:firstLine="0"/>
                      <w:jc w:val="left"/>
                      <w:rPr>
                        <w:sz w:val="22"/>
                      </w:rPr>
                    </w:pPr>
                    <w:r>
                      <w:rPr>
                        <w:sz w:val="22"/>
                      </w:rPr>
                      <w:t>6</w:t>
                    </w:r>
                    <w:r>
                      <w:rPr>
                        <w:spacing w:val="-1"/>
                        <w:sz w:val="22"/>
                      </w:rPr>
                      <w:t> </w:t>
                    </w:r>
                    <w:r>
                      <w:rPr>
                        <w:sz w:val="22"/>
                      </w:rPr>
                      <w:t>mēneši</w:t>
                      <w:tab/>
                      <w:t>1</w:t>
                    </w:r>
                    <w:r>
                      <w:rPr>
                        <w:spacing w:val="-1"/>
                        <w:sz w:val="22"/>
                      </w:rPr>
                      <w:t> </w:t>
                    </w:r>
                    <w:r>
                      <w:rPr>
                        <w:sz w:val="22"/>
                      </w:rPr>
                      <w:t>gads</w:t>
                      <w:tab/>
                      <w:t>1,5 gads</w:t>
                      <w:tab/>
                      <w:t>2</w:t>
                    </w:r>
                    <w:r>
                      <w:rPr>
                        <w:spacing w:val="1"/>
                        <w:sz w:val="22"/>
                      </w:rPr>
                      <w:t> </w:t>
                    </w:r>
                    <w:r>
                      <w:rPr>
                        <w:sz w:val="22"/>
                      </w:rPr>
                      <w:t>gadi</w:t>
                      <w:tab/>
                      <w:t>3 gadi</w:t>
                      <w:tab/>
                      <w:t>3,5</w:t>
                    </w:r>
                    <w:r>
                      <w:rPr>
                        <w:spacing w:val="-1"/>
                        <w:sz w:val="22"/>
                      </w:rPr>
                      <w:t> </w:t>
                    </w:r>
                    <w:r>
                      <w:rPr>
                        <w:sz w:val="22"/>
                      </w:rPr>
                      <w:t>gadi</w:t>
                    </w:r>
                  </w:p>
                </w:txbxContent>
              </v:textbox>
              <w10:wrap type="none"/>
            </v:shape>
            <w10:wrap type="topAndBottom"/>
          </v:group>
        </w:pict>
      </w:r>
    </w:p>
    <w:p>
      <w:pPr>
        <w:pStyle w:val="BodyText"/>
        <w:jc w:val="left"/>
        <w:rPr>
          <w:b/>
          <w:i/>
          <w:sz w:val="26"/>
        </w:rPr>
      </w:pPr>
    </w:p>
    <w:p>
      <w:pPr>
        <w:pStyle w:val="Heading4"/>
        <w:numPr>
          <w:ilvl w:val="1"/>
          <w:numId w:val="48"/>
        </w:numPr>
        <w:tabs>
          <w:tab w:pos="982" w:val="left" w:leader="none"/>
        </w:tabs>
        <w:spacing w:line="240" w:lineRule="auto" w:before="228" w:after="0"/>
        <w:ind w:left="981" w:right="0" w:hanging="362"/>
        <w:jc w:val="left"/>
        <w:rPr>
          <w:i/>
        </w:rPr>
      </w:pPr>
      <w:bookmarkStart w:name="_TOC_250047" w:id="31"/>
      <w:r>
        <w:rPr>
          <w:i/>
        </w:rPr>
        <w:t>Kreditoriem maksājamā</w:t>
      </w:r>
      <w:r>
        <w:rPr>
          <w:i/>
          <w:spacing w:val="-4"/>
        </w:rPr>
        <w:t> </w:t>
      </w:r>
      <w:bookmarkEnd w:id="31"/>
      <w:r>
        <w:rPr>
          <w:i/>
        </w:rPr>
        <w:t>summa</w:t>
      </w:r>
    </w:p>
    <w:p>
      <w:pPr>
        <w:pStyle w:val="BodyText"/>
        <w:jc w:val="left"/>
        <w:rPr>
          <w:b/>
          <w:i/>
        </w:rPr>
      </w:pPr>
    </w:p>
    <w:p>
      <w:pPr>
        <w:pStyle w:val="ListParagraph"/>
        <w:numPr>
          <w:ilvl w:val="0"/>
          <w:numId w:val="49"/>
        </w:numPr>
        <w:tabs>
          <w:tab w:pos="1112" w:val="left" w:leader="none"/>
        </w:tabs>
        <w:spacing w:line="240" w:lineRule="auto" w:before="0" w:after="0"/>
        <w:ind w:left="1112" w:right="762" w:hanging="425"/>
        <w:jc w:val="both"/>
        <w:rPr>
          <w:b/>
          <w:i/>
          <w:sz w:val="24"/>
        </w:rPr>
      </w:pPr>
      <w:r>
        <w:rPr>
          <w:b/>
          <w:i/>
          <w:sz w:val="24"/>
        </w:rPr>
        <w:t>Minimālo maksājumu proporcija maksātnespējas procesos, kuros sastādīts </w:t>
      </w:r>
      <w:r>
        <w:rPr>
          <w:b/>
          <w:i/>
          <w:sz w:val="24"/>
        </w:rPr>
        <w:t>mantas</w:t>
      </w:r>
      <w:r>
        <w:rPr>
          <w:b/>
          <w:i/>
          <w:spacing w:val="-12"/>
          <w:sz w:val="24"/>
        </w:rPr>
        <w:t> </w:t>
      </w:r>
      <w:r>
        <w:rPr>
          <w:b/>
          <w:i/>
          <w:sz w:val="24"/>
        </w:rPr>
        <w:t>pārdošanas</w:t>
      </w:r>
      <w:r>
        <w:rPr>
          <w:b/>
          <w:i/>
          <w:spacing w:val="-11"/>
          <w:sz w:val="24"/>
        </w:rPr>
        <w:t> </w:t>
      </w:r>
      <w:r>
        <w:rPr>
          <w:b/>
          <w:i/>
          <w:sz w:val="24"/>
        </w:rPr>
        <w:t>plāns</w:t>
      </w:r>
      <w:r>
        <w:rPr>
          <w:b/>
          <w:i/>
          <w:spacing w:val="-11"/>
          <w:sz w:val="24"/>
        </w:rPr>
        <w:t> </w:t>
      </w:r>
      <w:r>
        <w:rPr>
          <w:b/>
          <w:i/>
          <w:sz w:val="24"/>
        </w:rPr>
        <w:t>un</w:t>
      </w:r>
      <w:r>
        <w:rPr>
          <w:b/>
          <w:i/>
          <w:spacing w:val="-13"/>
          <w:sz w:val="24"/>
        </w:rPr>
        <w:t> </w:t>
      </w:r>
      <w:r>
        <w:rPr>
          <w:b/>
          <w:i/>
          <w:sz w:val="24"/>
        </w:rPr>
        <w:t>maksātnespējas</w:t>
      </w:r>
      <w:r>
        <w:rPr>
          <w:b/>
          <w:i/>
          <w:spacing w:val="-11"/>
          <w:sz w:val="24"/>
        </w:rPr>
        <w:t> </w:t>
      </w:r>
      <w:r>
        <w:rPr>
          <w:b/>
          <w:i/>
          <w:sz w:val="24"/>
        </w:rPr>
        <w:t>procesos,</w:t>
      </w:r>
      <w:r>
        <w:rPr>
          <w:b/>
          <w:i/>
          <w:spacing w:val="-11"/>
          <w:sz w:val="24"/>
        </w:rPr>
        <w:t> </w:t>
      </w:r>
      <w:r>
        <w:rPr>
          <w:b/>
          <w:i/>
          <w:sz w:val="24"/>
        </w:rPr>
        <w:t>kuros</w:t>
      </w:r>
      <w:r>
        <w:rPr>
          <w:b/>
          <w:i/>
          <w:spacing w:val="-11"/>
          <w:sz w:val="24"/>
        </w:rPr>
        <w:t> </w:t>
      </w:r>
      <w:r>
        <w:rPr>
          <w:b/>
          <w:i/>
          <w:sz w:val="24"/>
        </w:rPr>
        <w:t>sastādīts</w:t>
      </w:r>
      <w:r>
        <w:rPr>
          <w:b/>
          <w:i/>
          <w:spacing w:val="-11"/>
          <w:sz w:val="24"/>
        </w:rPr>
        <w:t> </w:t>
      </w:r>
      <w:r>
        <w:rPr>
          <w:b/>
          <w:i/>
          <w:sz w:val="24"/>
        </w:rPr>
        <w:t>ziņojums par mantas</w:t>
      </w:r>
      <w:r>
        <w:rPr>
          <w:b/>
          <w:i/>
          <w:spacing w:val="-1"/>
          <w:sz w:val="24"/>
        </w:rPr>
        <w:t> </w:t>
      </w:r>
      <w:r>
        <w:rPr>
          <w:b/>
          <w:i/>
          <w:sz w:val="24"/>
        </w:rPr>
        <w:t>neesamību</w:t>
      </w:r>
    </w:p>
    <w:p>
      <w:pPr>
        <w:pStyle w:val="BodyText"/>
        <w:spacing w:before="6"/>
        <w:jc w:val="left"/>
        <w:rPr>
          <w:b/>
          <w:i/>
          <w:sz w:val="23"/>
        </w:rPr>
      </w:pPr>
    </w:p>
    <w:p>
      <w:pPr>
        <w:pStyle w:val="BodyText"/>
        <w:spacing w:before="1"/>
        <w:ind w:left="260" w:right="761" w:firstLine="360"/>
      </w:pPr>
      <w:r>
        <w:rPr/>
        <w:t>No analizējamajiem maksātnespējas procesiem 44 maksātnespējas procesos saistību dzēšanas plānā tika paredzēts kreditoru prasījumu segšanai novirzīt 1/3 daļu no minimālās algas. No minētajiem procesiem 29 bija tādi, kuros bija sastādīts ziņojums par mantas neesamību,</w:t>
      </w:r>
      <w:r>
        <w:rPr>
          <w:spacing w:val="-6"/>
        </w:rPr>
        <w:t> </w:t>
      </w:r>
      <w:r>
        <w:rPr/>
        <w:t>bet</w:t>
      </w:r>
      <w:r>
        <w:rPr>
          <w:spacing w:val="-5"/>
        </w:rPr>
        <w:t> </w:t>
      </w:r>
      <w:r>
        <w:rPr/>
        <w:t>15</w:t>
      </w:r>
      <w:r>
        <w:rPr>
          <w:spacing w:val="-5"/>
        </w:rPr>
        <w:t> </w:t>
      </w:r>
      <w:r>
        <w:rPr/>
        <w:t>procesi,</w:t>
      </w:r>
      <w:r>
        <w:rPr>
          <w:spacing w:val="-4"/>
        </w:rPr>
        <w:t> </w:t>
      </w:r>
      <w:r>
        <w:rPr/>
        <w:t>kurā</w:t>
      </w:r>
      <w:r>
        <w:rPr>
          <w:spacing w:val="-9"/>
        </w:rPr>
        <w:t> </w:t>
      </w:r>
      <w:r>
        <w:rPr/>
        <w:t>bija</w:t>
      </w:r>
      <w:r>
        <w:rPr>
          <w:spacing w:val="-8"/>
        </w:rPr>
        <w:t> </w:t>
      </w:r>
      <w:r>
        <w:rPr/>
        <w:t>sastādīts</w:t>
      </w:r>
      <w:r>
        <w:rPr>
          <w:spacing w:val="-6"/>
        </w:rPr>
        <w:t> </w:t>
      </w:r>
      <w:r>
        <w:rPr/>
        <w:t>mantas</w:t>
      </w:r>
      <w:r>
        <w:rPr>
          <w:spacing w:val="-7"/>
        </w:rPr>
        <w:t> </w:t>
      </w:r>
      <w:r>
        <w:rPr/>
        <w:t>pārdošanas</w:t>
      </w:r>
      <w:r>
        <w:rPr>
          <w:spacing w:val="-7"/>
        </w:rPr>
        <w:t> </w:t>
      </w:r>
      <w:r>
        <w:rPr/>
        <w:t>plāns.</w:t>
      </w:r>
      <w:r>
        <w:rPr>
          <w:spacing w:val="-6"/>
        </w:rPr>
        <w:t> </w:t>
      </w:r>
      <w:r>
        <w:rPr/>
        <w:t>Attiecīgi</w:t>
      </w:r>
      <w:r>
        <w:rPr>
          <w:spacing w:val="-5"/>
        </w:rPr>
        <w:t> </w:t>
      </w:r>
      <w:r>
        <w:rPr/>
        <w:t>no</w:t>
      </w:r>
      <w:r>
        <w:rPr>
          <w:spacing w:val="-5"/>
        </w:rPr>
        <w:t> </w:t>
      </w:r>
      <w:r>
        <w:rPr/>
        <w:t>kopējā analizējamo maksātnespējas procesu skaita, kas tika uzsākti laika periodā pēc 2015.</w:t>
      </w:r>
      <w:r>
        <w:rPr>
          <w:spacing w:val="41"/>
        </w:rPr>
        <w:t> </w:t>
      </w:r>
      <w:r>
        <w:rPr/>
        <w:t>gada</w:t>
      </w:r>
    </w:p>
    <w:p>
      <w:pPr>
        <w:pStyle w:val="ListParagraph"/>
        <w:numPr>
          <w:ilvl w:val="0"/>
          <w:numId w:val="50"/>
        </w:numPr>
        <w:tabs>
          <w:tab w:pos="500" w:val="left" w:leader="none"/>
        </w:tabs>
        <w:spacing w:line="240" w:lineRule="auto" w:before="0" w:after="0"/>
        <w:ind w:left="260" w:right="762" w:firstLine="0"/>
        <w:jc w:val="both"/>
        <w:rPr>
          <w:sz w:val="24"/>
        </w:rPr>
      </w:pPr>
      <w:r>
        <w:rPr>
          <w:sz w:val="24"/>
        </w:rPr>
        <w:t>marta, un kuros kreditoriem tika paredzēts veikt minimālos maksājumus, 34,09 </w:t>
      </w:r>
      <w:r>
        <w:rPr>
          <w:spacing w:val="-12"/>
          <w:sz w:val="24"/>
        </w:rPr>
        <w:t>% </w:t>
      </w:r>
      <w:r>
        <w:rPr>
          <w:sz w:val="24"/>
        </w:rPr>
        <w:t>gadījumu</w:t>
      </w:r>
      <w:r>
        <w:rPr>
          <w:spacing w:val="-10"/>
          <w:sz w:val="24"/>
        </w:rPr>
        <w:t> </w:t>
      </w:r>
      <w:r>
        <w:rPr>
          <w:sz w:val="24"/>
        </w:rPr>
        <w:t>tie</w:t>
      </w:r>
      <w:r>
        <w:rPr>
          <w:spacing w:val="-8"/>
          <w:sz w:val="24"/>
        </w:rPr>
        <w:t> </w:t>
      </w:r>
      <w:r>
        <w:rPr>
          <w:sz w:val="24"/>
        </w:rPr>
        <w:t>bija</w:t>
      </w:r>
      <w:r>
        <w:rPr>
          <w:spacing w:val="-9"/>
          <w:sz w:val="24"/>
        </w:rPr>
        <w:t> </w:t>
      </w:r>
      <w:r>
        <w:rPr>
          <w:sz w:val="24"/>
        </w:rPr>
        <w:t>maksātnespējas</w:t>
      </w:r>
      <w:r>
        <w:rPr>
          <w:spacing w:val="-12"/>
          <w:sz w:val="24"/>
        </w:rPr>
        <w:t> </w:t>
      </w:r>
      <w:r>
        <w:rPr>
          <w:sz w:val="24"/>
        </w:rPr>
        <w:t>procesi,</w:t>
      </w:r>
      <w:r>
        <w:rPr>
          <w:spacing w:val="-6"/>
          <w:sz w:val="24"/>
        </w:rPr>
        <w:t> </w:t>
      </w:r>
      <w:r>
        <w:rPr>
          <w:sz w:val="24"/>
        </w:rPr>
        <w:t>kuros</w:t>
      </w:r>
      <w:r>
        <w:rPr>
          <w:spacing w:val="-10"/>
          <w:sz w:val="24"/>
        </w:rPr>
        <w:t> </w:t>
      </w:r>
      <w:r>
        <w:rPr>
          <w:sz w:val="24"/>
        </w:rPr>
        <w:t>parādniekam</w:t>
      </w:r>
      <w:r>
        <w:rPr>
          <w:spacing w:val="-9"/>
          <w:sz w:val="24"/>
        </w:rPr>
        <w:t> </w:t>
      </w:r>
      <w:r>
        <w:rPr>
          <w:sz w:val="24"/>
        </w:rPr>
        <w:t>piederēja</w:t>
      </w:r>
      <w:r>
        <w:rPr>
          <w:spacing w:val="-10"/>
          <w:sz w:val="24"/>
        </w:rPr>
        <w:t> </w:t>
      </w:r>
      <w:r>
        <w:rPr>
          <w:sz w:val="24"/>
        </w:rPr>
        <w:t>manta,</w:t>
      </w:r>
      <w:r>
        <w:rPr>
          <w:spacing w:val="-10"/>
          <w:sz w:val="24"/>
        </w:rPr>
        <w:t> </w:t>
      </w:r>
      <w:r>
        <w:rPr>
          <w:sz w:val="24"/>
        </w:rPr>
        <w:t>bet</w:t>
      </w:r>
      <w:r>
        <w:rPr>
          <w:spacing w:val="-11"/>
          <w:sz w:val="24"/>
        </w:rPr>
        <w:t> </w:t>
      </w:r>
      <w:r>
        <w:rPr>
          <w:sz w:val="24"/>
        </w:rPr>
        <w:t>65,91</w:t>
      </w:r>
      <w:r>
        <w:rPr>
          <w:spacing w:val="-2"/>
          <w:sz w:val="24"/>
        </w:rPr>
        <w:t> </w:t>
      </w:r>
      <w:r>
        <w:rPr>
          <w:sz w:val="24"/>
        </w:rPr>
        <w:t>% gadījumu maksātnespējas procesi, kuros parādniekam nepiederēja</w:t>
      </w:r>
      <w:r>
        <w:rPr>
          <w:spacing w:val="-2"/>
          <w:sz w:val="24"/>
        </w:rPr>
        <w:t> </w:t>
      </w:r>
      <w:r>
        <w:rPr>
          <w:sz w:val="24"/>
        </w:rPr>
        <w:t>manta.</w:t>
      </w:r>
    </w:p>
    <w:p>
      <w:pPr>
        <w:pStyle w:val="BodyText"/>
        <w:spacing w:before="8"/>
        <w:jc w:val="left"/>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78"/>
        <w:gridCol w:w="674"/>
        <w:gridCol w:w="1041"/>
      </w:tblGrid>
      <w:tr>
        <w:trPr>
          <w:trHeight w:val="282" w:hRule="atLeast"/>
        </w:trPr>
        <w:tc>
          <w:tcPr>
            <w:tcW w:w="6878" w:type="dxa"/>
          </w:tcPr>
          <w:p>
            <w:pPr>
              <w:pStyle w:val="TableParagraph"/>
              <w:spacing w:line="263" w:lineRule="exact"/>
              <w:ind w:left="107"/>
              <w:rPr>
                <w:b/>
                <w:sz w:val="24"/>
              </w:rPr>
            </w:pPr>
            <w:r>
              <w:rPr>
                <w:b/>
                <w:sz w:val="24"/>
              </w:rPr>
              <w:t>Procesu skaits, kuros paredzēts veikt minimālos maksājumus</w:t>
            </w:r>
          </w:p>
        </w:tc>
        <w:tc>
          <w:tcPr>
            <w:tcW w:w="674" w:type="dxa"/>
          </w:tcPr>
          <w:p>
            <w:pPr>
              <w:pStyle w:val="TableParagraph"/>
              <w:spacing w:line="263" w:lineRule="exact"/>
              <w:ind w:left="107"/>
              <w:rPr>
                <w:b/>
                <w:sz w:val="24"/>
              </w:rPr>
            </w:pPr>
            <w:r>
              <w:rPr>
                <w:b/>
                <w:sz w:val="24"/>
              </w:rPr>
              <w:t>44</w:t>
            </w:r>
          </w:p>
        </w:tc>
        <w:tc>
          <w:tcPr>
            <w:tcW w:w="1041" w:type="dxa"/>
          </w:tcPr>
          <w:p>
            <w:pPr>
              <w:pStyle w:val="TableParagraph"/>
              <w:rPr>
                <w:sz w:val="20"/>
              </w:rPr>
            </w:pPr>
          </w:p>
        </w:tc>
      </w:tr>
      <w:tr>
        <w:trPr>
          <w:trHeight w:val="277" w:hRule="atLeast"/>
        </w:trPr>
        <w:tc>
          <w:tcPr>
            <w:tcW w:w="6878" w:type="dxa"/>
            <w:tcBorders>
              <w:bottom w:val="nil"/>
            </w:tcBorders>
          </w:tcPr>
          <w:p>
            <w:pPr>
              <w:pStyle w:val="TableParagraph"/>
              <w:spacing w:line="258" w:lineRule="exact"/>
              <w:ind w:left="107"/>
              <w:rPr>
                <w:b/>
                <w:sz w:val="24"/>
              </w:rPr>
            </w:pPr>
            <w:r>
              <w:rPr>
                <w:b/>
                <w:sz w:val="24"/>
              </w:rPr>
              <w:t>Gadījumi, kurs maksājumi kreditoriem tiek veikti 1/3 apmērā</w:t>
            </w:r>
          </w:p>
        </w:tc>
        <w:tc>
          <w:tcPr>
            <w:tcW w:w="674" w:type="dxa"/>
            <w:tcBorders>
              <w:bottom w:val="nil"/>
            </w:tcBorders>
          </w:tcPr>
          <w:p>
            <w:pPr>
              <w:pStyle w:val="TableParagraph"/>
              <w:spacing w:line="258" w:lineRule="exact"/>
              <w:ind w:left="108"/>
              <w:rPr>
                <w:b/>
                <w:sz w:val="24"/>
              </w:rPr>
            </w:pPr>
            <w:r>
              <w:rPr>
                <w:b/>
                <w:sz w:val="24"/>
              </w:rPr>
              <w:t>29</w:t>
            </w:r>
          </w:p>
        </w:tc>
        <w:tc>
          <w:tcPr>
            <w:tcW w:w="1041" w:type="dxa"/>
            <w:tcBorders>
              <w:bottom w:val="nil"/>
            </w:tcBorders>
          </w:tcPr>
          <w:p>
            <w:pPr>
              <w:pStyle w:val="TableParagraph"/>
              <w:spacing w:line="258" w:lineRule="exact"/>
              <w:ind w:left="108"/>
              <w:rPr>
                <w:b/>
                <w:sz w:val="24"/>
              </w:rPr>
            </w:pPr>
            <w:r>
              <w:rPr>
                <w:b/>
                <w:sz w:val="24"/>
              </w:rPr>
              <w:t>65,91</w:t>
            </w:r>
          </w:p>
        </w:tc>
      </w:tr>
      <w:tr>
        <w:trPr>
          <w:trHeight w:val="275" w:hRule="atLeast"/>
        </w:trPr>
        <w:tc>
          <w:tcPr>
            <w:tcW w:w="6878" w:type="dxa"/>
            <w:tcBorders>
              <w:top w:val="nil"/>
              <w:bottom w:val="nil"/>
            </w:tcBorders>
          </w:tcPr>
          <w:p>
            <w:pPr>
              <w:pStyle w:val="TableParagraph"/>
              <w:spacing w:line="256" w:lineRule="exact"/>
              <w:ind w:left="107"/>
              <w:rPr>
                <w:b/>
                <w:sz w:val="24"/>
              </w:rPr>
            </w:pPr>
            <w:r>
              <w:rPr>
                <w:b/>
                <w:sz w:val="24"/>
              </w:rPr>
              <w:t>no minimālās algas, ja ir sastādīts ziņojums par mantas</w:t>
            </w:r>
          </w:p>
        </w:tc>
        <w:tc>
          <w:tcPr>
            <w:tcW w:w="674" w:type="dxa"/>
            <w:tcBorders>
              <w:top w:val="nil"/>
              <w:bottom w:val="nil"/>
            </w:tcBorders>
          </w:tcPr>
          <w:p>
            <w:pPr>
              <w:pStyle w:val="TableParagraph"/>
              <w:rPr>
                <w:sz w:val="20"/>
              </w:rPr>
            </w:pPr>
          </w:p>
        </w:tc>
        <w:tc>
          <w:tcPr>
            <w:tcW w:w="1041" w:type="dxa"/>
            <w:tcBorders>
              <w:top w:val="nil"/>
              <w:bottom w:val="nil"/>
            </w:tcBorders>
          </w:tcPr>
          <w:p>
            <w:pPr>
              <w:pStyle w:val="TableParagraph"/>
              <w:spacing w:line="256" w:lineRule="exact"/>
              <w:ind w:left="108"/>
              <w:rPr>
                <w:b/>
                <w:sz w:val="24"/>
              </w:rPr>
            </w:pPr>
            <w:r>
              <w:rPr>
                <w:b/>
                <w:sz w:val="24"/>
              </w:rPr>
              <w:t>%</w:t>
            </w:r>
          </w:p>
        </w:tc>
      </w:tr>
      <w:tr>
        <w:trPr>
          <w:trHeight w:val="273" w:hRule="atLeast"/>
        </w:trPr>
        <w:tc>
          <w:tcPr>
            <w:tcW w:w="6878" w:type="dxa"/>
            <w:tcBorders>
              <w:top w:val="nil"/>
            </w:tcBorders>
          </w:tcPr>
          <w:p>
            <w:pPr>
              <w:pStyle w:val="TableParagraph"/>
              <w:spacing w:line="254" w:lineRule="exact"/>
              <w:ind w:left="107"/>
              <w:rPr>
                <w:b/>
                <w:sz w:val="24"/>
              </w:rPr>
            </w:pPr>
            <w:r>
              <w:rPr>
                <w:b/>
                <w:sz w:val="24"/>
              </w:rPr>
              <w:t>neesamību</w:t>
            </w:r>
          </w:p>
        </w:tc>
        <w:tc>
          <w:tcPr>
            <w:tcW w:w="674" w:type="dxa"/>
            <w:tcBorders>
              <w:top w:val="nil"/>
            </w:tcBorders>
          </w:tcPr>
          <w:p>
            <w:pPr>
              <w:pStyle w:val="TableParagraph"/>
              <w:rPr>
                <w:sz w:val="20"/>
              </w:rPr>
            </w:pPr>
          </w:p>
        </w:tc>
        <w:tc>
          <w:tcPr>
            <w:tcW w:w="1041" w:type="dxa"/>
            <w:tcBorders>
              <w:top w:val="nil"/>
            </w:tcBorders>
          </w:tcPr>
          <w:p>
            <w:pPr>
              <w:pStyle w:val="TableParagraph"/>
              <w:rPr>
                <w:sz w:val="20"/>
              </w:rPr>
            </w:pPr>
          </w:p>
        </w:tc>
      </w:tr>
      <w:tr>
        <w:trPr>
          <w:trHeight w:val="280" w:hRule="atLeast"/>
        </w:trPr>
        <w:tc>
          <w:tcPr>
            <w:tcW w:w="6878" w:type="dxa"/>
            <w:tcBorders>
              <w:bottom w:val="nil"/>
            </w:tcBorders>
          </w:tcPr>
          <w:p>
            <w:pPr>
              <w:pStyle w:val="TableParagraph"/>
              <w:spacing w:line="260" w:lineRule="exact"/>
              <w:ind w:left="107"/>
              <w:rPr>
                <w:b/>
                <w:sz w:val="24"/>
              </w:rPr>
            </w:pPr>
            <w:r>
              <w:rPr>
                <w:b/>
                <w:sz w:val="24"/>
              </w:rPr>
              <w:t>Gadījumi, kuros maksājumi kreditoriem tiek veikti 1/3 apmērā</w:t>
            </w:r>
          </w:p>
        </w:tc>
        <w:tc>
          <w:tcPr>
            <w:tcW w:w="674" w:type="dxa"/>
            <w:tcBorders>
              <w:bottom w:val="nil"/>
            </w:tcBorders>
          </w:tcPr>
          <w:p>
            <w:pPr>
              <w:pStyle w:val="TableParagraph"/>
              <w:spacing w:line="260" w:lineRule="exact"/>
              <w:ind w:left="108"/>
              <w:rPr>
                <w:b/>
                <w:sz w:val="24"/>
              </w:rPr>
            </w:pPr>
            <w:r>
              <w:rPr>
                <w:b/>
                <w:sz w:val="24"/>
              </w:rPr>
              <w:t>15</w:t>
            </w:r>
          </w:p>
        </w:tc>
        <w:tc>
          <w:tcPr>
            <w:tcW w:w="1041" w:type="dxa"/>
            <w:tcBorders>
              <w:bottom w:val="nil"/>
            </w:tcBorders>
          </w:tcPr>
          <w:p>
            <w:pPr>
              <w:pStyle w:val="TableParagraph"/>
              <w:spacing w:line="260" w:lineRule="exact"/>
              <w:ind w:left="108"/>
              <w:rPr>
                <w:b/>
                <w:sz w:val="24"/>
              </w:rPr>
            </w:pPr>
            <w:r>
              <w:rPr>
                <w:b/>
                <w:sz w:val="24"/>
              </w:rPr>
              <w:t>34,09</w:t>
            </w:r>
          </w:p>
        </w:tc>
      </w:tr>
      <w:tr>
        <w:trPr>
          <w:trHeight w:val="273" w:hRule="atLeast"/>
        </w:trPr>
        <w:tc>
          <w:tcPr>
            <w:tcW w:w="6878" w:type="dxa"/>
            <w:tcBorders>
              <w:top w:val="nil"/>
            </w:tcBorders>
          </w:tcPr>
          <w:p>
            <w:pPr>
              <w:pStyle w:val="TableParagraph"/>
              <w:spacing w:line="254" w:lineRule="exact"/>
              <w:ind w:left="107"/>
              <w:rPr>
                <w:b/>
                <w:sz w:val="24"/>
              </w:rPr>
            </w:pPr>
            <w:r>
              <w:rPr>
                <w:b/>
                <w:sz w:val="24"/>
              </w:rPr>
              <w:t>no minimālās algas, ja ir sastādīts mantas pārdošanas plāns</w:t>
            </w:r>
          </w:p>
        </w:tc>
        <w:tc>
          <w:tcPr>
            <w:tcW w:w="674" w:type="dxa"/>
            <w:tcBorders>
              <w:top w:val="nil"/>
            </w:tcBorders>
          </w:tcPr>
          <w:p>
            <w:pPr>
              <w:pStyle w:val="TableParagraph"/>
              <w:rPr>
                <w:sz w:val="20"/>
              </w:rPr>
            </w:pPr>
          </w:p>
        </w:tc>
        <w:tc>
          <w:tcPr>
            <w:tcW w:w="1041" w:type="dxa"/>
            <w:tcBorders>
              <w:top w:val="nil"/>
            </w:tcBorders>
          </w:tcPr>
          <w:p>
            <w:pPr>
              <w:pStyle w:val="TableParagraph"/>
              <w:spacing w:line="254" w:lineRule="exact"/>
              <w:ind w:left="108"/>
              <w:rPr>
                <w:b/>
                <w:sz w:val="24"/>
              </w:rPr>
            </w:pPr>
            <w:r>
              <w:rPr>
                <w:b/>
                <w:sz w:val="24"/>
              </w:rPr>
              <w:t>%</w:t>
            </w:r>
          </w:p>
        </w:tc>
      </w:tr>
    </w:tbl>
    <w:p>
      <w:pPr>
        <w:spacing w:after="0" w:line="254" w:lineRule="exact"/>
        <w:rPr>
          <w:sz w:val="24"/>
        </w:rPr>
        <w:sectPr>
          <w:pgSz w:w="11910" w:h="16840"/>
          <w:pgMar w:header="0" w:footer="1055" w:top="1340" w:bottom="1240" w:left="1180" w:right="1040"/>
        </w:sectPr>
      </w:pPr>
    </w:p>
    <w:p>
      <w:pPr>
        <w:pStyle w:val="BodyText"/>
        <w:ind w:left="1944"/>
        <w:jc w:val="left"/>
        <w:rPr>
          <w:sz w:val="20"/>
        </w:rPr>
      </w:pPr>
      <w:r>
        <w:rPr>
          <w:sz w:val="20"/>
        </w:rPr>
        <w:pict>
          <v:group style="width:298.95pt;height:189pt;mso-position-horizontal-relative:char;mso-position-vertical-relative:line" coordorigin="0,0" coordsize="5979,3780">
            <v:shape style="position:absolute;left:1752;top:748;width:2458;height:1436" type="#_x0000_t75" stroked="false">
              <v:imagedata r:id="rId58" o:title=""/>
            </v:shape>
            <v:rect style="position:absolute;left:700;top:2244;width:89;height:89" filled="true" fillcolor="#4472c3" stroked="false">
              <v:fill type="solid"/>
            </v:rect>
            <v:shape style="position:absolute;left:681;top:2224;width:130;height:130" coordorigin="682,2225" coordsize="130,130" path="m802,2354l691,2354,682,2345,682,2232,691,2225,802,2225,811,2232,811,2244,720,2244,701,2263,720,2263,720,2314,701,2314,720,2333,811,2333,811,2345,802,2354xm720,2263l701,2263,720,2244,720,2263xm770,2263l720,2263,720,2244,770,2244,770,2263xm770,2333l770,2244,790,2263,811,2263,811,2314,790,2314,770,2333xm811,2263l790,2263,770,2244,811,2244,811,2263xm720,2333l701,2314,720,2314,720,2333xm770,2333l720,2333,720,2314,770,2314,770,2333xm811,2333l770,2333,790,2314,811,2314,811,2333xe" filled="true" fillcolor="#ffffff" stroked="false">
              <v:path arrowok="t"/>
              <v:fill type="solid"/>
            </v:shape>
            <v:rect style="position:absolute;left:700;top:2870;width:89;height:92" filled="true" fillcolor="#ed7c31" stroked="false">
              <v:fill type="solid"/>
            </v:rect>
            <v:shape style="position:absolute;left:681;top:2851;width:130;height:130" coordorigin="682,2851" coordsize="130,130" path="m802,2981l691,2981,682,2971,682,2861,691,2851,802,2851,811,2861,811,2870,720,2870,701,2892,720,2892,720,2940,701,2940,720,2962,811,2962,811,2971,802,2981xm720,2892l701,2892,720,2870,720,2892xm770,2892l720,2892,720,2870,770,2870,770,2892xm770,2962l770,2870,790,2892,811,2892,811,2940,790,2940,770,2962xm811,2892l790,2892,770,2870,811,2870,811,2892xm720,2962l701,2940,720,2940,720,2962xm770,2962l720,2962,720,2940,770,2940,770,2962xm811,2962l770,2962,790,2940,811,2940,811,2962xe" filled="true" fillcolor="#ffffff" stroked="false">
              <v:path arrowok="t"/>
              <v:fill type="solid"/>
            </v:shape>
            <v:shape style="position:absolute;left:0;top:0;width:5979;height:3780" coordorigin="0,0" coordsize="5979,3780" path="m5974,3780l2,3780,0,3778,0,0,14,0,7,10,14,10,14,3766,7,3766,14,3773,5978,3773,5978,3778,5974,3780xm14,10l7,10,14,0,14,0,14,10xm5964,10l14,10,14,0,5964,0,5964,10xm5964,3773l5964,0,5971,10,5978,10,5978,3766,5971,3766,5964,3773xm5978,10l5971,10,5964,0,5978,0,5978,10xm14,3773l7,3766,14,3766,14,3773xm5964,3773l14,3773,14,3766,5964,3766,5964,3773xm5978,3773l5964,3773,5971,3766,5978,3766,5978,3773xe" filled="true" fillcolor="#000000" stroked="false">
              <v:path arrowok="t"/>
              <v:fill type="solid"/>
            </v:shape>
            <v:shape style="position:absolute;left:1142;top:160;width:3712;height:1412" type="#_x0000_t202" filled="false" stroked="false">
              <v:textbox inset="0,0,0,0">
                <w:txbxContent>
                  <w:p>
                    <w:pPr>
                      <w:spacing w:line="240" w:lineRule="auto" w:before="0"/>
                      <w:ind w:left="859" w:right="0" w:hanging="860"/>
                      <w:jc w:val="left"/>
                      <w:rPr>
                        <w:sz w:val="24"/>
                      </w:rPr>
                    </w:pPr>
                    <w:r>
                      <w:rPr>
                        <w:sz w:val="24"/>
                      </w:rPr>
                      <w:t>Maksājumi kreditoriem 1/3 apmērā no minimālās algas (%)</w:t>
                    </w:r>
                  </w:p>
                  <w:p>
                    <w:pPr>
                      <w:spacing w:before="218"/>
                      <w:ind w:left="1094" w:right="0" w:firstLine="0"/>
                      <w:jc w:val="left"/>
                      <w:rPr>
                        <w:sz w:val="18"/>
                      </w:rPr>
                    </w:pPr>
                    <w:r>
                      <w:rPr>
                        <w:sz w:val="18"/>
                      </w:rPr>
                      <w:t>34,09</w:t>
                    </w:r>
                  </w:p>
                  <w:p>
                    <w:pPr>
                      <w:spacing w:line="240" w:lineRule="auto" w:before="9"/>
                      <w:rPr>
                        <w:sz w:val="19"/>
                      </w:rPr>
                    </w:pPr>
                  </w:p>
                  <w:p>
                    <w:pPr>
                      <w:spacing w:before="0"/>
                      <w:ind w:left="2368" w:right="0" w:firstLine="0"/>
                      <w:jc w:val="left"/>
                      <w:rPr>
                        <w:sz w:val="18"/>
                      </w:rPr>
                    </w:pPr>
                    <w:r>
                      <w:rPr>
                        <w:sz w:val="18"/>
                      </w:rPr>
                      <w:t>65,91</w:t>
                    </w:r>
                  </w:p>
                </w:txbxContent>
              </v:textbox>
              <w10:wrap type="none"/>
            </v:shape>
            <v:shape style="position:absolute;left:827;top:2184;width:4528;height:1033" type="#_x0000_t202" filled="false" stroked="false">
              <v:textbox inset="0,0,0,0">
                <w:txbxContent>
                  <w:p>
                    <w:pPr>
                      <w:spacing w:line="240" w:lineRule="auto" w:before="0"/>
                      <w:ind w:left="0" w:right="-1" w:firstLine="0"/>
                      <w:jc w:val="left"/>
                      <w:rPr>
                        <w:sz w:val="18"/>
                      </w:rPr>
                    </w:pPr>
                    <w:r>
                      <w:rPr>
                        <w:sz w:val="18"/>
                      </w:rPr>
                      <w:t>Gadījumi, kuros maksājumi kreditoriem tiek veikti 1/3 apmērā no minimālās algas, ja ir sastādīts ziņojums par mantas neesamību (%)</w:t>
                    </w:r>
                  </w:p>
                  <w:p>
                    <w:pPr>
                      <w:spacing w:before="0"/>
                      <w:ind w:left="0" w:right="-1" w:firstLine="0"/>
                      <w:jc w:val="left"/>
                      <w:rPr>
                        <w:sz w:val="18"/>
                      </w:rPr>
                    </w:pPr>
                    <w:r>
                      <w:rPr>
                        <w:sz w:val="18"/>
                      </w:rPr>
                      <w:t>Gadījumi, kuros maksājumi kreditoriem tiek veikti 1/3 apmērā no minimālās algas, ja ir sastādīts MPP (%)</w:t>
                    </w:r>
                  </w:p>
                </w:txbxContent>
              </v:textbox>
              <w10:wrap type="none"/>
            </v:shape>
          </v:group>
        </w:pict>
      </w:r>
      <w:r>
        <w:rPr>
          <w:sz w:val="20"/>
        </w:rPr>
      </w:r>
    </w:p>
    <w:p>
      <w:pPr>
        <w:pStyle w:val="BodyText"/>
        <w:jc w:val="left"/>
        <w:rPr>
          <w:sz w:val="20"/>
        </w:rPr>
      </w:pPr>
    </w:p>
    <w:p>
      <w:pPr>
        <w:pStyle w:val="BodyText"/>
        <w:spacing w:before="4"/>
        <w:jc w:val="left"/>
        <w:rPr>
          <w:sz w:val="19"/>
        </w:rPr>
      </w:pPr>
    </w:p>
    <w:p>
      <w:pPr>
        <w:pStyle w:val="Heading4"/>
        <w:numPr>
          <w:ilvl w:val="0"/>
          <w:numId w:val="49"/>
        </w:numPr>
        <w:tabs>
          <w:tab w:pos="1471" w:val="left" w:leader="none"/>
          <w:tab w:pos="1472" w:val="left" w:leader="none"/>
        </w:tabs>
        <w:spacing w:line="240" w:lineRule="auto" w:before="90" w:after="0"/>
        <w:ind w:left="1472" w:right="402" w:hanging="425"/>
        <w:jc w:val="left"/>
      </w:pPr>
      <w:r>
        <w:rPr>
          <w:i/>
        </w:rPr>
        <w:t>Minimālo maksājumu proporcija maksātnespējas procesos, kuros tika</w:t>
      </w:r>
      <w:r>
        <w:rPr>
          <w:i/>
          <w:spacing w:val="-14"/>
        </w:rPr>
        <w:t> </w:t>
      </w:r>
      <w:r>
        <w:rPr>
          <w:i/>
        </w:rPr>
        <w:t>sastādīts </w:t>
      </w:r>
      <w:r>
        <w:rPr/>
        <w:t>mantas pārdošanas</w:t>
      </w:r>
      <w:r>
        <w:rPr>
          <w:spacing w:val="-1"/>
        </w:rPr>
        <w:t> </w:t>
      </w:r>
      <w:r>
        <w:rPr/>
        <w:t>plāns</w:t>
      </w:r>
    </w:p>
    <w:p>
      <w:pPr>
        <w:pStyle w:val="BodyText"/>
        <w:spacing w:before="7"/>
        <w:jc w:val="left"/>
        <w:rPr>
          <w:b/>
          <w:i/>
          <w:sz w:val="23"/>
        </w:rPr>
      </w:pPr>
    </w:p>
    <w:p>
      <w:pPr>
        <w:pStyle w:val="BodyText"/>
        <w:ind w:left="620" w:right="403" w:firstLine="360"/>
      </w:pPr>
      <w:r>
        <w:rPr/>
        <w:t>Rēķinot proporcionālo attiecību analizējamajos maksātnespējas procesos, kuros ir</w:t>
      </w:r>
      <w:r>
        <w:rPr>
          <w:spacing w:val="-26"/>
        </w:rPr>
        <w:t> </w:t>
      </w:r>
      <w:r>
        <w:rPr>
          <w:spacing w:val="-3"/>
        </w:rPr>
        <w:t>bijis </w:t>
      </w:r>
      <w:r>
        <w:rPr/>
        <w:t>sastādīts mantas pārdošanas plāns, secināms, ka 53,57 % gadījumu kreditoriem saistību dzēšanas plānā tika paredzēts kreditoru prasījumu segšanai novirzīt 1/3 daļu no minimālās algas, bet 46,63 % gadījumu – maksājumus, kas pārsniedz 1/3 no minimālās</w:t>
      </w:r>
      <w:r>
        <w:rPr>
          <w:spacing w:val="-4"/>
        </w:rPr>
        <w:t> </w:t>
      </w:r>
      <w:r>
        <w:rPr/>
        <w:t>algas.</w:t>
      </w:r>
    </w:p>
    <w:p>
      <w:pPr>
        <w:pStyle w:val="BodyText"/>
        <w:spacing w:before="8"/>
        <w:jc w:val="left"/>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6"/>
        <w:gridCol w:w="679"/>
        <w:gridCol w:w="1049"/>
      </w:tblGrid>
      <w:tr>
        <w:trPr>
          <w:trHeight w:val="277" w:hRule="atLeast"/>
        </w:trPr>
        <w:tc>
          <w:tcPr>
            <w:tcW w:w="6926" w:type="dxa"/>
          </w:tcPr>
          <w:p>
            <w:pPr>
              <w:pStyle w:val="TableParagraph"/>
              <w:spacing w:line="258" w:lineRule="exact"/>
              <w:ind w:left="107"/>
              <w:rPr>
                <w:b/>
                <w:sz w:val="24"/>
              </w:rPr>
            </w:pPr>
            <w:r>
              <w:rPr>
                <w:b/>
                <w:sz w:val="24"/>
              </w:rPr>
              <w:t>Procesu skaits ar mantas pārdošanas plānu</w:t>
            </w:r>
          </w:p>
        </w:tc>
        <w:tc>
          <w:tcPr>
            <w:tcW w:w="679" w:type="dxa"/>
          </w:tcPr>
          <w:p>
            <w:pPr>
              <w:pStyle w:val="TableParagraph"/>
              <w:spacing w:line="258" w:lineRule="exact"/>
              <w:ind w:left="107"/>
              <w:rPr>
                <w:b/>
                <w:sz w:val="24"/>
              </w:rPr>
            </w:pPr>
            <w:r>
              <w:rPr>
                <w:b/>
                <w:sz w:val="24"/>
              </w:rPr>
              <w:t>28</w:t>
            </w:r>
          </w:p>
        </w:tc>
        <w:tc>
          <w:tcPr>
            <w:tcW w:w="1049" w:type="dxa"/>
          </w:tcPr>
          <w:p>
            <w:pPr>
              <w:pStyle w:val="TableParagraph"/>
              <w:rPr>
                <w:sz w:val="20"/>
              </w:rPr>
            </w:pPr>
          </w:p>
        </w:tc>
      </w:tr>
      <w:tr>
        <w:trPr>
          <w:trHeight w:val="277" w:hRule="atLeast"/>
        </w:trPr>
        <w:tc>
          <w:tcPr>
            <w:tcW w:w="6926" w:type="dxa"/>
            <w:tcBorders>
              <w:bottom w:val="nil"/>
            </w:tcBorders>
          </w:tcPr>
          <w:p>
            <w:pPr>
              <w:pStyle w:val="TableParagraph"/>
              <w:spacing w:line="258" w:lineRule="exact"/>
              <w:ind w:left="107"/>
              <w:rPr>
                <w:b/>
                <w:sz w:val="24"/>
              </w:rPr>
            </w:pPr>
            <w:r>
              <w:rPr>
                <w:b/>
                <w:sz w:val="24"/>
              </w:rPr>
              <w:t>Gadījumi, kurs maksājumi kreditoriem tiek veikti 1/3 apmērā no</w:t>
            </w:r>
          </w:p>
        </w:tc>
        <w:tc>
          <w:tcPr>
            <w:tcW w:w="679" w:type="dxa"/>
            <w:tcBorders>
              <w:bottom w:val="nil"/>
            </w:tcBorders>
          </w:tcPr>
          <w:p>
            <w:pPr>
              <w:pStyle w:val="TableParagraph"/>
              <w:spacing w:line="258" w:lineRule="exact"/>
              <w:ind w:left="108"/>
              <w:rPr>
                <w:b/>
                <w:sz w:val="24"/>
              </w:rPr>
            </w:pPr>
            <w:r>
              <w:rPr>
                <w:b/>
                <w:sz w:val="24"/>
              </w:rPr>
              <w:t>15</w:t>
            </w:r>
          </w:p>
        </w:tc>
        <w:tc>
          <w:tcPr>
            <w:tcW w:w="1049" w:type="dxa"/>
            <w:tcBorders>
              <w:bottom w:val="nil"/>
            </w:tcBorders>
          </w:tcPr>
          <w:p>
            <w:pPr>
              <w:pStyle w:val="TableParagraph"/>
              <w:spacing w:line="258" w:lineRule="exact"/>
              <w:ind w:left="108"/>
              <w:rPr>
                <w:b/>
                <w:sz w:val="24"/>
              </w:rPr>
            </w:pPr>
            <w:r>
              <w:rPr>
                <w:b/>
                <w:sz w:val="24"/>
              </w:rPr>
              <w:t>53,57</w:t>
            </w:r>
          </w:p>
        </w:tc>
      </w:tr>
      <w:tr>
        <w:trPr>
          <w:trHeight w:val="278" w:hRule="atLeast"/>
        </w:trPr>
        <w:tc>
          <w:tcPr>
            <w:tcW w:w="6926" w:type="dxa"/>
            <w:tcBorders>
              <w:top w:val="nil"/>
            </w:tcBorders>
          </w:tcPr>
          <w:p>
            <w:pPr>
              <w:pStyle w:val="TableParagraph"/>
              <w:spacing w:line="259" w:lineRule="exact"/>
              <w:ind w:left="107"/>
              <w:rPr>
                <w:b/>
                <w:sz w:val="24"/>
              </w:rPr>
            </w:pPr>
            <w:r>
              <w:rPr>
                <w:b/>
                <w:sz w:val="24"/>
              </w:rPr>
              <w:t>minimālās algas, ja ir sastādīts mantas pārdošanas plāns</w:t>
            </w:r>
          </w:p>
        </w:tc>
        <w:tc>
          <w:tcPr>
            <w:tcW w:w="679" w:type="dxa"/>
            <w:tcBorders>
              <w:top w:val="nil"/>
            </w:tcBorders>
          </w:tcPr>
          <w:p>
            <w:pPr>
              <w:pStyle w:val="TableParagraph"/>
              <w:rPr>
                <w:sz w:val="20"/>
              </w:rPr>
            </w:pPr>
          </w:p>
        </w:tc>
        <w:tc>
          <w:tcPr>
            <w:tcW w:w="1049" w:type="dxa"/>
            <w:tcBorders>
              <w:top w:val="nil"/>
            </w:tcBorders>
          </w:tcPr>
          <w:p>
            <w:pPr>
              <w:pStyle w:val="TableParagraph"/>
              <w:spacing w:line="259" w:lineRule="exact"/>
              <w:ind w:left="108"/>
              <w:rPr>
                <w:b/>
                <w:sz w:val="24"/>
              </w:rPr>
            </w:pPr>
            <w:r>
              <w:rPr>
                <w:b/>
                <w:sz w:val="24"/>
              </w:rPr>
              <w:t>%</w:t>
            </w:r>
          </w:p>
        </w:tc>
      </w:tr>
      <w:tr>
        <w:trPr>
          <w:trHeight w:val="277" w:hRule="atLeast"/>
        </w:trPr>
        <w:tc>
          <w:tcPr>
            <w:tcW w:w="6926" w:type="dxa"/>
            <w:tcBorders>
              <w:bottom w:val="nil"/>
            </w:tcBorders>
          </w:tcPr>
          <w:p>
            <w:pPr>
              <w:pStyle w:val="TableParagraph"/>
              <w:spacing w:line="258" w:lineRule="exact"/>
              <w:ind w:left="107"/>
              <w:rPr>
                <w:b/>
                <w:sz w:val="24"/>
              </w:rPr>
            </w:pPr>
            <w:r>
              <w:rPr>
                <w:b/>
                <w:sz w:val="24"/>
              </w:rPr>
              <w:t>Gadījumi, kuros maksājumi kreditoriem tiek veikti vairāk nekā</w:t>
            </w:r>
          </w:p>
        </w:tc>
        <w:tc>
          <w:tcPr>
            <w:tcW w:w="679" w:type="dxa"/>
            <w:tcBorders>
              <w:bottom w:val="nil"/>
            </w:tcBorders>
          </w:tcPr>
          <w:p>
            <w:pPr>
              <w:pStyle w:val="TableParagraph"/>
              <w:spacing w:line="258" w:lineRule="exact"/>
              <w:ind w:left="108"/>
              <w:rPr>
                <w:b/>
                <w:sz w:val="24"/>
              </w:rPr>
            </w:pPr>
            <w:r>
              <w:rPr>
                <w:b/>
                <w:sz w:val="24"/>
              </w:rPr>
              <w:t>13</w:t>
            </w:r>
          </w:p>
        </w:tc>
        <w:tc>
          <w:tcPr>
            <w:tcW w:w="1049" w:type="dxa"/>
            <w:tcBorders>
              <w:bottom w:val="nil"/>
            </w:tcBorders>
          </w:tcPr>
          <w:p>
            <w:pPr>
              <w:pStyle w:val="TableParagraph"/>
              <w:spacing w:line="258" w:lineRule="exact"/>
              <w:ind w:left="108"/>
              <w:rPr>
                <w:b/>
                <w:sz w:val="24"/>
              </w:rPr>
            </w:pPr>
            <w:r>
              <w:rPr>
                <w:b/>
                <w:sz w:val="24"/>
              </w:rPr>
              <w:t>46,43</w:t>
            </w:r>
          </w:p>
        </w:tc>
      </w:tr>
      <w:tr>
        <w:trPr>
          <w:trHeight w:val="276" w:hRule="atLeast"/>
        </w:trPr>
        <w:tc>
          <w:tcPr>
            <w:tcW w:w="6926" w:type="dxa"/>
            <w:tcBorders>
              <w:top w:val="nil"/>
              <w:bottom w:val="nil"/>
            </w:tcBorders>
          </w:tcPr>
          <w:p>
            <w:pPr>
              <w:pStyle w:val="TableParagraph"/>
              <w:spacing w:line="256" w:lineRule="exact"/>
              <w:ind w:left="107"/>
              <w:rPr>
                <w:b/>
                <w:sz w:val="24"/>
              </w:rPr>
            </w:pPr>
            <w:r>
              <w:rPr>
                <w:b/>
                <w:sz w:val="24"/>
              </w:rPr>
              <w:t>1/3 apmērā no minimālās algas, ja ir sastādīts mantas pārdošanas</w:t>
            </w:r>
          </w:p>
        </w:tc>
        <w:tc>
          <w:tcPr>
            <w:tcW w:w="679" w:type="dxa"/>
            <w:tcBorders>
              <w:top w:val="nil"/>
              <w:bottom w:val="nil"/>
            </w:tcBorders>
          </w:tcPr>
          <w:p>
            <w:pPr>
              <w:pStyle w:val="TableParagraph"/>
              <w:rPr>
                <w:sz w:val="20"/>
              </w:rPr>
            </w:pPr>
          </w:p>
        </w:tc>
        <w:tc>
          <w:tcPr>
            <w:tcW w:w="1049" w:type="dxa"/>
            <w:tcBorders>
              <w:top w:val="nil"/>
              <w:bottom w:val="nil"/>
            </w:tcBorders>
          </w:tcPr>
          <w:p>
            <w:pPr>
              <w:pStyle w:val="TableParagraph"/>
              <w:spacing w:line="256" w:lineRule="exact"/>
              <w:ind w:left="108"/>
              <w:rPr>
                <w:b/>
                <w:sz w:val="24"/>
              </w:rPr>
            </w:pPr>
            <w:r>
              <w:rPr>
                <w:b/>
                <w:sz w:val="24"/>
              </w:rPr>
              <w:t>%</w:t>
            </w:r>
          </w:p>
        </w:tc>
      </w:tr>
      <w:tr>
        <w:trPr>
          <w:trHeight w:val="273" w:hRule="atLeast"/>
        </w:trPr>
        <w:tc>
          <w:tcPr>
            <w:tcW w:w="6926" w:type="dxa"/>
            <w:tcBorders>
              <w:top w:val="nil"/>
            </w:tcBorders>
          </w:tcPr>
          <w:p>
            <w:pPr>
              <w:pStyle w:val="TableParagraph"/>
              <w:spacing w:line="254" w:lineRule="exact"/>
              <w:ind w:left="107"/>
              <w:rPr>
                <w:b/>
                <w:sz w:val="24"/>
              </w:rPr>
            </w:pPr>
            <w:r>
              <w:rPr>
                <w:b/>
                <w:sz w:val="24"/>
              </w:rPr>
              <w:t>plāns</w:t>
            </w:r>
          </w:p>
        </w:tc>
        <w:tc>
          <w:tcPr>
            <w:tcW w:w="679" w:type="dxa"/>
            <w:tcBorders>
              <w:top w:val="nil"/>
            </w:tcBorders>
          </w:tcPr>
          <w:p>
            <w:pPr>
              <w:pStyle w:val="TableParagraph"/>
              <w:rPr>
                <w:sz w:val="20"/>
              </w:rPr>
            </w:pPr>
          </w:p>
        </w:tc>
        <w:tc>
          <w:tcPr>
            <w:tcW w:w="1049" w:type="dxa"/>
            <w:tcBorders>
              <w:top w:val="nil"/>
            </w:tcBorders>
          </w:tcPr>
          <w:p>
            <w:pPr>
              <w:pStyle w:val="TableParagraph"/>
              <w:rPr>
                <w:sz w:val="20"/>
              </w:rPr>
            </w:pPr>
          </w:p>
        </w:tc>
      </w:tr>
    </w:tbl>
    <w:p>
      <w:pPr>
        <w:pStyle w:val="BodyText"/>
        <w:jc w:val="left"/>
        <w:rPr>
          <w:sz w:val="20"/>
        </w:rPr>
      </w:pPr>
    </w:p>
    <w:p>
      <w:pPr>
        <w:pStyle w:val="BodyText"/>
        <w:spacing w:before="7"/>
        <w:jc w:val="left"/>
      </w:pPr>
      <w:r>
        <w:rPr/>
        <w:pict>
          <v:group style="position:absolute;margin-left:128.160004pt;margin-top:16.100954pt;width:356.65pt;height:217.35pt;mso-position-horizontal-relative:page;mso-position-vertical-relative:paragraph;z-index:-251536384;mso-wrap-distance-left:0;mso-wrap-distance-right:0" coordorigin="2563,322" coordsize="7133,4347">
            <v:shape style="position:absolute;left:4708;top:1190;width:2842;height:1690" type="#_x0000_t75" stroked="false">
              <v:imagedata r:id="rId59" o:title=""/>
            </v:shape>
            <v:rect style="position:absolute;left:3120;top:3132;width:92;height:92" filled="true" fillcolor="#4472c3" stroked="false">
              <v:fill type="solid"/>
            </v:rect>
            <v:shape style="position:absolute;left:3100;top:3113;width:130;height:130" coordorigin="3101,3113" coordsize="130,130" path="m3221,3243l3110,3243,3101,3233,3101,3123,3110,3113,3221,3113,3230,3123,3230,3132,3142,3132,3120,3154,3142,3154,3142,3202,3120,3202,3142,3224,3230,3224,3230,3233,3221,3243xm3142,3154l3120,3154,3142,3132,3142,3154xm3190,3154l3142,3154,3142,3132,3190,3132,3190,3154xm3190,3224l3190,3132,3211,3154,3230,3154,3230,3202,3211,3202,3190,3224xm3230,3154l3211,3154,3190,3132,3230,3132,3230,3154xm3142,3224l3120,3202,3142,3202,3142,3224xm3190,3224l3142,3224,3142,3202,3190,3202,3190,3224xm3230,3224l3190,3224,3211,3202,3230,3202,3230,3224xe" filled="true" fillcolor="#ffffff" stroked="false">
              <v:path arrowok="t"/>
              <v:fill type="solid"/>
            </v:shape>
            <v:rect style="position:absolute;left:3120;top:3682;width:92;height:89" filled="true" fillcolor="#ed7c31" stroked="false">
              <v:fill type="solid"/>
            </v:rect>
            <v:shape style="position:absolute;left:3100;top:3660;width:130;height:130" coordorigin="3101,3660" coordsize="130,130" path="m3221,3790l3110,3790,3101,3783,3101,3670,3110,3660,3221,3660,3230,3670,3230,3682,3142,3682,3120,3701,3142,3701,3142,3752,3120,3752,3142,3771,3230,3771,3230,3783,3221,3790xm3142,3701l3120,3701,3142,3682,3142,3701xm3190,3701l3142,3701,3142,3682,3190,3682,3190,3701xm3190,3771l3190,3682,3211,3701,3230,3701,3230,3752,3211,3752,3190,3771xm3230,3701l3211,3701,3190,3682,3230,3682,3230,3701xm3142,3771l3120,3752,3142,3752,3142,3771xm3190,3771l3142,3771,3142,3752,3190,3752,3190,3771xm3230,3771l3190,3771,3211,3752,3230,3752,3230,3771xe" filled="true" fillcolor="#ffffff" stroked="false">
              <v:path arrowok="t"/>
              <v:fill type="solid"/>
            </v:shape>
            <v:shape style="position:absolute;left:2563;top:322;width:7133;height:4347" coordorigin="2563,322" coordsize="7133,4347" path="m9691,4668l2568,4668,2563,4666,2563,322,9696,322,9696,324,2578,324,2570,332,2578,332,2578,4654,2570,4654,2578,4661,9696,4661,9696,4666,9691,4668xm2578,332l2570,332,2578,324,2578,332xm9682,332l2578,332,2578,324,9682,324,9682,332xm9682,4661l9682,324,9689,332,9696,332,9696,4654,9689,4654,9682,4661xm9696,332l9689,332,9682,324,9696,324,9696,332xm2578,4661l2570,4654,2578,4654,2578,4661xm9682,4661l2578,4661,2578,4654,9682,4654,9682,4661xm9696,4661l9682,4661,9689,4654,9696,4654,9696,4661xe" filled="true" fillcolor="#000000" stroked="false">
              <v:path arrowok="t"/>
              <v:fill type="solid"/>
            </v:shape>
            <v:shape style="position:absolute;left:3379;top:482;width:5516;height:542" type="#_x0000_t202" filled="false" stroked="false">
              <v:textbox inset="0,0,0,0">
                <w:txbxContent>
                  <w:p>
                    <w:pPr>
                      <w:spacing w:line="240" w:lineRule="auto" w:before="0"/>
                      <w:ind w:left="2493" w:right="-2" w:hanging="2494"/>
                      <w:jc w:val="left"/>
                      <w:rPr>
                        <w:sz w:val="24"/>
                      </w:rPr>
                    </w:pPr>
                    <w:r>
                      <w:rPr>
                        <w:sz w:val="24"/>
                      </w:rPr>
                      <w:t>Maksājumi kreditoriem, ja ir sastādīts mantas pārdošanas plāns</w:t>
                    </w:r>
                  </w:p>
                </w:txbxContent>
              </v:textbox>
              <w10:wrap type="none"/>
            </v:shape>
            <v:shape style="position:absolute;left:5027;top:1529;width:429;height:200" type="#_x0000_t202" filled="false" stroked="false">
              <v:textbox inset="0,0,0,0">
                <w:txbxContent>
                  <w:p>
                    <w:pPr>
                      <w:spacing w:line="199" w:lineRule="exact" w:before="0"/>
                      <w:ind w:left="0" w:right="0" w:firstLine="0"/>
                      <w:jc w:val="left"/>
                      <w:rPr>
                        <w:sz w:val="18"/>
                      </w:rPr>
                    </w:pPr>
                    <w:r>
                      <w:rPr>
                        <w:sz w:val="18"/>
                      </w:rPr>
                      <w:t>46,43</w:t>
                    </w:r>
                  </w:p>
                </w:txbxContent>
              </v:textbox>
              <w10:wrap type="none"/>
            </v:shape>
            <v:shape style="position:absolute;left:6976;top:1786;width:429;height:200" type="#_x0000_t202" filled="false" stroked="false">
              <v:textbox inset="0,0,0,0">
                <w:txbxContent>
                  <w:p>
                    <w:pPr>
                      <w:spacing w:line="199" w:lineRule="exact" w:before="0"/>
                      <w:ind w:left="0" w:right="0" w:firstLine="0"/>
                      <w:jc w:val="left"/>
                      <w:rPr>
                        <w:sz w:val="18"/>
                      </w:rPr>
                    </w:pPr>
                    <w:r>
                      <w:rPr>
                        <w:sz w:val="18"/>
                      </w:rPr>
                      <w:t>53,57</w:t>
                    </w:r>
                  </w:p>
                </w:txbxContent>
              </v:textbox>
              <w10:wrap type="none"/>
            </v:shape>
            <v:shape style="position:absolute;left:3247;top:3072;width:6007;height:956" type="#_x0000_t202" filled="false" stroked="false">
              <v:textbox inset="0,0,0,0">
                <w:txbxContent>
                  <w:p>
                    <w:pPr>
                      <w:spacing w:line="240" w:lineRule="auto" w:before="0"/>
                      <w:ind w:left="0" w:right="-2" w:firstLine="0"/>
                      <w:jc w:val="left"/>
                      <w:rPr>
                        <w:sz w:val="18"/>
                      </w:rPr>
                    </w:pPr>
                    <w:r>
                      <w:rPr>
                        <w:sz w:val="18"/>
                      </w:rPr>
                      <w:t>Gadījumi, kuros maksājumi kreditoriem tiek veikti 1/3 apmērā no minimālās algas, ja ir sastādīts mantas pārdošanas plāns (%)</w:t>
                    </w:r>
                  </w:p>
                  <w:p>
                    <w:pPr>
                      <w:spacing w:before="125"/>
                      <w:ind w:left="0" w:right="373" w:firstLine="0"/>
                      <w:jc w:val="left"/>
                      <w:rPr>
                        <w:sz w:val="18"/>
                      </w:rPr>
                    </w:pPr>
                    <w:r>
                      <w:rPr>
                        <w:sz w:val="18"/>
                      </w:rPr>
                      <w:t>Gadījumi, kuros maksājumi kreditoriem tiek veikti vairāk nekā 1/3 apmērā no minimālās algas, ja ir sastādīts mantas pārdošanas plāns (%)</w:t>
                    </w:r>
                  </w:p>
                </w:txbxContent>
              </v:textbox>
              <w10:wrap type="none"/>
            </v:shape>
            <w10:wrap type="topAndBottom"/>
          </v:group>
        </w:pict>
      </w:r>
    </w:p>
    <w:p>
      <w:pPr>
        <w:spacing w:after="0"/>
        <w:jc w:val="left"/>
        <w:sectPr>
          <w:pgSz w:w="11910" w:h="16840"/>
          <w:pgMar w:header="0" w:footer="1055" w:top="1420" w:bottom="1240" w:left="1180" w:right="1040"/>
        </w:sectPr>
      </w:pPr>
    </w:p>
    <w:p>
      <w:pPr>
        <w:pStyle w:val="Heading4"/>
        <w:numPr>
          <w:ilvl w:val="0"/>
          <w:numId w:val="49"/>
        </w:numPr>
        <w:tabs>
          <w:tab w:pos="1253" w:val="left" w:leader="none"/>
          <w:tab w:pos="1254" w:val="left" w:leader="none"/>
        </w:tabs>
        <w:spacing w:line="240" w:lineRule="auto" w:before="78" w:after="0"/>
        <w:ind w:left="1253" w:right="763" w:hanging="569"/>
        <w:jc w:val="left"/>
      </w:pPr>
      <w:r>
        <w:rPr>
          <w:i/>
        </w:rPr>
        <w:t>Minimālo maksājumu proporcija maksātnespējas procesos, kuros tika </w:t>
      </w:r>
      <w:r>
        <w:rPr/>
        <w:t>sastādīts ziņojums par mantas</w:t>
      </w:r>
      <w:r>
        <w:rPr>
          <w:spacing w:val="-1"/>
        </w:rPr>
        <w:t> </w:t>
      </w:r>
      <w:r>
        <w:rPr/>
        <w:t>neesamību</w:t>
      </w:r>
    </w:p>
    <w:p>
      <w:pPr>
        <w:pStyle w:val="BodyText"/>
        <w:spacing w:before="7"/>
        <w:jc w:val="left"/>
        <w:rPr>
          <w:b/>
          <w:i/>
          <w:sz w:val="23"/>
        </w:rPr>
      </w:pPr>
    </w:p>
    <w:p>
      <w:pPr>
        <w:pStyle w:val="BodyText"/>
        <w:ind w:left="260" w:right="763" w:firstLine="360"/>
      </w:pPr>
      <w:r>
        <w:rPr/>
        <w:t>Rēķinot proporcionālo attiecību analizējamajos maksātnespējas procesos, kuros ir</w:t>
      </w:r>
      <w:r>
        <w:rPr>
          <w:spacing w:val="-26"/>
        </w:rPr>
        <w:t> </w:t>
      </w:r>
      <w:r>
        <w:rPr>
          <w:spacing w:val="-3"/>
        </w:rPr>
        <w:t>bijis </w:t>
      </w:r>
      <w:r>
        <w:rPr/>
        <w:t>sastādīts ziņojums par mantas neesamību, secināms, ka 43,94 % gadījumu kreditoriem saistību dzēšanas plānā tika paredzēts kreditoru prasījumu segšanai novirzīt 1/3 daļu no minimālās algas, bet 56,06 % gadījumu – maksājumus, kas pārsniedz 1/3 no minimālās algas.</w:t>
      </w:r>
    </w:p>
    <w:p>
      <w:pPr>
        <w:pStyle w:val="BodyText"/>
        <w:spacing w:before="8"/>
        <w:jc w:val="left"/>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2"/>
        <w:gridCol w:w="712"/>
        <w:gridCol w:w="1202"/>
      </w:tblGrid>
      <w:tr>
        <w:trPr>
          <w:trHeight w:val="294" w:hRule="atLeast"/>
        </w:trPr>
        <w:tc>
          <w:tcPr>
            <w:tcW w:w="6722" w:type="dxa"/>
          </w:tcPr>
          <w:p>
            <w:pPr>
              <w:pStyle w:val="TableParagraph"/>
              <w:spacing w:line="273" w:lineRule="exact"/>
              <w:ind w:left="107"/>
              <w:rPr>
                <w:b/>
                <w:sz w:val="24"/>
              </w:rPr>
            </w:pPr>
            <w:r>
              <w:rPr>
                <w:b/>
                <w:sz w:val="24"/>
              </w:rPr>
              <w:t>Procesu skaits ar ziņojumu par mantas neesamību</w:t>
            </w:r>
          </w:p>
        </w:tc>
        <w:tc>
          <w:tcPr>
            <w:tcW w:w="712" w:type="dxa"/>
          </w:tcPr>
          <w:p>
            <w:pPr>
              <w:pStyle w:val="TableParagraph"/>
              <w:spacing w:line="273" w:lineRule="exact"/>
              <w:ind w:left="109"/>
              <w:rPr>
                <w:b/>
                <w:sz w:val="24"/>
              </w:rPr>
            </w:pPr>
            <w:r>
              <w:rPr>
                <w:b/>
                <w:sz w:val="24"/>
              </w:rPr>
              <w:t>66</w:t>
            </w:r>
          </w:p>
        </w:tc>
        <w:tc>
          <w:tcPr>
            <w:tcW w:w="1202" w:type="dxa"/>
          </w:tcPr>
          <w:p>
            <w:pPr>
              <w:pStyle w:val="TableParagraph"/>
              <w:rPr>
                <w:sz w:val="22"/>
              </w:rPr>
            </w:pPr>
          </w:p>
        </w:tc>
      </w:tr>
      <w:tr>
        <w:trPr>
          <w:trHeight w:val="830" w:hRule="atLeast"/>
        </w:trPr>
        <w:tc>
          <w:tcPr>
            <w:tcW w:w="6722" w:type="dxa"/>
          </w:tcPr>
          <w:p>
            <w:pPr>
              <w:pStyle w:val="TableParagraph"/>
              <w:spacing w:line="276" w:lineRule="exact" w:before="2"/>
              <w:ind w:left="107" w:right="225"/>
              <w:rPr>
                <w:b/>
                <w:sz w:val="24"/>
              </w:rPr>
            </w:pPr>
            <w:r>
              <w:rPr>
                <w:b/>
                <w:sz w:val="24"/>
              </w:rPr>
              <w:t>Gadījumi, kurs maksājumi kreditoriem tiek veikti 1/3 apmērā no minimālās algas, ja ir sastādīts ziņojums par mantas neesamību</w:t>
            </w:r>
          </w:p>
        </w:tc>
        <w:tc>
          <w:tcPr>
            <w:tcW w:w="712" w:type="dxa"/>
          </w:tcPr>
          <w:p>
            <w:pPr>
              <w:pStyle w:val="TableParagraph"/>
              <w:spacing w:line="275" w:lineRule="exact"/>
              <w:ind w:left="108"/>
              <w:rPr>
                <w:b/>
                <w:sz w:val="24"/>
              </w:rPr>
            </w:pPr>
            <w:r>
              <w:rPr>
                <w:b/>
                <w:sz w:val="24"/>
              </w:rPr>
              <w:t>29</w:t>
            </w:r>
          </w:p>
        </w:tc>
        <w:tc>
          <w:tcPr>
            <w:tcW w:w="1202" w:type="dxa"/>
          </w:tcPr>
          <w:p>
            <w:pPr>
              <w:pStyle w:val="TableParagraph"/>
              <w:spacing w:line="275" w:lineRule="exact"/>
              <w:ind w:left="109"/>
              <w:rPr>
                <w:b/>
                <w:sz w:val="24"/>
              </w:rPr>
            </w:pPr>
            <w:r>
              <w:rPr>
                <w:b/>
                <w:sz w:val="24"/>
              </w:rPr>
              <w:t>43,94 %</w:t>
            </w:r>
          </w:p>
        </w:tc>
      </w:tr>
      <w:tr>
        <w:trPr>
          <w:trHeight w:val="880" w:hRule="atLeast"/>
        </w:trPr>
        <w:tc>
          <w:tcPr>
            <w:tcW w:w="6722" w:type="dxa"/>
          </w:tcPr>
          <w:p>
            <w:pPr>
              <w:pStyle w:val="TableParagraph"/>
              <w:ind w:left="107" w:right="371"/>
              <w:rPr>
                <w:b/>
                <w:sz w:val="24"/>
              </w:rPr>
            </w:pPr>
            <w:r>
              <w:rPr>
                <w:b/>
                <w:sz w:val="24"/>
              </w:rPr>
              <w:t>Gadījumi, kuros maksājumi kreditoriem tiek veikti vairāk nekā 1/3 apmērā no minimālās algas, ja ir sastādīts ziņojums par mantas neesamību</w:t>
            </w:r>
          </w:p>
        </w:tc>
        <w:tc>
          <w:tcPr>
            <w:tcW w:w="712" w:type="dxa"/>
          </w:tcPr>
          <w:p>
            <w:pPr>
              <w:pStyle w:val="TableParagraph"/>
              <w:spacing w:line="273" w:lineRule="exact"/>
              <w:ind w:left="108"/>
              <w:rPr>
                <w:b/>
                <w:sz w:val="24"/>
              </w:rPr>
            </w:pPr>
            <w:r>
              <w:rPr>
                <w:b/>
                <w:sz w:val="24"/>
              </w:rPr>
              <w:t>37</w:t>
            </w:r>
          </w:p>
        </w:tc>
        <w:tc>
          <w:tcPr>
            <w:tcW w:w="1202" w:type="dxa"/>
          </w:tcPr>
          <w:p>
            <w:pPr>
              <w:pStyle w:val="TableParagraph"/>
              <w:spacing w:line="273" w:lineRule="exact"/>
              <w:ind w:left="109"/>
              <w:rPr>
                <w:b/>
                <w:sz w:val="24"/>
              </w:rPr>
            </w:pPr>
            <w:r>
              <w:rPr>
                <w:b/>
                <w:sz w:val="24"/>
              </w:rPr>
              <w:t>56,06 %</w:t>
            </w:r>
          </w:p>
        </w:tc>
      </w:tr>
    </w:tbl>
    <w:p>
      <w:pPr>
        <w:pStyle w:val="BodyText"/>
        <w:jc w:val="left"/>
        <w:rPr>
          <w:sz w:val="20"/>
        </w:rPr>
      </w:pPr>
    </w:p>
    <w:p>
      <w:pPr>
        <w:pStyle w:val="BodyText"/>
        <w:jc w:val="left"/>
        <w:rPr>
          <w:sz w:val="20"/>
        </w:rPr>
      </w:pPr>
    </w:p>
    <w:p>
      <w:pPr>
        <w:pStyle w:val="BodyText"/>
        <w:spacing w:before="7"/>
        <w:jc w:val="left"/>
        <w:rPr>
          <w:sz w:val="28"/>
        </w:rPr>
      </w:pPr>
      <w:r>
        <w:rPr/>
        <w:pict>
          <v:group style="position:absolute;margin-left:108.240005pt;margin-top:18.401905pt;width:360.75pt;height:209.3pt;mso-position-horizontal-relative:page;mso-position-vertical-relative:paragraph;z-index:-251533312;mso-wrap-distance-left:0;mso-wrap-distance-right:0" coordorigin="2165,368" coordsize="7215,4186">
            <v:shape style="position:absolute;left:4392;top:1164;width:2765;height:1613" type="#_x0000_t75" stroked="false">
              <v:imagedata r:id="rId60" o:title=""/>
            </v:shape>
            <v:rect style="position:absolute;left:2762;top:3200;width:89;height:89" filled="true" fillcolor="#4472c3" stroked="false">
              <v:fill type="solid"/>
            </v:rect>
            <v:shape style="position:absolute;left:2743;top:3178;width:130;height:130" coordorigin="2743,3178" coordsize="130,130" path="m2863,3308l2750,3308,2743,3301,2743,3188,2750,3178,2863,3178,2873,3188,2873,3200,2782,3200,2762,3219,2782,3219,2782,3270,2762,3270,2782,3289,2873,3289,2873,3301,2863,3308xm2782,3219l2762,3219,2782,3200,2782,3219xm2832,3219l2782,3219,2782,3200,2832,3200,2832,3219xm2832,3289l2832,3200,2851,3219,2873,3219,2873,3270,2851,3270,2832,3289xm2873,3219l2851,3219,2832,3200,2873,3200,2873,3219xm2782,3289l2762,3270,2782,3270,2782,3289xm2832,3289l2782,3289,2782,3270,2832,3270,2832,3289xm2873,3289l2832,3289,2851,3270,2873,3270,2873,3289xe" filled="true" fillcolor="#ffffff" stroked="false">
              <v:path arrowok="t"/>
              <v:fill type="solid"/>
            </v:shape>
            <v:rect style="position:absolute;left:2762;top:3716;width:89;height:92" filled="true" fillcolor="#ed7c31" stroked="false">
              <v:fill type="solid"/>
            </v:rect>
            <v:shape style="position:absolute;left:2743;top:3696;width:130;height:130" coordorigin="2743,3697" coordsize="130,130" path="m2863,3826l2750,3826,2743,3817,2743,3706,2750,3697,2863,3697,2873,3706,2873,3716,2782,3716,2762,3738,2782,3738,2782,3786,2762,3786,2782,3807,2873,3807,2873,3817,2863,3826xm2782,3738l2762,3738,2782,3716,2782,3738xm2832,3738l2782,3738,2782,3716,2832,3716,2832,3738xm2832,3807l2832,3716,2851,3738,2873,3738,2873,3786,2851,3786,2832,3807xm2873,3738l2851,3738,2832,3716,2873,3716,2873,3738xm2782,3807l2762,3786,2782,3786,2782,3807xm2832,3807l2782,3807,2782,3786,2832,3786,2832,3807xm2873,3807l2832,3807,2851,3786,2873,3786,2873,3807xe" filled="true" fillcolor="#ffffff" stroked="false">
              <v:path arrowok="t"/>
              <v:fill type="solid"/>
            </v:shape>
            <v:shape style="position:absolute;left:2164;top:368;width:7215;height:4186" coordorigin="2165,368" coordsize="7215,4186" path="m9374,4554l2167,4554,2165,4549,2165,368,9379,368,9379,368,2179,368,2172,378,2179,378,2179,4537,2172,4537,2179,4544,9379,4544,9379,4549,9374,4554xm2179,378l2172,378,2179,368,2179,378xm9365,378l2179,378,2179,368,9365,368,9365,378xm9365,4544l9365,368,9372,378,9379,378,9379,4537,9372,4537,9365,4544xm9379,378l9372,378,9365,368,9379,368,9379,378xm2179,4544l2172,4537,2179,4537,2179,4544xm9365,4544l2179,4544,2179,4537,9365,4537,9365,4544xm9379,4544l9365,4544,9372,4537,9379,4537,9379,4544xe" filled="true" fillcolor="#000000" stroked="false">
              <v:path arrowok="t"/>
              <v:fill type="solid"/>
            </v:shape>
            <v:shape style="position:absolute;left:3300;top:526;width:4958;height:1458" type="#_x0000_t202" filled="false" stroked="false">
              <v:textbox inset="0,0,0,0">
                <w:txbxContent>
                  <w:p>
                    <w:pPr>
                      <w:spacing w:line="240" w:lineRule="auto" w:before="0"/>
                      <w:ind w:left="1586" w:right="0" w:hanging="1587"/>
                      <w:jc w:val="left"/>
                      <w:rPr>
                        <w:sz w:val="24"/>
                      </w:rPr>
                    </w:pPr>
                    <w:r>
                      <w:rPr>
                        <w:sz w:val="24"/>
                      </w:rPr>
                      <w:t>Maksājumi kreditoriem, ja ir sastādīts ziņojums par mantas neesamību</w:t>
                    </w:r>
                  </w:p>
                  <w:p>
                    <w:pPr>
                      <w:spacing w:line="240" w:lineRule="auto" w:before="1"/>
                      <w:rPr>
                        <w:sz w:val="32"/>
                      </w:rPr>
                    </w:pPr>
                  </w:p>
                  <w:p>
                    <w:pPr>
                      <w:spacing w:before="1"/>
                      <w:ind w:left="1447" w:right="0" w:firstLine="0"/>
                      <w:jc w:val="left"/>
                      <w:rPr>
                        <w:sz w:val="18"/>
                      </w:rPr>
                    </w:pPr>
                    <w:r>
                      <w:rPr>
                        <w:sz w:val="18"/>
                      </w:rPr>
                      <w:t>43,94</w:t>
                    </w:r>
                  </w:p>
                  <w:p>
                    <w:pPr>
                      <w:spacing w:before="121"/>
                      <w:ind w:left="3247" w:right="0" w:firstLine="0"/>
                      <w:jc w:val="left"/>
                      <w:rPr>
                        <w:sz w:val="18"/>
                      </w:rPr>
                    </w:pPr>
                    <w:r>
                      <w:rPr>
                        <w:sz w:val="18"/>
                      </w:rPr>
                      <w:t>56,06</w:t>
                    </w:r>
                  </w:p>
                </w:txbxContent>
              </v:textbox>
              <w10:wrap type="none"/>
            </v:shape>
            <v:shape style="position:absolute;left:2887;top:3138;width:6007;height:925" type="#_x0000_t202" filled="false" stroked="false">
              <v:textbox inset="0,0,0,0">
                <w:txbxContent>
                  <w:p>
                    <w:pPr>
                      <w:spacing w:line="242" w:lineRule="auto" w:before="0"/>
                      <w:ind w:left="0" w:right="373" w:firstLine="0"/>
                      <w:jc w:val="left"/>
                      <w:rPr>
                        <w:sz w:val="18"/>
                      </w:rPr>
                    </w:pPr>
                    <w:r>
                      <w:rPr>
                        <w:sz w:val="18"/>
                      </w:rPr>
                      <w:t>Gadījumi, kuros maksājumi kreditoriem tiek veikti vairāk nekā 1/3 apmērā no minimālās algas, ja ir sastādīts ziņojums par mantas neesamību (%)</w:t>
                    </w:r>
                  </w:p>
                  <w:p>
                    <w:pPr>
                      <w:spacing w:before="92"/>
                      <w:ind w:left="0" w:right="-2" w:firstLine="0"/>
                      <w:jc w:val="left"/>
                      <w:rPr>
                        <w:sz w:val="18"/>
                      </w:rPr>
                    </w:pPr>
                    <w:r>
                      <w:rPr>
                        <w:sz w:val="18"/>
                      </w:rPr>
                      <w:t>Gadījumi, kuros maksājumi kreditoriem tiek veikti 1/3 apmērā no minimālās algas, ja ir sastādīts ziņojums par mantas neesamību (%)</w:t>
                    </w:r>
                  </w:p>
                </w:txbxContent>
              </v:textbox>
              <w10:wrap type="none"/>
            </v:shape>
            <w10:wrap type="topAndBottom"/>
          </v:group>
        </w:pict>
      </w:r>
    </w:p>
    <w:p>
      <w:pPr>
        <w:pStyle w:val="BodyText"/>
        <w:jc w:val="left"/>
        <w:rPr>
          <w:sz w:val="26"/>
        </w:rPr>
      </w:pPr>
    </w:p>
    <w:p>
      <w:pPr>
        <w:pStyle w:val="BodyText"/>
        <w:jc w:val="left"/>
        <w:rPr>
          <w:sz w:val="26"/>
        </w:rPr>
      </w:pPr>
    </w:p>
    <w:p>
      <w:pPr>
        <w:pStyle w:val="Heading4"/>
        <w:numPr>
          <w:ilvl w:val="1"/>
          <w:numId w:val="48"/>
        </w:numPr>
        <w:tabs>
          <w:tab w:pos="982" w:val="left" w:leader="none"/>
        </w:tabs>
        <w:spacing w:line="240" w:lineRule="auto" w:before="212" w:after="0"/>
        <w:ind w:left="981" w:right="0" w:hanging="362"/>
        <w:jc w:val="left"/>
        <w:rPr>
          <w:i/>
        </w:rPr>
      </w:pPr>
      <w:bookmarkStart w:name="_TOC_250046" w:id="32"/>
      <w:bookmarkEnd w:id="32"/>
      <w:r>
        <w:rPr>
          <w:i/>
        </w:rPr>
        <w:t>Parādnieka dzimums</w:t>
      </w:r>
    </w:p>
    <w:p>
      <w:pPr>
        <w:pStyle w:val="BodyText"/>
        <w:spacing w:before="3"/>
        <w:jc w:val="left"/>
        <w:rPr>
          <w:b/>
          <w:i/>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8"/>
        <w:gridCol w:w="708"/>
        <w:gridCol w:w="1318"/>
      </w:tblGrid>
      <w:tr>
        <w:trPr>
          <w:trHeight w:val="297" w:hRule="atLeast"/>
        </w:trPr>
        <w:tc>
          <w:tcPr>
            <w:tcW w:w="4958" w:type="dxa"/>
          </w:tcPr>
          <w:p>
            <w:pPr>
              <w:pStyle w:val="TableParagraph"/>
              <w:spacing w:line="259" w:lineRule="exact" w:before="18"/>
              <w:ind w:left="107"/>
              <w:rPr>
                <w:b/>
                <w:sz w:val="24"/>
              </w:rPr>
            </w:pPr>
            <w:r>
              <w:rPr>
                <w:b/>
                <w:sz w:val="24"/>
              </w:rPr>
              <w:t>Parādnieku skaits</w:t>
            </w:r>
          </w:p>
        </w:tc>
        <w:tc>
          <w:tcPr>
            <w:tcW w:w="708" w:type="dxa"/>
          </w:tcPr>
          <w:p>
            <w:pPr>
              <w:pStyle w:val="TableParagraph"/>
              <w:spacing w:line="259" w:lineRule="exact" w:before="18"/>
              <w:ind w:right="95"/>
              <w:jc w:val="right"/>
              <w:rPr>
                <w:b/>
                <w:sz w:val="24"/>
              </w:rPr>
            </w:pPr>
            <w:r>
              <w:rPr>
                <w:b/>
                <w:sz w:val="24"/>
              </w:rPr>
              <w:t>101</w:t>
            </w:r>
          </w:p>
        </w:tc>
        <w:tc>
          <w:tcPr>
            <w:tcW w:w="1318" w:type="dxa"/>
          </w:tcPr>
          <w:p>
            <w:pPr>
              <w:pStyle w:val="TableParagraph"/>
              <w:rPr>
                <w:sz w:val="22"/>
              </w:rPr>
            </w:pPr>
          </w:p>
        </w:tc>
      </w:tr>
      <w:tr>
        <w:trPr>
          <w:trHeight w:val="297" w:hRule="atLeast"/>
        </w:trPr>
        <w:tc>
          <w:tcPr>
            <w:tcW w:w="4958" w:type="dxa"/>
          </w:tcPr>
          <w:p>
            <w:pPr>
              <w:pStyle w:val="TableParagraph"/>
              <w:spacing w:line="259" w:lineRule="exact" w:before="18"/>
              <w:ind w:left="107"/>
              <w:rPr>
                <w:b/>
                <w:sz w:val="24"/>
              </w:rPr>
            </w:pPr>
            <w:r>
              <w:rPr>
                <w:b/>
                <w:sz w:val="24"/>
              </w:rPr>
              <w:t>Parādnieki - sievietes</w:t>
            </w:r>
          </w:p>
        </w:tc>
        <w:tc>
          <w:tcPr>
            <w:tcW w:w="708" w:type="dxa"/>
          </w:tcPr>
          <w:p>
            <w:pPr>
              <w:pStyle w:val="TableParagraph"/>
              <w:spacing w:line="259" w:lineRule="exact" w:before="18"/>
              <w:ind w:right="96"/>
              <w:jc w:val="right"/>
              <w:rPr>
                <w:b/>
                <w:sz w:val="24"/>
              </w:rPr>
            </w:pPr>
            <w:r>
              <w:rPr>
                <w:b/>
                <w:sz w:val="24"/>
              </w:rPr>
              <w:t>49</w:t>
            </w:r>
          </w:p>
        </w:tc>
        <w:tc>
          <w:tcPr>
            <w:tcW w:w="1318" w:type="dxa"/>
          </w:tcPr>
          <w:p>
            <w:pPr>
              <w:pStyle w:val="TableParagraph"/>
              <w:spacing w:line="259" w:lineRule="exact" w:before="18"/>
              <w:ind w:right="96"/>
              <w:jc w:val="right"/>
              <w:rPr>
                <w:b/>
                <w:sz w:val="24"/>
              </w:rPr>
            </w:pPr>
            <w:r>
              <w:rPr>
                <w:b/>
                <w:sz w:val="24"/>
              </w:rPr>
              <w:t>48,51 %</w:t>
            </w:r>
          </w:p>
        </w:tc>
      </w:tr>
      <w:tr>
        <w:trPr>
          <w:trHeight w:val="285" w:hRule="atLeast"/>
        </w:trPr>
        <w:tc>
          <w:tcPr>
            <w:tcW w:w="4958" w:type="dxa"/>
          </w:tcPr>
          <w:p>
            <w:pPr>
              <w:pStyle w:val="TableParagraph"/>
              <w:spacing w:line="259" w:lineRule="exact" w:before="6"/>
              <w:ind w:left="107"/>
              <w:rPr>
                <w:b/>
                <w:sz w:val="24"/>
              </w:rPr>
            </w:pPr>
            <w:r>
              <w:rPr>
                <w:b/>
                <w:sz w:val="24"/>
              </w:rPr>
              <w:t>Parādnieki - vīrieši</w:t>
            </w:r>
          </w:p>
        </w:tc>
        <w:tc>
          <w:tcPr>
            <w:tcW w:w="708" w:type="dxa"/>
          </w:tcPr>
          <w:p>
            <w:pPr>
              <w:pStyle w:val="TableParagraph"/>
              <w:spacing w:line="259" w:lineRule="exact" w:before="6"/>
              <w:ind w:right="94"/>
              <w:jc w:val="right"/>
              <w:rPr>
                <w:b/>
                <w:sz w:val="24"/>
              </w:rPr>
            </w:pPr>
            <w:r>
              <w:rPr>
                <w:b/>
                <w:sz w:val="24"/>
              </w:rPr>
              <w:t>52</w:t>
            </w:r>
          </w:p>
        </w:tc>
        <w:tc>
          <w:tcPr>
            <w:tcW w:w="1318" w:type="dxa"/>
          </w:tcPr>
          <w:p>
            <w:pPr>
              <w:pStyle w:val="TableParagraph"/>
              <w:spacing w:line="259" w:lineRule="exact" w:before="6"/>
              <w:ind w:right="96"/>
              <w:jc w:val="right"/>
              <w:rPr>
                <w:b/>
                <w:sz w:val="24"/>
              </w:rPr>
            </w:pPr>
            <w:r>
              <w:rPr>
                <w:b/>
                <w:sz w:val="24"/>
              </w:rPr>
              <w:t>51,49 %</w:t>
            </w:r>
          </w:p>
        </w:tc>
      </w:tr>
    </w:tbl>
    <w:p>
      <w:pPr>
        <w:spacing w:after="0" w:line="259" w:lineRule="exact"/>
        <w:jc w:val="right"/>
        <w:rPr>
          <w:sz w:val="24"/>
        </w:rPr>
        <w:sectPr>
          <w:pgSz w:w="11910" w:h="16840"/>
          <w:pgMar w:header="0" w:footer="1055" w:top="1340" w:bottom="1240" w:left="1180" w:right="1040"/>
        </w:sectPr>
      </w:pPr>
    </w:p>
    <w:p>
      <w:pPr>
        <w:pStyle w:val="BodyText"/>
        <w:ind w:left="2144"/>
        <w:jc w:val="left"/>
        <w:rPr>
          <w:sz w:val="20"/>
        </w:rPr>
      </w:pPr>
      <w:r>
        <w:rPr>
          <w:sz w:val="20"/>
        </w:rPr>
        <w:pict>
          <v:group style="width:280.350pt;height:156pt;mso-position-horizontal-relative:char;mso-position-vertical-relative:line" coordorigin="0,0" coordsize="5607,3120">
            <v:shape style="position:absolute;left:1562;top:758;width:2304;height:1349" type="#_x0000_t75" stroked="false">
              <v:imagedata r:id="rId61" o:title=""/>
            </v:shape>
            <v:rect style="position:absolute;left:1989;top:2332;width:89;height:89" filled="true" fillcolor="#4472c3" stroked="false">
              <v:fill type="solid"/>
            </v:rect>
            <v:shape style="position:absolute;left:1970;top:2313;width:130;height:130" coordorigin="1970,2314" coordsize="130,130" path="m2090,2443l1978,2443,1970,2434,1970,2321,1978,2314,2090,2314,2100,2321,2100,2333,2009,2333,1990,2352,2009,2352,2009,2402,1990,2402,2009,2422,2100,2422,2100,2434,2090,2443xm2009,2352l1990,2352,2009,2333,2009,2352xm2059,2352l2009,2352,2009,2333,2059,2333,2059,2352xm2059,2422l2059,2333,2078,2352,2100,2352,2100,2402,2078,2402,2059,2422xm2100,2352l2078,2352,2059,2333,2100,2333,2100,2352xm2009,2422l1990,2402,2009,2402,2009,2422xm2059,2422l2009,2422,2009,2402,2059,2402,2059,2422xm2100,2422l2059,2422,2078,2402,2100,2402,2100,2422xe" filled="true" fillcolor="#ffffff" stroked="false">
              <v:path arrowok="t"/>
              <v:fill type="solid"/>
            </v:shape>
            <v:rect style="position:absolute;left:2901;top:2332;width:92;height:89" filled="true" fillcolor="#ed7c31" stroked="false">
              <v:fill type="solid"/>
            </v:rect>
            <v:shape style="position:absolute;left:2882;top:2313;width:130;height:130" coordorigin="2882,2314" coordsize="130,130" path="m3002,2443l2892,2443,2882,2434,2882,2321,2892,2314,3002,2314,3012,2321,3012,2333,2923,2333,2902,2352,2923,2352,2923,2402,2902,2402,2923,2422,3012,2422,3012,2434,3002,2443xm2923,2352l2902,2352,2923,2333,2923,2352xm2974,2352l2923,2352,2923,2333,2974,2333,2974,2352xm2974,2422l2974,2333,2993,2352,3012,2352,3012,2402,2993,2402,2974,2422xm3012,2352l2993,2352,2974,2333,3012,2333,3012,2352xm2923,2422l2902,2402,2923,2402,2923,2422xm2974,2422l2923,2422,2923,2402,2974,2402,2974,2422xm3012,2422l2974,2422,2993,2402,3012,2402,3012,2422xe" filled="true" fillcolor="#ffffff" stroked="false">
              <v:path arrowok="t"/>
              <v:fill type="solid"/>
            </v:shape>
            <v:shape style="position:absolute;left:0;top:0;width:5607;height:3120" coordorigin="0,0" coordsize="5607,3120" path="m5605,3120l1,3120,0,3118,0,0,14,0,7,10,14,10,14,3106,7,3106,14,3115,5606,3115,5606,3118,5605,3120xm14,10l7,10,14,0,14,0,14,10xm5592,10l14,10,14,0,5592,0,5592,10xm5592,3115l5592,0,5599,10,5606,10,5606,3106,5599,3106,5592,3115xm5606,10l5599,10,5592,0,5606,0,5606,10xm14,3115l7,3106,14,3106,14,3115xm5592,3115l14,3115,14,3106,5592,3106,5592,3115xm5606,3115l5592,3115,5599,3106,5606,3106,5606,3115xe" filled="true" fillcolor="#000000" stroked="false">
              <v:path arrowok="t"/>
              <v:fill type="solid"/>
            </v:shape>
            <v:shape style="position:absolute;left:1120;top:160;width:3385;height:542" type="#_x0000_t202" filled="false" stroked="false">
              <v:textbox inset="0,0,0,0">
                <w:txbxContent>
                  <w:p>
                    <w:pPr>
                      <w:spacing w:line="240" w:lineRule="auto" w:before="0"/>
                      <w:ind w:left="275" w:right="0" w:hanging="276"/>
                      <w:jc w:val="left"/>
                      <w:rPr>
                        <w:sz w:val="24"/>
                      </w:rPr>
                    </w:pPr>
                    <w:r>
                      <w:rPr>
                        <w:sz w:val="24"/>
                      </w:rPr>
                      <w:t>Dzimumu attiecība fizisko personu maksātnespējas procesos (%)</w:t>
                    </w:r>
                  </w:p>
                </w:txbxContent>
              </v:textbox>
              <w10:wrap type="none"/>
            </v:shape>
            <v:shape style="position:absolute;left:1699;top:1147;width:429;height:200" type="#_x0000_t202" filled="false" stroked="false">
              <v:textbox inset="0,0,0,0">
                <w:txbxContent>
                  <w:p>
                    <w:pPr>
                      <w:spacing w:line="199" w:lineRule="exact" w:before="0"/>
                      <w:ind w:left="0" w:right="0" w:firstLine="0"/>
                      <w:jc w:val="left"/>
                      <w:rPr>
                        <w:sz w:val="18"/>
                      </w:rPr>
                    </w:pPr>
                    <w:r>
                      <w:rPr>
                        <w:sz w:val="18"/>
                      </w:rPr>
                      <w:t>51,49</w:t>
                    </w:r>
                  </w:p>
                </w:txbxContent>
              </v:textbox>
              <w10:wrap type="none"/>
            </v:shape>
            <v:shape style="position:absolute;left:3079;top:998;width:429;height:200" type="#_x0000_t202" filled="false" stroked="false">
              <v:textbox inset="0,0,0,0">
                <w:txbxContent>
                  <w:p>
                    <w:pPr>
                      <w:spacing w:line="199" w:lineRule="exact" w:before="0"/>
                      <w:ind w:left="0" w:right="0" w:firstLine="0"/>
                      <w:jc w:val="left"/>
                      <w:rPr>
                        <w:sz w:val="18"/>
                      </w:rPr>
                    </w:pPr>
                    <w:r>
                      <w:rPr>
                        <w:sz w:val="18"/>
                      </w:rPr>
                      <w:t>48,51</w:t>
                    </w:r>
                  </w:p>
                </w:txbxContent>
              </v:textbox>
              <w10:wrap type="none"/>
            </v:shape>
            <v:shape style="position:absolute;left:2114;top:2273;width:1424;height:200" type="#_x0000_t202" filled="false" stroked="false">
              <v:textbox inset="0,0,0,0">
                <w:txbxContent>
                  <w:p>
                    <w:pPr>
                      <w:tabs>
                        <w:tab w:pos="914" w:val="left" w:leader="none"/>
                      </w:tabs>
                      <w:spacing w:line="199" w:lineRule="exact" w:before="0"/>
                      <w:ind w:left="0" w:right="0" w:firstLine="0"/>
                      <w:jc w:val="left"/>
                      <w:rPr>
                        <w:sz w:val="18"/>
                      </w:rPr>
                    </w:pPr>
                    <w:r>
                      <w:rPr>
                        <w:sz w:val="18"/>
                      </w:rPr>
                      <w:t>Sievietes</w:t>
                      <w:tab/>
                      <w:t>Vīrieši</w:t>
                    </w:r>
                  </w:p>
                </w:txbxContent>
              </v:textbox>
              <w10:wrap type="none"/>
            </v:shape>
          </v:group>
        </w:pict>
      </w:r>
      <w:r>
        <w:rPr>
          <w:sz w:val="20"/>
        </w:rPr>
      </w:r>
    </w:p>
    <w:p>
      <w:pPr>
        <w:pStyle w:val="BodyText"/>
        <w:jc w:val="left"/>
        <w:rPr>
          <w:b/>
          <w:i/>
          <w:sz w:val="20"/>
        </w:rPr>
      </w:pPr>
    </w:p>
    <w:p>
      <w:pPr>
        <w:pStyle w:val="BodyText"/>
        <w:spacing w:before="8"/>
        <w:jc w:val="left"/>
        <w:rPr>
          <w:b/>
          <w:i/>
          <w:sz w:val="17"/>
        </w:rPr>
      </w:pPr>
    </w:p>
    <w:p>
      <w:pPr>
        <w:pStyle w:val="ListParagraph"/>
        <w:numPr>
          <w:ilvl w:val="1"/>
          <w:numId w:val="48"/>
        </w:numPr>
        <w:tabs>
          <w:tab w:pos="1342" w:val="left" w:leader="none"/>
        </w:tabs>
        <w:spacing w:line="240" w:lineRule="auto" w:before="90" w:after="0"/>
        <w:ind w:left="1341" w:right="0" w:hanging="362"/>
        <w:jc w:val="left"/>
        <w:rPr>
          <w:b/>
          <w:i/>
          <w:sz w:val="24"/>
        </w:rPr>
      </w:pPr>
      <w:r>
        <w:rPr>
          <w:b/>
          <w:i/>
          <w:sz w:val="24"/>
        </w:rPr>
        <w:t>Tiesas nolēmuma</w:t>
      </w:r>
      <w:r>
        <w:rPr>
          <w:b/>
          <w:i/>
          <w:spacing w:val="-1"/>
          <w:sz w:val="24"/>
        </w:rPr>
        <w:t> </w:t>
      </w:r>
      <w:r>
        <w:rPr>
          <w:b/>
          <w:i/>
          <w:sz w:val="24"/>
        </w:rPr>
        <w:t>būtība</w:t>
      </w:r>
    </w:p>
    <w:p>
      <w:pPr>
        <w:pStyle w:val="BodyText"/>
        <w:spacing w:before="3"/>
        <w:jc w:val="left"/>
        <w:rPr>
          <w:b/>
          <w:i/>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2127"/>
        <w:gridCol w:w="2240"/>
        <w:gridCol w:w="1897"/>
      </w:tblGrid>
      <w:tr>
        <w:trPr>
          <w:trHeight w:val="2226" w:hRule="atLeast"/>
        </w:trPr>
        <w:tc>
          <w:tcPr>
            <w:tcW w:w="2405" w:type="dxa"/>
          </w:tcPr>
          <w:p>
            <w:pPr>
              <w:pStyle w:val="TableParagraph"/>
              <w:rPr>
                <w:b/>
                <w:i/>
                <w:sz w:val="26"/>
              </w:rPr>
            </w:pPr>
          </w:p>
          <w:p>
            <w:pPr>
              <w:pStyle w:val="TableParagraph"/>
              <w:rPr>
                <w:b/>
                <w:i/>
                <w:sz w:val="26"/>
              </w:rPr>
            </w:pPr>
          </w:p>
          <w:p>
            <w:pPr>
              <w:pStyle w:val="TableParagraph"/>
              <w:rPr>
                <w:b/>
                <w:i/>
                <w:sz w:val="26"/>
              </w:rPr>
            </w:pPr>
          </w:p>
          <w:p>
            <w:pPr>
              <w:pStyle w:val="TableParagraph"/>
              <w:tabs>
                <w:tab w:pos="1520" w:val="left" w:leader="none"/>
              </w:tabs>
              <w:spacing w:line="270" w:lineRule="atLeast" w:before="223"/>
              <w:ind w:left="107" w:right="96"/>
              <w:rPr>
                <w:b/>
                <w:sz w:val="24"/>
              </w:rPr>
            </w:pPr>
            <w:r>
              <w:rPr>
                <w:b/>
                <w:sz w:val="24"/>
              </w:rPr>
              <w:t>Maksātnespējas process</w:t>
              <w:tab/>
            </w:r>
            <w:r>
              <w:rPr>
                <w:b/>
                <w:spacing w:val="-1"/>
                <w:sz w:val="24"/>
              </w:rPr>
              <w:t>izbeigts </w:t>
            </w:r>
            <w:r>
              <w:rPr>
                <w:b/>
                <w:sz w:val="24"/>
              </w:rPr>
              <w:t>sakarā ar personas nāvi</w:t>
            </w:r>
            <w:r>
              <w:rPr>
                <w:b/>
                <w:spacing w:val="2"/>
                <w:sz w:val="24"/>
              </w:rPr>
              <w:t> </w:t>
            </w:r>
            <w:r>
              <w:rPr>
                <w:b/>
                <w:sz w:val="24"/>
              </w:rPr>
              <w:t>(%)</w:t>
            </w:r>
          </w:p>
        </w:tc>
        <w:tc>
          <w:tcPr>
            <w:tcW w:w="2127" w:type="dxa"/>
          </w:tcPr>
          <w:p>
            <w:pPr>
              <w:pStyle w:val="TableParagraph"/>
              <w:spacing w:before="4"/>
              <w:rPr>
                <w:b/>
                <w:i/>
                <w:sz w:val="25"/>
              </w:rPr>
            </w:pPr>
          </w:p>
          <w:p>
            <w:pPr>
              <w:pStyle w:val="TableParagraph"/>
              <w:tabs>
                <w:tab w:pos="1070" w:val="left" w:leader="none"/>
                <w:tab w:pos="1181" w:val="left" w:leader="none"/>
              </w:tabs>
              <w:spacing w:line="270" w:lineRule="atLeast"/>
              <w:ind w:left="107" w:right="95"/>
              <w:rPr>
                <w:b/>
                <w:sz w:val="24"/>
              </w:rPr>
            </w:pPr>
            <w:r>
              <w:rPr>
                <w:b/>
                <w:sz w:val="24"/>
              </w:rPr>
              <w:t>Maksātnespējas process</w:t>
              <w:tab/>
              <w:tab/>
            </w:r>
            <w:r>
              <w:rPr>
                <w:b/>
                <w:spacing w:val="-3"/>
                <w:sz w:val="24"/>
              </w:rPr>
              <w:t>izbeigts, </w:t>
            </w:r>
            <w:r>
              <w:rPr>
                <w:b/>
                <w:sz w:val="24"/>
              </w:rPr>
              <w:t>pēc</w:t>
              <w:tab/>
            </w:r>
            <w:r>
              <w:rPr>
                <w:b/>
                <w:spacing w:val="-1"/>
                <w:sz w:val="24"/>
              </w:rPr>
              <w:t>bankrota </w:t>
            </w:r>
            <w:r>
              <w:rPr>
                <w:b/>
                <w:sz w:val="24"/>
              </w:rPr>
              <w:t>procedūras pabeigšanas nepiemērojot SDzP</w:t>
            </w:r>
            <w:r>
              <w:rPr>
                <w:b/>
                <w:spacing w:val="-1"/>
                <w:sz w:val="24"/>
              </w:rPr>
              <w:t> </w:t>
            </w:r>
            <w:r>
              <w:rPr>
                <w:b/>
                <w:sz w:val="24"/>
              </w:rPr>
              <w:t>(%)</w:t>
            </w:r>
          </w:p>
        </w:tc>
        <w:tc>
          <w:tcPr>
            <w:tcW w:w="2240" w:type="dxa"/>
          </w:tcPr>
          <w:p>
            <w:pPr>
              <w:pStyle w:val="TableParagraph"/>
              <w:spacing w:before="4"/>
              <w:rPr>
                <w:b/>
                <w:i/>
                <w:sz w:val="25"/>
              </w:rPr>
            </w:pPr>
          </w:p>
          <w:p>
            <w:pPr>
              <w:pStyle w:val="TableParagraph"/>
              <w:tabs>
                <w:tab w:pos="1296" w:val="left" w:leader="none"/>
              </w:tabs>
              <w:ind w:left="107" w:right="98"/>
              <w:rPr>
                <w:b/>
                <w:sz w:val="24"/>
              </w:rPr>
            </w:pPr>
            <w:r>
              <w:rPr>
                <w:b/>
                <w:sz w:val="24"/>
              </w:rPr>
              <w:t>Maksātnespējas process</w:t>
              <w:tab/>
            </w:r>
            <w:r>
              <w:rPr>
                <w:b/>
                <w:spacing w:val="-3"/>
                <w:sz w:val="24"/>
              </w:rPr>
              <w:t>izbeigts,</w:t>
            </w:r>
          </w:p>
          <w:p>
            <w:pPr>
              <w:pStyle w:val="TableParagraph"/>
              <w:tabs>
                <w:tab w:pos="1262" w:val="left" w:leader="none"/>
                <w:tab w:pos="1342" w:val="left" w:leader="none"/>
                <w:tab w:pos="1624" w:val="left" w:leader="none"/>
              </w:tabs>
              <w:spacing w:line="270" w:lineRule="atLeast"/>
              <w:ind w:left="107" w:right="95"/>
              <w:rPr>
                <w:b/>
                <w:sz w:val="24"/>
              </w:rPr>
            </w:pPr>
            <w:r>
              <w:rPr>
                <w:b/>
                <w:sz w:val="24"/>
              </w:rPr>
              <w:t>dzēšot</w:t>
              <w:tab/>
              <w:tab/>
            </w:r>
            <w:r>
              <w:rPr>
                <w:b/>
                <w:spacing w:val="-1"/>
                <w:sz w:val="24"/>
              </w:rPr>
              <w:t>saistību </w:t>
            </w:r>
            <w:r>
              <w:rPr>
                <w:b/>
                <w:sz w:val="24"/>
              </w:rPr>
              <w:t>dzēšanas procedūras</w:t>
              <w:tab/>
              <w:tab/>
            </w:r>
            <w:r>
              <w:rPr>
                <w:b/>
                <w:spacing w:val="-4"/>
                <w:sz w:val="24"/>
              </w:rPr>
              <w:t>laikā </w:t>
            </w:r>
            <w:r>
              <w:rPr>
                <w:b/>
                <w:sz w:val="24"/>
              </w:rPr>
              <w:t>nesegtās</w:t>
              <w:tab/>
            </w:r>
            <w:r>
              <w:rPr>
                <w:b/>
                <w:spacing w:val="-1"/>
                <w:sz w:val="24"/>
              </w:rPr>
              <w:t>saistības </w:t>
            </w:r>
            <w:r>
              <w:rPr>
                <w:b/>
                <w:sz w:val="24"/>
              </w:rPr>
              <w:t>(%)</w:t>
            </w:r>
          </w:p>
        </w:tc>
        <w:tc>
          <w:tcPr>
            <w:tcW w:w="1897" w:type="dxa"/>
          </w:tcPr>
          <w:p>
            <w:pPr>
              <w:pStyle w:val="TableParagraph"/>
              <w:tabs>
                <w:tab w:pos="934" w:val="left" w:leader="none"/>
              </w:tabs>
              <w:spacing w:line="270" w:lineRule="atLeast" w:before="15"/>
              <w:ind w:left="106" w:right="99"/>
              <w:rPr>
                <w:b/>
                <w:sz w:val="24"/>
              </w:rPr>
            </w:pPr>
            <w:r>
              <w:rPr>
                <w:b/>
                <w:sz w:val="24"/>
              </w:rPr>
              <w:t>Maksātnespējas process </w:t>
            </w:r>
            <w:r>
              <w:rPr>
                <w:b/>
                <w:spacing w:val="-3"/>
                <w:sz w:val="24"/>
              </w:rPr>
              <w:t>izbeigts, </w:t>
            </w:r>
            <w:r>
              <w:rPr>
                <w:b/>
                <w:sz w:val="24"/>
              </w:rPr>
              <w:t>nedzēšot saistību dzēšanas procedūras laikā</w:t>
              <w:tab/>
            </w:r>
            <w:r>
              <w:rPr>
                <w:b/>
                <w:spacing w:val="-4"/>
                <w:sz w:val="24"/>
              </w:rPr>
              <w:t>nesegtās </w:t>
            </w:r>
            <w:r>
              <w:rPr>
                <w:b/>
                <w:sz w:val="24"/>
              </w:rPr>
              <w:t>saistības (%)</w:t>
            </w:r>
          </w:p>
        </w:tc>
      </w:tr>
      <w:tr>
        <w:trPr>
          <w:trHeight w:val="570" w:hRule="atLeast"/>
        </w:trPr>
        <w:tc>
          <w:tcPr>
            <w:tcW w:w="2405" w:type="dxa"/>
          </w:tcPr>
          <w:p>
            <w:pPr>
              <w:pStyle w:val="TableParagraph"/>
              <w:spacing w:before="4"/>
              <w:rPr>
                <w:b/>
                <w:i/>
                <w:sz w:val="25"/>
              </w:rPr>
            </w:pPr>
          </w:p>
          <w:p>
            <w:pPr>
              <w:pStyle w:val="TableParagraph"/>
              <w:spacing w:line="259" w:lineRule="exact"/>
              <w:ind w:right="96"/>
              <w:jc w:val="right"/>
              <w:rPr>
                <w:b/>
                <w:sz w:val="24"/>
              </w:rPr>
            </w:pPr>
            <w:r>
              <w:rPr>
                <w:b/>
                <w:sz w:val="24"/>
              </w:rPr>
              <w:t>1,00</w:t>
            </w:r>
          </w:p>
        </w:tc>
        <w:tc>
          <w:tcPr>
            <w:tcW w:w="2127" w:type="dxa"/>
          </w:tcPr>
          <w:p>
            <w:pPr>
              <w:pStyle w:val="TableParagraph"/>
              <w:spacing w:before="4"/>
              <w:rPr>
                <w:b/>
                <w:i/>
                <w:sz w:val="25"/>
              </w:rPr>
            </w:pPr>
          </w:p>
          <w:p>
            <w:pPr>
              <w:pStyle w:val="TableParagraph"/>
              <w:spacing w:line="259" w:lineRule="exact"/>
              <w:ind w:right="96"/>
              <w:jc w:val="right"/>
              <w:rPr>
                <w:b/>
                <w:sz w:val="24"/>
              </w:rPr>
            </w:pPr>
            <w:r>
              <w:rPr>
                <w:b/>
                <w:sz w:val="24"/>
              </w:rPr>
              <w:t>9,00</w:t>
            </w:r>
          </w:p>
        </w:tc>
        <w:tc>
          <w:tcPr>
            <w:tcW w:w="2240" w:type="dxa"/>
          </w:tcPr>
          <w:p>
            <w:pPr>
              <w:pStyle w:val="TableParagraph"/>
              <w:spacing w:before="4"/>
              <w:rPr>
                <w:b/>
                <w:i/>
                <w:sz w:val="25"/>
              </w:rPr>
            </w:pPr>
          </w:p>
          <w:p>
            <w:pPr>
              <w:pStyle w:val="TableParagraph"/>
              <w:spacing w:line="259" w:lineRule="exact"/>
              <w:ind w:right="97"/>
              <w:jc w:val="right"/>
              <w:rPr>
                <w:b/>
                <w:sz w:val="24"/>
              </w:rPr>
            </w:pPr>
            <w:r>
              <w:rPr>
                <w:b/>
                <w:sz w:val="24"/>
              </w:rPr>
              <w:t>82</w:t>
            </w:r>
          </w:p>
        </w:tc>
        <w:tc>
          <w:tcPr>
            <w:tcW w:w="1897" w:type="dxa"/>
          </w:tcPr>
          <w:p>
            <w:pPr>
              <w:pStyle w:val="TableParagraph"/>
              <w:spacing w:before="4"/>
              <w:rPr>
                <w:b/>
                <w:i/>
                <w:sz w:val="25"/>
              </w:rPr>
            </w:pPr>
          </w:p>
          <w:p>
            <w:pPr>
              <w:pStyle w:val="TableParagraph"/>
              <w:spacing w:line="259" w:lineRule="exact"/>
              <w:ind w:right="98"/>
              <w:jc w:val="right"/>
              <w:rPr>
                <w:b/>
                <w:sz w:val="24"/>
              </w:rPr>
            </w:pPr>
            <w:r>
              <w:rPr>
                <w:b/>
                <w:sz w:val="24"/>
              </w:rPr>
              <w:t>8,00</w:t>
            </w:r>
          </w:p>
        </w:tc>
      </w:tr>
      <w:tr>
        <w:trPr>
          <w:trHeight w:val="712" w:hRule="atLeast"/>
        </w:trPr>
        <w:tc>
          <w:tcPr>
            <w:tcW w:w="2405" w:type="dxa"/>
          </w:tcPr>
          <w:p>
            <w:pPr>
              <w:pStyle w:val="TableParagraph"/>
              <w:spacing w:before="152"/>
              <w:ind w:right="96"/>
              <w:jc w:val="right"/>
              <w:rPr>
                <w:sz w:val="24"/>
              </w:rPr>
            </w:pPr>
            <w:r>
              <w:rPr>
                <w:sz w:val="24"/>
              </w:rPr>
              <w:t>1</w:t>
            </w:r>
            <w:r>
              <w:rPr>
                <w:spacing w:val="-3"/>
                <w:sz w:val="24"/>
              </w:rPr>
              <w:t> </w:t>
            </w:r>
            <w:r>
              <w:rPr>
                <w:sz w:val="24"/>
              </w:rPr>
              <w:t>maksātnespējas</w:t>
            </w:r>
          </w:p>
          <w:p>
            <w:pPr>
              <w:pStyle w:val="TableParagraph"/>
              <w:spacing w:line="264" w:lineRule="exact"/>
              <w:ind w:right="99"/>
              <w:jc w:val="right"/>
              <w:rPr>
                <w:sz w:val="24"/>
              </w:rPr>
            </w:pPr>
            <w:r>
              <w:rPr>
                <w:spacing w:val="-1"/>
                <w:sz w:val="24"/>
              </w:rPr>
              <w:t>process</w:t>
            </w:r>
          </w:p>
        </w:tc>
        <w:tc>
          <w:tcPr>
            <w:tcW w:w="2127" w:type="dxa"/>
          </w:tcPr>
          <w:p>
            <w:pPr>
              <w:pStyle w:val="TableParagraph"/>
              <w:spacing w:before="152"/>
              <w:ind w:right="96"/>
              <w:jc w:val="right"/>
              <w:rPr>
                <w:sz w:val="24"/>
              </w:rPr>
            </w:pPr>
            <w:r>
              <w:rPr>
                <w:sz w:val="24"/>
              </w:rPr>
              <w:t>9</w:t>
            </w:r>
            <w:r>
              <w:rPr>
                <w:spacing w:val="-3"/>
                <w:sz w:val="24"/>
              </w:rPr>
              <w:t> </w:t>
            </w:r>
            <w:r>
              <w:rPr>
                <w:sz w:val="24"/>
              </w:rPr>
              <w:t>maksātnespējas</w:t>
            </w:r>
          </w:p>
          <w:p>
            <w:pPr>
              <w:pStyle w:val="TableParagraph"/>
              <w:spacing w:line="264" w:lineRule="exact"/>
              <w:ind w:right="100"/>
              <w:jc w:val="right"/>
              <w:rPr>
                <w:sz w:val="24"/>
              </w:rPr>
            </w:pPr>
            <w:r>
              <w:rPr>
                <w:spacing w:val="-1"/>
                <w:sz w:val="24"/>
              </w:rPr>
              <w:t>procesi</w:t>
            </w:r>
          </w:p>
        </w:tc>
        <w:tc>
          <w:tcPr>
            <w:tcW w:w="2240" w:type="dxa"/>
          </w:tcPr>
          <w:p>
            <w:pPr>
              <w:pStyle w:val="TableParagraph"/>
              <w:spacing w:before="152"/>
              <w:ind w:right="97"/>
              <w:jc w:val="right"/>
              <w:rPr>
                <w:sz w:val="24"/>
              </w:rPr>
            </w:pPr>
            <w:r>
              <w:rPr>
                <w:sz w:val="24"/>
              </w:rPr>
              <w:t>82</w:t>
            </w:r>
            <w:r>
              <w:rPr>
                <w:spacing w:val="-3"/>
                <w:sz w:val="24"/>
              </w:rPr>
              <w:t> </w:t>
            </w:r>
            <w:r>
              <w:rPr>
                <w:sz w:val="24"/>
              </w:rPr>
              <w:t>maksātnespējas</w:t>
            </w:r>
          </w:p>
          <w:p>
            <w:pPr>
              <w:pStyle w:val="TableParagraph"/>
              <w:spacing w:line="264" w:lineRule="exact"/>
              <w:ind w:right="101"/>
              <w:jc w:val="right"/>
              <w:rPr>
                <w:sz w:val="24"/>
              </w:rPr>
            </w:pPr>
            <w:r>
              <w:rPr>
                <w:spacing w:val="-1"/>
                <w:sz w:val="24"/>
              </w:rPr>
              <w:t>process</w:t>
            </w:r>
          </w:p>
        </w:tc>
        <w:tc>
          <w:tcPr>
            <w:tcW w:w="1897" w:type="dxa"/>
          </w:tcPr>
          <w:p>
            <w:pPr>
              <w:pStyle w:val="TableParagraph"/>
              <w:spacing w:before="152"/>
              <w:ind w:right="98"/>
              <w:jc w:val="right"/>
              <w:rPr>
                <w:sz w:val="24"/>
              </w:rPr>
            </w:pPr>
            <w:r>
              <w:rPr>
                <w:sz w:val="24"/>
              </w:rPr>
              <w:t>8</w:t>
            </w:r>
            <w:r>
              <w:rPr>
                <w:spacing w:val="-3"/>
                <w:sz w:val="24"/>
              </w:rPr>
              <w:t> </w:t>
            </w:r>
            <w:r>
              <w:rPr>
                <w:sz w:val="24"/>
              </w:rPr>
              <w:t>maksātnespējas</w:t>
            </w:r>
          </w:p>
          <w:p>
            <w:pPr>
              <w:pStyle w:val="TableParagraph"/>
              <w:spacing w:line="264" w:lineRule="exact"/>
              <w:ind w:right="102"/>
              <w:jc w:val="right"/>
              <w:rPr>
                <w:sz w:val="24"/>
              </w:rPr>
            </w:pPr>
            <w:r>
              <w:rPr>
                <w:spacing w:val="-1"/>
                <w:sz w:val="24"/>
              </w:rPr>
              <w:t>procesi</w:t>
            </w:r>
          </w:p>
        </w:tc>
      </w:tr>
    </w:tbl>
    <w:p>
      <w:pPr>
        <w:pStyle w:val="BodyText"/>
        <w:jc w:val="left"/>
        <w:rPr>
          <w:b/>
          <w:i/>
          <w:sz w:val="20"/>
        </w:rPr>
      </w:pPr>
    </w:p>
    <w:p>
      <w:pPr>
        <w:pStyle w:val="BodyText"/>
        <w:jc w:val="left"/>
        <w:rPr>
          <w:b/>
          <w:i/>
          <w:sz w:val="20"/>
        </w:rPr>
      </w:pPr>
    </w:p>
    <w:p>
      <w:pPr>
        <w:pStyle w:val="BodyText"/>
        <w:jc w:val="left"/>
        <w:rPr>
          <w:b/>
          <w:i/>
          <w:sz w:val="20"/>
        </w:rPr>
      </w:pPr>
    </w:p>
    <w:p>
      <w:pPr>
        <w:pStyle w:val="BodyText"/>
        <w:spacing w:before="6"/>
        <w:jc w:val="left"/>
        <w:rPr>
          <w:b/>
          <w:i/>
          <w:sz w:val="16"/>
        </w:rPr>
      </w:pPr>
      <w:r>
        <w:rPr/>
        <w:pict>
          <v:group style="position:absolute;margin-left:144.240005pt;margin-top:11.462893pt;width:324pt;height:252.75pt;mso-position-horizontal-relative:page;mso-position-vertical-relative:paragraph;z-index:-251524096;mso-wrap-distance-left:0;mso-wrap-distance-right:0" coordorigin="2885,229" coordsize="6480,5055">
            <v:shape style="position:absolute;left:5088;top:1328;width:2343;height:1383" type="#_x0000_t75" stroked="false">
              <v:imagedata r:id="rId62" o:title=""/>
            </v:shape>
            <v:rect style="position:absolute;left:3600;top:3032;width:89;height:92" filled="true" fillcolor="#4472c3" stroked="false">
              <v:fill type="solid"/>
            </v:rect>
            <v:shape style="position:absolute;left:3578;top:3013;width:130;height:130" coordorigin="3578,3013" coordsize="130,130" path="m3701,3143l3588,3143,3578,3133,3578,3023,3588,3013,3701,3013,3708,3023,3708,3032,3619,3032,3600,3054,3619,3054,3619,3102,3600,3102,3619,3124,3708,3124,3708,3133,3701,3143xm3619,3054l3600,3054,3619,3032,3619,3054xm3670,3054l3619,3054,3619,3032,3670,3032,3670,3054xm3670,3124l3670,3032,3689,3054,3708,3054,3708,3102,3689,3102,3670,3124xm3708,3054l3689,3054,3670,3032,3708,3032,3708,3054xm3619,3124l3600,3102,3619,3102,3619,3124xm3670,3124l3619,3124,3619,3102,3670,3102,3670,3124xm3708,3124l3670,3124,3689,3102,3708,3102,3708,3124xe" filled="true" fillcolor="#ffffff" stroked="false">
              <v:path arrowok="t"/>
              <v:fill type="solid"/>
            </v:shape>
            <v:rect style="position:absolute;left:3600;top:3507;width:89;height:89" filled="true" fillcolor="#ed7c31" stroked="false">
              <v:fill type="solid"/>
            </v:rect>
            <v:shape style="position:absolute;left:3578;top:3486;width:130;height:130" coordorigin="3578,3486" coordsize="130,130" path="m3701,3616l3588,3616,3578,3608,3578,3496,3588,3486,3701,3486,3708,3496,3708,3508,3619,3508,3600,3527,3619,3527,3619,3577,3600,3577,3619,3596,3708,3596,3708,3608,3701,3616xm3619,3527l3600,3527,3619,3508,3619,3527xm3670,3527l3619,3527,3619,3508,3670,3508,3670,3527xm3670,3596l3670,3508,3689,3527,3708,3527,3708,3577,3689,3577,3670,3596xm3708,3527l3689,3527,3670,3508,3708,3508,3708,3527xm3619,3596l3600,3577,3619,3577,3619,3596xm3670,3596l3619,3596,3619,3577,3670,3577,3670,3596xm3708,3596l3670,3596,3689,3577,3708,3577,3708,3596xe" filled="true" fillcolor="#ffffff" stroked="false">
              <v:path arrowok="t"/>
              <v:fill type="solid"/>
            </v:shape>
            <v:rect style="position:absolute;left:3600;top:3980;width:89;height:92" filled="true" fillcolor="#a5a5a5" stroked="false">
              <v:fill type="solid"/>
            </v:rect>
            <v:shape style="position:absolute;left:3578;top:3961;width:130;height:130" coordorigin="3578,3961" coordsize="130,130" path="m3701,4091l3588,4091,3578,4081,3578,3971,3588,3961,3701,3961,3708,3971,3708,3980,3619,3980,3600,4002,3619,4002,3619,4050,3600,4050,3619,4072,3708,4072,3708,4081,3701,4091xm3619,4002l3600,4002,3619,3980,3619,4002xm3670,4002l3619,4002,3619,3980,3670,3980,3670,4002xm3670,4072l3670,3980,3689,4002,3708,4002,3708,4050,3689,4050,3670,4072xm3708,4002l3689,4002,3670,3980,3708,3980,3708,4002xm3619,4072l3600,4050,3619,4050,3619,4072xm3670,4072l3619,4072,3619,4050,3670,4050,3670,4072xm3708,4072l3670,4072,3689,4050,3708,4050,3708,4072xe" filled="true" fillcolor="#ffffff" stroked="false">
              <v:path arrowok="t"/>
              <v:fill type="solid"/>
            </v:shape>
            <v:rect style="position:absolute;left:3600;top:4455;width:89;height:89" filled="true" fillcolor="#ffbf00" stroked="false">
              <v:fill type="solid"/>
            </v:rect>
            <v:shape style="position:absolute;left:3578;top:4434;width:130;height:130" coordorigin="3578,4434" coordsize="130,130" path="m3701,4564l3588,4564,3578,4556,3578,4444,3588,4434,3701,4434,3708,4444,3708,4456,3619,4456,3600,4475,3619,4475,3619,4525,3600,4525,3619,4544,3708,4544,3708,4556,3701,4564xm3619,4475l3600,4475,3619,4456,3619,4475xm3670,4475l3619,4475,3619,4456,3670,4456,3670,4475xm3670,4544l3670,4456,3689,4475,3708,4475,3708,4525,3689,4525,3670,4544xm3708,4475l3689,4475,3670,4456,3708,4456,3708,4475xm3619,4544l3600,4525,3619,4525,3619,4544xm3670,4544l3619,4544,3619,4525,3670,4525,3670,4544xm3708,4544l3670,4544,3689,4525,3708,4525,3708,4544xe" filled="true" fillcolor="#ffffff" stroked="false">
              <v:path arrowok="t"/>
              <v:fill type="solid"/>
            </v:shape>
            <v:shape style="position:absolute;left:2884;top:229;width:6480;height:5055" coordorigin="2885,229" coordsize="6480,5055" path="m9360,5284l2887,5284,2885,5279,2885,229,9365,229,9365,232,2899,232,2892,239,2899,239,2899,5267,2892,5267,2899,5276,9365,5276,9365,5279,9360,5284xm2899,239l2892,239,2899,232,2899,239xm9348,239l2899,239,2899,232,9348,232,9348,239xm9348,5276l9348,232,9355,239,9365,239,9365,5267,9355,5267,9348,5276xm9365,239l9355,239,9348,232,9365,232,9365,239xm2899,5276l2892,5267,2899,5267,2899,5276xm9348,5276l2899,5276,2899,5267,9348,5267,9348,5276xm9365,5276l9348,5276,9355,5267,9365,5267,9365,5276xe" filled="true" fillcolor="#000000" stroked="false">
              <v:path arrowok="t"/>
              <v:fill type="solid"/>
            </v:shape>
            <v:shape style="position:absolute;left:3861;top:389;width:4542;height:887" type="#_x0000_t202" filled="false" stroked="false">
              <v:textbox inset="0,0,0,0">
                <w:txbxContent>
                  <w:p>
                    <w:pPr>
                      <w:spacing w:line="240" w:lineRule="auto" w:before="0"/>
                      <w:ind w:left="902" w:right="-10" w:hanging="903"/>
                      <w:jc w:val="left"/>
                      <w:rPr>
                        <w:sz w:val="24"/>
                      </w:rPr>
                    </w:pPr>
                    <w:r>
                      <w:rPr>
                        <w:sz w:val="24"/>
                      </w:rPr>
                      <w:t>Tiesas lēmumu veidi, izbeidzot fizisko personu maksātnespējas procesu (%)</w:t>
                    </w:r>
                  </w:p>
                  <w:p>
                    <w:pPr>
                      <w:spacing w:before="117"/>
                      <w:ind w:left="1857" w:right="1564" w:firstLine="0"/>
                      <w:jc w:val="center"/>
                      <w:rPr>
                        <w:sz w:val="18"/>
                      </w:rPr>
                    </w:pPr>
                    <w:r>
                      <w:rPr>
                        <w:position w:val="1"/>
                        <w:sz w:val="18"/>
                      </w:rPr>
                      <w:t>8,00  </w:t>
                    </w:r>
                    <w:r>
                      <w:rPr>
                        <w:sz w:val="18"/>
                      </w:rPr>
                      <w:t>1,00 9,00</w:t>
                    </w:r>
                  </w:p>
                </w:txbxContent>
              </v:textbox>
              <w10:wrap type="none"/>
            </v:shape>
            <v:shape style="position:absolute;left:5887;top:2142;width:429;height:200" type="#_x0000_t202" filled="false" stroked="false">
              <v:textbox inset="0,0,0,0">
                <w:txbxContent>
                  <w:p>
                    <w:pPr>
                      <w:spacing w:line="199" w:lineRule="exact" w:before="0"/>
                      <w:ind w:left="0" w:right="0" w:firstLine="0"/>
                      <w:jc w:val="left"/>
                      <w:rPr>
                        <w:sz w:val="18"/>
                      </w:rPr>
                    </w:pPr>
                    <w:r>
                      <w:rPr>
                        <w:sz w:val="18"/>
                      </w:rPr>
                      <w:t>82,00</w:t>
                    </w:r>
                  </w:p>
                </w:txbxContent>
              </v:textbox>
              <w10:wrap type="none"/>
            </v:shape>
            <v:shape style="position:absolute;left:3724;top:2972;width:5183;height:1829" type="#_x0000_t202" filled="false" stroked="false">
              <v:textbox inset="0,0,0,0">
                <w:txbxContent>
                  <w:p>
                    <w:pPr>
                      <w:spacing w:line="199" w:lineRule="exact" w:before="0"/>
                      <w:ind w:left="0" w:right="0" w:firstLine="0"/>
                      <w:jc w:val="left"/>
                      <w:rPr>
                        <w:sz w:val="18"/>
                      </w:rPr>
                    </w:pPr>
                    <w:r>
                      <w:rPr>
                        <w:sz w:val="18"/>
                      </w:rPr>
                      <w:t>Maksātnespējas process izbeigts sakarā ar personas nāvi (%)</w:t>
                    </w:r>
                  </w:p>
                  <w:p>
                    <w:pPr>
                      <w:spacing w:line="240" w:lineRule="auto" w:before="3"/>
                      <w:rPr>
                        <w:sz w:val="23"/>
                      </w:rPr>
                    </w:pPr>
                  </w:p>
                  <w:p>
                    <w:pPr>
                      <w:spacing w:before="0"/>
                      <w:ind w:left="0" w:right="69" w:firstLine="0"/>
                      <w:jc w:val="left"/>
                      <w:rPr>
                        <w:sz w:val="18"/>
                      </w:rPr>
                    </w:pPr>
                    <w:r>
                      <w:rPr>
                        <w:sz w:val="18"/>
                      </w:rPr>
                      <w:t>Maksātnespējas process izbeigts, pēc bankrota procedūras pabeigšanas nepiemērojot SDzP (%)</w:t>
                    </w:r>
                  </w:p>
                  <w:p>
                    <w:pPr>
                      <w:spacing w:before="59"/>
                      <w:ind w:left="0" w:right="169" w:firstLine="0"/>
                      <w:jc w:val="left"/>
                      <w:rPr>
                        <w:sz w:val="18"/>
                      </w:rPr>
                    </w:pPr>
                    <w:r>
                      <w:rPr>
                        <w:sz w:val="18"/>
                      </w:rPr>
                      <w:t>Maksātnespējas process izbeigts, dzēšot saistību dzēšanas procedūras laikā nesegtās saistības</w:t>
                    </w:r>
                    <w:r>
                      <w:rPr>
                        <w:spacing w:val="1"/>
                        <w:sz w:val="18"/>
                      </w:rPr>
                      <w:t> </w:t>
                    </w:r>
                    <w:r>
                      <w:rPr>
                        <w:sz w:val="18"/>
                      </w:rPr>
                      <w:t>(%)</w:t>
                    </w:r>
                  </w:p>
                  <w:p>
                    <w:pPr>
                      <w:spacing w:before="59"/>
                      <w:ind w:left="0" w:right="0" w:firstLine="0"/>
                      <w:jc w:val="left"/>
                      <w:rPr>
                        <w:sz w:val="18"/>
                      </w:rPr>
                    </w:pPr>
                    <w:r>
                      <w:rPr>
                        <w:sz w:val="18"/>
                      </w:rPr>
                      <w:t>Maksātnespējas process izbeigts, nedzēšot saistību dzēšanas</w:t>
                    </w:r>
                    <w:r>
                      <w:rPr>
                        <w:spacing w:val="-22"/>
                        <w:sz w:val="18"/>
                      </w:rPr>
                      <w:t> </w:t>
                    </w:r>
                    <w:r>
                      <w:rPr>
                        <w:sz w:val="18"/>
                      </w:rPr>
                      <w:t>procedūras laikā nesegtās saistības</w:t>
                    </w:r>
                    <w:r>
                      <w:rPr>
                        <w:spacing w:val="1"/>
                        <w:sz w:val="18"/>
                      </w:rPr>
                      <w:t> </w:t>
                    </w:r>
                    <w:r>
                      <w:rPr>
                        <w:sz w:val="18"/>
                      </w:rPr>
                      <w:t>(%)</w:t>
                    </w:r>
                  </w:p>
                </w:txbxContent>
              </v:textbox>
              <w10:wrap type="none"/>
            </v:shape>
            <w10:wrap type="topAndBottom"/>
          </v:group>
        </w:pict>
      </w:r>
    </w:p>
    <w:p>
      <w:pPr>
        <w:spacing w:after="0"/>
        <w:jc w:val="left"/>
        <w:rPr>
          <w:sz w:val="16"/>
        </w:rPr>
        <w:sectPr>
          <w:pgSz w:w="11910" w:h="16840"/>
          <w:pgMar w:header="0" w:footer="1055" w:top="1420" w:bottom="1240" w:left="1180" w:right="1040"/>
        </w:sectPr>
      </w:pPr>
    </w:p>
    <w:p>
      <w:pPr>
        <w:spacing w:before="72"/>
        <w:ind w:left="1613" w:right="0" w:firstLine="0"/>
        <w:jc w:val="left"/>
        <w:rPr>
          <w:b/>
          <w:sz w:val="18"/>
        </w:rPr>
      </w:pPr>
      <w:r>
        <w:rPr>
          <w:b/>
          <w:sz w:val="28"/>
        </w:rPr>
        <w:t>3. Secinājumi no maksātnespējas procesu analīzes</w:t>
      </w:r>
      <w:r>
        <w:rPr>
          <w:b/>
          <w:position w:val="10"/>
          <w:sz w:val="18"/>
        </w:rPr>
        <w:t>225</w:t>
      </w:r>
    </w:p>
    <w:p>
      <w:pPr>
        <w:pStyle w:val="ListParagraph"/>
        <w:numPr>
          <w:ilvl w:val="1"/>
          <w:numId w:val="50"/>
        </w:numPr>
        <w:tabs>
          <w:tab w:pos="980" w:val="left" w:leader="none"/>
        </w:tabs>
        <w:spacing w:line="240" w:lineRule="auto" w:before="270" w:after="0"/>
        <w:ind w:left="980" w:right="761" w:hanging="360"/>
        <w:jc w:val="both"/>
        <w:rPr>
          <w:sz w:val="24"/>
        </w:rPr>
      </w:pPr>
      <w:r>
        <w:rPr>
          <w:sz w:val="24"/>
        </w:rPr>
        <w:t>Ir samērā liels parādnieku skaits, kuriem maksātnespējas procesā tiek sastādīts ziņojums par mantas neesamību. Turklāt ir novērojams izteikts pieaugums pēdējo gadu laikā. Un tieši, maksātnespējas procesos, kuri ir uzsākti laika posmā no 2010.gada 1.novembra līdz 2015.gada 28.februārim, ziņojums par mantas neesamību ir sastādīts 41,62 % gadījumu, bet pēc 2015.gada 1.marta uzsāktajos maksātnespējas procesos jau 71 %</w:t>
      </w:r>
      <w:r>
        <w:rPr>
          <w:spacing w:val="1"/>
          <w:sz w:val="24"/>
        </w:rPr>
        <w:t> </w:t>
      </w:r>
      <w:r>
        <w:rPr>
          <w:sz w:val="24"/>
        </w:rPr>
        <w:t>gadījumu.</w:t>
      </w:r>
    </w:p>
    <w:p>
      <w:pPr>
        <w:pStyle w:val="BodyText"/>
        <w:jc w:val="left"/>
      </w:pPr>
    </w:p>
    <w:p>
      <w:pPr>
        <w:pStyle w:val="BodyText"/>
        <w:ind w:left="980" w:right="761"/>
      </w:pPr>
      <w:r>
        <w:rPr/>
        <w:t>Kopsakarā</w:t>
      </w:r>
      <w:r>
        <w:rPr>
          <w:spacing w:val="-10"/>
        </w:rPr>
        <w:t> </w:t>
      </w:r>
      <w:r>
        <w:rPr/>
        <w:t>ar</w:t>
      </w:r>
      <w:r>
        <w:rPr>
          <w:spacing w:val="-13"/>
        </w:rPr>
        <w:t> </w:t>
      </w:r>
      <w:r>
        <w:rPr/>
        <w:t>pārējiem</w:t>
      </w:r>
      <w:r>
        <w:rPr>
          <w:spacing w:val="-10"/>
        </w:rPr>
        <w:t> </w:t>
      </w:r>
      <w:r>
        <w:rPr/>
        <w:t>statistikas</w:t>
      </w:r>
      <w:r>
        <w:rPr>
          <w:spacing w:val="-12"/>
        </w:rPr>
        <w:t> </w:t>
      </w:r>
      <w:r>
        <w:rPr/>
        <w:t>datiem</w:t>
      </w:r>
      <w:r>
        <w:rPr>
          <w:spacing w:val="-10"/>
        </w:rPr>
        <w:t> </w:t>
      </w:r>
      <w:r>
        <w:rPr/>
        <w:t>un</w:t>
      </w:r>
      <w:r>
        <w:rPr>
          <w:spacing w:val="-10"/>
        </w:rPr>
        <w:t> </w:t>
      </w:r>
      <w:r>
        <w:rPr/>
        <w:t>aptaujas</w:t>
      </w:r>
      <w:r>
        <w:rPr>
          <w:spacing w:val="-12"/>
        </w:rPr>
        <w:t> </w:t>
      </w:r>
      <w:r>
        <w:rPr/>
        <w:t>anketām,</w:t>
      </w:r>
      <w:r>
        <w:rPr>
          <w:spacing w:val="-10"/>
        </w:rPr>
        <w:t> </w:t>
      </w:r>
      <w:r>
        <w:rPr/>
        <w:t>ir</w:t>
      </w:r>
      <w:r>
        <w:rPr>
          <w:spacing w:val="-10"/>
        </w:rPr>
        <w:t> </w:t>
      </w:r>
      <w:r>
        <w:rPr/>
        <w:t>secināms,</w:t>
      </w:r>
      <w:r>
        <w:rPr>
          <w:spacing w:val="-8"/>
        </w:rPr>
        <w:t> </w:t>
      </w:r>
      <w:r>
        <w:rPr/>
        <w:t>ka</w:t>
      </w:r>
      <w:r>
        <w:rPr>
          <w:spacing w:val="-10"/>
        </w:rPr>
        <w:t> </w:t>
      </w:r>
      <w:r>
        <w:rPr/>
        <w:t>šādas tendences galvenie iemesli ir: (a) nebanku kredītu pieejamības palielināšanās (tā dēvētie “ātrie kredīti”), kurus parasti izmanto personas bez mantas, (b) rūpīgāka kredītņēmēju maksātspējas izvērtēšana, izsniedzot hipotekāros aizdevumus, (c) nesavlaicīga maksātnespējas procesa uzsākšana (piemēram, maksātnespējas process</w:t>
      </w:r>
      <w:r>
        <w:rPr>
          <w:spacing w:val="-8"/>
        </w:rPr>
        <w:t> </w:t>
      </w:r>
      <w:r>
        <w:rPr/>
        <w:t>tiek</w:t>
      </w:r>
      <w:r>
        <w:rPr>
          <w:spacing w:val="-10"/>
        </w:rPr>
        <w:t> </w:t>
      </w:r>
      <w:r>
        <w:rPr/>
        <w:t>uzsākts</w:t>
      </w:r>
      <w:r>
        <w:rPr>
          <w:spacing w:val="-8"/>
        </w:rPr>
        <w:t> </w:t>
      </w:r>
      <w:r>
        <w:rPr/>
        <w:t>tikai</w:t>
      </w:r>
      <w:r>
        <w:rPr>
          <w:spacing w:val="-12"/>
        </w:rPr>
        <w:t> </w:t>
      </w:r>
      <w:r>
        <w:rPr/>
        <w:t>pēc</w:t>
      </w:r>
      <w:r>
        <w:rPr>
          <w:spacing w:val="-10"/>
        </w:rPr>
        <w:t> </w:t>
      </w:r>
      <w:r>
        <w:rPr/>
        <w:t>tam,</w:t>
      </w:r>
      <w:r>
        <w:rPr>
          <w:spacing w:val="-8"/>
        </w:rPr>
        <w:t> </w:t>
      </w:r>
      <w:r>
        <w:rPr/>
        <w:t>kad</w:t>
      </w:r>
      <w:r>
        <w:rPr>
          <w:spacing w:val="-10"/>
        </w:rPr>
        <w:t> </w:t>
      </w:r>
      <w:r>
        <w:rPr/>
        <w:t>piedziņas</w:t>
      </w:r>
      <w:r>
        <w:rPr>
          <w:spacing w:val="-10"/>
        </w:rPr>
        <w:t> </w:t>
      </w:r>
      <w:r>
        <w:rPr/>
        <w:t>procesā</w:t>
      </w:r>
      <w:r>
        <w:rPr>
          <w:spacing w:val="-10"/>
        </w:rPr>
        <w:t> </w:t>
      </w:r>
      <w:r>
        <w:rPr/>
        <w:t>tiesu</w:t>
      </w:r>
      <w:r>
        <w:rPr>
          <w:spacing w:val="-8"/>
        </w:rPr>
        <w:t> </w:t>
      </w:r>
      <w:r>
        <w:rPr/>
        <w:t>izpildītājs</w:t>
      </w:r>
      <w:r>
        <w:rPr>
          <w:spacing w:val="-8"/>
        </w:rPr>
        <w:t> </w:t>
      </w:r>
      <w:r>
        <w:rPr/>
        <w:t>ir</w:t>
      </w:r>
      <w:r>
        <w:rPr>
          <w:spacing w:val="-8"/>
        </w:rPr>
        <w:t> </w:t>
      </w:r>
      <w:r>
        <w:rPr/>
        <w:t>pārdevis parādniekam piederošo mantu), (d) Maksātnespējas likuma grozījumi, atbilstoši kuriem tiek gatavots ziņojums par mantas neesamību, ja paredzamie ienākumi no parādnieka mantas pārdošanas ir zemāki par maksātnespējas procesa</w:t>
      </w:r>
      <w:r>
        <w:rPr>
          <w:spacing w:val="-7"/>
        </w:rPr>
        <w:t> </w:t>
      </w:r>
      <w:r>
        <w:rPr/>
        <w:t>depozītu.</w:t>
      </w:r>
    </w:p>
    <w:p>
      <w:pPr>
        <w:pStyle w:val="BodyText"/>
        <w:jc w:val="left"/>
      </w:pPr>
    </w:p>
    <w:p>
      <w:pPr>
        <w:pStyle w:val="ListParagraph"/>
        <w:numPr>
          <w:ilvl w:val="1"/>
          <w:numId w:val="50"/>
        </w:numPr>
        <w:tabs>
          <w:tab w:pos="980" w:val="left" w:leader="none"/>
        </w:tabs>
        <w:spacing w:line="240" w:lineRule="auto" w:before="1" w:after="0"/>
        <w:ind w:left="980" w:right="761" w:hanging="360"/>
        <w:jc w:val="both"/>
        <w:rPr>
          <w:sz w:val="24"/>
        </w:rPr>
      </w:pPr>
      <w:r>
        <w:rPr>
          <w:sz w:val="24"/>
        </w:rPr>
        <w:t>Vidējais saistību apmērs maksātnespējas procesos, kuri ir uzsākti laika posmā no 2010.gada 1.novembra līdz 2015.gada 28.februārim, ir EUR 132 141,20, turklāt procesos, kuros ir ticis sastādīts ziņojums par mantas neesamību vidējais saistību apmērs ir EUR 131 010,55, bet procesos ar mantas pārdošanas plānu – EUR 132 911,53. Līdz ar to secināms, ka laika posmā no 2010.gada 1.novembra līdz 2015.gada 28.februārim uzsāktajos maksātnespējas procesos ir novērojamas nebūtiskas atšķirības parādnieka saistību apmērā, atkarībā no tā, vai viņa maksātnespējas procesā ir sastādīts mantas pārdošanas plāns vai ziņojums par mantas</w:t>
      </w:r>
      <w:r>
        <w:rPr>
          <w:spacing w:val="-1"/>
          <w:sz w:val="24"/>
        </w:rPr>
        <w:t> </w:t>
      </w:r>
      <w:r>
        <w:rPr>
          <w:sz w:val="24"/>
        </w:rPr>
        <w:t>neesamību.</w:t>
      </w:r>
    </w:p>
    <w:p>
      <w:pPr>
        <w:pStyle w:val="BodyText"/>
        <w:jc w:val="left"/>
      </w:pPr>
    </w:p>
    <w:p>
      <w:pPr>
        <w:pStyle w:val="BodyText"/>
        <w:ind w:left="980" w:right="761"/>
      </w:pPr>
      <w:r>
        <w:rPr/>
        <w:t>Būtiski atšķirīga aina ir novērojama maksātnespējas procesos, kuri ir uzsākti pēc 2015.gada 1.marta. Un tieši – šajos procesos vidējais saistību apmērs ir EUR 97 345,76,</w:t>
      </w:r>
      <w:r>
        <w:rPr>
          <w:spacing w:val="-5"/>
        </w:rPr>
        <w:t> </w:t>
      </w:r>
      <w:r>
        <w:rPr/>
        <w:t>turklāt</w:t>
      </w:r>
      <w:r>
        <w:rPr>
          <w:spacing w:val="-5"/>
        </w:rPr>
        <w:t> </w:t>
      </w:r>
      <w:r>
        <w:rPr/>
        <w:t>procesos,</w:t>
      </w:r>
      <w:r>
        <w:rPr>
          <w:spacing w:val="-2"/>
        </w:rPr>
        <w:t> </w:t>
      </w:r>
      <w:r>
        <w:rPr/>
        <w:t>kuros</w:t>
      </w:r>
      <w:r>
        <w:rPr>
          <w:spacing w:val="-5"/>
        </w:rPr>
        <w:t> </w:t>
      </w:r>
      <w:r>
        <w:rPr/>
        <w:t>sastādīts</w:t>
      </w:r>
      <w:r>
        <w:rPr>
          <w:spacing w:val="-5"/>
        </w:rPr>
        <w:t> </w:t>
      </w:r>
      <w:r>
        <w:rPr/>
        <w:t>ziņojums</w:t>
      </w:r>
      <w:r>
        <w:rPr>
          <w:spacing w:val="-4"/>
        </w:rPr>
        <w:t> </w:t>
      </w:r>
      <w:r>
        <w:rPr/>
        <w:t>par</w:t>
      </w:r>
      <w:r>
        <w:rPr>
          <w:spacing w:val="-8"/>
        </w:rPr>
        <w:t> </w:t>
      </w:r>
      <w:r>
        <w:rPr/>
        <w:t>mantas</w:t>
      </w:r>
      <w:r>
        <w:rPr>
          <w:spacing w:val="-5"/>
        </w:rPr>
        <w:t> </w:t>
      </w:r>
      <w:r>
        <w:rPr/>
        <w:t>neesamību</w:t>
      </w:r>
      <w:r>
        <w:rPr>
          <w:spacing w:val="-7"/>
        </w:rPr>
        <w:t> </w:t>
      </w:r>
      <w:r>
        <w:rPr/>
        <w:t>–</w:t>
      </w:r>
      <w:r>
        <w:rPr>
          <w:spacing w:val="-3"/>
        </w:rPr>
        <w:t> </w:t>
      </w:r>
      <w:r>
        <w:rPr/>
        <w:t>EUR</w:t>
      </w:r>
      <w:r>
        <w:rPr>
          <w:spacing w:val="-5"/>
        </w:rPr>
        <w:t> </w:t>
      </w:r>
      <w:r>
        <w:rPr/>
        <w:t>48 329,31, bet procesos ar mantas pārdošanas plānu – EUR 212 280,89. Līdz ar to secināms, ka kopš 2015.gada 1.marta ievērojami samazinājies vidējais saistību apmērs maksātnespējas procesos, kuros sastādīts ziņojums par mantas neesamību, savukārt būtiski pieaudzis vidējais saistību apmērs maksātnespējas procesos,</w:t>
      </w:r>
      <w:r>
        <w:rPr>
          <w:spacing w:val="-22"/>
        </w:rPr>
        <w:t> </w:t>
      </w:r>
      <w:r>
        <w:rPr/>
        <w:t>kuros sastādīts mantas pārdošanas plāns. Vienlaikus norādāms, ka vidējais saistību apmērs – EUR 48 329,31 - procesos, kuros parādniekam netiek konstatēta manta, ir vērtējams kā ļoti augsts un liecina ne vien par to, ka parādnieki ir neapdomīgi uzņēmušies finansiālās saistības, bet arī nav laikus tās</w:t>
      </w:r>
      <w:r>
        <w:rPr>
          <w:spacing w:val="-5"/>
        </w:rPr>
        <w:t> </w:t>
      </w:r>
      <w:r>
        <w:rPr/>
        <w:t>risinājuši.</w:t>
      </w:r>
    </w:p>
    <w:p>
      <w:pPr>
        <w:pStyle w:val="BodyText"/>
        <w:jc w:val="left"/>
      </w:pPr>
    </w:p>
    <w:p>
      <w:pPr>
        <w:pStyle w:val="ListParagraph"/>
        <w:numPr>
          <w:ilvl w:val="1"/>
          <w:numId w:val="50"/>
        </w:numPr>
        <w:tabs>
          <w:tab w:pos="980" w:val="left" w:leader="none"/>
        </w:tabs>
        <w:spacing w:line="240" w:lineRule="auto" w:before="0" w:after="0"/>
        <w:ind w:left="980" w:right="761" w:hanging="360"/>
        <w:jc w:val="both"/>
        <w:rPr>
          <w:sz w:val="24"/>
        </w:rPr>
      </w:pPr>
      <w:r>
        <w:rPr>
          <w:sz w:val="24"/>
        </w:rPr>
        <w:t>Vidējais kreditoru skaits maksātnespējas procesos, kuri ir uzsākti laika posmā no 2010.gada</w:t>
      </w:r>
      <w:r>
        <w:rPr>
          <w:spacing w:val="-12"/>
          <w:sz w:val="24"/>
        </w:rPr>
        <w:t> </w:t>
      </w:r>
      <w:r>
        <w:rPr>
          <w:sz w:val="24"/>
        </w:rPr>
        <w:t>1.novembra</w:t>
      </w:r>
      <w:r>
        <w:rPr>
          <w:spacing w:val="-12"/>
          <w:sz w:val="24"/>
        </w:rPr>
        <w:t> </w:t>
      </w:r>
      <w:r>
        <w:rPr>
          <w:sz w:val="24"/>
        </w:rPr>
        <w:t>līdz</w:t>
      </w:r>
      <w:r>
        <w:rPr>
          <w:spacing w:val="-9"/>
          <w:sz w:val="24"/>
        </w:rPr>
        <w:t> </w:t>
      </w:r>
      <w:r>
        <w:rPr>
          <w:sz w:val="24"/>
        </w:rPr>
        <w:t>2015.gada</w:t>
      </w:r>
      <w:r>
        <w:rPr>
          <w:spacing w:val="-10"/>
          <w:sz w:val="24"/>
        </w:rPr>
        <w:t> </w:t>
      </w:r>
      <w:r>
        <w:rPr>
          <w:sz w:val="24"/>
        </w:rPr>
        <w:t>28.februārim,</w:t>
      </w:r>
      <w:r>
        <w:rPr>
          <w:spacing w:val="-9"/>
          <w:sz w:val="24"/>
        </w:rPr>
        <w:t> </w:t>
      </w:r>
      <w:r>
        <w:rPr>
          <w:sz w:val="24"/>
        </w:rPr>
        <w:t>ir</w:t>
      </w:r>
      <w:r>
        <w:rPr>
          <w:spacing w:val="-10"/>
          <w:sz w:val="24"/>
        </w:rPr>
        <w:t> </w:t>
      </w:r>
      <w:r>
        <w:rPr>
          <w:sz w:val="24"/>
        </w:rPr>
        <w:t>4,49,</w:t>
      </w:r>
      <w:r>
        <w:rPr>
          <w:spacing w:val="-10"/>
          <w:sz w:val="24"/>
        </w:rPr>
        <w:t> </w:t>
      </w:r>
      <w:r>
        <w:rPr>
          <w:sz w:val="24"/>
        </w:rPr>
        <w:t>turklāt</w:t>
      </w:r>
      <w:r>
        <w:rPr>
          <w:spacing w:val="-7"/>
          <w:sz w:val="24"/>
        </w:rPr>
        <w:t> </w:t>
      </w:r>
      <w:r>
        <w:rPr>
          <w:sz w:val="24"/>
        </w:rPr>
        <w:t>procesos,</w:t>
      </w:r>
      <w:r>
        <w:rPr>
          <w:spacing w:val="-10"/>
          <w:sz w:val="24"/>
        </w:rPr>
        <w:t> </w:t>
      </w:r>
      <w:r>
        <w:rPr>
          <w:sz w:val="24"/>
        </w:rPr>
        <w:t>kuros ir ticis sastādīts ziņojums par mantas neesamību vidējais kreditoru skaits ir 4,55, bet procesos ar mantas pārdošanas plānu – 4,44. Līdz ar to secināms, ka minētajā laika posmā uzsāktajos maksātnespējas procesos nedaudz lielāks vidējais</w:t>
      </w:r>
      <w:r>
        <w:rPr>
          <w:spacing w:val="-27"/>
          <w:sz w:val="24"/>
        </w:rPr>
        <w:t> </w:t>
      </w:r>
      <w:r>
        <w:rPr>
          <w:sz w:val="24"/>
        </w:rPr>
        <w:t>kreditoru</w:t>
      </w:r>
    </w:p>
    <w:p>
      <w:pPr>
        <w:pStyle w:val="BodyText"/>
        <w:spacing w:before="7"/>
        <w:jc w:val="left"/>
        <w:rPr>
          <w:sz w:val="28"/>
        </w:rPr>
      </w:pPr>
      <w:r>
        <w:rPr/>
        <w:pict>
          <v:shape style="position:absolute;margin-left:72pt;margin-top:18.730873pt;width:144pt;height:.1pt;mso-position-horizontal-relative:page;mso-position-vertical-relative:paragraph;z-index:-251523072;mso-wrap-distance-left:0;mso-wrap-distance-right:0" coordorigin="1440,375" coordsize="2880,0" path="m1440,375l4320,375e" filled="false" stroked="true" strokeweight=".599991pt" strokecolor="#000000">
            <v:path arrowok="t"/>
            <v:stroke dashstyle="solid"/>
            <w10:wrap type="topAndBottom"/>
          </v:shape>
        </w:pict>
      </w:r>
    </w:p>
    <w:p>
      <w:pPr>
        <w:pStyle w:val="ListParagraph"/>
        <w:numPr>
          <w:ilvl w:val="0"/>
          <w:numId w:val="44"/>
        </w:numPr>
        <w:tabs>
          <w:tab w:pos="556" w:val="left" w:leader="none"/>
        </w:tabs>
        <w:spacing w:line="244" w:lineRule="auto" w:before="58" w:after="0"/>
        <w:ind w:left="260" w:right="759" w:firstLine="0"/>
        <w:jc w:val="both"/>
        <w:rPr>
          <w:sz w:val="20"/>
        </w:rPr>
      </w:pPr>
      <w:r>
        <w:rPr>
          <w:sz w:val="20"/>
        </w:rPr>
        <w:t>Būtiski</w:t>
      </w:r>
      <w:r>
        <w:rPr>
          <w:spacing w:val="-10"/>
          <w:sz w:val="20"/>
        </w:rPr>
        <w:t> </w:t>
      </w:r>
      <w:r>
        <w:rPr>
          <w:sz w:val="20"/>
        </w:rPr>
        <w:t>ņemt</w:t>
      </w:r>
      <w:r>
        <w:rPr>
          <w:spacing w:val="-10"/>
          <w:sz w:val="20"/>
        </w:rPr>
        <w:t> </w:t>
      </w:r>
      <w:r>
        <w:rPr>
          <w:sz w:val="20"/>
        </w:rPr>
        <w:t>vērā,</w:t>
      </w:r>
      <w:r>
        <w:rPr>
          <w:spacing w:val="-9"/>
          <w:sz w:val="20"/>
        </w:rPr>
        <w:t> </w:t>
      </w:r>
      <w:r>
        <w:rPr>
          <w:sz w:val="20"/>
        </w:rPr>
        <w:t>ka</w:t>
      </w:r>
      <w:r>
        <w:rPr>
          <w:spacing w:val="-10"/>
          <w:sz w:val="20"/>
        </w:rPr>
        <w:t> </w:t>
      </w:r>
      <w:r>
        <w:rPr>
          <w:sz w:val="20"/>
        </w:rPr>
        <w:t>pētījuma</w:t>
      </w:r>
      <w:r>
        <w:rPr>
          <w:spacing w:val="-8"/>
          <w:sz w:val="20"/>
        </w:rPr>
        <w:t> </w:t>
      </w:r>
      <w:r>
        <w:rPr>
          <w:sz w:val="20"/>
        </w:rPr>
        <w:t>ietvaros</w:t>
      </w:r>
      <w:r>
        <w:rPr>
          <w:spacing w:val="-11"/>
          <w:sz w:val="20"/>
        </w:rPr>
        <w:t> </w:t>
      </w:r>
      <w:r>
        <w:rPr>
          <w:sz w:val="20"/>
        </w:rPr>
        <w:t>statistiskie</w:t>
      </w:r>
      <w:r>
        <w:rPr>
          <w:spacing w:val="-8"/>
          <w:sz w:val="20"/>
        </w:rPr>
        <w:t> </w:t>
      </w:r>
      <w:r>
        <w:rPr>
          <w:sz w:val="20"/>
        </w:rPr>
        <w:t>dati</w:t>
      </w:r>
      <w:r>
        <w:rPr>
          <w:spacing w:val="-10"/>
          <w:sz w:val="20"/>
        </w:rPr>
        <w:t> </w:t>
      </w:r>
      <w:r>
        <w:rPr>
          <w:sz w:val="20"/>
        </w:rPr>
        <w:t>ir</w:t>
      </w:r>
      <w:r>
        <w:rPr>
          <w:spacing w:val="-8"/>
          <w:sz w:val="20"/>
        </w:rPr>
        <w:t> </w:t>
      </w:r>
      <w:r>
        <w:rPr>
          <w:sz w:val="20"/>
        </w:rPr>
        <w:t>aprēķināti,</w:t>
      </w:r>
      <w:r>
        <w:rPr>
          <w:spacing w:val="-10"/>
          <w:sz w:val="20"/>
        </w:rPr>
        <w:t> </w:t>
      </w:r>
      <w:r>
        <w:rPr>
          <w:sz w:val="20"/>
        </w:rPr>
        <w:t>ņemot</w:t>
      </w:r>
      <w:r>
        <w:rPr>
          <w:spacing w:val="-10"/>
          <w:sz w:val="20"/>
        </w:rPr>
        <w:t> </w:t>
      </w:r>
      <w:r>
        <w:rPr>
          <w:sz w:val="20"/>
        </w:rPr>
        <w:t>vērā</w:t>
      </w:r>
      <w:r>
        <w:rPr>
          <w:spacing w:val="-10"/>
          <w:sz w:val="20"/>
        </w:rPr>
        <w:t> </w:t>
      </w:r>
      <w:r>
        <w:rPr>
          <w:sz w:val="20"/>
        </w:rPr>
        <w:t>datus</w:t>
      </w:r>
      <w:r>
        <w:rPr>
          <w:spacing w:val="-10"/>
          <w:sz w:val="20"/>
        </w:rPr>
        <w:t> </w:t>
      </w:r>
      <w:r>
        <w:rPr>
          <w:sz w:val="20"/>
        </w:rPr>
        <w:t>no</w:t>
      </w:r>
      <w:r>
        <w:rPr>
          <w:spacing w:val="-8"/>
          <w:sz w:val="20"/>
        </w:rPr>
        <w:t> </w:t>
      </w:r>
      <w:r>
        <w:rPr>
          <w:sz w:val="20"/>
        </w:rPr>
        <w:t>analizējamajiem maksātnespējas procesiem. Līdz ar to tie nevar tikt uzskatīti par precīziem statistikas datiem, bet tikai par datiem, kas izriet no analizētajiem maksātnespējas</w:t>
      </w:r>
      <w:r>
        <w:rPr>
          <w:spacing w:val="-2"/>
          <w:sz w:val="20"/>
        </w:rPr>
        <w:t> </w:t>
      </w:r>
      <w:r>
        <w:rPr>
          <w:sz w:val="20"/>
        </w:rPr>
        <w:t>procesiem.</w:t>
      </w:r>
    </w:p>
    <w:p>
      <w:pPr>
        <w:spacing w:after="0" w:line="244" w:lineRule="auto"/>
        <w:jc w:val="both"/>
        <w:rPr>
          <w:sz w:val="20"/>
        </w:rPr>
        <w:sectPr>
          <w:pgSz w:w="11910" w:h="16840"/>
          <w:pgMar w:header="0" w:footer="1055" w:top="1340" w:bottom="1240" w:left="1180" w:right="1040"/>
        </w:sectPr>
      </w:pPr>
    </w:p>
    <w:p>
      <w:pPr>
        <w:pStyle w:val="BodyText"/>
        <w:spacing w:before="73"/>
        <w:ind w:left="1340" w:right="400"/>
      </w:pPr>
      <w:r>
        <w:rPr/>
        <w:t>skaits ir bijis tajos maksātnespējas procesos, kuros tika sastādīts ziņojums par mantas neesamību.</w:t>
      </w:r>
    </w:p>
    <w:p>
      <w:pPr>
        <w:pStyle w:val="BodyText"/>
        <w:jc w:val="left"/>
      </w:pPr>
    </w:p>
    <w:p>
      <w:pPr>
        <w:pStyle w:val="BodyText"/>
        <w:ind w:left="1340" w:right="402"/>
      </w:pPr>
      <w:r>
        <w:rPr/>
        <w:t>Procesos, kuri ir uzsākti pēc 2015.gada 1.marta ir nedaudz pieaudzis vidējais kreditoru skaits – līdz 5,43, turklāt procesos, kuros sastādīts ziņojums par mantas neesamību, tas ir 5,34, bet procesos ar mantas pārdošanas plānu – 5,66.</w:t>
      </w:r>
    </w:p>
    <w:p>
      <w:pPr>
        <w:pStyle w:val="BodyText"/>
        <w:jc w:val="left"/>
      </w:pPr>
    </w:p>
    <w:p>
      <w:pPr>
        <w:pStyle w:val="BodyText"/>
        <w:ind w:left="1340" w:right="402"/>
      </w:pPr>
      <w:r>
        <w:rPr/>
        <w:t>Līdz</w:t>
      </w:r>
      <w:r>
        <w:rPr>
          <w:spacing w:val="-9"/>
        </w:rPr>
        <w:t> </w:t>
      </w:r>
      <w:r>
        <w:rPr/>
        <w:t>ar</w:t>
      </w:r>
      <w:r>
        <w:rPr>
          <w:spacing w:val="-8"/>
        </w:rPr>
        <w:t> </w:t>
      </w:r>
      <w:r>
        <w:rPr/>
        <w:t>to</w:t>
      </w:r>
      <w:r>
        <w:rPr>
          <w:spacing w:val="-10"/>
        </w:rPr>
        <w:t> </w:t>
      </w:r>
      <w:r>
        <w:rPr/>
        <w:t>secināms,</w:t>
      </w:r>
      <w:r>
        <w:rPr>
          <w:spacing w:val="-10"/>
        </w:rPr>
        <w:t> </w:t>
      </w:r>
      <w:r>
        <w:rPr/>
        <w:t>ka</w:t>
      </w:r>
      <w:r>
        <w:rPr>
          <w:spacing w:val="-8"/>
        </w:rPr>
        <w:t> </w:t>
      </w:r>
      <w:r>
        <w:rPr/>
        <w:t>pēc</w:t>
      </w:r>
      <w:r>
        <w:rPr>
          <w:spacing w:val="-13"/>
        </w:rPr>
        <w:t> </w:t>
      </w:r>
      <w:r>
        <w:rPr/>
        <w:t>2015.gada</w:t>
      </w:r>
      <w:r>
        <w:rPr>
          <w:spacing w:val="-10"/>
        </w:rPr>
        <w:t> </w:t>
      </w:r>
      <w:r>
        <w:rPr/>
        <w:t>1.marta</w:t>
      </w:r>
      <w:r>
        <w:rPr>
          <w:spacing w:val="-9"/>
        </w:rPr>
        <w:t> </w:t>
      </w:r>
      <w:r>
        <w:rPr/>
        <w:t>ir</w:t>
      </w:r>
      <w:r>
        <w:rPr>
          <w:spacing w:val="-11"/>
        </w:rPr>
        <w:t> </w:t>
      </w:r>
      <w:r>
        <w:rPr/>
        <w:t>novērojams</w:t>
      </w:r>
      <w:r>
        <w:rPr>
          <w:spacing w:val="-10"/>
        </w:rPr>
        <w:t> </w:t>
      </w:r>
      <w:r>
        <w:rPr/>
        <w:t>vidējā</w:t>
      </w:r>
      <w:r>
        <w:rPr>
          <w:spacing w:val="-9"/>
        </w:rPr>
        <w:t> </w:t>
      </w:r>
      <w:r>
        <w:rPr/>
        <w:t>kreditoru</w:t>
      </w:r>
      <w:r>
        <w:rPr>
          <w:spacing w:val="-10"/>
        </w:rPr>
        <w:t> </w:t>
      </w:r>
      <w:r>
        <w:rPr/>
        <w:t>skaita pieaugums no 4,49 uz 5,43, turklāt minētajā laika posmā vidēji vairāk kreditoru ir tajos maksātnespējas procesos, kuros sastādīts mantas pārdošanas plāns.</w:t>
      </w:r>
      <w:r>
        <w:rPr>
          <w:spacing w:val="-19"/>
        </w:rPr>
        <w:t> </w:t>
      </w:r>
      <w:r>
        <w:rPr/>
        <w:t>Apstāklis, ka tieši procesos, kuros tiek sastādīts mantas pārdošanas plāns, ir lielāks kreditoru skaits, domājams, ir saistīts ar to, ka personas ar mantu ir ekonomiski aktīvākas, taču vienlaikus arī ar zemāku saistību izpildes kultūru. Savukārt fakts, ka pēdējos gados pieaug vidējais kreditoru skaits maksātnespējas procesos, pamatā ir skaidrojams ar ātro kredītu popularitāti un vieglo pieejamību. Vienlaikus jāteic, ka iespējams saistībā ar fiziskās personas maksātnespējas procesa atvieglošanu, ir kritusies arī fizisko personu saistību izpildes</w:t>
      </w:r>
      <w:r>
        <w:rPr>
          <w:spacing w:val="-3"/>
        </w:rPr>
        <w:t> </w:t>
      </w:r>
      <w:r>
        <w:rPr/>
        <w:t>kultūra.</w:t>
      </w:r>
    </w:p>
    <w:p>
      <w:pPr>
        <w:pStyle w:val="BodyText"/>
        <w:jc w:val="left"/>
      </w:pPr>
    </w:p>
    <w:p>
      <w:pPr>
        <w:pStyle w:val="ListParagraph"/>
        <w:numPr>
          <w:ilvl w:val="1"/>
          <w:numId w:val="50"/>
        </w:numPr>
        <w:tabs>
          <w:tab w:pos="1340" w:val="left" w:leader="none"/>
        </w:tabs>
        <w:spacing w:line="240" w:lineRule="auto" w:before="1" w:after="0"/>
        <w:ind w:left="1340" w:right="402" w:hanging="360"/>
        <w:jc w:val="both"/>
        <w:rPr>
          <w:sz w:val="24"/>
        </w:rPr>
      </w:pPr>
      <w:r>
        <w:rPr>
          <w:sz w:val="24"/>
        </w:rPr>
        <w:t>Laika periodā no 2010.gada 1.novembra līdz 2015.gada 28.februārim uzsāktajos maksātnespējas</w:t>
      </w:r>
      <w:r>
        <w:rPr>
          <w:spacing w:val="-11"/>
          <w:sz w:val="24"/>
        </w:rPr>
        <w:t> </w:t>
      </w:r>
      <w:r>
        <w:rPr>
          <w:sz w:val="24"/>
        </w:rPr>
        <w:t>procesos</w:t>
      </w:r>
      <w:r>
        <w:rPr>
          <w:spacing w:val="-9"/>
          <w:sz w:val="24"/>
        </w:rPr>
        <w:t> </w:t>
      </w:r>
      <w:r>
        <w:rPr>
          <w:sz w:val="24"/>
        </w:rPr>
        <w:t>izteikts</w:t>
      </w:r>
      <w:r>
        <w:rPr>
          <w:spacing w:val="-8"/>
          <w:sz w:val="24"/>
        </w:rPr>
        <w:t> </w:t>
      </w:r>
      <w:r>
        <w:rPr>
          <w:sz w:val="24"/>
        </w:rPr>
        <w:t>vairums</w:t>
      </w:r>
      <w:r>
        <w:rPr>
          <w:spacing w:val="-11"/>
          <w:sz w:val="24"/>
        </w:rPr>
        <w:t> </w:t>
      </w:r>
      <w:r>
        <w:rPr>
          <w:sz w:val="24"/>
        </w:rPr>
        <w:t>saistību</w:t>
      </w:r>
      <w:r>
        <w:rPr>
          <w:spacing w:val="-13"/>
          <w:sz w:val="24"/>
        </w:rPr>
        <w:t> </w:t>
      </w:r>
      <w:r>
        <w:rPr>
          <w:sz w:val="24"/>
        </w:rPr>
        <w:t>dzēšanas</w:t>
      </w:r>
      <w:r>
        <w:rPr>
          <w:spacing w:val="-13"/>
          <w:sz w:val="24"/>
        </w:rPr>
        <w:t> </w:t>
      </w:r>
      <w:r>
        <w:rPr>
          <w:sz w:val="24"/>
        </w:rPr>
        <w:t>plānu</w:t>
      </w:r>
      <w:r>
        <w:rPr>
          <w:spacing w:val="-11"/>
          <w:sz w:val="24"/>
        </w:rPr>
        <w:t> </w:t>
      </w:r>
      <w:r>
        <w:rPr>
          <w:sz w:val="24"/>
        </w:rPr>
        <w:t>ar</w:t>
      </w:r>
      <w:r>
        <w:rPr>
          <w:spacing w:val="-13"/>
          <w:sz w:val="24"/>
        </w:rPr>
        <w:t> </w:t>
      </w:r>
      <w:r>
        <w:rPr>
          <w:sz w:val="24"/>
        </w:rPr>
        <w:t>2</w:t>
      </w:r>
      <w:r>
        <w:rPr>
          <w:spacing w:val="-9"/>
          <w:sz w:val="24"/>
        </w:rPr>
        <w:t> </w:t>
      </w:r>
      <w:r>
        <w:rPr>
          <w:sz w:val="24"/>
        </w:rPr>
        <w:t>gadu</w:t>
      </w:r>
      <w:r>
        <w:rPr>
          <w:spacing w:val="-9"/>
          <w:sz w:val="24"/>
        </w:rPr>
        <w:t> </w:t>
      </w:r>
      <w:r>
        <w:rPr>
          <w:sz w:val="24"/>
        </w:rPr>
        <w:t>termiņu (70,37 %), un samērā daudz – ar 3 gadu un 6 mēnešu termiņu (18,52 %). Tādējādi secināms, ka minētajā laika periodā maksātnespējas process galvenokārt tika piemērots parādniekiem ar saistībām līdz 142 287 </w:t>
      </w:r>
      <w:r>
        <w:rPr>
          <w:i/>
          <w:sz w:val="24"/>
        </w:rPr>
        <w:t>euro</w:t>
      </w:r>
      <w:r>
        <w:rPr>
          <w:sz w:val="24"/>
        </w:rPr>
        <w:t>, taču bija arī liels skaits parādnieku ar lielāka apmēra saistībām, kuriem attiecīgi tika piemērots garākais saistību dzēšanas plāna</w:t>
      </w:r>
      <w:r>
        <w:rPr>
          <w:spacing w:val="-6"/>
          <w:sz w:val="24"/>
        </w:rPr>
        <w:t> </w:t>
      </w:r>
      <w:r>
        <w:rPr>
          <w:sz w:val="24"/>
        </w:rPr>
        <w:t>termiņš.</w:t>
      </w:r>
    </w:p>
    <w:p>
      <w:pPr>
        <w:pStyle w:val="BodyText"/>
        <w:jc w:val="left"/>
      </w:pPr>
    </w:p>
    <w:p>
      <w:pPr>
        <w:pStyle w:val="BodyText"/>
        <w:ind w:left="1340" w:right="402"/>
      </w:pPr>
      <w:r>
        <w:rPr/>
        <w:t>Pēc</w:t>
      </w:r>
      <w:r>
        <w:rPr>
          <w:spacing w:val="-11"/>
        </w:rPr>
        <w:t> </w:t>
      </w:r>
      <w:r>
        <w:rPr/>
        <w:t>2015.gada</w:t>
      </w:r>
      <w:r>
        <w:rPr>
          <w:spacing w:val="-10"/>
        </w:rPr>
        <w:t> </w:t>
      </w:r>
      <w:r>
        <w:rPr/>
        <w:t>1.marta</w:t>
      </w:r>
      <w:r>
        <w:rPr>
          <w:spacing w:val="-10"/>
        </w:rPr>
        <w:t> </w:t>
      </w:r>
      <w:r>
        <w:rPr/>
        <w:t>saistībā</w:t>
      </w:r>
      <w:r>
        <w:rPr>
          <w:spacing w:val="-12"/>
        </w:rPr>
        <w:t> </w:t>
      </w:r>
      <w:r>
        <w:rPr/>
        <w:t>ar</w:t>
      </w:r>
      <w:r>
        <w:rPr>
          <w:spacing w:val="-11"/>
        </w:rPr>
        <w:t> </w:t>
      </w:r>
      <w:r>
        <w:rPr/>
        <w:t>Maksātnespējas</w:t>
      </w:r>
      <w:r>
        <w:rPr>
          <w:spacing w:val="-12"/>
        </w:rPr>
        <w:t> </w:t>
      </w:r>
      <w:r>
        <w:rPr/>
        <w:t>likuma</w:t>
      </w:r>
      <w:r>
        <w:rPr>
          <w:spacing w:val="-12"/>
        </w:rPr>
        <w:t> </w:t>
      </w:r>
      <w:r>
        <w:rPr/>
        <w:t>grozījumu</w:t>
      </w:r>
      <w:r>
        <w:rPr>
          <w:spacing w:val="-10"/>
        </w:rPr>
        <w:t> </w:t>
      </w:r>
      <w:r>
        <w:rPr/>
        <w:t>spēkā</w:t>
      </w:r>
      <w:r>
        <w:rPr>
          <w:spacing w:val="-10"/>
        </w:rPr>
        <w:t> </w:t>
      </w:r>
      <w:r>
        <w:rPr/>
        <w:t>stāšanos aina ir ievērojami mainījusies. Un tieši, pēc saistību dzēšanas plāna termiņu liberalizācijas vairums saistību dzēšanas plānu ir ar 1 gada termiņu (55,79 %), samērā daudz – ar 2 gadu termiņu (27,37 %), un arī ar 1 gada un 6 mēnešu</w:t>
      </w:r>
      <w:r>
        <w:rPr>
          <w:spacing w:val="-36"/>
        </w:rPr>
        <w:t> </w:t>
      </w:r>
      <w:r>
        <w:rPr/>
        <w:t>termiņu (8,42</w:t>
      </w:r>
      <w:r>
        <w:rPr>
          <w:spacing w:val="-1"/>
        </w:rPr>
        <w:t> </w:t>
      </w:r>
      <w:r>
        <w:rPr/>
        <w:t>%).</w:t>
      </w:r>
    </w:p>
    <w:p>
      <w:pPr>
        <w:pStyle w:val="BodyText"/>
        <w:jc w:val="left"/>
      </w:pPr>
    </w:p>
    <w:p>
      <w:pPr>
        <w:pStyle w:val="BodyText"/>
        <w:ind w:left="1340" w:right="402"/>
      </w:pPr>
      <w:r>
        <w:rPr/>
        <w:t>Tādējādi secināms, ka šobrīd lielākoties maksātnespējas process tiek piemērots parādniekiem ar saistībām līdz 30 000 </w:t>
      </w:r>
      <w:r>
        <w:rPr>
          <w:i/>
        </w:rPr>
        <w:t>euro</w:t>
      </w:r>
      <w:r>
        <w:rPr/>
        <w:t>, tomēr ir arī samērā daudz parādnieku ar saistību apmēru amplitūdā no 30 001 līdz 150 000 </w:t>
      </w:r>
      <w:r>
        <w:rPr>
          <w:i/>
        </w:rPr>
        <w:t>euro</w:t>
      </w:r>
      <w:r>
        <w:rPr/>
        <w:t>. Turklāt, tā kā 8,42 % gadījumu saistību dzēšanas plāna termiņš ir 1 gads un 6 mēneši, secināms, ka maksātnespējas process aizvien vairāk tiek piemērots tādiem parādniekiem, kuru saistību spēj segt vismaz 20 % no saistībām (kas praksē parasti ir saistīts nevis ar lieliem ienākumiem, bet gan ar maza apmēra saistībām.)</w:t>
      </w:r>
    </w:p>
    <w:p>
      <w:pPr>
        <w:pStyle w:val="BodyText"/>
        <w:jc w:val="left"/>
      </w:pPr>
    </w:p>
    <w:p>
      <w:pPr>
        <w:pStyle w:val="ListParagraph"/>
        <w:numPr>
          <w:ilvl w:val="1"/>
          <w:numId w:val="50"/>
        </w:numPr>
        <w:tabs>
          <w:tab w:pos="1340" w:val="left" w:leader="none"/>
        </w:tabs>
        <w:spacing w:line="240" w:lineRule="auto" w:before="0" w:after="0"/>
        <w:ind w:left="1340" w:right="401" w:hanging="360"/>
        <w:jc w:val="both"/>
        <w:rPr>
          <w:sz w:val="24"/>
        </w:rPr>
      </w:pPr>
      <w:r>
        <w:rPr>
          <w:sz w:val="24"/>
        </w:rPr>
        <w:t>Kopumā ir vērojams, ka samērā lielā daļā maksātnespējas procesu parādnieki saistību</w:t>
      </w:r>
      <w:r>
        <w:rPr>
          <w:spacing w:val="-6"/>
          <w:sz w:val="24"/>
        </w:rPr>
        <w:t> </w:t>
      </w:r>
      <w:r>
        <w:rPr>
          <w:sz w:val="24"/>
        </w:rPr>
        <w:t>dzēšanas</w:t>
      </w:r>
      <w:r>
        <w:rPr>
          <w:spacing w:val="-8"/>
          <w:sz w:val="24"/>
        </w:rPr>
        <w:t> </w:t>
      </w:r>
      <w:r>
        <w:rPr>
          <w:sz w:val="24"/>
        </w:rPr>
        <w:t>procedūras</w:t>
      </w:r>
      <w:r>
        <w:rPr>
          <w:spacing w:val="-6"/>
          <w:sz w:val="24"/>
        </w:rPr>
        <w:t> </w:t>
      </w:r>
      <w:r>
        <w:rPr>
          <w:sz w:val="24"/>
        </w:rPr>
        <w:t>ietvaros</w:t>
      </w:r>
      <w:r>
        <w:rPr>
          <w:spacing w:val="-6"/>
          <w:sz w:val="24"/>
        </w:rPr>
        <w:t> </w:t>
      </w:r>
      <w:r>
        <w:rPr>
          <w:sz w:val="24"/>
        </w:rPr>
        <w:t>kreditoriem</w:t>
      </w:r>
      <w:r>
        <w:rPr>
          <w:spacing w:val="-4"/>
          <w:sz w:val="24"/>
        </w:rPr>
        <w:t> </w:t>
      </w:r>
      <w:r>
        <w:rPr>
          <w:sz w:val="24"/>
        </w:rPr>
        <w:t>maksā</w:t>
      </w:r>
      <w:r>
        <w:rPr>
          <w:spacing w:val="-9"/>
          <w:sz w:val="24"/>
        </w:rPr>
        <w:t> </w:t>
      </w:r>
      <w:r>
        <w:rPr>
          <w:sz w:val="24"/>
        </w:rPr>
        <w:t>likumā</w:t>
      </w:r>
      <w:r>
        <w:rPr>
          <w:spacing w:val="-6"/>
          <w:sz w:val="24"/>
        </w:rPr>
        <w:t> </w:t>
      </w:r>
      <w:r>
        <w:rPr>
          <w:sz w:val="24"/>
        </w:rPr>
        <w:t>noteikto</w:t>
      </w:r>
      <w:r>
        <w:rPr>
          <w:spacing w:val="-6"/>
          <w:sz w:val="24"/>
        </w:rPr>
        <w:t> </w:t>
      </w:r>
      <w:r>
        <w:rPr>
          <w:sz w:val="24"/>
        </w:rPr>
        <w:t>minimālo likmi – 1/3 daļu no valstī noteiktās minimālās mēnešalgas. Un tieši, procesos, kuri uzsākti laika posmā no 2010.gada 1.novembra līdz 2015.gada 28.februārim, saistību dzēšanas plānā tika paredzēts novirzīt kreditoru prasījumu segšanai maksājumus 1/3 daļas apmērā no valstī noteiktās minimālās mēnešalgas 64,21 % gadījumu no visiem analizējamajiem maksātnespējas procesiem, kuros bija sastādīts</w:t>
      </w:r>
      <w:r>
        <w:rPr>
          <w:spacing w:val="-14"/>
          <w:sz w:val="24"/>
        </w:rPr>
        <w:t> </w:t>
      </w:r>
      <w:r>
        <w:rPr>
          <w:sz w:val="24"/>
        </w:rPr>
        <w:t>mantas</w:t>
      </w:r>
      <w:r>
        <w:rPr>
          <w:spacing w:val="-14"/>
          <w:sz w:val="24"/>
        </w:rPr>
        <w:t> </w:t>
      </w:r>
      <w:r>
        <w:rPr>
          <w:sz w:val="24"/>
        </w:rPr>
        <w:t>pārdošanas</w:t>
      </w:r>
      <w:r>
        <w:rPr>
          <w:spacing w:val="-16"/>
          <w:sz w:val="24"/>
        </w:rPr>
        <w:t> </w:t>
      </w:r>
      <w:r>
        <w:rPr>
          <w:sz w:val="24"/>
        </w:rPr>
        <w:t>plāns,</w:t>
      </w:r>
      <w:r>
        <w:rPr>
          <w:spacing w:val="-14"/>
          <w:sz w:val="24"/>
        </w:rPr>
        <w:t> </w:t>
      </w:r>
      <w:r>
        <w:rPr>
          <w:sz w:val="24"/>
        </w:rPr>
        <w:t>un</w:t>
      </w:r>
      <w:r>
        <w:rPr>
          <w:spacing w:val="-13"/>
          <w:sz w:val="24"/>
        </w:rPr>
        <w:t> </w:t>
      </w:r>
      <w:r>
        <w:rPr>
          <w:sz w:val="24"/>
        </w:rPr>
        <w:t>64,52</w:t>
      </w:r>
      <w:r>
        <w:rPr>
          <w:spacing w:val="-14"/>
          <w:sz w:val="24"/>
        </w:rPr>
        <w:t> </w:t>
      </w:r>
      <w:r>
        <w:rPr>
          <w:sz w:val="24"/>
        </w:rPr>
        <w:t>%</w:t>
      </w:r>
      <w:r>
        <w:rPr>
          <w:spacing w:val="-13"/>
          <w:sz w:val="24"/>
        </w:rPr>
        <w:t> </w:t>
      </w:r>
      <w:r>
        <w:rPr>
          <w:sz w:val="24"/>
        </w:rPr>
        <w:t>gadījumu</w:t>
      </w:r>
      <w:r>
        <w:rPr>
          <w:spacing w:val="-14"/>
          <w:sz w:val="24"/>
        </w:rPr>
        <w:t> </w:t>
      </w:r>
      <w:r>
        <w:rPr>
          <w:sz w:val="24"/>
        </w:rPr>
        <w:t>no</w:t>
      </w:r>
      <w:r>
        <w:rPr>
          <w:spacing w:val="-14"/>
          <w:sz w:val="24"/>
        </w:rPr>
        <w:t> </w:t>
      </w:r>
      <w:r>
        <w:rPr>
          <w:sz w:val="24"/>
        </w:rPr>
        <w:t>visiem</w:t>
      </w:r>
      <w:r>
        <w:rPr>
          <w:spacing w:val="-13"/>
          <w:sz w:val="24"/>
        </w:rPr>
        <w:t> </w:t>
      </w:r>
      <w:r>
        <w:rPr>
          <w:sz w:val="24"/>
        </w:rPr>
        <w:t>analizējamajiem maksātnespējas procesiem, kuros bija sastādīts ziņojums par mantas</w:t>
      </w:r>
      <w:r>
        <w:rPr>
          <w:spacing w:val="-4"/>
          <w:sz w:val="24"/>
        </w:rPr>
        <w:t> </w:t>
      </w:r>
      <w:r>
        <w:rPr>
          <w:sz w:val="24"/>
        </w:rPr>
        <w:t>neesamību.</w:t>
      </w:r>
    </w:p>
    <w:p>
      <w:pPr>
        <w:spacing w:after="0" w:line="240" w:lineRule="auto"/>
        <w:jc w:val="both"/>
        <w:rPr>
          <w:sz w:val="24"/>
        </w:rPr>
        <w:sectPr>
          <w:pgSz w:w="11910" w:h="16840"/>
          <w:pgMar w:header="0" w:footer="1055" w:top="1340" w:bottom="1240" w:left="1180" w:right="1040"/>
        </w:sectPr>
      </w:pPr>
    </w:p>
    <w:p>
      <w:pPr>
        <w:pStyle w:val="BodyText"/>
        <w:spacing w:before="73"/>
        <w:ind w:left="980" w:right="760"/>
      </w:pPr>
      <w:r>
        <w:rPr/>
        <w:t>Pēc 2015.gada 1.marta ir samazinājies to parādnieku skaits, kuru saistību dzēšanas plānā paredzēts veikt minimālos maksājumus. Un tieši – minimālie maksājumi ir noteikti 53,57 % gadījumu no visiem analizējamajiem maksātnespējas procesiem, kuros bija sastādīts mantas pārdošanas plāns, un 43,94 % gadījumu no visiem analizējamajiem maksātnespējas procesiem, kuros bija sastādīts ziņojums par mantas neesamību. Šāda samazinājuma iemesls varētu būt saistīts gan ar to, ka kopumā ir samazinājies ēnu ekonomikas īpatsvars, gan arī ar aktīvāku kreditoru, maksātnespējas procesa administratoru un tiesnešu vēršanos pret negodprātīgiem parādniekiem.</w:t>
      </w:r>
    </w:p>
    <w:p>
      <w:pPr>
        <w:pStyle w:val="BodyText"/>
        <w:jc w:val="left"/>
      </w:pPr>
    </w:p>
    <w:p>
      <w:pPr>
        <w:pStyle w:val="BodyText"/>
        <w:ind w:left="980" w:right="760"/>
      </w:pPr>
      <w:r>
        <w:rPr/>
        <w:t>Vienlaikus atzīmējams, ka pēc 2015.gada uzsāktajos maksātnespējas procesos minimālie saistību dzēšanas maksājumi vairāk tiek veikti procesos, kuros ir bijis sastādīts mantas pārdošanas plāns (53,57 % gadījumu) nekā procesos, kuros ir sastādīts ziņojums par mantas neesamību (43,94 %). Šāda statistika liek domāt, ka parādnieki, kuriem bankrota procedūras ietvaros ir pārdota manta, ir mazāk motivēti maksāt kreditoriem saistību dzēšanas procedūras ietvaros.</w:t>
      </w:r>
    </w:p>
    <w:p>
      <w:pPr>
        <w:pStyle w:val="BodyText"/>
        <w:spacing w:before="3"/>
        <w:jc w:val="left"/>
      </w:pPr>
    </w:p>
    <w:p>
      <w:pPr>
        <w:pStyle w:val="ListParagraph"/>
        <w:numPr>
          <w:ilvl w:val="1"/>
          <w:numId w:val="50"/>
        </w:numPr>
        <w:tabs>
          <w:tab w:pos="980" w:val="left" w:leader="none"/>
        </w:tabs>
        <w:spacing w:line="237" w:lineRule="auto" w:before="0" w:after="0"/>
        <w:ind w:left="980" w:right="761" w:hanging="360"/>
        <w:jc w:val="both"/>
        <w:rPr>
          <w:sz w:val="24"/>
        </w:rPr>
      </w:pPr>
      <w:r>
        <w:rPr>
          <w:sz w:val="24"/>
        </w:rPr>
        <w:t>Atbilstoši statistikas datiem 2018.gada 2.ceturksnī Latvijā minimālo algu (vai mazāk) saņēma 17,4 % darbinieku.</w:t>
      </w:r>
      <w:r>
        <w:rPr>
          <w:position w:val="9"/>
          <w:sz w:val="16"/>
        </w:rPr>
        <w:t>226 </w:t>
      </w:r>
      <w:r>
        <w:rPr>
          <w:sz w:val="24"/>
        </w:rPr>
        <w:t>No vienas puses, starptautisko pētījumu dati liecina, ka fiziskās personas maksātnespējas process pamatā ir aktuāls personām </w:t>
      </w:r>
      <w:r>
        <w:rPr>
          <w:spacing w:val="-6"/>
          <w:sz w:val="24"/>
        </w:rPr>
        <w:t>ar </w:t>
      </w:r>
      <w:r>
        <w:rPr>
          <w:sz w:val="24"/>
        </w:rPr>
        <w:t>salīdzinoši zemiem ienākumiem. Līdz ar to par pieļaujamu būtu uzskatāms tas, ka maksātnespējas procesos parādnieku vidējais ienākumu apmērs ir zemāks par darbinieku</w:t>
      </w:r>
      <w:r>
        <w:rPr>
          <w:spacing w:val="-4"/>
          <w:sz w:val="24"/>
        </w:rPr>
        <w:t> </w:t>
      </w:r>
      <w:r>
        <w:rPr>
          <w:sz w:val="24"/>
        </w:rPr>
        <w:t>vidējo</w:t>
      </w:r>
      <w:r>
        <w:rPr>
          <w:spacing w:val="-4"/>
          <w:sz w:val="24"/>
        </w:rPr>
        <w:t> </w:t>
      </w:r>
      <w:r>
        <w:rPr>
          <w:sz w:val="24"/>
        </w:rPr>
        <w:t>ienākumu</w:t>
      </w:r>
      <w:r>
        <w:rPr>
          <w:spacing w:val="-3"/>
          <w:sz w:val="24"/>
        </w:rPr>
        <w:t> </w:t>
      </w:r>
      <w:r>
        <w:rPr>
          <w:sz w:val="24"/>
        </w:rPr>
        <w:t>apmēru</w:t>
      </w:r>
      <w:r>
        <w:rPr>
          <w:spacing w:val="-6"/>
          <w:sz w:val="24"/>
        </w:rPr>
        <w:t> </w:t>
      </w:r>
      <w:r>
        <w:rPr>
          <w:sz w:val="24"/>
        </w:rPr>
        <w:t>valstī.</w:t>
      </w:r>
      <w:r>
        <w:rPr>
          <w:spacing w:val="-3"/>
          <w:sz w:val="24"/>
        </w:rPr>
        <w:t> </w:t>
      </w:r>
      <w:r>
        <w:rPr>
          <w:sz w:val="24"/>
        </w:rPr>
        <w:t>Tomēr,</w:t>
      </w:r>
      <w:r>
        <w:rPr>
          <w:spacing w:val="-6"/>
          <w:sz w:val="24"/>
        </w:rPr>
        <w:t> </w:t>
      </w:r>
      <w:r>
        <w:rPr>
          <w:sz w:val="24"/>
        </w:rPr>
        <w:t>no</w:t>
      </w:r>
      <w:r>
        <w:rPr>
          <w:spacing w:val="-3"/>
          <w:sz w:val="24"/>
        </w:rPr>
        <w:t> </w:t>
      </w:r>
      <w:r>
        <w:rPr>
          <w:sz w:val="24"/>
        </w:rPr>
        <w:t>otras</w:t>
      </w:r>
      <w:r>
        <w:rPr>
          <w:spacing w:val="-6"/>
          <w:sz w:val="24"/>
        </w:rPr>
        <w:t> </w:t>
      </w:r>
      <w:r>
        <w:rPr>
          <w:sz w:val="24"/>
        </w:rPr>
        <w:t>puses,</w:t>
      </w:r>
      <w:r>
        <w:rPr>
          <w:spacing w:val="-4"/>
          <w:sz w:val="24"/>
        </w:rPr>
        <w:t> </w:t>
      </w:r>
      <w:r>
        <w:rPr>
          <w:sz w:val="24"/>
        </w:rPr>
        <w:t>tā</w:t>
      </w:r>
      <w:r>
        <w:rPr>
          <w:spacing w:val="-3"/>
          <w:sz w:val="24"/>
        </w:rPr>
        <w:t> </w:t>
      </w:r>
      <w:r>
        <w:rPr>
          <w:sz w:val="24"/>
        </w:rPr>
        <w:t>kā</w:t>
      </w:r>
      <w:r>
        <w:rPr>
          <w:spacing w:val="-6"/>
          <w:sz w:val="24"/>
        </w:rPr>
        <w:t> </w:t>
      </w:r>
      <w:r>
        <w:rPr>
          <w:sz w:val="24"/>
        </w:rPr>
        <w:t>šī atšķirība starp statistikas datiem par minimālās algas saņēmējiem un minimālo maksājumu veicējiem fiziskās personas maksātnespējas procesos ir tik būtiska, ir pamats secinājumam</w:t>
      </w:r>
      <w:r>
        <w:rPr>
          <w:spacing w:val="-9"/>
          <w:sz w:val="24"/>
        </w:rPr>
        <w:t> </w:t>
      </w:r>
      <w:r>
        <w:rPr>
          <w:sz w:val="24"/>
        </w:rPr>
        <w:t>par</w:t>
      </w:r>
      <w:r>
        <w:rPr>
          <w:spacing w:val="-9"/>
          <w:sz w:val="24"/>
        </w:rPr>
        <w:t> </w:t>
      </w:r>
      <w:r>
        <w:rPr>
          <w:sz w:val="24"/>
        </w:rPr>
        <w:t>iespējamu</w:t>
      </w:r>
      <w:r>
        <w:rPr>
          <w:spacing w:val="-6"/>
          <w:sz w:val="24"/>
        </w:rPr>
        <w:t> </w:t>
      </w:r>
      <w:r>
        <w:rPr>
          <w:sz w:val="24"/>
        </w:rPr>
        <w:t>parādnieku</w:t>
      </w:r>
      <w:r>
        <w:rPr>
          <w:spacing w:val="-6"/>
          <w:sz w:val="24"/>
        </w:rPr>
        <w:t> </w:t>
      </w:r>
      <w:r>
        <w:rPr>
          <w:sz w:val="24"/>
        </w:rPr>
        <w:t>negodprātību</w:t>
      </w:r>
      <w:r>
        <w:rPr>
          <w:spacing w:val="-9"/>
          <w:sz w:val="24"/>
        </w:rPr>
        <w:t> </w:t>
      </w:r>
      <w:r>
        <w:rPr>
          <w:sz w:val="24"/>
        </w:rPr>
        <w:t>–</w:t>
      </w:r>
      <w:r>
        <w:rPr>
          <w:spacing w:val="-8"/>
          <w:sz w:val="24"/>
        </w:rPr>
        <w:t> </w:t>
      </w:r>
      <w:r>
        <w:rPr>
          <w:sz w:val="24"/>
        </w:rPr>
        <w:t>patieso</w:t>
      </w:r>
      <w:r>
        <w:rPr>
          <w:spacing w:val="-9"/>
          <w:sz w:val="24"/>
        </w:rPr>
        <w:t> </w:t>
      </w:r>
      <w:r>
        <w:rPr>
          <w:sz w:val="24"/>
        </w:rPr>
        <w:t>ienākumu</w:t>
      </w:r>
      <w:r>
        <w:rPr>
          <w:spacing w:val="-6"/>
          <w:sz w:val="24"/>
        </w:rPr>
        <w:t> </w:t>
      </w:r>
      <w:r>
        <w:rPr>
          <w:sz w:val="24"/>
        </w:rPr>
        <w:t>slēpšanu.</w:t>
      </w:r>
    </w:p>
    <w:p>
      <w:pPr>
        <w:pStyle w:val="BodyText"/>
        <w:spacing w:before="7"/>
        <w:jc w:val="left"/>
      </w:pPr>
    </w:p>
    <w:p>
      <w:pPr>
        <w:pStyle w:val="ListParagraph"/>
        <w:numPr>
          <w:ilvl w:val="1"/>
          <w:numId w:val="50"/>
        </w:numPr>
        <w:tabs>
          <w:tab w:pos="1040" w:val="left" w:leader="none"/>
        </w:tabs>
        <w:spacing w:line="240" w:lineRule="auto" w:before="0" w:after="0"/>
        <w:ind w:left="980" w:right="760" w:hanging="360"/>
        <w:jc w:val="both"/>
        <w:rPr>
          <w:sz w:val="24"/>
        </w:rPr>
      </w:pPr>
      <w:r>
        <w:rPr/>
        <w:tab/>
      </w:r>
      <w:r>
        <w:rPr>
          <w:sz w:val="24"/>
        </w:rPr>
        <w:t>Analizējamajos periodos ir notikušas izmaiņas statistikas datos par parādnieka dzimumu.  Un  tieši,  laika  periodā  no   2010.gada   1.novembra   līdz   2015.gada 28.februārim uzsāktajos maksātnespējas procesos 55,49 % gadījumu parādnieks bija vīrietis, bet 44,51 % - sieviete. Savukārt pēc 2015.gada 1.marta uzsāktajos maksātnespējas procesos ir faktiski izlīdzinājusies abu dzinumu proporcija – 51,49 % ir vīrieši, bet 48,51 % sievietes. Līdz ar to secināms, ka Latvijas statistikas dati attiecībā uz parādnieka dzimumu sāk virzīties līdzīgi vispārējai Eiropā novērojamai tendencei, ka fiziskās personas maksātnespējas process lielākoties tiek piemērots sievietēm. Turklāt, piemēram, Lielbritānijas un Zviedrijas</w:t>
      </w:r>
      <w:r>
        <w:rPr>
          <w:spacing w:val="-9"/>
          <w:sz w:val="24"/>
        </w:rPr>
        <w:t> </w:t>
      </w:r>
      <w:r>
        <w:rPr>
          <w:sz w:val="24"/>
        </w:rPr>
        <w:t>statistikas</w:t>
      </w:r>
      <w:r>
        <w:rPr>
          <w:spacing w:val="-10"/>
          <w:sz w:val="24"/>
        </w:rPr>
        <w:t> </w:t>
      </w:r>
      <w:r>
        <w:rPr>
          <w:sz w:val="24"/>
        </w:rPr>
        <w:t>dati</w:t>
      </w:r>
      <w:r>
        <w:rPr>
          <w:spacing w:val="-8"/>
          <w:sz w:val="24"/>
        </w:rPr>
        <w:t> </w:t>
      </w:r>
      <w:r>
        <w:rPr>
          <w:sz w:val="24"/>
        </w:rPr>
        <w:t>liecina,</w:t>
      </w:r>
      <w:r>
        <w:rPr>
          <w:spacing w:val="-8"/>
          <w:sz w:val="24"/>
        </w:rPr>
        <w:t> </w:t>
      </w:r>
      <w:r>
        <w:rPr>
          <w:sz w:val="24"/>
        </w:rPr>
        <w:t>ka</w:t>
      </w:r>
      <w:r>
        <w:rPr>
          <w:spacing w:val="-10"/>
          <w:sz w:val="24"/>
        </w:rPr>
        <w:t> </w:t>
      </w:r>
      <w:r>
        <w:rPr>
          <w:sz w:val="24"/>
        </w:rPr>
        <w:t>parasti</w:t>
      </w:r>
      <w:r>
        <w:rPr>
          <w:spacing w:val="-8"/>
          <w:sz w:val="24"/>
        </w:rPr>
        <w:t> </w:t>
      </w:r>
      <w:r>
        <w:rPr>
          <w:sz w:val="24"/>
        </w:rPr>
        <w:t>tās</w:t>
      </w:r>
      <w:r>
        <w:rPr>
          <w:spacing w:val="-8"/>
          <w:sz w:val="24"/>
        </w:rPr>
        <w:t> </w:t>
      </w:r>
      <w:r>
        <w:rPr>
          <w:sz w:val="24"/>
        </w:rPr>
        <w:t>ir</w:t>
      </w:r>
      <w:r>
        <w:rPr>
          <w:spacing w:val="-8"/>
          <w:sz w:val="24"/>
        </w:rPr>
        <w:t> </w:t>
      </w:r>
      <w:r>
        <w:rPr>
          <w:sz w:val="24"/>
        </w:rPr>
        <w:t>sievietes</w:t>
      </w:r>
      <w:r>
        <w:rPr>
          <w:spacing w:val="-8"/>
          <w:sz w:val="24"/>
        </w:rPr>
        <w:t> </w:t>
      </w:r>
      <w:r>
        <w:rPr>
          <w:sz w:val="24"/>
        </w:rPr>
        <w:t>–</w:t>
      </w:r>
      <w:r>
        <w:rPr>
          <w:spacing w:val="-8"/>
          <w:sz w:val="24"/>
        </w:rPr>
        <w:t> </w:t>
      </w:r>
      <w:r>
        <w:rPr>
          <w:sz w:val="24"/>
        </w:rPr>
        <w:t>vientuļās</w:t>
      </w:r>
      <w:r>
        <w:rPr>
          <w:spacing w:val="-8"/>
          <w:sz w:val="24"/>
        </w:rPr>
        <w:t> </w:t>
      </w:r>
      <w:r>
        <w:rPr>
          <w:sz w:val="24"/>
        </w:rPr>
        <w:t>mātes</w:t>
      </w:r>
      <w:r>
        <w:rPr>
          <w:spacing w:val="-8"/>
          <w:sz w:val="24"/>
        </w:rPr>
        <w:t> </w:t>
      </w:r>
      <w:r>
        <w:rPr>
          <w:sz w:val="24"/>
        </w:rPr>
        <w:t>vai</w:t>
      </w:r>
      <w:r>
        <w:rPr>
          <w:spacing w:val="-8"/>
          <w:sz w:val="24"/>
        </w:rPr>
        <w:t> </w:t>
      </w:r>
      <w:r>
        <w:rPr>
          <w:sz w:val="24"/>
        </w:rPr>
        <w:t>bez ģimenes, kuras gūst zemus ienākums vai ir bezdarbnieces.</w:t>
      </w:r>
      <w:r>
        <w:rPr>
          <w:position w:val="9"/>
          <w:sz w:val="16"/>
        </w:rPr>
        <w:t>227 </w:t>
      </w:r>
      <w:r>
        <w:rPr>
          <w:sz w:val="24"/>
        </w:rPr>
        <w:t>Minētā Eiropā novērojamā tendence, kura sāk aktualizēties arī Latvijā, nenoliedzami liek uzdot jautājumu, ciktāl Maksātnespējas likuma regulējums ir atbilstošs šāda tipa parādnieku vajadzībām un finansiālajam</w:t>
      </w:r>
      <w:r>
        <w:rPr>
          <w:spacing w:val="-1"/>
          <w:sz w:val="24"/>
        </w:rPr>
        <w:t> </w:t>
      </w:r>
      <w:r>
        <w:rPr>
          <w:sz w:val="24"/>
        </w:rPr>
        <w:t>stāvoklim.</w:t>
      </w:r>
    </w:p>
    <w:p>
      <w:pPr>
        <w:pStyle w:val="BodyText"/>
        <w:spacing w:before="8"/>
        <w:jc w:val="left"/>
        <w:rPr>
          <w:sz w:val="22"/>
        </w:rPr>
      </w:pPr>
    </w:p>
    <w:p>
      <w:pPr>
        <w:pStyle w:val="ListParagraph"/>
        <w:numPr>
          <w:ilvl w:val="1"/>
          <w:numId w:val="50"/>
        </w:numPr>
        <w:tabs>
          <w:tab w:pos="980" w:val="left" w:leader="none"/>
        </w:tabs>
        <w:spacing w:line="240" w:lineRule="auto" w:before="0" w:after="0"/>
        <w:ind w:left="980" w:right="762" w:hanging="360"/>
        <w:jc w:val="both"/>
        <w:rPr>
          <w:sz w:val="24"/>
        </w:rPr>
      </w:pPr>
      <w:r>
        <w:rPr>
          <w:sz w:val="24"/>
        </w:rPr>
        <w:t>Pārliecinošs vairums uzsākto maksātnespējas procesu tiek izbeigti, dzēšot parādnieka</w:t>
      </w:r>
      <w:r>
        <w:rPr>
          <w:spacing w:val="-14"/>
          <w:sz w:val="24"/>
        </w:rPr>
        <w:t> </w:t>
      </w:r>
      <w:r>
        <w:rPr>
          <w:sz w:val="24"/>
        </w:rPr>
        <w:t>saistības.</w:t>
      </w:r>
      <w:r>
        <w:rPr>
          <w:spacing w:val="-11"/>
          <w:sz w:val="24"/>
        </w:rPr>
        <w:t> </w:t>
      </w:r>
      <w:r>
        <w:rPr>
          <w:sz w:val="24"/>
        </w:rPr>
        <w:t>Un</w:t>
      </w:r>
      <w:r>
        <w:rPr>
          <w:spacing w:val="-11"/>
          <w:sz w:val="24"/>
        </w:rPr>
        <w:t> </w:t>
      </w:r>
      <w:r>
        <w:rPr>
          <w:sz w:val="24"/>
        </w:rPr>
        <w:t>tieši</w:t>
      </w:r>
      <w:r>
        <w:rPr>
          <w:spacing w:val="-11"/>
          <w:sz w:val="24"/>
        </w:rPr>
        <w:t> </w:t>
      </w:r>
      <w:r>
        <w:rPr>
          <w:sz w:val="24"/>
        </w:rPr>
        <w:t>-</w:t>
      </w:r>
      <w:r>
        <w:rPr>
          <w:spacing w:val="-12"/>
          <w:sz w:val="24"/>
        </w:rPr>
        <w:t> </w:t>
      </w:r>
      <w:r>
        <w:rPr>
          <w:sz w:val="24"/>
        </w:rPr>
        <w:t>maksātnespējas</w:t>
      </w:r>
      <w:r>
        <w:rPr>
          <w:spacing w:val="-13"/>
          <w:sz w:val="24"/>
        </w:rPr>
        <w:t> </w:t>
      </w:r>
      <w:r>
        <w:rPr>
          <w:sz w:val="24"/>
        </w:rPr>
        <w:t>procesos,</w:t>
      </w:r>
      <w:r>
        <w:rPr>
          <w:spacing w:val="-11"/>
          <w:sz w:val="24"/>
        </w:rPr>
        <w:t> </w:t>
      </w:r>
      <w:r>
        <w:rPr>
          <w:sz w:val="24"/>
        </w:rPr>
        <w:t>kuri</w:t>
      </w:r>
      <w:r>
        <w:rPr>
          <w:spacing w:val="-11"/>
          <w:sz w:val="24"/>
        </w:rPr>
        <w:t> </w:t>
      </w:r>
      <w:r>
        <w:rPr>
          <w:sz w:val="24"/>
        </w:rPr>
        <w:t>ir</w:t>
      </w:r>
      <w:r>
        <w:rPr>
          <w:spacing w:val="-10"/>
          <w:sz w:val="24"/>
        </w:rPr>
        <w:t> </w:t>
      </w:r>
      <w:r>
        <w:rPr>
          <w:sz w:val="24"/>
        </w:rPr>
        <w:t>uzsākti</w:t>
      </w:r>
      <w:r>
        <w:rPr>
          <w:spacing w:val="-11"/>
          <w:sz w:val="24"/>
        </w:rPr>
        <w:t> </w:t>
      </w:r>
      <w:r>
        <w:rPr>
          <w:sz w:val="24"/>
        </w:rPr>
        <w:t>laika</w:t>
      </w:r>
      <w:r>
        <w:rPr>
          <w:spacing w:val="-13"/>
          <w:sz w:val="24"/>
        </w:rPr>
        <w:t> </w:t>
      </w:r>
      <w:r>
        <w:rPr>
          <w:sz w:val="24"/>
        </w:rPr>
        <w:t>posmā</w:t>
      </w:r>
    </w:p>
    <w:p>
      <w:pPr>
        <w:pStyle w:val="BodyText"/>
        <w:spacing w:before="8"/>
        <w:jc w:val="left"/>
        <w:rPr>
          <w:sz w:val="20"/>
        </w:rPr>
      </w:pPr>
      <w:r>
        <w:rPr/>
        <w:pict>
          <v:shape style="position:absolute;margin-left:72pt;margin-top:14.182096pt;width:144pt;height:.1pt;mso-position-horizontal-relative:page;mso-position-vertical-relative:paragraph;z-index:-251522048;mso-wrap-distance-left:0;mso-wrap-distance-right:0" coordorigin="1440,284" coordsize="2880,0" path="m1440,284l4320,284e" filled="false" stroked="true" strokeweight=".59999pt" strokecolor="#000000">
            <v:path arrowok="t"/>
            <v:stroke dashstyle="solid"/>
            <w10:wrap type="topAndBottom"/>
          </v:shape>
        </w:pict>
      </w:r>
    </w:p>
    <w:p>
      <w:pPr>
        <w:spacing w:before="70"/>
        <w:ind w:left="260" w:right="767" w:firstLine="0"/>
        <w:jc w:val="left"/>
        <w:rPr>
          <w:sz w:val="20"/>
        </w:rPr>
      </w:pPr>
      <w:r>
        <w:rPr>
          <w:position w:val="7"/>
          <w:sz w:val="13"/>
        </w:rPr>
        <w:t>226 </w:t>
      </w:r>
      <w:r>
        <w:rPr>
          <w:sz w:val="20"/>
        </w:rPr>
        <w:t>Sk.: Centrālā statistikas pārvalde: 2018. gada 2. ceturksnī 64,4 % iedzīvotāju bija nodarbināti. Pieejams: </w:t>
      </w:r>
      <w:r>
        <w:rPr>
          <w:color w:val="0562C1"/>
          <w:sz w:val="20"/>
          <w:u w:val="single" w:color="0562C1"/>
        </w:rPr>
        <w:t>https://</w:t>
      </w:r>
      <w:hyperlink r:id="rId63">
        <w:r>
          <w:rPr>
            <w:color w:val="0562C1"/>
            <w:sz w:val="20"/>
            <w:u w:val="single" w:color="0562C1"/>
          </w:rPr>
          <w:t>www.csb.gov.lv/lv/statistika/statistikas-temas/socialie-procesi/nodarbinatiba/meklet-tema/2422-</w:t>
        </w:r>
      </w:hyperlink>
      <w:r>
        <w:rPr>
          <w:color w:val="0562C1"/>
          <w:sz w:val="20"/>
        </w:rPr>
        <w:t> </w:t>
      </w:r>
      <w:r>
        <w:rPr>
          <w:color w:val="0562C1"/>
          <w:sz w:val="20"/>
          <w:u w:val="single" w:color="0562C1"/>
        </w:rPr>
        <w:t>nodarbinatiba-2018-gada-2-ceturksni</w:t>
      </w:r>
      <w:r>
        <w:rPr>
          <w:color w:val="0562C1"/>
          <w:sz w:val="20"/>
        </w:rPr>
        <w:t> </w:t>
      </w:r>
      <w:r>
        <w:rPr>
          <w:sz w:val="20"/>
        </w:rPr>
        <w:t>[aplūkots 2018.gada 18.oktobrī].</w:t>
      </w:r>
    </w:p>
    <w:p>
      <w:pPr>
        <w:spacing w:line="240" w:lineRule="auto" w:before="0"/>
        <w:ind w:left="260" w:right="398" w:firstLine="0"/>
        <w:jc w:val="left"/>
        <w:rPr>
          <w:sz w:val="20"/>
        </w:rPr>
      </w:pPr>
      <w:r>
        <w:rPr>
          <w:position w:val="7"/>
          <w:sz w:val="13"/>
        </w:rPr>
        <w:t>227 </w:t>
      </w:r>
      <w:r>
        <w:rPr>
          <w:sz w:val="20"/>
        </w:rPr>
        <w:t>Sk.: Ramsay I. Personal Insolvency in the 21</w:t>
      </w:r>
      <w:r>
        <w:rPr>
          <w:position w:val="7"/>
          <w:sz w:val="13"/>
        </w:rPr>
        <w:t>st </w:t>
      </w:r>
      <w:r>
        <w:rPr>
          <w:sz w:val="20"/>
        </w:rPr>
        <w:t>Century. A Comparative Analysis of the US and Europe. Oxford and Portland, Oregon: Hart Publishing, 2017, p.102, 142.</w:t>
      </w:r>
    </w:p>
    <w:p>
      <w:pPr>
        <w:spacing w:after="0" w:line="240" w:lineRule="auto"/>
        <w:jc w:val="left"/>
        <w:rPr>
          <w:sz w:val="20"/>
        </w:rPr>
        <w:sectPr>
          <w:pgSz w:w="11910" w:h="16840"/>
          <w:pgMar w:header="0" w:footer="1055" w:top="1340" w:bottom="1240" w:left="1180" w:right="1040"/>
        </w:sectPr>
      </w:pPr>
    </w:p>
    <w:p>
      <w:pPr>
        <w:pStyle w:val="BodyText"/>
        <w:spacing w:before="73"/>
        <w:ind w:left="1340" w:right="402"/>
      </w:pPr>
      <w:r>
        <w:rPr/>
        <w:t>no 2010.gada 1.novembra līdz 2015.gada 28.februārim, 87,28 % gadījumu tiesa ir lēmusi dzēst saistības, 5,20 % gadījumu - maksātnespējas process izbeigts pēc bankrota procedūras pabeigšanas, nepiemērojot saistību dzēšanas procedūru, savukārt 7,51 % gadījumu - maksātnespējas process izbeigts, nedzēšot atlikušās saistības.</w:t>
      </w:r>
    </w:p>
    <w:p>
      <w:pPr>
        <w:pStyle w:val="BodyText"/>
        <w:jc w:val="left"/>
      </w:pPr>
    </w:p>
    <w:p>
      <w:pPr>
        <w:pStyle w:val="BodyText"/>
        <w:ind w:left="1340" w:right="402"/>
      </w:pPr>
      <w:r>
        <w:rPr/>
        <w:t>Maksātnespējas</w:t>
      </w:r>
      <w:r>
        <w:rPr>
          <w:spacing w:val="-12"/>
        </w:rPr>
        <w:t> </w:t>
      </w:r>
      <w:r>
        <w:rPr/>
        <w:t>procesos,</w:t>
      </w:r>
      <w:r>
        <w:rPr>
          <w:spacing w:val="-11"/>
        </w:rPr>
        <w:t> </w:t>
      </w:r>
      <w:r>
        <w:rPr/>
        <w:t>kas</w:t>
      </w:r>
      <w:r>
        <w:rPr>
          <w:spacing w:val="-14"/>
        </w:rPr>
        <w:t> </w:t>
      </w:r>
      <w:r>
        <w:rPr/>
        <w:t>uzsākti</w:t>
      </w:r>
      <w:r>
        <w:rPr>
          <w:spacing w:val="-13"/>
        </w:rPr>
        <w:t> </w:t>
      </w:r>
      <w:r>
        <w:rPr/>
        <w:t>pēc</w:t>
      </w:r>
      <w:r>
        <w:rPr>
          <w:spacing w:val="-13"/>
        </w:rPr>
        <w:t> </w:t>
      </w:r>
      <w:r>
        <w:rPr/>
        <w:t>2015.gada</w:t>
      </w:r>
      <w:r>
        <w:rPr>
          <w:spacing w:val="-12"/>
        </w:rPr>
        <w:t> </w:t>
      </w:r>
      <w:r>
        <w:rPr/>
        <w:t>1.marta,</w:t>
      </w:r>
      <w:r>
        <w:rPr>
          <w:spacing w:val="-13"/>
        </w:rPr>
        <w:t> </w:t>
      </w:r>
      <w:r>
        <w:rPr/>
        <w:t>novērojamas</w:t>
      </w:r>
      <w:r>
        <w:rPr>
          <w:spacing w:val="-11"/>
        </w:rPr>
        <w:t> </w:t>
      </w:r>
      <w:r>
        <w:rPr/>
        <w:t>zināmas atšķirības, un tieši, 82,00 % gadījumu tiesa ir lēmusi dzēst saistības, 9 %</w:t>
      </w:r>
      <w:r>
        <w:rPr>
          <w:spacing w:val="-1"/>
        </w:rPr>
        <w:t> </w:t>
      </w:r>
      <w:r>
        <w:rPr/>
        <w:t>gadījumu</w:t>
      </w:r>
    </w:p>
    <w:p>
      <w:pPr>
        <w:pStyle w:val="BodyText"/>
        <w:ind w:left="1340" w:right="404"/>
      </w:pPr>
      <w:r>
        <w:rPr/>
        <w:t>- maksātnespējas process izbeigts pēc bankrota procedūras pabeigšanas, nepiemērojot</w:t>
      </w:r>
      <w:r>
        <w:rPr>
          <w:spacing w:val="-13"/>
        </w:rPr>
        <w:t> </w:t>
      </w:r>
      <w:r>
        <w:rPr/>
        <w:t>saistību</w:t>
      </w:r>
      <w:r>
        <w:rPr>
          <w:spacing w:val="-12"/>
        </w:rPr>
        <w:t> </w:t>
      </w:r>
      <w:r>
        <w:rPr/>
        <w:t>dzēšanas</w:t>
      </w:r>
      <w:r>
        <w:rPr>
          <w:spacing w:val="-12"/>
        </w:rPr>
        <w:t> </w:t>
      </w:r>
      <w:r>
        <w:rPr/>
        <w:t>procedūru,</w:t>
      </w:r>
      <w:r>
        <w:rPr>
          <w:spacing w:val="-13"/>
        </w:rPr>
        <w:t> </w:t>
      </w:r>
      <w:r>
        <w:rPr/>
        <w:t>savukārt</w:t>
      </w:r>
      <w:r>
        <w:rPr>
          <w:spacing w:val="-12"/>
        </w:rPr>
        <w:t> </w:t>
      </w:r>
      <w:r>
        <w:rPr/>
        <w:t>8</w:t>
      </w:r>
      <w:r>
        <w:rPr>
          <w:spacing w:val="-12"/>
        </w:rPr>
        <w:t> </w:t>
      </w:r>
      <w:r>
        <w:rPr/>
        <w:t>%</w:t>
      </w:r>
      <w:r>
        <w:rPr>
          <w:spacing w:val="-9"/>
        </w:rPr>
        <w:t> </w:t>
      </w:r>
      <w:r>
        <w:rPr/>
        <w:t>gadījumu</w:t>
      </w:r>
      <w:r>
        <w:rPr>
          <w:spacing w:val="-12"/>
        </w:rPr>
        <w:t> </w:t>
      </w:r>
      <w:r>
        <w:rPr/>
        <w:t>-</w:t>
      </w:r>
      <w:r>
        <w:rPr>
          <w:spacing w:val="-11"/>
        </w:rPr>
        <w:t> </w:t>
      </w:r>
      <w:r>
        <w:rPr/>
        <w:t>maksātnespējas process izbeigts, nedzēšot atlikušās</w:t>
      </w:r>
      <w:r>
        <w:rPr>
          <w:spacing w:val="-1"/>
        </w:rPr>
        <w:t> </w:t>
      </w:r>
      <w:r>
        <w:rPr/>
        <w:t>saistības.</w:t>
      </w:r>
    </w:p>
    <w:p>
      <w:pPr>
        <w:pStyle w:val="BodyText"/>
        <w:jc w:val="left"/>
      </w:pPr>
    </w:p>
    <w:p>
      <w:pPr>
        <w:pStyle w:val="BodyText"/>
        <w:spacing w:before="1"/>
        <w:ind w:left="1340" w:right="402"/>
      </w:pPr>
      <w:r>
        <w:rPr/>
        <w:t>Līdz</w:t>
      </w:r>
      <w:r>
        <w:rPr>
          <w:spacing w:val="-7"/>
        </w:rPr>
        <w:t> </w:t>
      </w:r>
      <w:r>
        <w:rPr/>
        <w:t>ar</w:t>
      </w:r>
      <w:r>
        <w:rPr>
          <w:spacing w:val="-6"/>
        </w:rPr>
        <w:t> </w:t>
      </w:r>
      <w:r>
        <w:rPr/>
        <w:t>to</w:t>
      </w:r>
      <w:r>
        <w:rPr>
          <w:spacing w:val="-8"/>
        </w:rPr>
        <w:t> </w:t>
      </w:r>
      <w:r>
        <w:rPr/>
        <w:t>secināms,</w:t>
      </w:r>
      <w:r>
        <w:rPr>
          <w:spacing w:val="-8"/>
        </w:rPr>
        <w:t> </w:t>
      </w:r>
      <w:r>
        <w:rPr/>
        <w:t>ka</w:t>
      </w:r>
      <w:r>
        <w:rPr>
          <w:spacing w:val="-8"/>
        </w:rPr>
        <w:t> </w:t>
      </w:r>
      <w:r>
        <w:rPr/>
        <w:t>vidēji</w:t>
      </w:r>
      <w:r>
        <w:rPr>
          <w:spacing w:val="-5"/>
        </w:rPr>
        <w:t> </w:t>
      </w:r>
      <w:r>
        <w:rPr/>
        <w:t>abos</w:t>
      </w:r>
      <w:r>
        <w:rPr>
          <w:spacing w:val="-8"/>
        </w:rPr>
        <w:t> </w:t>
      </w:r>
      <w:r>
        <w:rPr/>
        <w:t>minētajos</w:t>
      </w:r>
      <w:r>
        <w:rPr>
          <w:spacing w:val="-8"/>
        </w:rPr>
        <w:t> </w:t>
      </w:r>
      <w:r>
        <w:rPr/>
        <w:t>posmos</w:t>
      </w:r>
      <w:r>
        <w:rPr>
          <w:spacing w:val="-8"/>
        </w:rPr>
        <w:t> </w:t>
      </w:r>
      <w:r>
        <w:rPr/>
        <w:t>saistības</w:t>
      </w:r>
      <w:r>
        <w:rPr>
          <w:spacing w:val="-10"/>
        </w:rPr>
        <w:t> </w:t>
      </w:r>
      <w:r>
        <w:rPr/>
        <w:t>netiek</w:t>
      </w:r>
      <w:r>
        <w:rPr>
          <w:spacing w:val="-8"/>
        </w:rPr>
        <w:t> </w:t>
      </w:r>
      <w:r>
        <w:rPr/>
        <w:t>dzēstas</w:t>
      </w:r>
      <w:r>
        <w:rPr>
          <w:spacing w:val="-8"/>
        </w:rPr>
        <w:t> </w:t>
      </w:r>
      <w:r>
        <w:rPr/>
        <w:t>7-8</w:t>
      </w:r>
      <w:r>
        <w:rPr>
          <w:spacing w:val="-10"/>
        </w:rPr>
        <w:t> </w:t>
      </w:r>
      <w:r>
        <w:rPr/>
        <w:t>% gadījumu, turklāt kopš 2015.gada marta par 5,28 procentpunktiem ir samazinājies to</w:t>
      </w:r>
      <w:r>
        <w:rPr>
          <w:spacing w:val="-15"/>
        </w:rPr>
        <w:t> </w:t>
      </w:r>
      <w:r>
        <w:rPr/>
        <w:t>procesu</w:t>
      </w:r>
      <w:r>
        <w:rPr>
          <w:spacing w:val="-15"/>
        </w:rPr>
        <w:t> </w:t>
      </w:r>
      <w:r>
        <w:rPr/>
        <w:t>skaits,</w:t>
      </w:r>
      <w:r>
        <w:rPr>
          <w:spacing w:val="-15"/>
        </w:rPr>
        <w:t> </w:t>
      </w:r>
      <w:r>
        <w:rPr/>
        <w:t>kuros</w:t>
      </w:r>
      <w:r>
        <w:rPr>
          <w:spacing w:val="-14"/>
        </w:rPr>
        <w:t> </w:t>
      </w:r>
      <w:r>
        <w:rPr/>
        <w:t>saistības</w:t>
      </w:r>
      <w:r>
        <w:rPr>
          <w:spacing w:val="-15"/>
        </w:rPr>
        <w:t> </w:t>
      </w:r>
      <w:r>
        <w:rPr/>
        <w:t>tiek</w:t>
      </w:r>
      <w:r>
        <w:rPr>
          <w:spacing w:val="-15"/>
        </w:rPr>
        <w:t> </w:t>
      </w:r>
      <w:r>
        <w:rPr/>
        <w:t>dzēstas,</w:t>
      </w:r>
      <w:r>
        <w:rPr>
          <w:spacing w:val="-15"/>
        </w:rPr>
        <w:t> </w:t>
      </w:r>
      <w:r>
        <w:rPr/>
        <w:t>bet</w:t>
      </w:r>
      <w:r>
        <w:rPr>
          <w:spacing w:val="-14"/>
        </w:rPr>
        <w:t> </w:t>
      </w:r>
      <w:r>
        <w:rPr/>
        <w:t>par</w:t>
      </w:r>
      <w:r>
        <w:rPr>
          <w:spacing w:val="-17"/>
        </w:rPr>
        <w:t> </w:t>
      </w:r>
      <w:r>
        <w:rPr/>
        <w:t>3,8</w:t>
      </w:r>
      <w:r>
        <w:rPr>
          <w:spacing w:val="-15"/>
        </w:rPr>
        <w:t> </w:t>
      </w:r>
      <w:r>
        <w:rPr/>
        <w:t>procentpunktiem</w:t>
      </w:r>
      <w:r>
        <w:rPr>
          <w:spacing w:val="-17"/>
        </w:rPr>
        <w:t> </w:t>
      </w:r>
      <w:r>
        <w:rPr/>
        <w:t>pieaudzis to procesu skaits, kuros maksātnespējas process izbeigts pēc bankrota procedūras pabeigšanas, nepiemērojot saistību dzēšanas procedūru. Šāda tendence domājams liecina par to, ka kopš 2015.gada 1.marta ir pieaudzis negodprātīgu parādnieku skaits.</w:t>
      </w:r>
    </w:p>
    <w:p>
      <w:pPr>
        <w:spacing w:after="0"/>
        <w:sectPr>
          <w:pgSz w:w="11910" w:h="16840"/>
          <w:pgMar w:header="0" w:footer="1055" w:top="1340" w:bottom="1240" w:left="1180" w:right="1040"/>
        </w:sectPr>
      </w:pPr>
    </w:p>
    <w:p>
      <w:pPr>
        <w:pStyle w:val="Heading2"/>
        <w:numPr>
          <w:ilvl w:val="1"/>
          <w:numId w:val="6"/>
        </w:numPr>
        <w:tabs>
          <w:tab w:pos="4183" w:val="left" w:leader="none"/>
        </w:tabs>
        <w:spacing w:line="322" w:lineRule="exact" w:before="59" w:after="0"/>
        <w:ind w:left="4182" w:right="507" w:hanging="4183"/>
        <w:jc w:val="left"/>
      </w:pPr>
      <w:r>
        <w:rPr>
          <w:color w:val="4472C3"/>
        </w:rPr>
        <w:t>NODAĻA</w:t>
      </w:r>
    </w:p>
    <w:p>
      <w:pPr>
        <w:spacing w:before="0"/>
        <w:ind w:left="1168" w:right="1320" w:firstLine="0"/>
        <w:jc w:val="center"/>
        <w:rPr>
          <w:b/>
          <w:sz w:val="28"/>
        </w:rPr>
      </w:pPr>
      <w:r>
        <w:rPr>
          <w:b/>
          <w:color w:val="4472C3"/>
          <w:sz w:val="28"/>
        </w:rPr>
        <w:t>APTAUJAS ANKETU REZULTĀTI</w:t>
      </w:r>
    </w:p>
    <w:p>
      <w:pPr>
        <w:pStyle w:val="BodyText"/>
        <w:spacing w:before="270"/>
        <w:ind w:left="260" w:right="762" w:firstLine="360"/>
      </w:pPr>
      <w:r>
        <w:rPr/>
        <w:t>Pētījuma ietvaros, ievērojot Tehniskās specifikācijas prasības, tika sagatavota aptaujas anketa (tās teksts saskaņots arī ar Maksātnespējas kontroles dienestu). Aptaujas anketu ir aizpildījuši 148 respondenti, tostarp 49 tiesneši, 75 maksātnespējas procesa</w:t>
      </w:r>
      <w:r>
        <w:rPr>
          <w:spacing w:val="-41"/>
        </w:rPr>
        <w:t> </w:t>
      </w:r>
      <w:r>
        <w:rPr/>
        <w:t>administratori, 5</w:t>
      </w:r>
      <w:r>
        <w:rPr>
          <w:spacing w:val="-10"/>
        </w:rPr>
        <w:t> </w:t>
      </w:r>
      <w:r>
        <w:rPr/>
        <w:t>kredītiestāžu</w:t>
      </w:r>
      <w:r>
        <w:rPr>
          <w:spacing w:val="-9"/>
        </w:rPr>
        <w:t> </w:t>
      </w:r>
      <w:r>
        <w:rPr/>
        <w:t>pārstāvji</w:t>
      </w:r>
      <w:r>
        <w:rPr>
          <w:spacing w:val="-7"/>
        </w:rPr>
        <w:t> </w:t>
      </w:r>
      <w:r>
        <w:rPr/>
        <w:t>un</w:t>
      </w:r>
      <w:r>
        <w:rPr>
          <w:spacing w:val="-9"/>
        </w:rPr>
        <w:t> </w:t>
      </w:r>
      <w:r>
        <w:rPr/>
        <w:t>4</w:t>
      </w:r>
      <w:r>
        <w:rPr>
          <w:spacing w:val="-9"/>
        </w:rPr>
        <w:t> </w:t>
      </w:r>
      <w:r>
        <w:rPr/>
        <w:t>nebanku</w:t>
      </w:r>
      <w:r>
        <w:rPr>
          <w:spacing w:val="-10"/>
        </w:rPr>
        <w:t> </w:t>
      </w:r>
      <w:r>
        <w:rPr/>
        <w:t>kredītdevēju</w:t>
      </w:r>
      <w:r>
        <w:rPr>
          <w:spacing w:val="-6"/>
        </w:rPr>
        <w:t> </w:t>
      </w:r>
      <w:r>
        <w:rPr/>
        <w:t>pārstāvji,</w:t>
      </w:r>
      <w:r>
        <w:rPr>
          <w:spacing w:val="-9"/>
        </w:rPr>
        <w:t> </w:t>
      </w:r>
      <w:r>
        <w:rPr/>
        <w:t>1</w:t>
      </w:r>
      <w:r>
        <w:rPr>
          <w:spacing w:val="-10"/>
        </w:rPr>
        <w:t> </w:t>
      </w:r>
      <w:r>
        <w:rPr/>
        <w:t>preču</w:t>
      </w:r>
      <w:r>
        <w:rPr>
          <w:spacing w:val="-11"/>
        </w:rPr>
        <w:t> </w:t>
      </w:r>
      <w:r>
        <w:rPr/>
        <w:t>tirgotājs</w:t>
      </w:r>
      <w:r>
        <w:rPr>
          <w:spacing w:val="-6"/>
        </w:rPr>
        <w:t> </w:t>
      </w:r>
      <w:r>
        <w:rPr/>
        <w:t>uz</w:t>
      </w:r>
      <w:r>
        <w:rPr>
          <w:spacing w:val="-8"/>
        </w:rPr>
        <w:t> </w:t>
      </w:r>
      <w:r>
        <w:rPr/>
        <w:t>nomaksu, 9 citu kreditoru pārstāvji, kā arī 5 cita veida personas. Līdz ar to aptauju aizpildījušo respondentu skaits ir pietiekams, lai izdarītu kvalitatīvus un izsvērtus secinājumus par respondentu</w:t>
      </w:r>
      <w:r>
        <w:rPr>
          <w:spacing w:val="-1"/>
        </w:rPr>
        <w:t> </w:t>
      </w:r>
      <w:r>
        <w:rPr/>
        <w:t>viedokli.</w:t>
      </w:r>
    </w:p>
    <w:p>
      <w:pPr>
        <w:pStyle w:val="BodyText"/>
        <w:jc w:val="left"/>
      </w:pPr>
    </w:p>
    <w:p>
      <w:pPr>
        <w:pStyle w:val="BodyText"/>
        <w:ind w:left="260"/>
        <w:jc w:val="left"/>
      </w:pPr>
      <w:r>
        <w:rPr/>
        <w:t>Aptaujas rezultātā tika noskaidrots, ka:</w:t>
      </w:r>
    </w:p>
    <w:p>
      <w:pPr>
        <w:pStyle w:val="BodyText"/>
        <w:jc w:val="left"/>
      </w:pPr>
    </w:p>
    <w:p>
      <w:pPr>
        <w:pStyle w:val="ListParagraph"/>
        <w:numPr>
          <w:ilvl w:val="0"/>
          <w:numId w:val="51"/>
        </w:numPr>
        <w:tabs>
          <w:tab w:pos="980" w:val="left" w:leader="none"/>
        </w:tabs>
        <w:spacing w:line="240" w:lineRule="auto" w:before="0" w:after="0"/>
        <w:ind w:left="980" w:right="760" w:hanging="360"/>
        <w:jc w:val="both"/>
        <w:rPr>
          <w:sz w:val="24"/>
        </w:rPr>
      </w:pPr>
      <w:r>
        <w:rPr>
          <w:sz w:val="24"/>
        </w:rPr>
        <w:t>Vairums respondentu Latvijas tiesisko regulējumu attiecībā uz fiziskās personas maksātnespējas</w:t>
      </w:r>
      <w:r>
        <w:rPr>
          <w:spacing w:val="-12"/>
          <w:sz w:val="24"/>
        </w:rPr>
        <w:t> </w:t>
      </w:r>
      <w:r>
        <w:rPr>
          <w:sz w:val="24"/>
        </w:rPr>
        <w:t>procesu</w:t>
      </w:r>
      <w:r>
        <w:rPr>
          <w:spacing w:val="-11"/>
          <w:sz w:val="24"/>
        </w:rPr>
        <w:t> </w:t>
      </w:r>
      <w:r>
        <w:rPr>
          <w:sz w:val="24"/>
        </w:rPr>
        <w:t>vērtē</w:t>
      </w:r>
      <w:r>
        <w:rPr>
          <w:spacing w:val="-12"/>
          <w:sz w:val="24"/>
        </w:rPr>
        <w:t> </w:t>
      </w:r>
      <w:r>
        <w:rPr>
          <w:sz w:val="24"/>
        </w:rPr>
        <w:t>kā</w:t>
      </w:r>
      <w:r>
        <w:rPr>
          <w:spacing w:val="-13"/>
          <w:sz w:val="24"/>
        </w:rPr>
        <w:t> </w:t>
      </w:r>
      <w:r>
        <w:rPr>
          <w:sz w:val="24"/>
        </w:rPr>
        <w:t>pārlieku</w:t>
      </w:r>
      <w:r>
        <w:rPr>
          <w:spacing w:val="-12"/>
          <w:sz w:val="24"/>
        </w:rPr>
        <w:t> </w:t>
      </w:r>
      <w:r>
        <w:rPr>
          <w:sz w:val="24"/>
        </w:rPr>
        <w:t>liberālu</w:t>
      </w:r>
      <w:r>
        <w:rPr>
          <w:spacing w:val="-11"/>
          <w:sz w:val="24"/>
        </w:rPr>
        <w:t> </w:t>
      </w:r>
      <w:r>
        <w:rPr>
          <w:sz w:val="24"/>
        </w:rPr>
        <w:t>(43,9</w:t>
      </w:r>
      <w:r>
        <w:rPr>
          <w:spacing w:val="-12"/>
          <w:sz w:val="24"/>
        </w:rPr>
        <w:t> </w:t>
      </w:r>
      <w:r>
        <w:rPr>
          <w:sz w:val="24"/>
        </w:rPr>
        <w:t>%).</w:t>
      </w:r>
      <w:r>
        <w:rPr>
          <w:spacing w:val="-13"/>
          <w:sz w:val="24"/>
        </w:rPr>
        <w:t> </w:t>
      </w:r>
      <w:r>
        <w:rPr>
          <w:sz w:val="24"/>
        </w:rPr>
        <w:t>Vienlaikus</w:t>
      </w:r>
      <w:r>
        <w:rPr>
          <w:spacing w:val="-14"/>
          <w:sz w:val="24"/>
        </w:rPr>
        <w:t> </w:t>
      </w:r>
      <w:r>
        <w:rPr>
          <w:sz w:val="24"/>
        </w:rPr>
        <w:t>atzīmējams, ka samērā liels skaits respondentu uzskata, ka regulējums ir atbilstošs ekonomiskajai situācijai valstī (33,8 %), savukārt 14,9 % to vērtēja kā pārlieku smagnēju. Piemēram, tika norādīts, ka regulējums ir pārlieku smagnējs situācijā,</w:t>
      </w:r>
      <w:r>
        <w:rPr>
          <w:spacing w:val="-30"/>
          <w:sz w:val="24"/>
        </w:rPr>
        <w:t> </w:t>
      </w:r>
      <w:r>
        <w:rPr>
          <w:sz w:val="24"/>
        </w:rPr>
        <w:t>ja parādniekam nepieder manta un ir ienākumi minimālās algas apmērā. Tāpat tika norādīts uz nemotivējošo administratora atlīdzības sistēmu un ierobežotajām iespējām tiesnesim iegūt procesa vadīšanai nepieciešamo</w:t>
      </w:r>
      <w:r>
        <w:rPr>
          <w:spacing w:val="-5"/>
          <w:sz w:val="24"/>
        </w:rPr>
        <w:t> </w:t>
      </w:r>
      <w:r>
        <w:rPr>
          <w:sz w:val="24"/>
        </w:rPr>
        <w:t>informāciju.</w:t>
      </w:r>
    </w:p>
    <w:p>
      <w:pPr>
        <w:pStyle w:val="BodyText"/>
        <w:jc w:val="left"/>
      </w:pPr>
    </w:p>
    <w:p>
      <w:pPr>
        <w:pStyle w:val="ListParagraph"/>
        <w:numPr>
          <w:ilvl w:val="0"/>
          <w:numId w:val="51"/>
        </w:numPr>
        <w:tabs>
          <w:tab w:pos="980" w:val="left" w:leader="none"/>
        </w:tabs>
        <w:spacing w:line="240" w:lineRule="auto" w:before="0" w:after="0"/>
        <w:ind w:left="980" w:right="763" w:hanging="360"/>
        <w:jc w:val="both"/>
        <w:rPr>
          <w:sz w:val="24"/>
        </w:rPr>
      </w:pPr>
      <w:r>
        <w:rPr>
          <w:sz w:val="24"/>
        </w:rPr>
        <w:t>Vairums respondentu, tas ir, 62,8 % uzskata, ka Maksātnespējas likumā jāparedz instrumenti, kas stimulētu parādnieku savlaicīgi iesniegt fiziskās personas maksātnespējas procesa pieteikumu. Savukārt noliedzošs viedoklis ir 34,5</w:t>
      </w:r>
      <w:r>
        <w:rPr>
          <w:spacing w:val="-6"/>
          <w:sz w:val="24"/>
        </w:rPr>
        <w:t> </w:t>
      </w:r>
      <w:r>
        <w:rPr>
          <w:sz w:val="24"/>
        </w:rPr>
        <w:t>%.</w:t>
      </w:r>
    </w:p>
    <w:p>
      <w:pPr>
        <w:pStyle w:val="BodyText"/>
        <w:jc w:val="left"/>
      </w:pPr>
    </w:p>
    <w:p>
      <w:pPr>
        <w:pStyle w:val="ListParagraph"/>
        <w:numPr>
          <w:ilvl w:val="0"/>
          <w:numId w:val="51"/>
        </w:numPr>
        <w:tabs>
          <w:tab w:pos="980" w:val="left" w:leader="none"/>
        </w:tabs>
        <w:spacing w:line="240" w:lineRule="auto" w:before="0" w:after="0"/>
        <w:ind w:left="980" w:right="762" w:hanging="360"/>
        <w:jc w:val="both"/>
        <w:rPr>
          <w:sz w:val="24"/>
        </w:rPr>
      </w:pPr>
      <w:r>
        <w:rPr>
          <w:sz w:val="24"/>
        </w:rPr>
        <w:t>Pārliecinošs</w:t>
      </w:r>
      <w:r>
        <w:rPr>
          <w:spacing w:val="-9"/>
          <w:sz w:val="24"/>
        </w:rPr>
        <w:t> </w:t>
      </w:r>
      <w:r>
        <w:rPr>
          <w:sz w:val="24"/>
        </w:rPr>
        <w:t>vairums</w:t>
      </w:r>
      <w:r>
        <w:rPr>
          <w:spacing w:val="-8"/>
          <w:sz w:val="24"/>
        </w:rPr>
        <w:t> </w:t>
      </w:r>
      <w:r>
        <w:rPr>
          <w:sz w:val="24"/>
        </w:rPr>
        <w:t>respondentu</w:t>
      </w:r>
      <w:r>
        <w:rPr>
          <w:spacing w:val="-10"/>
          <w:sz w:val="24"/>
        </w:rPr>
        <w:t> </w:t>
      </w:r>
      <w:r>
        <w:rPr>
          <w:sz w:val="24"/>
        </w:rPr>
        <w:t>(85,8</w:t>
      </w:r>
      <w:r>
        <w:rPr>
          <w:spacing w:val="-8"/>
          <w:sz w:val="24"/>
        </w:rPr>
        <w:t> </w:t>
      </w:r>
      <w:r>
        <w:rPr>
          <w:sz w:val="24"/>
        </w:rPr>
        <w:t>%)</w:t>
      </w:r>
      <w:r>
        <w:rPr>
          <w:spacing w:val="-13"/>
          <w:sz w:val="24"/>
        </w:rPr>
        <w:t> </w:t>
      </w:r>
      <w:r>
        <w:rPr>
          <w:sz w:val="24"/>
        </w:rPr>
        <w:t>uzskata,</w:t>
      </w:r>
      <w:r>
        <w:rPr>
          <w:spacing w:val="-10"/>
          <w:sz w:val="24"/>
        </w:rPr>
        <w:t> </w:t>
      </w:r>
      <w:r>
        <w:rPr>
          <w:sz w:val="24"/>
        </w:rPr>
        <w:t>ka</w:t>
      </w:r>
      <w:r>
        <w:rPr>
          <w:spacing w:val="-10"/>
          <w:sz w:val="24"/>
        </w:rPr>
        <w:t> </w:t>
      </w:r>
      <w:r>
        <w:rPr>
          <w:sz w:val="24"/>
        </w:rPr>
        <w:t>nav</w:t>
      </w:r>
      <w:r>
        <w:rPr>
          <w:spacing w:val="-10"/>
          <w:sz w:val="24"/>
        </w:rPr>
        <w:t> </w:t>
      </w:r>
      <w:r>
        <w:rPr>
          <w:sz w:val="24"/>
        </w:rPr>
        <w:t>nepieciešams</w:t>
      </w:r>
      <w:r>
        <w:rPr>
          <w:spacing w:val="-7"/>
          <w:sz w:val="24"/>
        </w:rPr>
        <w:t> </w:t>
      </w:r>
      <w:r>
        <w:rPr>
          <w:sz w:val="24"/>
        </w:rPr>
        <w:t>samazināt minimālo parādsaistību slieksni fiziskās personas maksātnespējas procesa pieteikuma iesniegšanai, savukārt to atbalsta 10,8 % respondentu. 2,7 % pauduši citu</w:t>
      </w:r>
      <w:r>
        <w:rPr>
          <w:spacing w:val="-11"/>
          <w:sz w:val="24"/>
        </w:rPr>
        <w:t> </w:t>
      </w:r>
      <w:r>
        <w:rPr>
          <w:sz w:val="24"/>
        </w:rPr>
        <w:t>viedokli,</w:t>
      </w:r>
      <w:r>
        <w:rPr>
          <w:spacing w:val="-10"/>
          <w:sz w:val="24"/>
        </w:rPr>
        <w:t> </w:t>
      </w:r>
      <w:r>
        <w:rPr>
          <w:sz w:val="24"/>
        </w:rPr>
        <w:t>piemēram,</w:t>
      </w:r>
      <w:r>
        <w:rPr>
          <w:spacing w:val="-8"/>
          <w:sz w:val="24"/>
        </w:rPr>
        <w:t> </w:t>
      </w:r>
      <w:r>
        <w:rPr>
          <w:sz w:val="24"/>
        </w:rPr>
        <w:t>norādot,</w:t>
      </w:r>
      <w:r>
        <w:rPr>
          <w:spacing w:val="-10"/>
          <w:sz w:val="24"/>
        </w:rPr>
        <w:t> </w:t>
      </w:r>
      <w:r>
        <w:rPr>
          <w:sz w:val="24"/>
        </w:rPr>
        <w:t>ka</w:t>
      </w:r>
      <w:r>
        <w:rPr>
          <w:spacing w:val="-12"/>
          <w:sz w:val="24"/>
        </w:rPr>
        <w:t> </w:t>
      </w:r>
      <w:r>
        <w:rPr>
          <w:sz w:val="24"/>
        </w:rPr>
        <w:t>šādu</w:t>
      </w:r>
      <w:r>
        <w:rPr>
          <w:spacing w:val="-10"/>
          <w:sz w:val="24"/>
        </w:rPr>
        <w:t> </w:t>
      </w:r>
      <w:r>
        <w:rPr>
          <w:sz w:val="24"/>
        </w:rPr>
        <w:t>risinājumu</w:t>
      </w:r>
      <w:r>
        <w:rPr>
          <w:spacing w:val="-10"/>
          <w:sz w:val="24"/>
        </w:rPr>
        <w:t> </w:t>
      </w:r>
      <w:r>
        <w:rPr>
          <w:sz w:val="24"/>
        </w:rPr>
        <w:t>varētu</w:t>
      </w:r>
      <w:r>
        <w:rPr>
          <w:spacing w:val="-10"/>
          <w:sz w:val="24"/>
        </w:rPr>
        <w:t> </w:t>
      </w:r>
      <w:r>
        <w:rPr>
          <w:sz w:val="24"/>
        </w:rPr>
        <w:t>apsvērt</w:t>
      </w:r>
      <w:r>
        <w:rPr>
          <w:spacing w:val="-8"/>
          <w:sz w:val="24"/>
        </w:rPr>
        <w:t> </w:t>
      </w:r>
      <w:r>
        <w:rPr>
          <w:sz w:val="24"/>
        </w:rPr>
        <w:t>pie</w:t>
      </w:r>
      <w:r>
        <w:rPr>
          <w:spacing w:val="-10"/>
          <w:sz w:val="24"/>
        </w:rPr>
        <w:t> </w:t>
      </w:r>
      <w:r>
        <w:rPr>
          <w:sz w:val="24"/>
        </w:rPr>
        <w:t>atsevišķiem apstākļiem</w:t>
      </w:r>
      <w:r>
        <w:rPr>
          <w:spacing w:val="-5"/>
          <w:sz w:val="24"/>
        </w:rPr>
        <w:t> </w:t>
      </w:r>
      <w:r>
        <w:rPr>
          <w:sz w:val="24"/>
        </w:rPr>
        <w:t>-</w:t>
      </w:r>
      <w:r>
        <w:rPr>
          <w:spacing w:val="-5"/>
          <w:sz w:val="24"/>
        </w:rPr>
        <w:t> </w:t>
      </w:r>
      <w:r>
        <w:rPr>
          <w:sz w:val="24"/>
        </w:rPr>
        <w:t>ja</w:t>
      </w:r>
      <w:r>
        <w:rPr>
          <w:spacing w:val="-4"/>
          <w:sz w:val="24"/>
        </w:rPr>
        <w:t> </w:t>
      </w:r>
      <w:r>
        <w:rPr>
          <w:sz w:val="24"/>
        </w:rPr>
        <w:t>persona</w:t>
      </w:r>
      <w:r>
        <w:rPr>
          <w:spacing w:val="-5"/>
          <w:sz w:val="24"/>
        </w:rPr>
        <w:t> </w:t>
      </w:r>
      <w:r>
        <w:rPr>
          <w:sz w:val="24"/>
        </w:rPr>
        <w:t>ir</w:t>
      </w:r>
      <w:r>
        <w:rPr>
          <w:spacing w:val="-4"/>
          <w:sz w:val="24"/>
        </w:rPr>
        <w:t> </w:t>
      </w:r>
      <w:r>
        <w:rPr>
          <w:sz w:val="24"/>
        </w:rPr>
        <w:t>maznodrošināta</w:t>
      </w:r>
      <w:r>
        <w:rPr>
          <w:spacing w:val="-5"/>
          <w:sz w:val="24"/>
        </w:rPr>
        <w:t> </w:t>
      </w:r>
      <w:r>
        <w:rPr>
          <w:sz w:val="24"/>
        </w:rPr>
        <w:t>vai</w:t>
      </w:r>
      <w:r>
        <w:rPr>
          <w:spacing w:val="-5"/>
          <w:sz w:val="24"/>
        </w:rPr>
        <w:t> </w:t>
      </w:r>
      <w:r>
        <w:rPr>
          <w:sz w:val="24"/>
        </w:rPr>
        <w:t>ar</w:t>
      </w:r>
      <w:r>
        <w:rPr>
          <w:spacing w:val="-8"/>
          <w:sz w:val="24"/>
        </w:rPr>
        <w:t> </w:t>
      </w:r>
      <w:r>
        <w:rPr>
          <w:sz w:val="24"/>
        </w:rPr>
        <w:t>trūcīgas</w:t>
      </w:r>
      <w:r>
        <w:rPr>
          <w:spacing w:val="-5"/>
          <w:sz w:val="24"/>
        </w:rPr>
        <w:t> </w:t>
      </w:r>
      <w:r>
        <w:rPr>
          <w:sz w:val="24"/>
        </w:rPr>
        <w:t>personas</w:t>
      </w:r>
      <w:r>
        <w:rPr>
          <w:spacing w:val="-7"/>
          <w:sz w:val="24"/>
        </w:rPr>
        <w:t> </w:t>
      </w:r>
      <w:r>
        <w:rPr>
          <w:sz w:val="24"/>
        </w:rPr>
        <w:t>statusu,</w:t>
      </w:r>
      <w:r>
        <w:rPr>
          <w:spacing w:val="-3"/>
          <w:sz w:val="24"/>
        </w:rPr>
        <w:t> </w:t>
      </w:r>
      <w:r>
        <w:rPr>
          <w:sz w:val="24"/>
        </w:rPr>
        <w:t>personai ir kādas ilgstošas veselības problēmas</w:t>
      </w:r>
      <w:r>
        <w:rPr>
          <w:spacing w:val="-3"/>
          <w:sz w:val="24"/>
        </w:rPr>
        <w:t> </w:t>
      </w:r>
      <w:r>
        <w:rPr>
          <w:sz w:val="24"/>
        </w:rPr>
        <w:t>u.tml.</w:t>
      </w:r>
    </w:p>
    <w:p>
      <w:pPr>
        <w:pStyle w:val="BodyText"/>
        <w:jc w:val="left"/>
      </w:pPr>
    </w:p>
    <w:p>
      <w:pPr>
        <w:pStyle w:val="ListParagraph"/>
        <w:numPr>
          <w:ilvl w:val="0"/>
          <w:numId w:val="51"/>
        </w:numPr>
        <w:tabs>
          <w:tab w:pos="980" w:val="left" w:leader="none"/>
        </w:tabs>
        <w:spacing w:line="240" w:lineRule="auto" w:before="0" w:after="0"/>
        <w:ind w:left="980" w:right="763" w:hanging="360"/>
        <w:jc w:val="both"/>
        <w:rPr>
          <w:sz w:val="24"/>
        </w:rPr>
      </w:pPr>
      <w:r>
        <w:rPr>
          <w:sz w:val="24"/>
        </w:rPr>
        <w:t>Atbildot uz jautājumu, kā tiek vērtēti Maksātnespējas likumā noteiktie fiziskās personas saistību dzēšanas plāna termiņi, vairāk kā puse respondentu tos vērtēja</w:t>
      </w:r>
      <w:r>
        <w:rPr>
          <w:spacing w:val="-29"/>
          <w:sz w:val="24"/>
        </w:rPr>
        <w:t> </w:t>
      </w:r>
      <w:r>
        <w:rPr>
          <w:sz w:val="24"/>
        </w:rPr>
        <w:t>kā optimālus (55,4 %), tomēr samērā liels skaits respondentu tos vērtēja kā pārlieku īsus (32,4 %), savukārt kā pārlieki garus termiņus vērtēja 7,4 %. Saistībā </w:t>
      </w:r>
      <w:r>
        <w:rPr>
          <w:spacing w:val="-6"/>
          <w:sz w:val="24"/>
        </w:rPr>
        <w:t>ar </w:t>
      </w:r>
      <w:r>
        <w:rPr>
          <w:sz w:val="24"/>
        </w:rPr>
        <w:t>Maksātnespējas likumā noteiktajiem fiziskās personas saistību dzēšanas </w:t>
      </w:r>
      <w:r>
        <w:rPr>
          <w:spacing w:val="-3"/>
          <w:sz w:val="24"/>
        </w:rPr>
        <w:t>plāna </w:t>
      </w:r>
      <w:r>
        <w:rPr>
          <w:sz w:val="24"/>
        </w:rPr>
        <w:t>termiņiem</w:t>
      </w:r>
      <w:r>
        <w:rPr>
          <w:spacing w:val="-9"/>
          <w:sz w:val="24"/>
        </w:rPr>
        <w:t> </w:t>
      </w:r>
      <w:r>
        <w:rPr>
          <w:sz w:val="24"/>
        </w:rPr>
        <w:t>aptaujas</w:t>
      </w:r>
      <w:r>
        <w:rPr>
          <w:spacing w:val="-9"/>
          <w:sz w:val="24"/>
        </w:rPr>
        <w:t> </w:t>
      </w:r>
      <w:r>
        <w:rPr>
          <w:sz w:val="24"/>
        </w:rPr>
        <w:t>anketās</w:t>
      </w:r>
      <w:r>
        <w:rPr>
          <w:spacing w:val="-9"/>
          <w:sz w:val="24"/>
        </w:rPr>
        <w:t> </w:t>
      </w:r>
      <w:r>
        <w:rPr>
          <w:sz w:val="24"/>
        </w:rPr>
        <w:t>norādīts</w:t>
      </w:r>
      <w:r>
        <w:rPr>
          <w:spacing w:val="-6"/>
          <w:sz w:val="24"/>
        </w:rPr>
        <w:t> </w:t>
      </w:r>
      <w:r>
        <w:rPr>
          <w:sz w:val="24"/>
        </w:rPr>
        <w:t>arī</w:t>
      </w:r>
      <w:r>
        <w:rPr>
          <w:spacing w:val="-9"/>
          <w:sz w:val="24"/>
        </w:rPr>
        <w:t> </w:t>
      </w:r>
      <w:r>
        <w:rPr>
          <w:sz w:val="24"/>
        </w:rPr>
        <w:t>uz</w:t>
      </w:r>
      <w:r>
        <w:rPr>
          <w:spacing w:val="-7"/>
          <w:sz w:val="24"/>
        </w:rPr>
        <w:t> </w:t>
      </w:r>
      <w:r>
        <w:rPr>
          <w:sz w:val="24"/>
        </w:rPr>
        <w:t>vairākām</w:t>
      </w:r>
      <w:r>
        <w:rPr>
          <w:spacing w:val="-9"/>
          <w:sz w:val="24"/>
        </w:rPr>
        <w:t> </w:t>
      </w:r>
      <w:r>
        <w:rPr>
          <w:sz w:val="24"/>
        </w:rPr>
        <w:t>likuma</w:t>
      </w:r>
      <w:r>
        <w:rPr>
          <w:spacing w:val="-9"/>
          <w:sz w:val="24"/>
        </w:rPr>
        <w:t> </w:t>
      </w:r>
      <w:r>
        <w:rPr>
          <w:sz w:val="24"/>
        </w:rPr>
        <w:t>nepilnībām,</w:t>
      </w:r>
      <w:r>
        <w:rPr>
          <w:spacing w:val="-9"/>
          <w:sz w:val="24"/>
        </w:rPr>
        <w:t> </w:t>
      </w:r>
      <w:r>
        <w:rPr>
          <w:sz w:val="24"/>
        </w:rPr>
        <w:t>piemēram, nekonsekvenci starp sedzamo prasījumu apmēru un procesa ilgumu, konkrēti starp Maksātnespējas likuma 155. panta 3.daļas punktiem (1 gads, 6 mēneši </w:t>
      </w:r>
      <w:r>
        <w:rPr>
          <w:spacing w:val="-5"/>
          <w:sz w:val="24"/>
        </w:rPr>
        <w:t>pie </w:t>
      </w:r>
      <w:r>
        <w:rPr>
          <w:sz w:val="24"/>
        </w:rPr>
        <w:t>nosacījuma, ka sedz 20 % no kreditoru prasījumiem) un 4. daļas 1. punktu (1 gads pie minimālās algas). Tāpat norādīts uz to, ka ir iespējams dzēst liela apmēra saistības, veicot minimālus maksājumus kreditoriem, kā arī uz to, ka nav loģiski vienlīdzīgu termiņu noteikt saistībām virs EUR 30000 līdz EUR</w:t>
      </w:r>
      <w:r>
        <w:rPr>
          <w:spacing w:val="-2"/>
          <w:sz w:val="24"/>
        </w:rPr>
        <w:t> </w:t>
      </w:r>
      <w:r>
        <w:rPr>
          <w:sz w:val="24"/>
        </w:rPr>
        <w:t>150000.</w:t>
      </w:r>
    </w:p>
    <w:p>
      <w:pPr>
        <w:pStyle w:val="BodyText"/>
        <w:jc w:val="left"/>
      </w:pPr>
    </w:p>
    <w:p>
      <w:pPr>
        <w:pStyle w:val="ListParagraph"/>
        <w:numPr>
          <w:ilvl w:val="0"/>
          <w:numId w:val="51"/>
        </w:numPr>
        <w:tabs>
          <w:tab w:pos="980" w:val="left" w:leader="none"/>
        </w:tabs>
        <w:spacing w:line="240" w:lineRule="auto" w:before="1" w:after="0"/>
        <w:ind w:left="980" w:right="762" w:hanging="360"/>
        <w:jc w:val="both"/>
        <w:rPr>
          <w:sz w:val="24"/>
        </w:rPr>
      </w:pPr>
      <w:r>
        <w:rPr>
          <w:sz w:val="24"/>
        </w:rPr>
        <w:t>Pārliecinošs vairums respondentu (85,8%) atbalsta šobrīd likumā noteikto, ka neatkarīgi no ienākumiem fiziskās personas saistību dzēšanas procedūras ietvaros parādniekam ir jāveic ikmēneša maksājumi, kas atbilstoši pašreizējai likuma redakcijai</w:t>
      </w:r>
      <w:r>
        <w:rPr>
          <w:spacing w:val="12"/>
          <w:sz w:val="24"/>
        </w:rPr>
        <w:t> </w:t>
      </w:r>
      <w:r>
        <w:rPr>
          <w:sz w:val="24"/>
        </w:rPr>
        <w:t>ir</w:t>
      </w:r>
      <w:r>
        <w:rPr>
          <w:spacing w:val="12"/>
          <w:sz w:val="24"/>
        </w:rPr>
        <w:t> </w:t>
      </w:r>
      <w:r>
        <w:rPr>
          <w:sz w:val="24"/>
        </w:rPr>
        <w:t>ne</w:t>
      </w:r>
      <w:r>
        <w:rPr>
          <w:spacing w:val="9"/>
          <w:sz w:val="24"/>
        </w:rPr>
        <w:t> </w:t>
      </w:r>
      <w:r>
        <w:rPr>
          <w:sz w:val="24"/>
        </w:rPr>
        <w:t>mazāk</w:t>
      </w:r>
      <w:r>
        <w:rPr>
          <w:spacing w:val="9"/>
          <w:sz w:val="24"/>
        </w:rPr>
        <w:t> </w:t>
      </w:r>
      <w:r>
        <w:rPr>
          <w:sz w:val="24"/>
        </w:rPr>
        <w:t>kā</w:t>
      </w:r>
      <w:r>
        <w:rPr>
          <w:spacing w:val="12"/>
          <w:sz w:val="24"/>
        </w:rPr>
        <w:t> </w:t>
      </w:r>
      <w:r>
        <w:rPr>
          <w:sz w:val="24"/>
        </w:rPr>
        <w:t>1/3</w:t>
      </w:r>
      <w:r>
        <w:rPr>
          <w:spacing w:val="12"/>
          <w:sz w:val="24"/>
        </w:rPr>
        <w:t> </w:t>
      </w:r>
      <w:r>
        <w:rPr>
          <w:sz w:val="24"/>
        </w:rPr>
        <w:t>no</w:t>
      </w:r>
      <w:r>
        <w:rPr>
          <w:spacing w:val="12"/>
          <w:sz w:val="24"/>
        </w:rPr>
        <w:t> </w:t>
      </w:r>
      <w:r>
        <w:rPr>
          <w:sz w:val="24"/>
        </w:rPr>
        <w:t>valstī</w:t>
      </w:r>
      <w:r>
        <w:rPr>
          <w:spacing w:val="12"/>
          <w:sz w:val="24"/>
        </w:rPr>
        <w:t> </w:t>
      </w:r>
      <w:r>
        <w:rPr>
          <w:sz w:val="24"/>
        </w:rPr>
        <w:t>noteiktās</w:t>
      </w:r>
      <w:r>
        <w:rPr>
          <w:spacing w:val="12"/>
          <w:sz w:val="24"/>
        </w:rPr>
        <w:t> </w:t>
      </w:r>
      <w:r>
        <w:rPr>
          <w:sz w:val="24"/>
        </w:rPr>
        <w:t>minimālās</w:t>
      </w:r>
      <w:r>
        <w:rPr>
          <w:spacing w:val="9"/>
          <w:sz w:val="24"/>
        </w:rPr>
        <w:t> </w:t>
      </w:r>
      <w:r>
        <w:rPr>
          <w:sz w:val="24"/>
        </w:rPr>
        <w:t>mēnešalgas.</w:t>
      </w:r>
      <w:r>
        <w:rPr>
          <w:spacing w:val="12"/>
          <w:sz w:val="24"/>
        </w:rPr>
        <w:t> </w:t>
      </w:r>
      <w:r>
        <w:rPr>
          <w:sz w:val="24"/>
        </w:rPr>
        <w:t>Tikai</w:t>
      </w:r>
      <w:r>
        <w:rPr>
          <w:spacing w:val="10"/>
          <w:sz w:val="24"/>
        </w:rPr>
        <w:t> </w:t>
      </w:r>
      <w:r>
        <w:rPr>
          <w:sz w:val="24"/>
        </w:rPr>
        <w:t>7,4</w:t>
      </w:r>
    </w:p>
    <w:p>
      <w:pPr>
        <w:spacing w:after="0" w:line="240" w:lineRule="auto"/>
        <w:jc w:val="both"/>
        <w:rPr>
          <w:sz w:val="24"/>
        </w:rPr>
        <w:sectPr>
          <w:pgSz w:w="11910" w:h="16840"/>
          <w:pgMar w:header="0" w:footer="1055" w:top="1360" w:bottom="1240" w:left="1180" w:right="1040"/>
        </w:sectPr>
      </w:pPr>
    </w:p>
    <w:p>
      <w:pPr>
        <w:pStyle w:val="BodyText"/>
        <w:spacing w:before="73"/>
        <w:ind w:left="1340" w:right="403"/>
      </w:pPr>
      <w:r>
        <w:rPr/>
        <w:t>%</w:t>
      </w:r>
      <w:r>
        <w:rPr>
          <w:spacing w:val="-7"/>
        </w:rPr>
        <w:t> </w:t>
      </w:r>
      <w:r>
        <w:rPr/>
        <w:t>uzskata,</w:t>
      </w:r>
      <w:r>
        <w:rPr>
          <w:spacing w:val="-6"/>
        </w:rPr>
        <w:t> </w:t>
      </w:r>
      <w:r>
        <w:rPr/>
        <w:t>ka</w:t>
      </w:r>
      <w:r>
        <w:rPr>
          <w:spacing w:val="-7"/>
        </w:rPr>
        <w:t> </w:t>
      </w:r>
      <w:r>
        <w:rPr/>
        <w:t>šādam</w:t>
      </w:r>
      <w:r>
        <w:rPr>
          <w:spacing w:val="-6"/>
        </w:rPr>
        <w:t> </w:t>
      </w:r>
      <w:r>
        <w:rPr/>
        <w:t>minimālā</w:t>
      </w:r>
      <w:r>
        <w:rPr>
          <w:spacing w:val="-10"/>
        </w:rPr>
        <w:t> </w:t>
      </w:r>
      <w:r>
        <w:rPr/>
        <w:t>maksājuma</w:t>
      </w:r>
      <w:r>
        <w:rPr>
          <w:spacing w:val="-5"/>
        </w:rPr>
        <w:t> </w:t>
      </w:r>
      <w:r>
        <w:rPr/>
        <w:t>slieksnim</w:t>
      </w:r>
      <w:r>
        <w:rPr>
          <w:spacing w:val="-7"/>
        </w:rPr>
        <w:t> </w:t>
      </w:r>
      <w:r>
        <w:rPr/>
        <w:t>nav</w:t>
      </w:r>
      <w:r>
        <w:rPr>
          <w:spacing w:val="-6"/>
        </w:rPr>
        <w:t> </w:t>
      </w:r>
      <w:r>
        <w:rPr/>
        <w:t>jābūt</w:t>
      </w:r>
      <w:r>
        <w:rPr>
          <w:spacing w:val="-7"/>
        </w:rPr>
        <w:t> </w:t>
      </w:r>
      <w:r>
        <w:rPr/>
        <w:t>noteiktam,</w:t>
      </w:r>
      <w:r>
        <w:rPr>
          <w:spacing w:val="-6"/>
        </w:rPr>
        <w:t> </w:t>
      </w:r>
      <w:r>
        <w:rPr/>
        <w:t>savukārt 6,8</w:t>
      </w:r>
      <w:r>
        <w:rPr>
          <w:spacing w:val="-11"/>
        </w:rPr>
        <w:t> </w:t>
      </w:r>
      <w:r>
        <w:rPr/>
        <w:t>%</w:t>
      </w:r>
      <w:r>
        <w:rPr>
          <w:spacing w:val="-11"/>
        </w:rPr>
        <w:t> </w:t>
      </w:r>
      <w:r>
        <w:rPr/>
        <w:t>ir</w:t>
      </w:r>
      <w:r>
        <w:rPr>
          <w:spacing w:val="-9"/>
        </w:rPr>
        <w:t> </w:t>
      </w:r>
      <w:r>
        <w:rPr/>
        <w:t>cits</w:t>
      </w:r>
      <w:r>
        <w:rPr>
          <w:spacing w:val="-8"/>
        </w:rPr>
        <w:t> </w:t>
      </w:r>
      <w:r>
        <w:rPr/>
        <w:t>viedoklis.</w:t>
      </w:r>
      <w:r>
        <w:rPr>
          <w:spacing w:val="-11"/>
        </w:rPr>
        <w:t> </w:t>
      </w:r>
      <w:r>
        <w:rPr/>
        <w:t>Vairāki</w:t>
      </w:r>
      <w:r>
        <w:rPr>
          <w:spacing w:val="-11"/>
        </w:rPr>
        <w:t> </w:t>
      </w:r>
      <w:r>
        <w:rPr/>
        <w:t>respondenti</w:t>
      </w:r>
      <w:r>
        <w:rPr>
          <w:spacing w:val="-9"/>
        </w:rPr>
        <w:t> </w:t>
      </w:r>
      <w:r>
        <w:rPr/>
        <w:t>ir</w:t>
      </w:r>
      <w:r>
        <w:rPr>
          <w:spacing w:val="-10"/>
        </w:rPr>
        <w:t> </w:t>
      </w:r>
      <w:r>
        <w:rPr/>
        <w:t>norādījuši,</w:t>
      </w:r>
      <w:r>
        <w:rPr>
          <w:spacing w:val="-11"/>
        </w:rPr>
        <w:t> </w:t>
      </w:r>
      <w:r>
        <w:rPr/>
        <w:t>ka</w:t>
      </w:r>
      <w:r>
        <w:rPr>
          <w:spacing w:val="-11"/>
        </w:rPr>
        <w:t> </w:t>
      </w:r>
      <w:r>
        <w:rPr/>
        <w:t>šāds</w:t>
      </w:r>
      <w:r>
        <w:rPr>
          <w:spacing w:val="-10"/>
        </w:rPr>
        <w:t> </w:t>
      </w:r>
      <w:r>
        <w:rPr/>
        <w:t>regulējums</w:t>
      </w:r>
      <w:r>
        <w:rPr>
          <w:spacing w:val="-6"/>
        </w:rPr>
        <w:t> </w:t>
      </w:r>
      <w:r>
        <w:rPr/>
        <w:t>veicina patieso ienākumu slēpšanu. </w:t>
      </w:r>
      <w:r>
        <w:rPr>
          <w:spacing w:val="-3"/>
        </w:rPr>
        <w:t>Ir </w:t>
      </w:r>
      <w:r>
        <w:rPr/>
        <w:t>izteikti vairāki priekšlikumi par to, ka maksājumam ir jābūt pakārtotam faktiskajai algai, kā arī ir izteikts priekšlikums paredzēt parādniekam iespēju vienoties ar kreditoriem par maksājamās summas</w:t>
      </w:r>
      <w:r>
        <w:rPr>
          <w:spacing w:val="-8"/>
        </w:rPr>
        <w:t> </w:t>
      </w:r>
      <w:r>
        <w:rPr/>
        <w:t>apmēru.</w:t>
      </w:r>
    </w:p>
    <w:p>
      <w:pPr>
        <w:pStyle w:val="BodyText"/>
        <w:jc w:val="left"/>
      </w:pPr>
    </w:p>
    <w:p>
      <w:pPr>
        <w:pStyle w:val="ListParagraph"/>
        <w:numPr>
          <w:ilvl w:val="0"/>
          <w:numId w:val="51"/>
        </w:numPr>
        <w:tabs>
          <w:tab w:pos="1340" w:val="left" w:leader="none"/>
        </w:tabs>
        <w:spacing w:line="240" w:lineRule="auto" w:before="0" w:after="0"/>
        <w:ind w:left="1340" w:right="401" w:hanging="360"/>
        <w:jc w:val="both"/>
        <w:rPr>
          <w:sz w:val="24"/>
        </w:rPr>
      </w:pPr>
      <w:r>
        <w:rPr>
          <w:sz w:val="24"/>
        </w:rPr>
        <w:t>Vairums respondentu (60,1 %) uzskata, ka Maksātnespējas likumā nav nepieciešams diferencēt fiziskās personas saistību dzēšanas procedūras laikā kreditoriem maksājamo summu vai saistību dzēšanas plāna termiņu atkarībā no parādnieka</w:t>
      </w:r>
      <w:r>
        <w:rPr>
          <w:spacing w:val="-12"/>
          <w:sz w:val="24"/>
        </w:rPr>
        <w:t> </w:t>
      </w:r>
      <w:r>
        <w:rPr>
          <w:sz w:val="24"/>
        </w:rPr>
        <w:t>sociālā</w:t>
      </w:r>
      <w:r>
        <w:rPr>
          <w:spacing w:val="-9"/>
          <w:sz w:val="24"/>
        </w:rPr>
        <w:t> </w:t>
      </w:r>
      <w:r>
        <w:rPr>
          <w:sz w:val="24"/>
        </w:rPr>
        <w:t>statusa</w:t>
      </w:r>
      <w:r>
        <w:rPr>
          <w:spacing w:val="-10"/>
          <w:sz w:val="24"/>
        </w:rPr>
        <w:t> </w:t>
      </w:r>
      <w:r>
        <w:rPr>
          <w:sz w:val="24"/>
        </w:rPr>
        <w:t>(vecums,</w:t>
      </w:r>
      <w:r>
        <w:rPr>
          <w:spacing w:val="-9"/>
          <w:sz w:val="24"/>
        </w:rPr>
        <w:t> </w:t>
      </w:r>
      <w:r>
        <w:rPr>
          <w:sz w:val="24"/>
        </w:rPr>
        <w:t>apgādājamo</w:t>
      </w:r>
      <w:r>
        <w:rPr>
          <w:spacing w:val="-10"/>
          <w:sz w:val="24"/>
        </w:rPr>
        <w:t> </w:t>
      </w:r>
      <w:r>
        <w:rPr>
          <w:sz w:val="24"/>
        </w:rPr>
        <w:t>personu</w:t>
      </w:r>
      <w:r>
        <w:rPr>
          <w:spacing w:val="-9"/>
          <w:sz w:val="24"/>
        </w:rPr>
        <w:t> </w:t>
      </w:r>
      <w:r>
        <w:rPr>
          <w:sz w:val="24"/>
        </w:rPr>
        <w:t>skaits</w:t>
      </w:r>
      <w:r>
        <w:rPr>
          <w:spacing w:val="-7"/>
          <w:sz w:val="24"/>
        </w:rPr>
        <w:t> </w:t>
      </w:r>
      <w:r>
        <w:rPr>
          <w:sz w:val="24"/>
        </w:rPr>
        <w:t>u.c.).</w:t>
      </w:r>
      <w:r>
        <w:rPr>
          <w:spacing w:val="-9"/>
          <w:sz w:val="24"/>
        </w:rPr>
        <w:t> </w:t>
      </w:r>
      <w:r>
        <w:rPr>
          <w:sz w:val="24"/>
        </w:rPr>
        <w:t>Savukārt</w:t>
      </w:r>
      <w:r>
        <w:rPr>
          <w:spacing w:val="-7"/>
          <w:sz w:val="24"/>
        </w:rPr>
        <w:t> </w:t>
      </w:r>
      <w:r>
        <w:rPr>
          <w:sz w:val="24"/>
        </w:rPr>
        <w:t>34,5</w:t>
      </w:r>
    </w:p>
    <w:p>
      <w:pPr>
        <w:pStyle w:val="BodyText"/>
        <w:ind w:left="1340" w:right="406"/>
      </w:pPr>
      <w:r>
        <w:rPr/>
        <w:t>% šādu diferensāciju atbalta. Lielākoties atbalsts pausts attiecībā uz diferensāciju atkarībā no apgādājamo personu skaita.</w:t>
      </w:r>
    </w:p>
    <w:p>
      <w:pPr>
        <w:pStyle w:val="BodyText"/>
        <w:jc w:val="left"/>
      </w:pPr>
    </w:p>
    <w:p>
      <w:pPr>
        <w:pStyle w:val="ListParagraph"/>
        <w:numPr>
          <w:ilvl w:val="0"/>
          <w:numId w:val="51"/>
        </w:numPr>
        <w:tabs>
          <w:tab w:pos="1340" w:val="left" w:leader="none"/>
        </w:tabs>
        <w:spacing w:line="240" w:lineRule="auto" w:before="1" w:after="0"/>
        <w:ind w:left="1340" w:right="401" w:hanging="360"/>
        <w:jc w:val="both"/>
        <w:rPr>
          <w:sz w:val="24"/>
        </w:rPr>
      </w:pPr>
      <w:r>
        <w:rPr>
          <w:sz w:val="24"/>
        </w:rPr>
        <w:t>Vairums respondentu (60,1 %) uzskata, ka parādnieka ienākumu apmērs ir tas kritērijs, pēc kura ir nepieciešams diferencēt fiziskās personas saistību dzēšanas procedūras laikā kreditoriem maksājamo summu vai saistību dzēšanas plāna termiņu. Tomēr 33,8 % šādu pieeju uzskata par nepareizu, savukārt 6,1 % ir cits viedoklis. Kā šādas pieejas galvenais trūkums tiek norādīts vēlme slēpt patiesos ienākumus.</w:t>
      </w:r>
    </w:p>
    <w:p>
      <w:pPr>
        <w:pStyle w:val="BodyText"/>
        <w:jc w:val="left"/>
      </w:pPr>
    </w:p>
    <w:p>
      <w:pPr>
        <w:pStyle w:val="ListParagraph"/>
        <w:numPr>
          <w:ilvl w:val="0"/>
          <w:numId w:val="51"/>
        </w:numPr>
        <w:tabs>
          <w:tab w:pos="1340" w:val="left" w:leader="none"/>
        </w:tabs>
        <w:spacing w:line="240" w:lineRule="auto" w:before="0" w:after="0"/>
        <w:ind w:left="1340" w:right="403" w:hanging="360"/>
        <w:jc w:val="both"/>
        <w:rPr>
          <w:sz w:val="24"/>
        </w:rPr>
      </w:pPr>
      <w:r>
        <w:rPr>
          <w:sz w:val="24"/>
        </w:rPr>
        <w:t>Pārliecinošs vairums respondentu (73,6 %) uzskata, ka parādnieka saistību apmērs ir kritērijs, vadoties no kura ir diferencējama fiziskās personas saistību dzēšanas procedūras laikā kreditoriem maksājamā summa vai saistību dzēšanas plāna termiņš. Tikai 23,6 % ir pauduši negatīvu nostāju, bet 2,7 % pauduši citu</w:t>
      </w:r>
      <w:r>
        <w:rPr>
          <w:spacing w:val="-6"/>
          <w:sz w:val="24"/>
        </w:rPr>
        <w:t> </w:t>
      </w:r>
      <w:r>
        <w:rPr>
          <w:sz w:val="24"/>
        </w:rPr>
        <w:t>viedokli.</w:t>
      </w:r>
    </w:p>
    <w:p>
      <w:pPr>
        <w:pStyle w:val="BodyText"/>
        <w:jc w:val="left"/>
      </w:pPr>
    </w:p>
    <w:p>
      <w:pPr>
        <w:pStyle w:val="ListParagraph"/>
        <w:numPr>
          <w:ilvl w:val="0"/>
          <w:numId w:val="51"/>
        </w:numPr>
        <w:tabs>
          <w:tab w:pos="1340" w:val="left" w:leader="none"/>
        </w:tabs>
        <w:spacing w:line="240" w:lineRule="auto" w:before="0" w:after="0"/>
        <w:ind w:left="1340" w:right="402" w:hanging="360"/>
        <w:jc w:val="both"/>
        <w:rPr>
          <w:sz w:val="24"/>
        </w:rPr>
      </w:pPr>
      <w:r>
        <w:rPr>
          <w:sz w:val="24"/>
        </w:rPr>
        <w:t>Respondenti ir pauduši kopumā izteikti negatīvu nostāju pret 0 maksājumu</w:t>
      </w:r>
      <w:r>
        <w:rPr>
          <w:spacing w:val="-38"/>
          <w:sz w:val="24"/>
        </w:rPr>
        <w:t> </w:t>
      </w:r>
      <w:r>
        <w:rPr>
          <w:spacing w:val="-3"/>
          <w:sz w:val="24"/>
        </w:rPr>
        <w:t>saistību </w:t>
      </w:r>
      <w:r>
        <w:rPr>
          <w:sz w:val="24"/>
        </w:rPr>
        <w:t>dzēšanas plāna iespējamību noteiktām personu grupām (piemēram, bezdarbniekiem), un tieši, 88,7 % to neatbalsta, 4,1 % atbalsta, bet 7,4 % ir </w:t>
      </w:r>
      <w:r>
        <w:rPr>
          <w:spacing w:val="-4"/>
          <w:sz w:val="24"/>
        </w:rPr>
        <w:t>cits </w:t>
      </w:r>
      <w:r>
        <w:rPr>
          <w:sz w:val="24"/>
        </w:rPr>
        <w:t>viedoklis. Galvenokārt iebildumi pamatoti ar apstākli, ka jau šobrīd ir liels skaits negodprātīgu parādnieku, kas slēpj savu mantu vai ienākumus. Vienlaikus vairāki respondenti ir pauduši viedokli, ka ir nepieciešams regulējums, kas ļautu pārtraukt maksājumus uz laiku – piemēram, zaudējot darbu.</w:t>
      </w:r>
    </w:p>
    <w:p>
      <w:pPr>
        <w:pStyle w:val="BodyText"/>
        <w:jc w:val="left"/>
      </w:pPr>
    </w:p>
    <w:p>
      <w:pPr>
        <w:pStyle w:val="ListParagraph"/>
        <w:numPr>
          <w:ilvl w:val="0"/>
          <w:numId w:val="51"/>
        </w:numPr>
        <w:tabs>
          <w:tab w:pos="1340" w:val="left" w:leader="none"/>
        </w:tabs>
        <w:spacing w:line="240" w:lineRule="auto" w:before="0" w:after="0"/>
        <w:ind w:left="1340" w:right="400" w:hanging="360"/>
        <w:jc w:val="both"/>
        <w:rPr>
          <w:sz w:val="24"/>
        </w:rPr>
      </w:pPr>
      <w:r>
        <w:rPr>
          <w:sz w:val="24"/>
        </w:rPr>
        <w:t>Kopumā noliedzoša ir arī respondentu nostāja attiecībā uz atvieglotu fiziskās personas maksātnespējas procesa noteikumu paredzēšanu noteiktām personu grupām</w:t>
      </w:r>
      <w:r>
        <w:rPr>
          <w:spacing w:val="-7"/>
          <w:sz w:val="24"/>
        </w:rPr>
        <w:t> </w:t>
      </w:r>
      <w:r>
        <w:rPr>
          <w:sz w:val="24"/>
        </w:rPr>
        <w:t>(piemēram,</w:t>
      </w:r>
      <w:r>
        <w:rPr>
          <w:spacing w:val="-5"/>
          <w:sz w:val="24"/>
        </w:rPr>
        <w:t> </w:t>
      </w:r>
      <w:r>
        <w:rPr>
          <w:sz w:val="24"/>
        </w:rPr>
        <w:t>personām</w:t>
      </w:r>
      <w:r>
        <w:rPr>
          <w:spacing w:val="-7"/>
          <w:sz w:val="24"/>
        </w:rPr>
        <w:t> </w:t>
      </w:r>
      <w:r>
        <w:rPr>
          <w:sz w:val="24"/>
        </w:rPr>
        <w:t>ar</w:t>
      </w:r>
      <w:r>
        <w:rPr>
          <w:spacing w:val="-5"/>
          <w:sz w:val="24"/>
        </w:rPr>
        <w:t> </w:t>
      </w:r>
      <w:r>
        <w:rPr>
          <w:sz w:val="24"/>
        </w:rPr>
        <w:t>neliela</w:t>
      </w:r>
      <w:r>
        <w:rPr>
          <w:spacing w:val="-3"/>
          <w:sz w:val="24"/>
        </w:rPr>
        <w:t> </w:t>
      </w:r>
      <w:r>
        <w:rPr>
          <w:sz w:val="24"/>
        </w:rPr>
        <w:t>apmēra</w:t>
      </w:r>
      <w:r>
        <w:rPr>
          <w:spacing w:val="-8"/>
          <w:sz w:val="24"/>
        </w:rPr>
        <w:t> </w:t>
      </w:r>
      <w:r>
        <w:rPr>
          <w:sz w:val="24"/>
        </w:rPr>
        <w:t>saistībām</w:t>
      </w:r>
      <w:r>
        <w:rPr>
          <w:spacing w:val="-7"/>
          <w:sz w:val="24"/>
        </w:rPr>
        <w:t> </w:t>
      </w:r>
      <w:r>
        <w:rPr>
          <w:sz w:val="24"/>
        </w:rPr>
        <w:t>vai</w:t>
      </w:r>
      <w:r>
        <w:rPr>
          <w:spacing w:val="-5"/>
          <w:sz w:val="24"/>
        </w:rPr>
        <w:t> </w:t>
      </w:r>
      <w:r>
        <w:rPr>
          <w:sz w:val="24"/>
        </w:rPr>
        <w:t>zemiem</w:t>
      </w:r>
      <w:r>
        <w:rPr>
          <w:spacing w:val="-5"/>
          <w:sz w:val="24"/>
        </w:rPr>
        <w:t> </w:t>
      </w:r>
      <w:r>
        <w:rPr>
          <w:sz w:val="24"/>
        </w:rPr>
        <w:t>ienākumiem u.tml.). Un tieši – 65,5 % to neatbalsta, 28,4 % atbalsta, bet 6,1 % ir cits viedoklis. Piemēram ir norādīts, ka atviegloti nosacījumi varētu būt personām ar neliela apmēra saistībām, bet katrā ziņā – ne personām ar nelieliem ienākumiem, jo tas radītu kārdinājumu slēpt patiesos ienākumus. Tomēr kopumā noliedzošā attieksme pamatota ar iespējamām personu negodprātībām vai saistību izpildes kultūras degradāciju.</w:t>
      </w:r>
    </w:p>
    <w:p>
      <w:pPr>
        <w:pStyle w:val="BodyText"/>
        <w:jc w:val="left"/>
      </w:pPr>
    </w:p>
    <w:p>
      <w:pPr>
        <w:pStyle w:val="ListParagraph"/>
        <w:numPr>
          <w:ilvl w:val="0"/>
          <w:numId w:val="51"/>
        </w:numPr>
        <w:tabs>
          <w:tab w:pos="1340" w:val="left" w:leader="none"/>
        </w:tabs>
        <w:spacing w:line="240" w:lineRule="auto" w:before="0" w:after="0"/>
        <w:ind w:left="1340" w:right="404" w:hanging="360"/>
        <w:jc w:val="both"/>
        <w:rPr>
          <w:sz w:val="24"/>
        </w:rPr>
      </w:pPr>
      <w:r>
        <w:rPr>
          <w:sz w:val="24"/>
        </w:rPr>
        <w:t>Respondenti, kuri atbalsta atvieglota maksātnespējas procesa ieviešanu noteiktām personu grupām, kā piemērotākos risinājumus uzskata maksātnespējas procesa izmaksu kompensēšanai no valsts puses (23 %) un saistību dzēšanas procedūras termiņa saīsināšanu (21,4 %). Savukārt 15,4 % uzskata, ka būtu nepieciešams samazināt minimālo maksājumu slieksni, bet 10,2 % - kreditoriem maksājamo summu. Tikai 5,9 % atbalsta ieviest mehānismu, kas vērsts uz nekavējošu parādnieka atbrīvošanu no saistībām. Savukārt 24,1 % ir cits viedoklis,</w:t>
      </w:r>
      <w:r>
        <w:rPr>
          <w:spacing w:val="31"/>
          <w:sz w:val="24"/>
        </w:rPr>
        <w:t> </w:t>
      </w:r>
      <w:r>
        <w:rPr>
          <w:sz w:val="24"/>
        </w:rPr>
        <w:t>piemēram,</w:t>
      </w:r>
    </w:p>
    <w:p>
      <w:pPr>
        <w:spacing w:after="0" w:line="240" w:lineRule="auto"/>
        <w:jc w:val="both"/>
        <w:rPr>
          <w:sz w:val="24"/>
        </w:rPr>
        <w:sectPr>
          <w:pgSz w:w="11910" w:h="16840"/>
          <w:pgMar w:header="0" w:footer="1055" w:top="1340" w:bottom="1240" w:left="1180" w:right="1040"/>
        </w:sectPr>
      </w:pPr>
    </w:p>
    <w:p>
      <w:pPr>
        <w:pStyle w:val="BodyText"/>
        <w:spacing w:before="73"/>
        <w:ind w:left="980" w:right="692"/>
        <w:jc w:val="left"/>
      </w:pPr>
      <w:r>
        <w:rPr/>
        <w:t>ka varētu tikt samazināta kreditoriem maksājamā summa, taču vienlaikus pagarinot saistību dzēšanas plāna termiņu.</w:t>
      </w:r>
    </w:p>
    <w:p>
      <w:pPr>
        <w:pStyle w:val="BodyText"/>
        <w:jc w:val="left"/>
      </w:pPr>
    </w:p>
    <w:p>
      <w:pPr>
        <w:pStyle w:val="ListParagraph"/>
        <w:numPr>
          <w:ilvl w:val="0"/>
          <w:numId w:val="51"/>
        </w:numPr>
        <w:tabs>
          <w:tab w:pos="980" w:val="left" w:leader="none"/>
        </w:tabs>
        <w:spacing w:line="240" w:lineRule="auto" w:before="0" w:after="0"/>
        <w:ind w:left="980" w:right="761" w:hanging="360"/>
        <w:jc w:val="both"/>
        <w:rPr>
          <w:sz w:val="24"/>
        </w:rPr>
      </w:pPr>
      <w:r>
        <w:rPr>
          <w:sz w:val="24"/>
        </w:rPr>
        <w:t>Vairums repondentu (62,8%) neatbalsta speciālus noteikumus fiziskās personas saistību dzēšanas procedūrai attiecībā uz personām ar neregulāriem ienākumiem (pašnodarbinātas personas, brīvo profesiju pārstāvji u.c.), galvenokārt to</w:t>
      </w:r>
      <w:r>
        <w:rPr>
          <w:spacing w:val="-29"/>
          <w:sz w:val="24"/>
        </w:rPr>
        <w:t> </w:t>
      </w:r>
      <w:r>
        <w:rPr>
          <w:sz w:val="24"/>
        </w:rPr>
        <w:t>pamatojot ar negodprātības riskiem. 31,1 % šādu regulējumu atbalsta, bet 6,1 % ir cits viedolkis,</w:t>
      </w:r>
      <w:r>
        <w:rPr>
          <w:spacing w:val="-10"/>
          <w:sz w:val="24"/>
        </w:rPr>
        <w:t> </w:t>
      </w:r>
      <w:r>
        <w:rPr>
          <w:sz w:val="24"/>
        </w:rPr>
        <w:t>piemēram,</w:t>
      </w:r>
      <w:r>
        <w:rPr>
          <w:spacing w:val="-9"/>
          <w:sz w:val="24"/>
        </w:rPr>
        <w:t> </w:t>
      </w:r>
      <w:r>
        <w:rPr>
          <w:sz w:val="24"/>
        </w:rPr>
        <w:t>tiek</w:t>
      </w:r>
      <w:r>
        <w:rPr>
          <w:spacing w:val="-10"/>
          <w:sz w:val="24"/>
        </w:rPr>
        <w:t> </w:t>
      </w:r>
      <w:r>
        <w:rPr>
          <w:sz w:val="24"/>
        </w:rPr>
        <w:t>norādīts</w:t>
      </w:r>
      <w:r>
        <w:rPr>
          <w:spacing w:val="-9"/>
          <w:sz w:val="24"/>
        </w:rPr>
        <w:t> </w:t>
      </w:r>
      <w:r>
        <w:rPr>
          <w:sz w:val="24"/>
        </w:rPr>
        <w:t>uz</w:t>
      </w:r>
      <w:r>
        <w:rPr>
          <w:spacing w:val="-8"/>
          <w:sz w:val="24"/>
        </w:rPr>
        <w:t> </w:t>
      </w:r>
      <w:r>
        <w:rPr>
          <w:sz w:val="24"/>
        </w:rPr>
        <w:t>iespējamām</w:t>
      </w:r>
      <w:r>
        <w:rPr>
          <w:spacing w:val="-9"/>
          <w:sz w:val="24"/>
        </w:rPr>
        <w:t> </w:t>
      </w:r>
      <w:r>
        <w:rPr>
          <w:sz w:val="24"/>
        </w:rPr>
        <w:t>grūtībām</w:t>
      </w:r>
      <w:r>
        <w:rPr>
          <w:spacing w:val="-10"/>
          <w:sz w:val="24"/>
        </w:rPr>
        <w:t> </w:t>
      </w:r>
      <w:r>
        <w:rPr>
          <w:sz w:val="24"/>
        </w:rPr>
        <w:t>likumā</w:t>
      </w:r>
      <w:r>
        <w:rPr>
          <w:spacing w:val="-7"/>
          <w:sz w:val="24"/>
        </w:rPr>
        <w:t> </w:t>
      </w:r>
      <w:r>
        <w:rPr>
          <w:sz w:val="24"/>
        </w:rPr>
        <w:t>noteikt</w:t>
      </w:r>
      <w:r>
        <w:rPr>
          <w:spacing w:val="-7"/>
          <w:sz w:val="24"/>
        </w:rPr>
        <w:t> </w:t>
      </w:r>
      <w:r>
        <w:rPr>
          <w:sz w:val="24"/>
        </w:rPr>
        <w:t>skaidrus kritērijus.</w:t>
      </w:r>
    </w:p>
    <w:p>
      <w:pPr>
        <w:pStyle w:val="BodyText"/>
        <w:jc w:val="left"/>
      </w:pPr>
    </w:p>
    <w:p>
      <w:pPr>
        <w:pStyle w:val="ListParagraph"/>
        <w:numPr>
          <w:ilvl w:val="0"/>
          <w:numId w:val="51"/>
        </w:numPr>
        <w:tabs>
          <w:tab w:pos="980" w:val="left" w:leader="none"/>
        </w:tabs>
        <w:spacing w:line="240" w:lineRule="auto" w:before="0" w:after="0"/>
        <w:ind w:left="980" w:right="761" w:hanging="360"/>
        <w:jc w:val="both"/>
        <w:rPr>
          <w:sz w:val="24"/>
        </w:rPr>
      </w:pPr>
      <w:r>
        <w:rPr>
          <w:sz w:val="24"/>
        </w:rPr>
        <w:t>Respondentiem nav izteikta pozitīva vai negatīva viedokļa attiecībā uz nepieciešamību</w:t>
      </w:r>
      <w:r>
        <w:rPr>
          <w:spacing w:val="-14"/>
          <w:sz w:val="24"/>
        </w:rPr>
        <w:t> </w:t>
      </w:r>
      <w:r>
        <w:rPr>
          <w:sz w:val="24"/>
        </w:rPr>
        <w:t>Maksātnespējas</w:t>
      </w:r>
      <w:r>
        <w:rPr>
          <w:spacing w:val="-16"/>
          <w:sz w:val="24"/>
        </w:rPr>
        <w:t> </w:t>
      </w:r>
      <w:r>
        <w:rPr>
          <w:sz w:val="24"/>
        </w:rPr>
        <w:t>likumā</w:t>
      </w:r>
      <w:r>
        <w:rPr>
          <w:spacing w:val="-19"/>
          <w:sz w:val="24"/>
        </w:rPr>
        <w:t> </w:t>
      </w:r>
      <w:r>
        <w:rPr>
          <w:sz w:val="24"/>
        </w:rPr>
        <w:t>ieviest</w:t>
      </w:r>
      <w:r>
        <w:rPr>
          <w:spacing w:val="-13"/>
          <w:sz w:val="24"/>
        </w:rPr>
        <w:t> </w:t>
      </w:r>
      <w:r>
        <w:rPr>
          <w:sz w:val="24"/>
        </w:rPr>
        <w:t>ārpustiesas</w:t>
      </w:r>
      <w:r>
        <w:rPr>
          <w:spacing w:val="-16"/>
          <w:sz w:val="24"/>
        </w:rPr>
        <w:t> </w:t>
      </w:r>
      <w:r>
        <w:rPr>
          <w:sz w:val="24"/>
        </w:rPr>
        <w:t>parādu</w:t>
      </w:r>
      <w:r>
        <w:rPr>
          <w:spacing w:val="-14"/>
          <w:sz w:val="24"/>
        </w:rPr>
        <w:t> </w:t>
      </w:r>
      <w:r>
        <w:rPr>
          <w:sz w:val="24"/>
        </w:rPr>
        <w:t>restrukturizācijas procesu fiziskām personām. Respektīvi, 53,4 % to neatbalsta, bet 43,2% - atbalsta. Vairāki respondenti norādījuši uz to, ka grūti paust nostāju, jo nav informācijas,</w:t>
      </w:r>
      <w:r>
        <w:rPr>
          <w:spacing w:val="-20"/>
          <w:sz w:val="24"/>
        </w:rPr>
        <w:t> </w:t>
      </w:r>
      <w:r>
        <w:rPr>
          <w:sz w:val="24"/>
        </w:rPr>
        <w:t>kā tas praktiski varētu</w:t>
      </w:r>
      <w:r>
        <w:rPr>
          <w:spacing w:val="-1"/>
          <w:sz w:val="24"/>
        </w:rPr>
        <w:t> </w:t>
      </w:r>
      <w:r>
        <w:rPr>
          <w:sz w:val="24"/>
        </w:rPr>
        <w:t>izpausties.</w:t>
      </w:r>
    </w:p>
    <w:p>
      <w:pPr>
        <w:pStyle w:val="BodyText"/>
        <w:jc w:val="left"/>
      </w:pPr>
    </w:p>
    <w:p>
      <w:pPr>
        <w:pStyle w:val="ListParagraph"/>
        <w:numPr>
          <w:ilvl w:val="0"/>
          <w:numId w:val="51"/>
        </w:numPr>
        <w:tabs>
          <w:tab w:pos="980" w:val="left" w:leader="none"/>
        </w:tabs>
        <w:spacing w:line="240" w:lineRule="auto" w:before="1" w:after="0"/>
        <w:ind w:left="980" w:right="761" w:hanging="360"/>
        <w:jc w:val="both"/>
        <w:rPr>
          <w:sz w:val="24"/>
        </w:rPr>
      </w:pPr>
      <w:r>
        <w:rPr>
          <w:sz w:val="24"/>
        </w:rPr>
        <w:t>Vairāk noliedzošs nekā atbalstošs ir respondentu viedoklis jautājumā par to, vai ir nepieciešams paredzēt instrumentus valsts atbalsta saņemšanai fiziskās personas maksātnespējas procesa uzsākšanai noteiktām personu grupām (bezdarbnieki, maznodrošinātas personas u.c.), un tieši, 52,7 % to neatbalsta, 37,8 % atbalsta, bet 9,5 % ir cits viedoklis. Daudzi respondenti ir norādījuši uz to, ka šāda atbalsta sistēma var pilnībā demotivēt parādnieku meklēt darbu, kā arī uz iespējamiem negodprātīgiem gadījumiem. Daļa respondentu ir norādījuši, ka šādi atbalsta mehānismi varētu darboties attiecībā uz personām ar invaliditāti, vai arī attiekties tikai uz atbrīvojumu no valsts nodevas vai valsts apmaksātas juridiskās palīdzības nodrošināšanu.</w:t>
      </w:r>
    </w:p>
    <w:p>
      <w:pPr>
        <w:pStyle w:val="BodyText"/>
        <w:jc w:val="left"/>
      </w:pPr>
    </w:p>
    <w:p>
      <w:pPr>
        <w:pStyle w:val="ListParagraph"/>
        <w:numPr>
          <w:ilvl w:val="0"/>
          <w:numId w:val="51"/>
        </w:numPr>
        <w:tabs>
          <w:tab w:pos="980" w:val="left" w:leader="none"/>
        </w:tabs>
        <w:spacing w:line="240" w:lineRule="auto" w:before="0" w:after="0"/>
        <w:ind w:left="980" w:right="762" w:hanging="360"/>
        <w:jc w:val="both"/>
        <w:rPr>
          <w:sz w:val="24"/>
        </w:rPr>
      </w:pPr>
      <w:r>
        <w:rPr>
          <w:sz w:val="24"/>
        </w:rPr>
        <w:t>Respondentu atbildēs parādnieka negodprātība ir minēta kā viena no lielākajām fiziskās personas maksātnespējas procesa problēmām - savā darbā ar negodprātīgu fiziskās personas maksātnespējas procesu ir saskārušies 84,5 % respondentu, </w:t>
      </w:r>
      <w:r>
        <w:rPr>
          <w:spacing w:val="-4"/>
          <w:sz w:val="24"/>
        </w:rPr>
        <w:t>bet </w:t>
      </w:r>
      <w:r>
        <w:rPr>
          <w:sz w:val="24"/>
        </w:rPr>
        <w:t>šādas negatīvas pieredzes nav tikai 11,5</w:t>
      </w:r>
      <w:r>
        <w:rPr>
          <w:spacing w:val="-3"/>
          <w:sz w:val="24"/>
        </w:rPr>
        <w:t> </w:t>
      </w:r>
      <w:r>
        <w:rPr>
          <w:sz w:val="24"/>
        </w:rPr>
        <w:t>%.</w:t>
      </w:r>
    </w:p>
    <w:p>
      <w:pPr>
        <w:pStyle w:val="BodyText"/>
        <w:jc w:val="left"/>
      </w:pPr>
    </w:p>
    <w:p>
      <w:pPr>
        <w:pStyle w:val="ListParagraph"/>
        <w:numPr>
          <w:ilvl w:val="0"/>
          <w:numId w:val="51"/>
        </w:numPr>
        <w:tabs>
          <w:tab w:pos="980" w:val="left" w:leader="none"/>
        </w:tabs>
        <w:spacing w:line="240" w:lineRule="auto" w:before="0" w:after="0"/>
        <w:ind w:left="980" w:right="761" w:hanging="360"/>
        <w:jc w:val="both"/>
        <w:rPr>
          <w:sz w:val="24"/>
        </w:rPr>
      </w:pPr>
      <w:r>
        <w:rPr>
          <w:sz w:val="24"/>
        </w:rPr>
        <w:t>Atbilstoši</w:t>
      </w:r>
      <w:r>
        <w:rPr>
          <w:spacing w:val="-7"/>
          <w:sz w:val="24"/>
        </w:rPr>
        <w:t> </w:t>
      </w:r>
      <w:r>
        <w:rPr>
          <w:sz w:val="24"/>
        </w:rPr>
        <w:t>respondentu</w:t>
      </w:r>
      <w:r>
        <w:rPr>
          <w:spacing w:val="-6"/>
          <w:sz w:val="24"/>
        </w:rPr>
        <w:t> </w:t>
      </w:r>
      <w:r>
        <w:rPr>
          <w:sz w:val="24"/>
        </w:rPr>
        <w:t>pieredzei</w:t>
      </w:r>
      <w:r>
        <w:rPr>
          <w:spacing w:val="-6"/>
          <w:sz w:val="24"/>
        </w:rPr>
        <w:t> </w:t>
      </w:r>
      <w:r>
        <w:rPr>
          <w:sz w:val="24"/>
        </w:rPr>
        <w:t>parādnieka</w:t>
      </w:r>
      <w:r>
        <w:rPr>
          <w:spacing w:val="-9"/>
          <w:sz w:val="24"/>
        </w:rPr>
        <w:t> </w:t>
      </w:r>
      <w:r>
        <w:rPr>
          <w:sz w:val="24"/>
        </w:rPr>
        <w:t>negodprātība</w:t>
      </w:r>
      <w:r>
        <w:rPr>
          <w:spacing w:val="-9"/>
          <w:sz w:val="24"/>
        </w:rPr>
        <w:t> </w:t>
      </w:r>
      <w:r>
        <w:rPr>
          <w:sz w:val="24"/>
        </w:rPr>
        <w:t>lielākoties</w:t>
      </w:r>
      <w:r>
        <w:rPr>
          <w:spacing w:val="-6"/>
          <w:sz w:val="24"/>
        </w:rPr>
        <w:t> </w:t>
      </w:r>
      <w:r>
        <w:rPr>
          <w:sz w:val="24"/>
        </w:rPr>
        <w:t>ir</w:t>
      </w:r>
      <w:r>
        <w:rPr>
          <w:spacing w:val="-6"/>
          <w:sz w:val="24"/>
        </w:rPr>
        <w:t> </w:t>
      </w:r>
      <w:r>
        <w:rPr>
          <w:sz w:val="24"/>
        </w:rPr>
        <w:t>novērojama saistībā</w:t>
      </w:r>
      <w:r>
        <w:rPr>
          <w:spacing w:val="-16"/>
          <w:sz w:val="24"/>
        </w:rPr>
        <w:t> </w:t>
      </w:r>
      <w:r>
        <w:rPr>
          <w:sz w:val="24"/>
        </w:rPr>
        <w:t>ar</w:t>
      </w:r>
      <w:r>
        <w:rPr>
          <w:spacing w:val="-18"/>
          <w:sz w:val="24"/>
        </w:rPr>
        <w:t> </w:t>
      </w:r>
      <w:r>
        <w:rPr>
          <w:sz w:val="24"/>
        </w:rPr>
        <w:t>maksātnespējas</w:t>
      </w:r>
      <w:r>
        <w:rPr>
          <w:spacing w:val="-16"/>
          <w:sz w:val="24"/>
        </w:rPr>
        <w:t> </w:t>
      </w:r>
      <w:r>
        <w:rPr>
          <w:sz w:val="24"/>
        </w:rPr>
        <w:t>procesa</w:t>
      </w:r>
      <w:r>
        <w:rPr>
          <w:spacing w:val="-13"/>
          <w:sz w:val="24"/>
        </w:rPr>
        <w:t> </w:t>
      </w:r>
      <w:r>
        <w:rPr>
          <w:sz w:val="24"/>
        </w:rPr>
        <w:t>cēloņiem</w:t>
      </w:r>
      <w:r>
        <w:rPr>
          <w:spacing w:val="-16"/>
          <w:sz w:val="24"/>
        </w:rPr>
        <w:t> </w:t>
      </w:r>
      <w:r>
        <w:rPr>
          <w:sz w:val="24"/>
        </w:rPr>
        <w:t>(52,7</w:t>
      </w:r>
      <w:r>
        <w:rPr>
          <w:spacing w:val="-13"/>
          <w:sz w:val="24"/>
        </w:rPr>
        <w:t> </w:t>
      </w:r>
      <w:r>
        <w:rPr>
          <w:sz w:val="24"/>
        </w:rPr>
        <w:t>%),</w:t>
      </w:r>
      <w:r>
        <w:rPr>
          <w:spacing w:val="-17"/>
          <w:sz w:val="24"/>
        </w:rPr>
        <w:t> </w:t>
      </w:r>
      <w:r>
        <w:rPr>
          <w:sz w:val="24"/>
        </w:rPr>
        <w:t>nekā</w:t>
      </w:r>
      <w:r>
        <w:rPr>
          <w:spacing w:val="-18"/>
          <w:sz w:val="24"/>
        </w:rPr>
        <w:t> </w:t>
      </w:r>
      <w:r>
        <w:rPr>
          <w:sz w:val="24"/>
        </w:rPr>
        <w:t>maksātnespējas</w:t>
      </w:r>
      <w:r>
        <w:rPr>
          <w:spacing w:val="-13"/>
          <w:sz w:val="24"/>
        </w:rPr>
        <w:t> </w:t>
      </w:r>
      <w:r>
        <w:rPr>
          <w:sz w:val="24"/>
        </w:rPr>
        <w:t>procesa laikā</w:t>
      </w:r>
      <w:r>
        <w:rPr>
          <w:spacing w:val="-5"/>
          <w:sz w:val="24"/>
        </w:rPr>
        <w:t> </w:t>
      </w:r>
      <w:r>
        <w:rPr>
          <w:sz w:val="24"/>
        </w:rPr>
        <w:t>(44,2</w:t>
      </w:r>
      <w:r>
        <w:rPr>
          <w:spacing w:val="-5"/>
          <w:sz w:val="24"/>
        </w:rPr>
        <w:t> </w:t>
      </w:r>
      <w:r>
        <w:rPr>
          <w:sz w:val="24"/>
        </w:rPr>
        <w:t>%),</w:t>
      </w:r>
      <w:r>
        <w:rPr>
          <w:spacing w:val="-5"/>
          <w:sz w:val="24"/>
        </w:rPr>
        <w:t> </w:t>
      </w:r>
      <w:r>
        <w:rPr>
          <w:sz w:val="24"/>
        </w:rPr>
        <w:t>un</w:t>
      </w:r>
      <w:r>
        <w:rPr>
          <w:spacing w:val="-5"/>
          <w:sz w:val="24"/>
        </w:rPr>
        <w:t> </w:t>
      </w:r>
      <w:r>
        <w:rPr>
          <w:sz w:val="24"/>
        </w:rPr>
        <w:t>lielākoties</w:t>
      </w:r>
      <w:r>
        <w:rPr>
          <w:spacing w:val="-5"/>
          <w:sz w:val="24"/>
        </w:rPr>
        <w:t> </w:t>
      </w:r>
      <w:r>
        <w:rPr>
          <w:sz w:val="24"/>
        </w:rPr>
        <w:t>tā</w:t>
      </w:r>
      <w:r>
        <w:rPr>
          <w:spacing w:val="-5"/>
          <w:sz w:val="24"/>
        </w:rPr>
        <w:t> </w:t>
      </w:r>
      <w:r>
        <w:rPr>
          <w:sz w:val="24"/>
        </w:rPr>
        <w:t>izpaužas</w:t>
      </w:r>
      <w:r>
        <w:rPr>
          <w:spacing w:val="-7"/>
          <w:sz w:val="24"/>
        </w:rPr>
        <w:t> </w:t>
      </w:r>
      <w:r>
        <w:rPr>
          <w:sz w:val="24"/>
        </w:rPr>
        <w:t>kā</w:t>
      </w:r>
      <w:r>
        <w:rPr>
          <w:spacing w:val="-5"/>
          <w:sz w:val="24"/>
        </w:rPr>
        <w:t> </w:t>
      </w:r>
      <w:r>
        <w:rPr>
          <w:sz w:val="24"/>
        </w:rPr>
        <w:t>patieso</w:t>
      </w:r>
      <w:r>
        <w:rPr>
          <w:spacing w:val="-5"/>
          <w:sz w:val="24"/>
        </w:rPr>
        <w:t> </w:t>
      </w:r>
      <w:r>
        <w:rPr>
          <w:sz w:val="24"/>
        </w:rPr>
        <w:t>ienākumu</w:t>
      </w:r>
      <w:r>
        <w:rPr>
          <w:spacing w:val="-5"/>
          <w:sz w:val="24"/>
        </w:rPr>
        <w:t> </w:t>
      </w:r>
      <w:r>
        <w:rPr>
          <w:sz w:val="24"/>
        </w:rPr>
        <w:t>slēpšana</w:t>
      </w:r>
      <w:r>
        <w:rPr>
          <w:spacing w:val="-4"/>
          <w:sz w:val="24"/>
        </w:rPr>
        <w:t> </w:t>
      </w:r>
      <w:r>
        <w:rPr>
          <w:sz w:val="24"/>
        </w:rPr>
        <w:t>(26,7</w:t>
      </w:r>
      <w:r>
        <w:rPr>
          <w:spacing w:val="-5"/>
          <w:sz w:val="24"/>
        </w:rPr>
        <w:t> </w:t>
      </w:r>
      <w:r>
        <w:rPr>
          <w:sz w:val="24"/>
        </w:rPr>
        <w:t>%)</w:t>
      </w:r>
      <w:r>
        <w:rPr>
          <w:spacing w:val="-8"/>
          <w:sz w:val="24"/>
        </w:rPr>
        <w:t> </w:t>
      </w:r>
      <w:r>
        <w:rPr>
          <w:sz w:val="24"/>
        </w:rPr>
        <w:t>un nepatiesas informācijas sniegšana (22,6 %), kā arī kreditoriem kaitējošu darījumu noslēgšana</w:t>
      </w:r>
      <w:r>
        <w:rPr>
          <w:spacing w:val="-16"/>
          <w:sz w:val="24"/>
        </w:rPr>
        <w:t> </w:t>
      </w:r>
      <w:r>
        <w:rPr>
          <w:sz w:val="24"/>
        </w:rPr>
        <w:t>(17,2</w:t>
      </w:r>
      <w:r>
        <w:rPr>
          <w:spacing w:val="-12"/>
          <w:sz w:val="24"/>
        </w:rPr>
        <w:t> </w:t>
      </w:r>
      <w:r>
        <w:rPr>
          <w:sz w:val="24"/>
        </w:rPr>
        <w:t>%).</w:t>
      </w:r>
      <w:r>
        <w:rPr>
          <w:spacing w:val="-13"/>
          <w:sz w:val="24"/>
        </w:rPr>
        <w:t> </w:t>
      </w:r>
      <w:r>
        <w:rPr>
          <w:sz w:val="24"/>
        </w:rPr>
        <w:t>Respondenti</w:t>
      </w:r>
      <w:r>
        <w:rPr>
          <w:spacing w:val="-11"/>
          <w:sz w:val="24"/>
        </w:rPr>
        <w:t> </w:t>
      </w:r>
      <w:r>
        <w:rPr>
          <w:sz w:val="24"/>
        </w:rPr>
        <w:t>ir</w:t>
      </w:r>
      <w:r>
        <w:rPr>
          <w:spacing w:val="-13"/>
          <w:sz w:val="24"/>
        </w:rPr>
        <w:t> </w:t>
      </w:r>
      <w:r>
        <w:rPr>
          <w:sz w:val="24"/>
        </w:rPr>
        <w:t>novērojuši,</w:t>
      </w:r>
      <w:r>
        <w:rPr>
          <w:spacing w:val="-11"/>
          <w:sz w:val="24"/>
        </w:rPr>
        <w:t> </w:t>
      </w:r>
      <w:r>
        <w:rPr>
          <w:sz w:val="24"/>
        </w:rPr>
        <w:t>ka</w:t>
      </w:r>
      <w:r>
        <w:rPr>
          <w:spacing w:val="-12"/>
          <w:sz w:val="24"/>
        </w:rPr>
        <w:t> </w:t>
      </w:r>
      <w:r>
        <w:rPr>
          <w:sz w:val="24"/>
        </w:rPr>
        <w:t>parādnieki</w:t>
      </w:r>
      <w:r>
        <w:rPr>
          <w:spacing w:val="-13"/>
          <w:sz w:val="24"/>
        </w:rPr>
        <w:t> </w:t>
      </w:r>
      <w:r>
        <w:rPr>
          <w:sz w:val="24"/>
        </w:rPr>
        <w:t>samērā</w:t>
      </w:r>
      <w:r>
        <w:rPr>
          <w:spacing w:val="-13"/>
          <w:sz w:val="24"/>
        </w:rPr>
        <w:t> </w:t>
      </w:r>
      <w:r>
        <w:rPr>
          <w:sz w:val="24"/>
        </w:rPr>
        <w:t>bieži</w:t>
      </w:r>
      <w:r>
        <w:rPr>
          <w:spacing w:val="-11"/>
          <w:sz w:val="24"/>
        </w:rPr>
        <w:t> </w:t>
      </w:r>
      <w:r>
        <w:rPr>
          <w:sz w:val="24"/>
        </w:rPr>
        <w:t>arī</w:t>
      </w:r>
      <w:r>
        <w:rPr>
          <w:spacing w:val="-11"/>
          <w:sz w:val="24"/>
        </w:rPr>
        <w:t> </w:t>
      </w:r>
      <w:r>
        <w:rPr>
          <w:sz w:val="24"/>
        </w:rPr>
        <w:t>slēpj vai nobēdzina savu mantu (16,8 %) un pārkāpj Maksātnespējas likumā noteiktos ierobežojumus</w:t>
      </w:r>
      <w:r>
        <w:rPr>
          <w:spacing w:val="-9"/>
          <w:sz w:val="24"/>
        </w:rPr>
        <w:t> </w:t>
      </w:r>
      <w:r>
        <w:rPr>
          <w:sz w:val="24"/>
        </w:rPr>
        <w:t>(13,3</w:t>
      </w:r>
      <w:r>
        <w:rPr>
          <w:spacing w:val="-9"/>
          <w:sz w:val="24"/>
        </w:rPr>
        <w:t> </w:t>
      </w:r>
      <w:r>
        <w:rPr>
          <w:sz w:val="24"/>
        </w:rPr>
        <w:t>%).</w:t>
      </w:r>
      <w:r>
        <w:rPr>
          <w:spacing w:val="-8"/>
          <w:sz w:val="24"/>
        </w:rPr>
        <w:t> </w:t>
      </w:r>
      <w:r>
        <w:rPr>
          <w:sz w:val="24"/>
        </w:rPr>
        <w:t>Saistībā</w:t>
      </w:r>
      <w:r>
        <w:rPr>
          <w:spacing w:val="-9"/>
          <w:sz w:val="24"/>
        </w:rPr>
        <w:t> </w:t>
      </w:r>
      <w:r>
        <w:rPr>
          <w:sz w:val="24"/>
        </w:rPr>
        <w:t>ar</w:t>
      </w:r>
      <w:r>
        <w:rPr>
          <w:spacing w:val="-10"/>
          <w:sz w:val="24"/>
        </w:rPr>
        <w:t> </w:t>
      </w:r>
      <w:r>
        <w:rPr>
          <w:sz w:val="24"/>
        </w:rPr>
        <w:t>parādnieku</w:t>
      </w:r>
      <w:r>
        <w:rPr>
          <w:spacing w:val="-9"/>
          <w:sz w:val="24"/>
        </w:rPr>
        <w:t> </w:t>
      </w:r>
      <w:r>
        <w:rPr>
          <w:sz w:val="24"/>
        </w:rPr>
        <w:t>negodprātību</w:t>
      </w:r>
      <w:r>
        <w:rPr>
          <w:spacing w:val="-8"/>
          <w:sz w:val="24"/>
        </w:rPr>
        <w:t> </w:t>
      </w:r>
      <w:r>
        <w:rPr>
          <w:sz w:val="24"/>
        </w:rPr>
        <w:t>vairāki</w:t>
      </w:r>
      <w:r>
        <w:rPr>
          <w:spacing w:val="-6"/>
          <w:sz w:val="24"/>
        </w:rPr>
        <w:t> </w:t>
      </w:r>
      <w:r>
        <w:rPr>
          <w:sz w:val="24"/>
        </w:rPr>
        <w:t>respondenti</w:t>
      </w:r>
      <w:r>
        <w:rPr>
          <w:spacing w:val="-8"/>
          <w:sz w:val="24"/>
        </w:rPr>
        <w:t> </w:t>
      </w:r>
      <w:r>
        <w:rPr>
          <w:sz w:val="24"/>
        </w:rPr>
        <w:t>ir norādījuši arī uz Lietuvas pilsoņu maksātnespējas procesa “tūrismu”, kā arī apzinātu nevēlēšanos pildīt saistības un atkārtotiem maksātnespējas procesa pieteikumiem.</w:t>
      </w:r>
    </w:p>
    <w:p>
      <w:pPr>
        <w:pStyle w:val="BodyText"/>
        <w:jc w:val="left"/>
      </w:pPr>
    </w:p>
    <w:p>
      <w:pPr>
        <w:pStyle w:val="ListParagraph"/>
        <w:numPr>
          <w:ilvl w:val="0"/>
          <w:numId w:val="51"/>
        </w:numPr>
        <w:tabs>
          <w:tab w:pos="980" w:val="left" w:leader="none"/>
        </w:tabs>
        <w:spacing w:line="240" w:lineRule="auto" w:before="0" w:after="0"/>
        <w:ind w:left="980" w:right="759" w:hanging="360"/>
        <w:jc w:val="both"/>
        <w:rPr>
          <w:sz w:val="24"/>
        </w:rPr>
      </w:pPr>
      <w:r>
        <w:rPr>
          <w:sz w:val="24"/>
        </w:rPr>
        <w:t>Pārliecinošs vairākums respondentu (68,9%) uzskata, ka Maksātnespējas likumā nav noteikti pietiekami instrumenti, lai preventīvi novērstu negodprātīga fiziskās personas</w:t>
      </w:r>
      <w:r>
        <w:rPr>
          <w:spacing w:val="-11"/>
          <w:sz w:val="24"/>
        </w:rPr>
        <w:t> </w:t>
      </w:r>
      <w:r>
        <w:rPr>
          <w:sz w:val="24"/>
        </w:rPr>
        <w:t>maksātnespējas</w:t>
      </w:r>
      <w:r>
        <w:rPr>
          <w:spacing w:val="-9"/>
          <w:sz w:val="24"/>
        </w:rPr>
        <w:t> </w:t>
      </w:r>
      <w:r>
        <w:rPr>
          <w:sz w:val="24"/>
        </w:rPr>
        <w:t>procesa</w:t>
      </w:r>
      <w:r>
        <w:rPr>
          <w:spacing w:val="-11"/>
          <w:sz w:val="24"/>
        </w:rPr>
        <w:t> </w:t>
      </w:r>
      <w:r>
        <w:rPr>
          <w:sz w:val="24"/>
        </w:rPr>
        <w:t>iespējamību,</w:t>
      </w:r>
      <w:r>
        <w:rPr>
          <w:spacing w:val="-11"/>
          <w:sz w:val="24"/>
        </w:rPr>
        <w:t> </w:t>
      </w:r>
      <w:r>
        <w:rPr>
          <w:sz w:val="24"/>
        </w:rPr>
        <w:t>kā</w:t>
      </w:r>
      <w:r>
        <w:rPr>
          <w:spacing w:val="-11"/>
          <w:sz w:val="24"/>
        </w:rPr>
        <w:t> </w:t>
      </w:r>
      <w:r>
        <w:rPr>
          <w:sz w:val="24"/>
        </w:rPr>
        <w:t>arī</w:t>
      </w:r>
      <w:r>
        <w:rPr>
          <w:spacing w:val="-11"/>
          <w:sz w:val="24"/>
        </w:rPr>
        <w:t> </w:t>
      </w:r>
      <w:r>
        <w:rPr>
          <w:sz w:val="24"/>
        </w:rPr>
        <w:t>vairums</w:t>
      </w:r>
      <w:r>
        <w:rPr>
          <w:spacing w:val="-11"/>
          <w:sz w:val="24"/>
        </w:rPr>
        <w:t> </w:t>
      </w:r>
      <w:r>
        <w:rPr>
          <w:sz w:val="24"/>
        </w:rPr>
        <w:t>respondentu</w:t>
      </w:r>
      <w:r>
        <w:rPr>
          <w:spacing w:val="-10"/>
          <w:sz w:val="24"/>
        </w:rPr>
        <w:t> </w:t>
      </w:r>
      <w:r>
        <w:rPr>
          <w:sz w:val="24"/>
        </w:rPr>
        <w:t>(53,4</w:t>
      </w:r>
      <w:r>
        <w:rPr>
          <w:spacing w:val="-11"/>
          <w:sz w:val="24"/>
        </w:rPr>
        <w:t> </w:t>
      </w:r>
      <w:r>
        <w:rPr>
          <w:sz w:val="24"/>
        </w:rPr>
        <w:t>%) uzskata,</w:t>
      </w:r>
      <w:r>
        <w:rPr>
          <w:spacing w:val="-9"/>
          <w:sz w:val="24"/>
        </w:rPr>
        <w:t> </w:t>
      </w:r>
      <w:r>
        <w:rPr>
          <w:sz w:val="24"/>
        </w:rPr>
        <w:t>ka</w:t>
      </w:r>
      <w:r>
        <w:rPr>
          <w:spacing w:val="-10"/>
          <w:sz w:val="24"/>
        </w:rPr>
        <w:t> </w:t>
      </w:r>
      <w:r>
        <w:rPr>
          <w:sz w:val="24"/>
        </w:rPr>
        <w:t>Maksātnespējas</w:t>
      </w:r>
      <w:r>
        <w:rPr>
          <w:spacing w:val="-8"/>
          <w:sz w:val="24"/>
        </w:rPr>
        <w:t> </w:t>
      </w:r>
      <w:r>
        <w:rPr>
          <w:sz w:val="24"/>
        </w:rPr>
        <w:t>likumā</w:t>
      </w:r>
      <w:r>
        <w:rPr>
          <w:spacing w:val="-9"/>
          <w:sz w:val="24"/>
        </w:rPr>
        <w:t> </w:t>
      </w:r>
      <w:r>
        <w:rPr>
          <w:sz w:val="24"/>
        </w:rPr>
        <w:t>nav</w:t>
      </w:r>
      <w:r>
        <w:rPr>
          <w:spacing w:val="-8"/>
          <w:sz w:val="24"/>
        </w:rPr>
        <w:t> </w:t>
      </w:r>
      <w:r>
        <w:rPr>
          <w:sz w:val="24"/>
        </w:rPr>
        <w:t>noteikti</w:t>
      </w:r>
      <w:r>
        <w:rPr>
          <w:spacing w:val="-5"/>
          <w:sz w:val="24"/>
        </w:rPr>
        <w:t> </w:t>
      </w:r>
      <w:r>
        <w:rPr>
          <w:sz w:val="24"/>
        </w:rPr>
        <w:t>pietiekami</w:t>
      </w:r>
      <w:r>
        <w:rPr>
          <w:spacing w:val="-9"/>
          <w:sz w:val="24"/>
        </w:rPr>
        <w:t> </w:t>
      </w:r>
      <w:r>
        <w:rPr>
          <w:sz w:val="24"/>
        </w:rPr>
        <w:t>tiesiskie</w:t>
      </w:r>
      <w:r>
        <w:rPr>
          <w:spacing w:val="-10"/>
          <w:sz w:val="24"/>
        </w:rPr>
        <w:t> </w:t>
      </w:r>
      <w:r>
        <w:rPr>
          <w:sz w:val="24"/>
        </w:rPr>
        <w:t>instrumenti,</w:t>
      </w:r>
      <w:r>
        <w:rPr>
          <w:spacing w:val="-8"/>
          <w:sz w:val="24"/>
        </w:rPr>
        <w:t> </w:t>
      </w:r>
      <w:r>
        <w:rPr>
          <w:sz w:val="24"/>
        </w:rPr>
        <w:t>lai izbeigtu fiziskās personas maksātnespējas procesu negodprātīgam parādniekam. Saistībā ar minētajiem tiesiskajam instrumentiem ir pausts viedoklis par nepieciešamību nodot maksātnespējas procesu izskatīšanu specializētajām</w:t>
      </w:r>
      <w:r>
        <w:rPr>
          <w:spacing w:val="2"/>
          <w:sz w:val="24"/>
        </w:rPr>
        <w:t> </w:t>
      </w:r>
      <w:r>
        <w:rPr>
          <w:sz w:val="24"/>
        </w:rPr>
        <w:t>tiesām,</w:t>
      </w:r>
    </w:p>
    <w:p>
      <w:pPr>
        <w:spacing w:after="0" w:line="240" w:lineRule="auto"/>
        <w:jc w:val="both"/>
        <w:rPr>
          <w:sz w:val="24"/>
        </w:rPr>
        <w:sectPr>
          <w:pgSz w:w="11910" w:h="16840"/>
          <w:pgMar w:header="0" w:footer="1055" w:top="1340" w:bottom="1240" w:left="1180" w:right="1040"/>
        </w:sectPr>
      </w:pPr>
    </w:p>
    <w:p>
      <w:pPr>
        <w:pStyle w:val="BodyText"/>
        <w:spacing w:before="73"/>
        <w:ind w:left="1340" w:right="312"/>
        <w:jc w:val="left"/>
      </w:pPr>
      <w:r>
        <w:rPr/>
        <w:t>kā arī paaugstināt maksātnespējas procesa administratoru iniciatīvu maksātnespējas procesu izbeigšanā.</w:t>
      </w:r>
    </w:p>
    <w:p>
      <w:pPr>
        <w:pStyle w:val="BodyText"/>
        <w:jc w:val="left"/>
      </w:pPr>
    </w:p>
    <w:p>
      <w:pPr>
        <w:pStyle w:val="ListParagraph"/>
        <w:numPr>
          <w:ilvl w:val="0"/>
          <w:numId w:val="51"/>
        </w:numPr>
        <w:tabs>
          <w:tab w:pos="1340" w:val="left" w:leader="none"/>
        </w:tabs>
        <w:spacing w:line="240" w:lineRule="auto" w:before="0" w:after="0"/>
        <w:ind w:left="1340" w:right="402" w:hanging="360"/>
        <w:jc w:val="both"/>
        <w:rPr>
          <w:sz w:val="24"/>
        </w:rPr>
      </w:pPr>
      <w:r>
        <w:rPr>
          <w:sz w:val="24"/>
        </w:rPr>
        <w:t>Vairums respondentu (63,5 %) uzskata, ka Maksātnespējas likumā ir jāparedz parādniekam nelabvēlīgas sekas, ja viņš fiziskās personas maksātnespējas procesa pieteikumā nav norādījis visas savas saistības. Tomēr samērā daudzi respondenti (32,4 %) šādu regulējumu neatbalsta, norādot, ka pastāv kreditoru pieteikšanās institūts, kā arī to, ka parādnieka rīcībā bieži nav dokumentālu pierādījumu par saistību esamību.</w:t>
      </w:r>
    </w:p>
    <w:p>
      <w:pPr>
        <w:pStyle w:val="BodyText"/>
        <w:jc w:val="left"/>
      </w:pPr>
    </w:p>
    <w:p>
      <w:pPr>
        <w:pStyle w:val="ListParagraph"/>
        <w:numPr>
          <w:ilvl w:val="0"/>
          <w:numId w:val="51"/>
        </w:numPr>
        <w:tabs>
          <w:tab w:pos="1340" w:val="left" w:leader="none"/>
        </w:tabs>
        <w:spacing w:line="240" w:lineRule="auto" w:before="0" w:after="0"/>
        <w:ind w:left="1340" w:right="403" w:hanging="360"/>
        <w:jc w:val="both"/>
        <w:rPr>
          <w:sz w:val="24"/>
        </w:rPr>
      </w:pPr>
      <w:r>
        <w:rPr>
          <w:sz w:val="24"/>
        </w:rPr>
        <w:t>Neviennozīmīgs ir respondentu viedoklis jautājumā par to, vai Maksātnespējas likumā ir jāparedz parādniekam nelabvēlīgas sekas, ja viņš bez objektīva iemesla savā darbā vai arodā gūst ienākumus, kas ir zemāki par vidējo statistisko valstī - 49,3 % šādu regulējumu atzīst par nepieciešamu, savukārt 41,2 % to neatbalsta, pamatā norādot uz iespējamām grūtībām novērtēt objektivitātes kritēriju un valstī izplatīto</w:t>
      </w:r>
      <w:r>
        <w:rPr>
          <w:spacing w:val="-4"/>
          <w:sz w:val="24"/>
        </w:rPr>
        <w:t> </w:t>
      </w:r>
      <w:r>
        <w:rPr>
          <w:sz w:val="24"/>
        </w:rPr>
        <w:t>“aplokšņu</w:t>
      </w:r>
      <w:r>
        <w:rPr>
          <w:spacing w:val="-6"/>
          <w:sz w:val="24"/>
        </w:rPr>
        <w:t> </w:t>
      </w:r>
      <w:r>
        <w:rPr>
          <w:sz w:val="24"/>
        </w:rPr>
        <w:t>algu”</w:t>
      </w:r>
      <w:r>
        <w:rPr>
          <w:spacing w:val="-4"/>
          <w:sz w:val="24"/>
        </w:rPr>
        <w:t> </w:t>
      </w:r>
      <w:r>
        <w:rPr>
          <w:sz w:val="24"/>
        </w:rPr>
        <w:t>sistēmu,</w:t>
      </w:r>
      <w:r>
        <w:rPr>
          <w:spacing w:val="-6"/>
          <w:sz w:val="24"/>
        </w:rPr>
        <w:t> </w:t>
      </w:r>
      <w:r>
        <w:rPr>
          <w:sz w:val="24"/>
        </w:rPr>
        <w:t>par</w:t>
      </w:r>
      <w:r>
        <w:rPr>
          <w:spacing w:val="-5"/>
          <w:sz w:val="24"/>
        </w:rPr>
        <w:t> </w:t>
      </w:r>
      <w:r>
        <w:rPr>
          <w:sz w:val="24"/>
        </w:rPr>
        <w:t>ko</w:t>
      </w:r>
      <w:r>
        <w:rPr>
          <w:spacing w:val="-6"/>
          <w:sz w:val="24"/>
        </w:rPr>
        <w:t> </w:t>
      </w:r>
      <w:r>
        <w:rPr>
          <w:sz w:val="24"/>
        </w:rPr>
        <w:t>atbildība</w:t>
      </w:r>
      <w:r>
        <w:rPr>
          <w:spacing w:val="-6"/>
          <w:sz w:val="24"/>
        </w:rPr>
        <w:t> </w:t>
      </w:r>
      <w:r>
        <w:rPr>
          <w:sz w:val="24"/>
        </w:rPr>
        <w:t>jāuzņemas</w:t>
      </w:r>
      <w:r>
        <w:rPr>
          <w:spacing w:val="-6"/>
          <w:sz w:val="24"/>
        </w:rPr>
        <w:t> </w:t>
      </w:r>
      <w:r>
        <w:rPr>
          <w:sz w:val="24"/>
        </w:rPr>
        <w:t>darba</w:t>
      </w:r>
      <w:r>
        <w:rPr>
          <w:spacing w:val="-5"/>
          <w:sz w:val="24"/>
        </w:rPr>
        <w:t> </w:t>
      </w:r>
      <w:r>
        <w:rPr>
          <w:sz w:val="24"/>
        </w:rPr>
        <w:t>devējam,</w:t>
      </w:r>
      <w:r>
        <w:rPr>
          <w:spacing w:val="-6"/>
          <w:sz w:val="24"/>
        </w:rPr>
        <w:t> </w:t>
      </w:r>
      <w:r>
        <w:rPr>
          <w:sz w:val="24"/>
        </w:rPr>
        <w:t>nevis parādniekam.</w:t>
      </w:r>
    </w:p>
    <w:p>
      <w:pPr>
        <w:pStyle w:val="BodyText"/>
        <w:jc w:val="left"/>
      </w:pPr>
    </w:p>
    <w:p>
      <w:pPr>
        <w:pStyle w:val="ListParagraph"/>
        <w:numPr>
          <w:ilvl w:val="0"/>
          <w:numId w:val="51"/>
        </w:numPr>
        <w:tabs>
          <w:tab w:pos="1340" w:val="left" w:leader="none"/>
        </w:tabs>
        <w:spacing w:line="240" w:lineRule="auto" w:before="1" w:after="0"/>
        <w:ind w:left="1340" w:right="402" w:hanging="360"/>
        <w:jc w:val="both"/>
        <w:rPr>
          <w:sz w:val="24"/>
        </w:rPr>
      </w:pPr>
      <w:r>
        <w:rPr>
          <w:sz w:val="24"/>
        </w:rPr>
        <w:t>Pārliecinošs vairums respondentu esošo regulējumu par saistībām, ko nevar dzēst fiziskās</w:t>
      </w:r>
      <w:r>
        <w:rPr>
          <w:spacing w:val="-6"/>
          <w:sz w:val="24"/>
        </w:rPr>
        <w:t> </w:t>
      </w:r>
      <w:r>
        <w:rPr>
          <w:sz w:val="24"/>
        </w:rPr>
        <w:t>personas</w:t>
      </w:r>
      <w:r>
        <w:rPr>
          <w:spacing w:val="-5"/>
          <w:sz w:val="24"/>
        </w:rPr>
        <w:t> </w:t>
      </w:r>
      <w:r>
        <w:rPr>
          <w:sz w:val="24"/>
        </w:rPr>
        <w:t>maksātnespējas</w:t>
      </w:r>
      <w:r>
        <w:rPr>
          <w:spacing w:val="-5"/>
          <w:sz w:val="24"/>
        </w:rPr>
        <w:t> </w:t>
      </w:r>
      <w:r>
        <w:rPr>
          <w:sz w:val="24"/>
        </w:rPr>
        <w:t>procesā,</w:t>
      </w:r>
      <w:r>
        <w:rPr>
          <w:spacing w:val="-5"/>
          <w:sz w:val="24"/>
        </w:rPr>
        <w:t> </w:t>
      </w:r>
      <w:r>
        <w:rPr>
          <w:sz w:val="24"/>
        </w:rPr>
        <w:t>uzskata</w:t>
      </w:r>
      <w:r>
        <w:rPr>
          <w:spacing w:val="-4"/>
          <w:sz w:val="24"/>
        </w:rPr>
        <w:t> </w:t>
      </w:r>
      <w:r>
        <w:rPr>
          <w:sz w:val="24"/>
        </w:rPr>
        <w:t>par</w:t>
      </w:r>
      <w:r>
        <w:rPr>
          <w:spacing w:val="-8"/>
          <w:sz w:val="24"/>
        </w:rPr>
        <w:t> </w:t>
      </w:r>
      <w:r>
        <w:rPr>
          <w:sz w:val="24"/>
        </w:rPr>
        <w:t>optimālu,</w:t>
      </w:r>
      <w:r>
        <w:rPr>
          <w:spacing w:val="-5"/>
          <w:sz w:val="24"/>
        </w:rPr>
        <w:t> </w:t>
      </w:r>
      <w:r>
        <w:rPr>
          <w:sz w:val="24"/>
        </w:rPr>
        <w:t>tomēr</w:t>
      </w:r>
      <w:r>
        <w:rPr>
          <w:spacing w:val="-4"/>
          <w:sz w:val="24"/>
        </w:rPr>
        <w:t> </w:t>
      </w:r>
      <w:r>
        <w:rPr>
          <w:sz w:val="24"/>
        </w:rPr>
        <w:t>samērā</w:t>
      </w:r>
      <w:r>
        <w:rPr>
          <w:spacing w:val="-8"/>
          <w:sz w:val="24"/>
        </w:rPr>
        <w:t> </w:t>
      </w:r>
      <w:r>
        <w:rPr>
          <w:sz w:val="24"/>
        </w:rPr>
        <w:t>liels skaits respondentu (30,4 %) uzskata, ka nedzēšamo saistību loks ir jāaplielina, kā piemēru</w:t>
      </w:r>
      <w:r>
        <w:rPr>
          <w:spacing w:val="-16"/>
          <w:sz w:val="24"/>
        </w:rPr>
        <w:t> </w:t>
      </w:r>
      <w:r>
        <w:rPr>
          <w:sz w:val="24"/>
        </w:rPr>
        <w:t>minot</w:t>
      </w:r>
      <w:r>
        <w:rPr>
          <w:spacing w:val="-12"/>
          <w:sz w:val="24"/>
        </w:rPr>
        <w:t> </w:t>
      </w:r>
      <w:r>
        <w:rPr>
          <w:sz w:val="24"/>
        </w:rPr>
        <w:t>saistības</w:t>
      </w:r>
      <w:r>
        <w:rPr>
          <w:spacing w:val="-15"/>
          <w:sz w:val="24"/>
        </w:rPr>
        <w:t> </w:t>
      </w:r>
      <w:r>
        <w:rPr>
          <w:sz w:val="24"/>
        </w:rPr>
        <w:t>no</w:t>
      </w:r>
      <w:r>
        <w:rPr>
          <w:spacing w:val="-12"/>
          <w:sz w:val="24"/>
        </w:rPr>
        <w:t> </w:t>
      </w:r>
      <w:r>
        <w:rPr>
          <w:sz w:val="24"/>
        </w:rPr>
        <w:t>tiesiska</w:t>
      </w:r>
      <w:r>
        <w:rPr>
          <w:spacing w:val="-16"/>
          <w:sz w:val="24"/>
        </w:rPr>
        <w:t> </w:t>
      </w:r>
      <w:r>
        <w:rPr>
          <w:sz w:val="24"/>
        </w:rPr>
        <w:t>darījuma,</w:t>
      </w:r>
      <w:r>
        <w:rPr>
          <w:spacing w:val="-12"/>
          <w:sz w:val="24"/>
        </w:rPr>
        <w:t> </w:t>
      </w:r>
      <w:r>
        <w:rPr>
          <w:sz w:val="24"/>
        </w:rPr>
        <w:t>kuras</w:t>
      </w:r>
      <w:r>
        <w:rPr>
          <w:spacing w:val="-10"/>
          <w:sz w:val="24"/>
        </w:rPr>
        <w:t> </w:t>
      </w:r>
      <w:r>
        <w:rPr>
          <w:sz w:val="24"/>
        </w:rPr>
        <w:t>persona</w:t>
      </w:r>
      <w:r>
        <w:rPr>
          <w:spacing w:val="-15"/>
          <w:sz w:val="24"/>
        </w:rPr>
        <w:t> </w:t>
      </w:r>
      <w:r>
        <w:rPr>
          <w:sz w:val="24"/>
        </w:rPr>
        <w:t>uzņēmusies,</w:t>
      </w:r>
      <w:r>
        <w:rPr>
          <w:spacing w:val="-12"/>
          <w:sz w:val="24"/>
        </w:rPr>
        <w:t> </w:t>
      </w:r>
      <w:r>
        <w:rPr>
          <w:sz w:val="24"/>
        </w:rPr>
        <w:t>apzinoties, ka nespēj tās izpildīt, prasības par zaudējumu piedziņu no valdes locekļiem un cita veida zaudējumu prasījumi, nodokļu parādi, komunālie maksājumi</w:t>
      </w:r>
      <w:r>
        <w:rPr>
          <w:spacing w:val="-4"/>
          <w:sz w:val="24"/>
        </w:rPr>
        <w:t> </w:t>
      </w:r>
      <w:r>
        <w:rPr>
          <w:sz w:val="24"/>
        </w:rPr>
        <w:t>u.c.</w:t>
      </w:r>
    </w:p>
    <w:p>
      <w:pPr>
        <w:pStyle w:val="BodyText"/>
        <w:jc w:val="left"/>
      </w:pPr>
    </w:p>
    <w:p>
      <w:pPr>
        <w:pStyle w:val="ListParagraph"/>
        <w:numPr>
          <w:ilvl w:val="0"/>
          <w:numId w:val="51"/>
        </w:numPr>
        <w:tabs>
          <w:tab w:pos="1340" w:val="left" w:leader="none"/>
        </w:tabs>
        <w:spacing w:line="240" w:lineRule="auto" w:before="0" w:after="0"/>
        <w:ind w:left="1340" w:right="401" w:hanging="360"/>
        <w:jc w:val="both"/>
        <w:rPr>
          <w:sz w:val="24"/>
        </w:rPr>
      </w:pPr>
      <w:r>
        <w:rPr>
          <w:sz w:val="24"/>
        </w:rPr>
        <w:t>Pārliecinošs vairums respondentu (63,4 %) uzskata, ka Maksātnespējas likumā ir jāparedz plašāki parādnieka - fiziskās personas kontroles mehānismi saistību dzēšanas plāna izpildes laikā, kā piemēru norādot nepieciešamību pēc regulārām parādnieka atskaitēm par saviem ienākumiem, administratora kontroles palielināšanu un stingrāku tiesu kontroli, kā arī nepieciešamību pēc vienveidīgas tiesu</w:t>
      </w:r>
      <w:r>
        <w:rPr>
          <w:spacing w:val="-11"/>
          <w:sz w:val="24"/>
        </w:rPr>
        <w:t> </w:t>
      </w:r>
      <w:r>
        <w:rPr>
          <w:sz w:val="24"/>
        </w:rPr>
        <w:t>prakses</w:t>
      </w:r>
      <w:r>
        <w:rPr>
          <w:spacing w:val="-7"/>
          <w:sz w:val="24"/>
        </w:rPr>
        <w:t> </w:t>
      </w:r>
      <w:r>
        <w:rPr>
          <w:sz w:val="24"/>
        </w:rPr>
        <w:t>jautājumā</w:t>
      </w:r>
      <w:r>
        <w:rPr>
          <w:spacing w:val="-10"/>
          <w:sz w:val="24"/>
        </w:rPr>
        <w:t> </w:t>
      </w:r>
      <w:r>
        <w:rPr>
          <w:sz w:val="24"/>
        </w:rPr>
        <w:t>par</w:t>
      </w:r>
      <w:r>
        <w:rPr>
          <w:spacing w:val="-13"/>
          <w:sz w:val="24"/>
        </w:rPr>
        <w:t> </w:t>
      </w:r>
      <w:r>
        <w:rPr>
          <w:sz w:val="24"/>
        </w:rPr>
        <w:t>to,</w:t>
      </w:r>
      <w:r>
        <w:rPr>
          <w:spacing w:val="-10"/>
          <w:sz w:val="24"/>
        </w:rPr>
        <w:t> </w:t>
      </w:r>
      <w:r>
        <w:rPr>
          <w:sz w:val="24"/>
        </w:rPr>
        <w:t>ko</w:t>
      </w:r>
      <w:r>
        <w:rPr>
          <w:spacing w:val="-8"/>
          <w:sz w:val="24"/>
        </w:rPr>
        <w:t> </w:t>
      </w:r>
      <w:r>
        <w:rPr>
          <w:sz w:val="24"/>
        </w:rPr>
        <w:t>tiesa</w:t>
      </w:r>
      <w:r>
        <w:rPr>
          <w:spacing w:val="-11"/>
          <w:sz w:val="24"/>
        </w:rPr>
        <w:t> </w:t>
      </w:r>
      <w:r>
        <w:rPr>
          <w:sz w:val="24"/>
        </w:rPr>
        <w:t>pārbauda,</w:t>
      </w:r>
      <w:r>
        <w:rPr>
          <w:spacing w:val="-10"/>
          <w:sz w:val="24"/>
        </w:rPr>
        <w:t> </w:t>
      </w:r>
      <w:r>
        <w:rPr>
          <w:sz w:val="24"/>
        </w:rPr>
        <w:t>lemjot</w:t>
      </w:r>
      <w:r>
        <w:rPr>
          <w:spacing w:val="-10"/>
          <w:sz w:val="24"/>
        </w:rPr>
        <w:t> </w:t>
      </w:r>
      <w:r>
        <w:rPr>
          <w:sz w:val="24"/>
        </w:rPr>
        <w:t>par</w:t>
      </w:r>
      <w:r>
        <w:rPr>
          <w:spacing w:val="-13"/>
          <w:sz w:val="24"/>
        </w:rPr>
        <w:t> </w:t>
      </w:r>
      <w:r>
        <w:rPr>
          <w:sz w:val="24"/>
        </w:rPr>
        <w:t>saistību</w:t>
      </w:r>
      <w:r>
        <w:rPr>
          <w:spacing w:val="-10"/>
          <w:sz w:val="24"/>
        </w:rPr>
        <w:t> </w:t>
      </w:r>
      <w:r>
        <w:rPr>
          <w:sz w:val="24"/>
        </w:rPr>
        <w:t>dzēšanu.</w:t>
      </w:r>
      <w:r>
        <w:rPr>
          <w:spacing w:val="-10"/>
          <w:sz w:val="24"/>
        </w:rPr>
        <w:t> </w:t>
      </w:r>
      <w:r>
        <w:rPr>
          <w:sz w:val="24"/>
        </w:rPr>
        <w:t>Tāpat tiek norādīts uz nepieciešamību piešķirt plašākas tiesības kreditoriem kontrolēt parādnieku – piemēram, tiesības pieprasīt un saņemt informāciju no parādnieka,</w:t>
      </w:r>
      <w:r>
        <w:rPr>
          <w:spacing w:val="-44"/>
          <w:sz w:val="24"/>
        </w:rPr>
        <w:t> </w:t>
      </w:r>
      <w:r>
        <w:rPr>
          <w:sz w:val="24"/>
        </w:rPr>
        <w:t>kā arī</w:t>
      </w:r>
      <w:r>
        <w:rPr>
          <w:spacing w:val="-10"/>
          <w:sz w:val="24"/>
        </w:rPr>
        <w:t> </w:t>
      </w:r>
      <w:r>
        <w:rPr>
          <w:sz w:val="24"/>
        </w:rPr>
        <w:t>uz</w:t>
      </w:r>
      <w:r>
        <w:rPr>
          <w:spacing w:val="-6"/>
          <w:sz w:val="24"/>
        </w:rPr>
        <w:t> </w:t>
      </w:r>
      <w:r>
        <w:rPr>
          <w:sz w:val="24"/>
        </w:rPr>
        <w:t>nepieciešamību</w:t>
      </w:r>
      <w:r>
        <w:rPr>
          <w:spacing w:val="-8"/>
          <w:sz w:val="24"/>
        </w:rPr>
        <w:t> </w:t>
      </w:r>
      <w:r>
        <w:rPr>
          <w:sz w:val="24"/>
        </w:rPr>
        <w:t>noteikt</w:t>
      </w:r>
      <w:r>
        <w:rPr>
          <w:spacing w:val="-8"/>
          <w:sz w:val="24"/>
        </w:rPr>
        <w:t> </w:t>
      </w:r>
      <w:r>
        <w:rPr>
          <w:sz w:val="24"/>
        </w:rPr>
        <w:t>kriminālatbildību</w:t>
      </w:r>
      <w:r>
        <w:rPr>
          <w:spacing w:val="-7"/>
          <w:sz w:val="24"/>
        </w:rPr>
        <w:t> </w:t>
      </w:r>
      <w:r>
        <w:rPr>
          <w:sz w:val="24"/>
        </w:rPr>
        <w:t>vai</w:t>
      </w:r>
      <w:r>
        <w:rPr>
          <w:spacing w:val="-12"/>
          <w:sz w:val="24"/>
        </w:rPr>
        <w:t> </w:t>
      </w:r>
      <w:r>
        <w:rPr>
          <w:sz w:val="24"/>
        </w:rPr>
        <w:t>administratīvi</w:t>
      </w:r>
      <w:r>
        <w:rPr>
          <w:spacing w:val="-8"/>
          <w:sz w:val="24"/>
        </w:rPr>
        <w:t> </w:t>
      </w:r>
      <w:r>
        <w:rPr>
          <w:sz w:val="24"/>
        </w:rPr>
        <w:t>tiesisko</w:t>
      </w:r>
      <w:r>
        <w:rPr>
          <w:spacing w:val="-8"/>
          <w:sz w:val="24"/>
        </w:rPr>
        <w:t> </w:t>
      </w:r>
      <w:r>
        <w:rPr>
          <w:sz w:val="24"/>
        </w:rPr>
        <w:t>atbildību par nepatiesas informācijas</w:t>
      </w:r>
      <w:r>
        <w:rPr>
          <w:spacing w:val="-7"/>
          <w:sz w:val="24"/>
        </w:rPr>
        <w:t> </w:t>
      </w:r>
      <w:r>
        <w:rPr>
          <w:sz w:val="24"/>
        </w:rPr>
        <w:t>sniegšanu.</w:t>
      </w:r>
    </w:p>
    <w:p>
      <w:pPr>
        <w:pStyle w:val="BodyText"/>
        <w:jc w:val="left"/>
      </w:pPr>
    </w:p>
    <w:p>
      <w:pPr>
        <w:pStyle w:val="ListParagraph"/>
        <w:numPr>
          <w:ilvl w:val="0"/>
          <w:numId w:val="51"/>
        </w:numPr>
        <w:tabs>
          <w:tab w:pos="1340" w:val="left" w:leader="none"/>
        </w:tabs>
        <w:spacing w:line="240" w:lineRule="auto" w:before="0" w:after="0"/>
        <w:ind w:left="1340" w:right="401" w:hanging="360"/>
        <w:jc w:val="both"/>
        <w:rPr>
          <w:sz w:val="24"/>
        </w:rPr>
      </w:pPr>
      <w:r>
        <w:rPr>
          <w:sz w:val="24"/>
        </w:rPr>
        <w:t>Savukārt vairāk noraidoša, nekā atbalstoša ir respondentu nostāja par to, vai Maksātnespējas likumā ir jāparedz plašāki parādnieka - fiziskās personas</w:t>
      </w:r>
      <w:r>
        <w:rPr>
          <w:spacing w:val="-33"/>
          <w:sz w:val="24"/>
        </w:rPr>
        <w:t> </w:t>
      </w:r>
      <w:r>
        <w:rPr>
          <w:sz w:val="24"/>
        </w:rPr>
        <w:t>kontroles mehānismi noteiktā laika posmā pēc saistību dzēšanas. Šādas kontroles ieviešanu atbalsta 32,4 % respondentu, bet neatbalsta – 63,5 %. Kā iespējamie pēckontroles mehānismi minēti tiesību noteikšana kreditoriem sekot parādnieka finansiālās situācijas (ienākumu palielinājums, mantas iegūšana) novērtēšanai, administratora vai tiesas kontrole, ar iespēju noteikt parādniekam maksāt 1/3 no ienākumu palielinājuma vai iegūtās mantas, vai pārskatīt tiesas nolēmumu par saistību dzēšanu. Tiek norādīts uz iespēju nodot pēckontroles funkciju Maksātnespējas kontroles</w:t>
      </w:r>
      <w:r>
        <w:rPr>
          <w:spacing w:val="-12"/>
          <w:sz w:val="24"/>
        </w:rPr>
        <w:t> </w:t>
      </w:r>
      <w:r>
        <w:rPr>
          <w:sz w:val="24"/>
        </w:rPr>
        <w:t>dienestam,</w:t>
      </w:r>
      <w:r>
        <w:rPr>
          <w:spacing w:val="-11"/>
          <w:sz w:val="24"/>
        </w:rPr>
        <w:t> </w:t>
      </w:r>
      <w:r>
        <w:rPr>
          <w:sz w:val="24"/>
        </w:rPr>
        <w:t>kā</w:t>
      </w:r>
      <w:r>
        <w:rPr>
          <w:spacing w:val="-9"/>
          <w:sz w:val="24"/>
        </w:rPr>
        <w:t> </w:t>
      </w:r>
      <w:r>
        <w:rPr>
          <w:sz w:val="24"/>
        </w:rPr>
        <w:t>arī</w:t>
      </w:r>
      <w:r>
        <w:rPr>
          <w:spacing w:val="-11"/>
          <w:sz w:val="24"/>
        </w:rPr>
        <w:t> </w:t>
      </w:r>
      <w:r>
        <w:rPr>
          <w:sz w:val="24"/>
        </w:rPr>
        <w:t>norādīts</w:t>
      </w:r>
      <w:r>
        <w:rPr>
          <w:spacing w:val="-8"/>
          <w:sz w:val="24"/>
        </w:rPr>
        <w:t> </w:t>
      </w:r>
      <w:r>
        <w:rPr>
          <w:sz w:val="24"/>
        </w:rPr>
        <w:t>uz</w:t>
      </w:r>
      <w:r>
        <w:rPr>
          <w:spacing w:val="-10"/>
          <w:sz w:val="24"/>
        </w:rPr>
        <w:t> </w:t>
      </w:r>
      <w:r>
        <w:rPr>
          <w:sz w:val="24"/>
        </w:rPr>
        <w:t>nepieciešamību</w:t>
      </w:r>
      <w:r>
        <w:rPr>
          <w:spacing w:val="-11"/>
          <w:sz w:val="24"/>
        </w:rPr>
        <w:t> </w:t>
      </w:r>
      <w:r>
        <w:rPr>
          <w:sz w:val="24"/>
        </w:rPr>
        <w:t>noteikt</w:t>
      </w:r>
      <w:r>
        <w:rPr>
          <w:spacing w:val="-11"/>
          <w:sz w:val="24"/>
        </w:rPr>
        <w:t> </w:t>
      </w:r>
      <w:r>
        <w:rPr>
          <w:sz w:val="24"/>
        </w:rPr>
        <w:t>tādus</w:t>
      </w:r>
      <w:r>
        <w:rPr>
          <w:spacing w:val="-11"/>
          <w:sz w:val="24"/>
        </w:rPr>
        <w:t> </w:t>
      </w:r>
      <w:r>
        <w:rPr>
          <w:sz w:val="24"/>
        </w:rPr>
        <w:t>ierobežojumus kā jaunu saistību uzņemšanās u.tml. noteiktā laikā pēc saistību</w:t>
      </w:r>
      <w:r>
        <w:rPr>
          <w:spacing w:val="-7"/>
          <w:sz w:val="24"/>
        </w:rPr>
        <w:t> </w:t>
      </w:r>
      <w:r>
        <w:rPr>
          <w:sz w:val="24"/>
        </w:rPr>
        <w:t>dzēšanas.</w:t>
      </w:r>
    </w:p>
    <w:p>
      <w:pPr>
        <w:pStyle w:val="BodyText"/>
        <w:jc w:val="left"/>
      </w:pPr>
    </w:p>
    <w:p>
      <w:pPr>
        <w:pStyle w:val="ListParagraph"/>
        <w:numPr>
          <w:ilvl w:val="0"/>
          <w:numId w:val="51"/>
        </w:numPr>
        <w:tabs>
          <w:tab w:pos="1340" w:val="left" w:leader="none"/>
        </w:tabs>
        <w:spacing w:line="240" w:lineRule="auto" w:before="0" w:after="0"/>
        <w:ind w:left="1340" w:right="401" w:hanging="360"/>
        <w:jc w:val="both"/>
        <w:rPr>
          <w:sz w:val="24"/>
        </w:rPr>
      </w:pPr>
      <w:r>
        <w:rPr>
          <w:sz w:val="24"/>
        </w:rPr>
        <w:t>Izteikti noraidoša ir respondentu nostāja jautājumā par to, vai Maksātnespējas likumā</w:t>
      </w:r>
      <w:r>
        <w:rPr>
          <w:spacing w:val="-4"/>
          <w:sz w:val="24"/>
        </w:rPr>
        <w:t> </w:t>
      </w:r>
      <w:r>
        <w:rPr>
          <w:sz w:val="24"/>
        </w:rPr>
        <w:t>ir</w:t>
      </w:r>
      <w:r>
        <w:rPr>
          <w:spacing w:val="-5"/>
          <w:sz w:val="24"/>
        </w:rPr>
        <w:t> </w:t>
      </w:r>
      <w:r>
        <w:rPr>
          <w:sz w:val="24"/>
        </w:rPr>
        <w:t>jāparedz</w:t>
      </w:r>
      <w:r>
        <w:rPr>
          <w:spacing w:val="-1"/>
          <w:sz w:val="24"/>
        </w:rPr>
        <w:t> </w:t>
      </w:r>
      <w:r>
        <w:rPr>
          <w:sz w:val="24"/>
        </w:rPr>
        <w:t>automātiska</w:t>
      </w:r>
      <w:r>
        <w:rPr>
          <w:spacing w:val="-5"/>
          <w:sz w:val="24"/>
        </w:rPr>
        <w:t> </w:t>
      </w:r>
      <w:r>
        <w:rPr>
          <w:sz w:val="24"/>
        </w:rPr>
        <w:t>(bez</w:t>
      </w:r>
      <w:r>
        <w:rPr>
          <w:spacing w:val="-5"/>
          <w:sz w:val="24"/>
        </w:rPr>
        <w:t> </w:t>
      </w:r>
      <w:r>
        <w:rPr>
          <w:sz w:val="24"/>
        </w:rPr>
        <w:t>tiesas</w:t>
      </w:r>
      <w:r>
        <w:rPr>
          <w:spacing w:val="-5"/>
          <w:sz w:val="24"/>
        </w:rPr>
        <w:t> </w:t>
      </w:r>
      <w:r>
        <w:rPr>
          <w:sz w:val="24"/>
        </w:rPr>
        <w:t>nolēmuma)</w:t>
      </w:r>
      <w:r>
        <w:rPr>
          <w:spacing w:val="-8"/>
          <w:sz w:val="24"/>
        </w:rPr>
        <w:t> </w:t>
      </w:r>
      <w:r>
        <w:rPr>
          <w:sz w:val="24"/>
        </w:rPr>
        <w:t>saistību</w:t>
      </w:r>
      <w:r>
        <w:rPr>
          <w:spacing w:val="-5"/>
          <w:sz w:val="24"/>
        </w:rPr>
        <w:t> </w:t>
      </w:r>
      <w:r>
        <w:rPr>
          <w:sz w:val="24"/>
        </w:rPr>
        <w:t>dzēšana</w:t>
      </w:r>
      <w:r>
        <w:rPr>
          <w:spacing w:val="-8"/>
          <w:sz w:val="24"/>
        </w:rPr>
        <w:t> </w:t>
      </w:r>
      <w:r>
        <w:rPr>
          <w:sz w:val="24"/>
        </w:rPr>
        <w:t>pēc</w:t>
      </w:r>
      <w:r>
        <w:rPr>
          <w:spacing w:val="-3"/>
          <w:sz w:val="24"/>
        </w:rPr>
        <w:t> </w:t>
      </w:r>
      <w:r>
        <w:rPr>
          <w:sz w:val="24"/>
        </w:rPr>
        <w:t>fiziskās</w:t>
      </w:r>
    </w:p>
    <w:p>
      <w:pPr>
        <w:spacing w:after="0" w:line="240" w:lineRule="auto"/>
        <w:jc w:val="both"/>
        <w:rPr>
          <w:sz w:val="24"/>
        </w:rPr>
        <w:sectPr>
          <w:pgSz w:w="11910" w:h="16840"/>
          <w:pgMar w:header="0" w:footer="1055" w:top="1340" w:bottom="1240" w:left="1180" w:right="1040"/>
        </w:sectPr>
      </w:pPr>
    </w:p>
    <w:p>
      <w:pPr>
        <w:pStyle w:val="BodyText"/>
        <w:spacing w:before="73"/>
        <w:ind w:left="980"/>
        <w:jc w:val="left"/>
      </w:pPr>
      <w:r>
        <w:rPr/>
        <w:t>personas saistību dzēšanas plāna izpildes – to neatbalsta 69,8 %, bet atbalsta 21,6</w:t>
      </w:r>
    </w:p>
    <w:p>
      <w:pPr>
        <w:pStyle w:val="BodyText"/>
        <w:ind w:left="980"/>
        <w:jc w:val="left"/>
      </w:pPr>
      <w:r>
        <w:rPr/>
        <w:t>%. Lielākoties respondenti pauduši bažas par to, kā šādā situācijā tiktu nodrošināta parādnieka kontrole par to, vai plāns ir izpildīts.</w:t>
      </w:r>
    </w:p>
    <w:p>
      <w:pPr>
        <w:pStyle w:val="BodyText"/>
        <w:jc w:val="left"/>
      </w:pPr>
    </w:p>
    <w:p>
      <w:pPr>
        <w:pStyle w:val="BodyText"/>
        <w:ind w:left="260" w:right="763" w:firstLine="360"/>
      </w:pPr>
      <w:r>
        <w:rPr/>
        <w:t>Atbildot uz jautājumu par identificētajām fiziskās personas maksātnespējas procesa piemērošanas problēmām, respondenti galvenokārt ir norādījuši uz šādām problēmām:</w:t>
      </w:r>
    </w:p>
    <w:p>
      <w:pPr>
        <w:pStyle w:val="ListParagraph"/>
        <w:numPr>
          <w:ilvl w:val="0"/>
          <w:numId w:val="52"/>
        </w:numPr>
        <w:tabs>
          <w:tab w:pos="1254" w:val="left" w:leader="none"/>
        </w:tabs>
        <w:spacing w:line="240" w:lineRule="auto" w:before="0" w:after="0"/>
        <w:ind w:left="1253" w:right="764" w:hanging="569"/>
        <w:jc w:val="both"/>
        <w:rPr>
          <w:sz w:val="24"/>
        </w:rPr>
      </w:pPr>
      <w:r>
        <w:rPr>
          <w:sz w:val="24"/>
        </w:rPr>
        <w:t>patieso</w:t>
      </w:r>
      <w:r>
        <w:rPr>
          <w:spacing w:val="-5"/>
          <w:sz w:val="24"/>
        </w:rPr>
        <w:t> </w:t>
      </w:r>
      <w:r>
        <w:rPr>
          <w:sz w:val="24"/>
        </w:rPr>
        <w:t>ienākumu</w:t>
      </w:r>
      <w:r>
        <w:rPr>
          <w:spacing w:val="-5"/>
          <w:sz w:val="24"/>
        </w:rPr>
        <w:t> </w:t>
      </w:r>
      <w:r>
        <w:rPr>
          <w:sz w:val="24"/>
        </w:rPr>
        <w:t>slēpšana</w:t>
      </w:r>
      <w:r>
        <w:rPr>
          <w:spacing w:val="-5"/>
          <w:sz w:val="24"/>
        </w:rPr>
        <w:t> </w:t>
      </w:r>
      <w:r>
        <w:rPr>
          <w:sz w:val="24"/>
        </w:rPr>
        <w:t>–</w:t>
      </w:r>
      <w:r>
        <w:rPr>
          <w:spacing w:val="-5"/>
          <w:sz w:val="24"/>
        </w:rPr>
        <w:t> </w:t>
      </w:r>
      <w:r>
        <w:rPr>
          <w:sz w:val="24"/>
        </w:rPr>
        <w:t>uz</w:t>
      </w:r>
      <w:r>
        <w:rPr>
          <w:spacing w:val="-4"/>
          <w:sz w:val="24"/>
        </w:rPr>
        <w:t> </w:t>
      </w:r>
      <w:r>
        <w:rPr>
          <w:sz w:val="24"/>
        </w:rPr>
        <w:t>šo</w:t>
      </w:r>
      <w:r>
        <w:rPr>
          <w:spacing w:val="-5"/>
          <w:sz w:val="24"/>
        </w:rPr>
        <w:t> </w:t>
      </w:r>
      <w:r>
        <w:rPr>
          <w:sz w:val="24"/>
        </w:rPr>
        <w:t>problēmu</w:t>
      </w:r>
      <w:r>
        <w:rPr>
          <w:spacing w:val="-3"/>
          <w:sz w:val="24"/>
        </w:rPr>
        <w:t> </w:t>
      </w:r>
      <w:r>
        <w:rPr>
          <w:sz w:val="24"/>
        </w:rPr>
        <w:t>dažādās</w:t>
      </w:r>
      <w:r>
        <w:rPr>
          <w:spacing w:val="-7"/>
          <w:sz w:val="24"/>
        </w:rPr>
        <w:t> </w:t>
      </w:r>
      <w:r>
        <w:rPr>
          <w:sz w:val="24"/>
        </w:rPr>
        <w:t>tās</w:t>
      </w:r>
      <w:r>
        <w:rPr>
          <w:spacing w:val="-5"/>
          <w:sz w:val="24"/>
        </w:rPr>
        <w:t> </w:t>
      </w:r>
      <w:r>
        <w:rPr>
          <w:sz w:val="24"/>
        </w:rPr>
        <w:t>izpausmēs</w:t>
      </w:r>
      <w:r>
        <w:rPr>
          <w:spacing w:val="-5"/>
          <w:sz w:val="24"/>
        </w:rPr>
        <w:t> </w:t>
      </w:r>
      <w:r>
        <w:rPr>
          <w:sz w:val="24"/>
        </w:rPr>
        <w:t>ir</w:t>
      </w:r>
      <w:r>
        <w:rPr>
          <w:spacing w:val="-5"/>
          <w:sz w:val="24"/>
        </w:rPr>
        <w:t> </w:t>
      </w:r>
      <w:r>
        <w:rPr>
          <w:sz w:val="24"/>
        </w:rPr>
        <w:t>norādījuši vairums</w:t>
      </w:r>
      <w:r>
        <w:rPr>
          <w:spacing w:val="-1"/>
          <w:sz w:val="24"/>
        </w:rPr>
        <w:t> </w:t>
      </w:r>
      <w:r>
        <w:rPr>
          <w:sz w:val="24"/>
        </w:rPr>
        <w:t>respondentu,</w:t>
      </w:r>
    </w:p>
    <w:p>
      <w:pPr>
        <w:pStyle w:val="ListParagraph"/>
        <w:numPr>
          <w:ilvl w:val="0"/>
          <w:numId w:val="52"/>
        </w:numPr>
        <w:tabs>
          <w:tab w:pos="1254" w:val="left" w:leader="none"/>
        </w:tabs>
        <w:spacing w:line="240" w:lineRule="auto" w:before="0" w:after="0"/>
        <w:ind w:left="1253" w:right="764" w:hanging="569"/>
        <w:jc w:val="both"/>
        <w:rPr>
          <w:sz w:val="24"/>
        </w:rPr>
      </w:pPr>
      <w:r>
        <w:rPr>
          <w:sz w:val="24"/>
        </w:rPr>
        <w:t>neskatoties uz to, ka parādnieka dzīvesveids skaidri norāda uz augstākiem ienākumiem nekā parādnieks ir norādījis, likumā nav efektīvu instrumentu, kā motivēt atklāt patiesos ienākumus vai sodīt par ienākumu slēpšanu (ņemot vērā arī pierādīšanas</w:t>
      </w:r>
      <w:r>
        <w:rPr>
          <w:spacing w:val="-3"/>
          <w:sz w:val="24"/>
        </w:rPr>
        <w:t> </w:t>
      </w:r>
      <w:r>
        <w:rPr>
          <w:sz w:val="24"/>
        </w:rPr>
        <w:t>grūtības),</w:t>
      </w:r>
    </w:p>
    <w:p>
      <w:pPr>
        <w:pStyle w:val="ListParagraph"/>
        <w:numPr>
          <w:ilvl w:val="0"/>
          <w:numId w:val="52"/>
        </w:numPr>
        <w:tabs>
          <w:tab w:pos="1254" w:val="left" w:leader="none"/>
        </w:tabs>
        <w:spacing w:line="240" w:lineRule="auto" w:before="1" w:after="0"/>
        <w:ind w:left="1253" w:right="761" w:hanging="569"/>
        <w:jc w:val="both"/>
        <w:rPr>
          <w:sz w:val="24"/>
        </w:rPr>
      </w:pPr>
      <w:r>
        <w:rPr>
          <w:sz w:val="24"/>
        </w:rPr>
        <w:t>neskaidrs un pretrunīgs tiesiskais regulējums attiecībā uz saistību dzēšanas procedūras</w:t>
      </w:r>
      <w:r>
        <w:rPr>
          <w:spacing w:val="-1"/>
          <w:sz w:val="24"/>
        </w:rPr>
        <w:t> </w:t>
      </w:r>
      <w:r>
        <w:rPr>
          <w:sz w:val="24"/>
        </w:rPr>
        <w:t>termiņiem,</w:t>
      </w:r>
    </w:p>
    <w:p>
      <w:pPr>
        <w:pStyle w:val="ListParagraph"/>
        <w:numPr>
          <w:ilvl w:val="0"/>
          <w:numId w:val="52"/>
        </w:numPr>
        <w:tabs>
          <w:tab w:pos="1254" w:val="left" w:leader="none"/>
        </w:tabs>
        <w:spacing w:line="240" w:lineRule="auto" w:before="0" w:after="0"/>
        <w:ind w:left="1253" w:right="764" w:hanging="569"/>
        <w:jc w:val="both"/>
        <w:rPr>
          <w:sz w:val="24"/>
        </w:rPr>
      </w:pPr>
      <w:r>
        <w:rPr>
          <w:sz w:val="24"/>
        </w:rPr>
        <w:t>novēloti uzsākti maksātnespējas procesi – parādniekam vairs nav mantas, jo tā vai</w:t>
      </w:r>
      <w:r>
        <w:rPr>
          <w:spacing w:val="-11"/>
          <w:sz w:val="24"/>
        </w:rPr>
        <w:t> </w:t>
      </w:r>
      <w:r>
        <w:rPr>
          <w:sz w:val="24"/>
        </w:rPr>
        <w:t>nu</w:t>
      </w:r>
      <w:r>
        <w:rPr>
          <w:spacing w:val="-11"/>
          <w:sz w:val="24"/>
        </w:rPr>
        <w:t> </w:t>
      </w:r>
      <w:r>
        <w:rPr>
          <w:sz w:val="24"/>
        </w:rPr>
        <w:t>ir</w:t>
      </w:r>
      <w:r>
        <w:rPr>
          <w:spacing w:val="-11"/>
          <w:sz w:val="24"/>
        </w:rPr>
        <w:t> </w:t>
      </w:r>
      <w:r>
        <w:rPr>
          <w:sz w:val="24"/>
        </w:rPr>
        <w:t>atsavināta</w:t>
      </w:r>
      <w:r>
        <w:rPr>
          <w:spacing w:val="-11"/>
          <w:sz w:val="24"/>
        </w:rPr>
        <w:t> </w:t>
      </w:r>
      <w:r>
        <w:rPr>
          <w:sz w:val="24"/>
        </w:rPr>
        <w:t>pietuvinātām</w:t>
      </w:r>
      <w:r>
        <w:rPr>
          <w:spacing w:val="-13"/>
          <w:sz w:val="24"/>
        </w:rPr>
        <w:t> </w:t>
      </w:r>
      <w:r>
        <w:rPr>
          <w:sz w:val="24"/>
        </w:rPr>
        <w:t>personām</w:t>
      </w:r>
      <w:r>
        <w:rPr>
          <w:spacing w:val="-13"/>
          <w:sz w:val="24"/>
        </w:rPr>
        <w:t> </w:t>
      </w:r>
      <w:r>
        <w:rPr>
          <w:sz w:val="24"/>
        </w:rPr>
        <w:t>vai</w:t>
      </w:r>
      <w:r>
        <w:rPr>
          <w:spacing w:val="-11"/>
          <w:sz w:val="24"/>
        </w:rPr>
        <w:t> </w:t>
      </w:r>
      <w:r>
        <w:rPr>
          <w:sz w:val="24"/>
        </w:rPr>
        <w:t>arī</w:t>
      </w:r>
      <w:r>
        <w:rPr>
          <w:spacing w:val="-11"/>
          <w:sz w:val="24"/>
        </w:rPr>
        <w:t> </w:t>
      </w:r>
      <w:r>
        <w:rPr>
          <w:sz w:val="24"/>
        </w:rPr>
        <w:t>piedziņas</w:t>
      </w:r>
      <w:r>
        <w:rPr>
          <w:spacing w:val="-12"/>
          <w:sz w:val="24"/>
        </w:rPr>
        <w:t> </w:t>
      </w:r>
      <w:r>
        <w:rPr>
          <w:sz w:val="24"/>
        </w:rPr>
        <w:t>procesā,</w:t>
      </w:r>
      <w:r>
        <w:rPr>
          <w:spacing w:val="-11"/>
          <w:sz w:val="24"/>
        </w:rPr>
        <w:t> </w:t>
      </w:r>
      <w:r>
        <w:rPr>
          <w:sz w:val="24"/>
        </w:rPr>
        <w:t>kā</w:t>
      </w:r>
      <w:r>
        <w:rPr>
          <w:spacing w:val="-11"/>
          <w:sz w:val="24"/>
        </w:rPr>
        <w:t> </w:t>
      </w:r>
      <w:r>
        <w:rPr>
          <w:sz w:val="24"/>
        </w:rPr>
        <w:t>rezultātā maksātnespējas process pārvēršas par formālu procedūru bez reālas iespējas adekvātā apmērā segt kreditoru</w:t>
      </w:r>
      <w:r>
        <w:rPr>
          <w:spacing w:val="-5"/>
          <w:sz w:val="24"/>
        </w:rPr>
        <w:t> </w:t>
      </w:r>
      <w:r>
        <w:rPr>
          <w:sz w:val="24"/>
        </w:rPr>
        <w:t>prasījumus,</w:t>
      </w:r>
    </w:p>
    <w:p>
      <w:pPr>
        <w:pStyle w:val="ListParagraph"/>
        <w:numPr>
          <w:ilvl w:val="0"/>
          <w:numId w:val="52"/>
        </w:numPr>
        <w:tabs>
          <w:tab w:pos="1254" w:val="left" w:leader="none"/>
        </w:tabs>
        <w:spacing w:line="240" w:lineRule="auto" w:before="0" w:after="0"/>
        <w:ind w:left="1253" w:right="763" w:hanging="569"/>
        <w:jc w:val="both"/>
        <w:rPr>
          <w:sz w:val="24"/>
        </w:rPr>
      </w:pPr>
      <w:r>
        <w:rPr>
          <w:sz w:val="24"/>
        </w:rPr>
        <w:t>pēc saistību dzēšanas plānā noteiktā termiņa beigām parādnieki nesniedz tiesā pieteikumu par saistību dzēšanas procedūras izbeigšanu, vai arī iesniegtie pieteikumi ir nekvalitatīvi,</w:t>
      </w:r>
    </w:p>
    <w:p>
      <w:pPr>
        <w:pStyle w:val="ListParagraph"/>
        <w:numPr>
          <w:ilvl w:val="0"/>
          <w:numId w:val="52"/>
        </w:numPr>
        <w:tabs>
          <w:tab w:pos="1254" w:val="left" w:leader="none"/>
        </w:tabs>
        <w:spacing w:line="240" w:lineRule="auto" w:before="0" w:after="0"/>
        <w:ind w:left="1253" w:right="761" w:hanging="569"/>
        <w:jc w:val="both"/>
        <w:rPr>
          <w:sz w:val="24"/>
        </w:rPr>
      </w:pPr>
      <w:r>
        <w:rPr>
          <w:sz w:val="24"/>
        </w:rPr>
        <w:t>Maksātnespējas procesa administratoriem netiek bez maksas sniegta informācija, kas nepieciešama parādnieka mantas un ienākumu novērtēšanai,</w:t>
      </w:r>
      <w:r>
        <w:rPr>
          <w:spacing w:val="-24"/>
          <w:sz w:val="24"/>
        </w:rPr>
        <w:t> </w:t>
      </w:r>
      <w:r>
        <w:rPr>
          <w:sz w:val="24"/>
        </w:rPr>
        <w:t>kā arī</w:t>
      </w:r>
      <w:r>
        <w:rPr>
          <w:spacing w:val="-9"/>
          <w:sz w:val="24"/>
        </w:rPr>
        <w:t> </w:t>
      </w:r>
      <w:r>
        <w:rPr>
          <w:sz w:val="24"/>
        </w:rPr>
        <w:t>parādnieka</w:t>
      </w:r>
      <w:r>
        <w:rPr>
          <w:spacing w:val="-7"/>
          <w:sz w:val="24"/>
        </w:rPr>
        <w:t> </w:t>
      </w:r>
      <w:r>
        <w:rPr>
          <w:sz w:val="24"/>
        </w:rPr>
        <w:t>kontrolei,</w:t>
      </w:r>
      <w:r>
        <w:rPr>
          <w:spacing w:val="-6"/>
          <w:sz w:val="24"/>
        </w:rPr>
        <w:t> </w:t>
      </w:r>
      <w:r>
        <w:rPr>
          <w:sz w:val="24"/>
        </w:rPr>
        <w:t>kā</w:t>
      </w:r>
      <w:r>
        <w:rPr>
          <w:spacing w:val="-7"/>
          <w:sz w:val="24"/>
        </w:rPr>
        <w:t> </w:t>
      </w:r>
      <w:r>
        <w:rPr>
          <w:sz w:val="24"/>
        </w:rPr>
        <w:t>arī</w:t>
      </w:r>
      <w:r>
        <w:rPr>
          <w:spacing w:val="-8"/>
          <w:sz w:val="24"/>
        </w:rPr>
        <w:t> </w:t>
      </w:r>
      <w:r>
        <w:rPr>
          <w:sz w:val="24"/>
        </w:rPr>
        <w:t>ir</w:t>
      </w:r>
      <w:r>
        <w:rPr>
          <w:spacing w:val="-6"/>
          <w:sz w:val="24"/>
        </w:rPr>
        <w:t> </w:t>
      </w:r>
      <w:r>
        <w:rPr>
          <w:sz w:val="24"/>
        </w:rPr>
        <w:t>ļoti</w:t>
      </w:r>
      <w:r>
        <w:rPr>
          <w:spacing w:val="-7"/>
          <w:sz w:val="24"/>
        </w:rPr>
        <w:t> </w:t>
      </w:r>
      <w:r>
        <w:rPr>
          <w:sz w:val="24"/>
        </w:rPr>
        <w:t>ierobežotas</w:t>
      </w:r>
      <w:r>
        <w:rPr>
          <w:spacing w:val="-6"/>
          <w:sz w:val="24"/>
        </w:rPr>
        <w:t> </w:t>
      </w:r>
      <w:r>
        <w:rPr>
          <w:sz w:val="24"/>
        </w:rPr>
        <w:t>informācijas</w:t>
      </w:r>
      <w:r>
        <w:rPr>
          <w:spacing w:val="-7"/>
          <w:sz w:val="24"/>
        </w:rPr>
        <w:t> </w:t>
      </w:r>
      <w:r>
        <w:rPr>
          <w:sz w:val="24"/>
        </w:rPr>
        <w:t>iegūšanas</w:t>
      </w:r>
      <w:r>
        <w:rPr>
          <w:spacing w:val="-8"/>
          <w:sz w:val="24"/>
        </w:rPr>
        <w:t> </w:t>
      </w:r>
      <w:r>
        <w:rPr>
          <w:sz w:val="24"/>
        </w:rPr>
        <w:t>tiesības (piemēram, informāciju nesniedz kredītiestādes par norēķinu</w:t>
      </w:r>
      <w:r>
        <w:rPr>
          <w:spacing w:val="-5"/>
          <w:sz w:val="24"/>
        </w:rPr>
        <w:t> </w:t>
      </w:r>
      <w:r>
        <w:rPr>
          <w:sz w:val="24"/>
        </w:rPr>
        <w:t>kontiem),</w:t>
      </w:r>
    </w:p>
    <w:p>
      <w:pPr>
        <w:pStyle w:val="ListParagraph"/>
        <w:numPr>
          <w:ilvl w:val="0"/>
          <w:numId w:val="52"/>
        </w:numPr>
        <w:tabs>
          <w:tab w:pos="1254" w:val="left" w:leader="none"/>
        </w:tabs>
        <w:spacing w:line="240" w:lineRule="auto" w:before="0" w:after="0"/>
        <w:ind w:left="1253" w:right="764" w:hanging="569"/>
        <w:jc w:val="both"/>
        <w:rPr>
          <w:sz w:val="24"/>
        </w:rPr>
      </w:pPr>
      <w:r>
        <w:rPr>
          <w:sz w:val="24"/>
        </w:rPr>
        <w:t>vieglprātīga parādnieku attieksme, nesadarbošanās ar maksātnespējas procesa administratoru,</w:t>
      </w:r>
    </w:p>
    <w:p>
      <w:pPr>
        <w:pStyle w:val="ListParagraph"/>
        <w:numPr>
          <w:ilvl w:val="0"/>
          <w:numId w:val="52"/>
        </w:numPr>
        <w:tabs>
          <w:tab w:pos="1254" w:val="left" w:leader="none"/>
        </w:tabs>
        <w:spacing w:line="240" w:lineRule="auto" w:before="0" w:after="0"/>
        <w:ind w:left="1253" w:right="764" w:hanging="569"/>
        <w:jc w:val="both"/>
        <w:rPr>
          <w:sz w:val="24"/>
        </w:rPr>
      </w:pPr>
      <w:r>
        <w:rPr>
          <w:sz w:val="24"/>
        </w:rPr>
        <w:t>fiktīvi</w:t>
      </w:r>
      <w:r>
        <w:rPr>
          <w:spacing w:val="-3"/>
          <w:sz w:val="24"/>
        </w:rPr>
        <w:t> </w:t>
      </w:r>
      <w:r>
        <w:rPr>
          <w:sz w:val="24"/>
        </w:rPr>
        <w:t>darījumi</w:t>
      </w:r>
      <w:r>
        <w:rPr>
          <w:spacing w:val="-5"/>
          <w:sz w:val="24"/>
        </w:rPr>
        <w:t> </w:t>
      </w:r>
      <w:r>
        <w:rPr>
          <w:sz w:val="24"/>
        </w:rPr>
        <w:t>(it</w:t>
      </w:r>
      <w:r>
        <w:rPr>
          <w:spacing w:val="-5"/>
          <w:sz w:val="24"/>
        </w:rPr>
        <w:t> </w:t>
      </w:r>
      <w:r>
        <w:rPr>
          <w:sz w:val="24"/>
        </w:rPr>
        <w:t>īpaši</w:t>
      </w:r>
      <w:r>
        <w:rPr>
          <w:spacing w:val="-5"/>
          <w:sz w:val="24"/>
        </w:rPr>
        <w:t> </w:t>
      </w:r>
      <w:r>
        <w:rPr>
          <w:sz w:val="24"/>
        </w:rPr>
        <w:t>skaidras</w:t>
      </w:r>
      <w:r>
        <w:rPr>
          <w:spacing w:val="-5"/>
          <w:sz w:val="24"/>
        </w:rPr>
        <w:t> </w:t>
      </w:r>
      <w:r>
        <w:rPr>
          <w:sz w:val="24"/>
        </w:rPr>
        <w:t>naudas</w:t>
      </w:r>
      <w:r>
        <w:rPr>
          <w:spacing w:val="-5"/>
          <w:sz w:val="24"/>
        </w:rPr>
        <w:t> </w:t>
      </w:r>
      <w:r>
        <w:rPr>
          <w:sz w:val="24"/>
        </w:rPr>
        <w:t>darījumi)</w:t>
      </w:r>
      <w:r>
        <w:rPr>
          <w:spacing w:val="-5"/>
          <w:sz w:val="24"/>
        </w:rPr>
        <w:t> </w:t>
      </w:r>
      <w:r>
        <w:rPr>
          <w:sz w:val="24"/>
        </w:rPr>
        <w:t>–</w:t>
      </w:r>
      <w:r>
        <w:rPr>
          <w:spacing w:val="-5"/>
          <w:sz w:val="24"/>
        </w:rPr>
        <w:t> </w:t>
      </w:r>
      <w:r>
        <w:rPr>
          <w:sz w:val="24"/>
        </w:rPr>
        <w:t>aizdevumi</w:t>
      </w:r>
      <w:r>
        <w:rPr>
          <w:spacing w:val="-5"/>
          <w:sz w:val="24"/>
        </w:rPr>
        <w:t> </w:t>
      </w:r>
      <w:r>
        <w:rPr>
          <w:sz w:val="24"/>
        </w:rPr>
        <w:t>un</w:t>
      </w:r>
      <w:r>
        <w:rPr>
          <w:spacing w:val="-5"/>
          <w:sz w:val="24"/>
        </w:rPr>
        <w:t> </w:t>
      </w:r>
      <w:r>
        <w:rPr>
          <w:sz w:val="24"/>
        </w:rPr>
        <w:t>parādzīmes</w:t>
      </w:r>
      <w:r>
        <w:rPr>
          <w:spacing w:val="-7"/>
          <w:sz w:val="24"/>
        </w:rPr>
        <w:t> </w:t>
      </w:r>
      <w:r>
        <w:rPr>
          <w:sz w:val="24"/>
        </w:rPr>
        <w:t>ar fiziskām personām, kuru fiktīvo dabu grūti</w:t>
      </w:r>
      <w:r>
        <w:rPr>
          <w:spacing w:val="-1"/>
          <w:sz w:val="24"/>
        </w:rPr>
        <w:t> </w:t>
      </w:r>
      <w:r>
        <w:rPr>
          <w:sz w:val="24"/>
        </w:rPr>
        <w:t>pierādīt,</w:t>
      </w:r>
    </w:p>
    <w:p>
      <w:pPr>
        <w:pStyle w:val="ListParagraph"/>
        <w:numPr>
          <w:ilvl w:val="0"/>
          <w:numId w:val="52"/>
        </w:numPr>
        <w:tabs>
          <w:tab w:pos="1254" w:val="left" w:leader="none"/>
        </w:tabs>
        <w:spacing w:line="240" w:lineRule="auto" w:before="0" w:after="0"/>
        <w:ind w:left="1253" w:right="763" w:hanging="569"/>
        <w:jc w:val="both"/>
        <w:rPr>
          <w:sz w:val="24"/>
        </w:rPr>
      </w:pPr>
      <w:r>
        <w:rPr>
          <w:sz w:val="24"/>
        </w:rPr>
        <w:t>darījumu apstrīdēšanas problemātika – gan raugoties no tiesiskā regulējuma aspekta, gan administratoru</w:t>
      </w:r>
      <w:r>
        <w:rPr>
          <w:spacing w:val="1"/>
          <w:sz w:val="24"/>
        </w:rPr>
        <w:t> </w:t>
      </w:r>
      <w:r>
        <w:rPr>
          <w:sz w:val="24"/>
        </w:rPr>
        <w:t>motivācijas,</w:t>
      </w:r>
    </w:p>
    <w:p>
      <w:pPr>
        <w:pStyle w:val="ListParagraph"/>
        <w:numPr>
          <w:ilvl w:val="0"/>
          <w:numId w:val="52"/>
        </w:numPr>
        <w:tabs>
          <w:tab w:pos="1254" w:val="left" w:leader="none"/>
        </w:tabs>
        <w:spacing w:line="240" w:lineRule="auto" w:before="0" w:after="0"/>
        <w:ind w:left="1253" w:right="763" w:hanging="569"/>
        <w:jc w:val="both"/>
        <w:rPr>
          <w:sz w:val="24"/>
        </w:rPr>
      </w:pPr>
      <w:r>
        <w:rPr>
          <w:sz w:val="24"/>
        </w:rPr>
        <w:t>neiespējamība pārbaudīt parādnieka patiesos ienākumus, ja parādnieks strādā ārpus Latvijas, kā arī neiespējamība pārbaudīt to, vai parādniekam pieder</w:t>
      </w:r>
      <w:r>
        <w:rPr>
          <w:spacing w:val="-18"/>
          <w:sz w:val="24"/>
        </w:rPr>
        <w:t> </w:t>
      </w:r>
      <w:r>
        <w:rPr>
          <w:sz w:val="24"/>
        </w:rPr>
        <w:t>manta ārpus</w:t>
      </w:r>
      <w:r>
        <w:rPr>
          <w:spacing w:val="1"/>
          <w:sz w:val="24"/>
        </w:rPr>
        <w:t> </w:t>
      </w:r>
      <w:r>
        <w:rPr>
          <w:sz w:val="24"/>
        </w:rPr>
        <w:t>Latvijas,</w:t>
      </w:r>
    </w:p>
    <w:p>
      <w:pPr>
        <w:pStyle w:val="ListParagraph"/>
        <w:numPr>
          <w:ilvl w:val="0"/>
          <w:numId w:val="52"/>
        </w:numPr>
        <w:tabs>
          <w:tab w:pos="1254" w:val="left" w:leader="none"/>
        </w:tabs>
        <w:spacing w:line="240" w:lineRule="auto" w:before="0" w:after="0"/>
        <w:ind w:left="1253" w:right="764" w:hanging="569"/>
        <w:jc w:val="both"/>
        <w:rPr>
          <w:sz w:val="24"/>
        </w:rPr>
      </w:pPr>
      <w:r>
        <w:rPr>
          <w:sz w:val="24"/>
        </w:rPr>
        <w:t>Maksātnespējas likums pietiekami nenošķir personas, kuras finanšu grūtībās nonākušas savas vieglprātības dēļ no tām, kurām tas ir objektīvs</w:t>
      </w:r>
      <w:r>
        <w:rPr>
          <w:spacing w:val="-5"/>
          <w:sz w:val="24"/>
        </w:rPr>
        <w:t> </w:t>
      </w:r>
      <w:r>
        <w:rPr>
          <w:sz w:val="24"/>
        </w:rPr>
        <w:t>iemesls,</w:t>
      </w:r>
    </w:p>
    <w:p>
      <w:pPr>
        <w:pStyle w:val="ListParagraph"/>
        <w:numPr>
          <w:ilvl w:val="0"/>
          <w:numId w:val="52"/>
        </w:numPr>
        <w:tabs>
          <w:tab w:pos="1254" w:val="left" w:leader="none"/>
        </w:tabs>
        <w:spacing w:line="240" w:lineRule="auto" w:before="0" w:after="0"/>
        <w:ind w:left="1253" w:right="767" w:hanging="569"/>
        <w:jc w:val="both"/>
        <w:rPr>
          <w:sz w:val="24"/>
        </w:rPr>
      </w:pPr>
      <w:r>
        <w:rPr>
          <w:sz w:val="24"/>
        </w:rPr>
        <w:t>parādnieks nav sasniedzams adresē, ko tas norādījis maksātnespējas procesa pieteikumā,</w:t>
      </w:r>
    </w:p>
    <w:p>
      <w:pPr>
        <w:pStyle w:val="ListParagraph"/>
        <w:numPr>
          <w:ilvl w:val="0"/>
          <w:numId w:val="52"/>
        </w:numPr>
        <w:tabs>
          <w:tab w:pos="1254" w:val="left" w:leader="none"/>
        </w:tabs>
        <w:spacing w:line="240" w:lineRule="auto" w:before="0" w:after="0"/>
        <w:ind w:left="1253" w:right="0" w:hanging="570"/>
        <w:jc w:val="both"/>
        <w:rPr>
          <w:sz w:val="24"/>
        </w:rPr>
      </w:pPr>
      <w:r>
        <w:rPr>
          <w:sz w:val="24"/>
        </w:rPr>
        <w:t>ģimenes maksātnespējas tiesiskais</w:t>
      </w:r>
      <w:r>
        <w:rPr>
          <w:spacing w:val="-1"/>
          <w:sz w:val="24"/>
        </w:rPr>
        <w:t> </w:t>
      </w:r>
      <w:r>
        <w:rPr>
          <w:sz w:val="24"/>
        </w:rPr>
        <w:t>regulējums,</w:t>
      </w:r>
    </w:p>
    <w:p>
      <w:pPr>
        <w:pStyle w:val="ListParagraph"/>
        <w:numPr>
          <w:ilvl w:val="0"/>
          <w:numId w:val="52"/>
        </w:numPr>
        <w:tabs>
          <w:tab w:pos="1254" w:val="left" w:leader="none"/>
        </w:tabs>
        <w:spacing w:line="240" w:lineRule="auto" w:before="0" w:after="0"/>
        <w:ind w:left="1253" w:right="0" w:hanging="570"/>
        <w:jc w:val="both"/>
        <w:rPr>
          <w:sz w:val="24"/>
        </w:rPr>
      </w:pPr>
      <w:r>
        <w:rPr>
          <w:sz w:val="24"/>
        </w:rPr>
        <w:t>mantojuma fakta slēpšanas vai atteikšanās no</w:t>
      </w:r>
      <w:r>
        <w:rPr>
          <w:spacing w:val="-3"/>
          <w:sz w:val="24"/>
        </w:rPr>
        <w:t> </w:t>
      </w:r>
      <w:r>
        <w:rPr>
          <w:sz w:val="24"/>
        </w:rPr>
        <w:t>mantojuma,</w:t>
      </w:r>
    </w:p>
    <w:p>
      <w:pPr>
        <w:pStyle w:val="ListParagraph"/>
        <w:numPr>
          <w:ilvl w:val="0"/>
          <w:numId w:val="52"/>
        </w:numPr>
        <w:tabs>
          <w:tab w:pos="1254" w:val="left" w:leader="none"/>
        </w:tabs>
        <w:spacing w:line="240" w:lineRule="auto" w:before="0" w:after="0"/>
        <w:ind w:left="1253" w:right="0" w:hanging="570"/>
        <w:jc w:val="both"/>
        <w:rPr>
          <w:sz w:val="24"/>
        </w:rPr>
      </w:pPr>
      <w:r>
        <w:rPr>
          <w:sz w:val="24"/>
        </w:rPr>
        <w:t>nav</w:t>
      </w:r>
      <w:r>
        <w:rPr>
          <w:spacing w:val="-11"/>
          <w:sz w:val="24"/>
        </w:rPr>
        <w:t> </w:t>
      </w:r>
      <w:r>
        <w:rPr>
          <w:sz w:val="24"/>
        </w:rPr>
        <w:t>paredzētas</w:t>
      </w:r>
      <w:r>
        <w:rPr>
          <w:spacing w:val="-10"/>
          <w:sz w:val="24"/>
        </w:rPr>
        <w:t> </w:t>
      </w:r>
      <w:r>
        <w:rPr>
          <w:sz w:val="24"/>
        </w:rPr>
        <w:t>tiesības</w:t>
      </w:r>
      <w:r>
        <w:rPr>
          <w:spacing w:val="-10"/>
          <w:sz w:val="24"/>
        </w:rPr>
        <w:t> </w:t>
      </w:r>
      <w:r>
        <w:rPr>
          <w:sz w:val="24"/>
        </w:rPr>
        <w:t>kreditoriem</w:t>
      </w:r>
      <w:r>
        <w:rPr>
          <w:spacing w:val="-12"/>
          <w:sz w:val="24"/>
        </w:rPr>
        <w:t> </w:t>
      </w:r>
      <w:r>
        <w:rPr>
          <w:sz w:val="24"/>
        </w:rPr>
        <w:t>iesniegt</w:t>
      </w:r>
      <w:r>
        <w:rPr>
          <w:spacing w:val="-10"/>
          <w:sz w:val="24"/>
        </w:rPr>
        <w:t> </w:t>
      </w:r>
      <w:r>
        <w:rPr>
          <w:sz w:val="24"/>
        </w:rPr>
        <w:t>maksātnespējas</w:t>
      </w:r>
      <w:r>
        <w:rPr>
          <w:spacing w:val="-10"/>
          <w:sz w:val="24"/>
        </w:rPr>
        <w:t> </w:t>
      </w:r>
      <w:r>
        <w:rPr>
          <w:sz w:val="24"/>
        </w:rPr>
        <w:t>procesa</w:t>
      </w:r>
      <w:r>
        <w:rPr>
          <w:spacing w:val="-9"/>
          <w:sz w:val="24"/>
        </w:rPr>
        <w:t> </w:t>
      </w:r>
      <w:r>
        <w:rPr>
          <w:sz w:val="24"/>
        </w:rPr>
        <w:t>pieteikumu,</w:t>
      </w:r>
    </w:p>
    <w:p>
      <w:pPr>
        <w:pStyle w:val="ListParagraph"/>
        <w:numPr>
          <w:ilvl w:val="0"/>
          <w:numId w:val="52"/>
        </w:numPr>
        <w:tabs>
          <w:tab w:pos="1254" w:val="left" w:leader="none"/>
        </w:tabs>
        <w:spacing w:line="240" w:lineRule="auto" w:before="0" w:after="0"/>
        <w:ind w:left="1253" w:right="0" w:hanging="570"/>
        <w:jc w:val="both"/>
        <w:rPr>
          <w:sz w:val="24"/>
        </w:rPr>
      </w:pPr>
      <w:r>
        <w:rPr>
          <w:sz w:val="24"/>
        </w:rPr>
        <w:t>pārāk augsts saistību slieksnis maksātnespējas procesa</w:t>
      </w:r>
      <w:r>
        <w:rPr>
          <w:spacing w:val="-9"/>
          <w:sz w:val="24"/>
        </w:rPr>
        <w:t> </w:t>
      </w:r>
      <w:r>
        <w:rPr>
          <w:sz w:val="24"/>
        </w:rPr>
        <w:t>uzsākšanai,</w:t>
      </w:r>
    </w:p>
    <w:p>
      <w:pPr>
        <w:pStyle w:val="ListParagraph"/>
        <w:numPr>
          <w:ilvl w:val="0"/>
          <w:numId w:val="52"/>
        </w:numPr>
        <w:tabs>
          <w:tab w:pos="1254" w:val="left" w:leader="none"/>
        </w:tabs>
        <w:spacing w:line="240" w:lineRule="auto" w:before="0" w:after="0"/>
        <w:ind w:left="1253" w:right="0" w:hanging="570"/>
        <w:jc w:val="both"/>
        <w:rPr>
          <w:sz w:val="24"/>
        </w:rPr>
      </w:pPr>
      <w:r>
        <w:rPr>
          <w:sz w:val="24"/>
        </w:rPr>
        <w:t>parādniekiem  trūkst līdzekļu, lai uzsāktu maksātnespējas</w:t>
      </w:r>
      <w:r>
        <w:rPr>
          <w:spacing w:val="-7"/>
          <w:sz w:val="24"/>
        </w:rPr>
        <w:t> </w:t>
      </w:r>
      <w:r>
        <w:rPr>
          <w:sz w:val="24"/>
        </w:rPr>
        <w:t>procesu,</w:t>
      </w:r>
    </w:p>
    <w:p>
      <w:pPr>
        <w:pStyle w:val="ListParagraph"/>
        <w:numPr>
          <w:ilvl w:val="0"/>
          <w:numId w:val="52"/>
        </w:numPr>
        <w:tabs>
          <w:tab w:pos="1253" w:val="left" w:leader="none"/>
          <w:tab w:pos="1254" w:val="left" w:leader="none"/>
        </w:tabs>
        <w:spacing w:line="240" w:lineRule="auto" w:before="0" w:after="0"/>
        <w:ind w:left="1253" w:right="763" w:hanging="569"/>
        <w:jc w:val="left"/>
        <w:rPr>
          <w:sz w:val="24"/>
        </w:rPr>
      </w:pPr>
      <w:r>
        <w:rPr>
          <w:sz w:val="24"/>
        </w:rPr>
        <w:t>neregulāri maksājumi saistību dzēšanas procedūras laikā vai saistību dzēšanas plāna</w:t>
      </w:r>
      <w:r>
        <w:rPr>
          <w:spacing w:val="-3"/>
          <w:sz w:val="24"/>
        </w:rPr>
        <w:t> </w:t>
      </w:r>
      <w:r>
        <w:rPr>
          <w:sz w:val="24"/>
        </w:rPr>
        <w:t>nepildīšana,</w:t>
      </w:r>
    </w:p>
    <w:p>
      <w:pPr>
        <w:pStyle w:val="ListParagraph"/>
        <w:numPr>
          <w:ilvl w:val="0"/>
          <w:numId w:val="52"/>
        </w:numPr>
        <w:tabs>
          <w:tab w:pos="1253" w:val="left" w:leader="none"/>
          <w:tab w:pos="1254" w:val="left" w:leader="none"/>
        </w:tabs>
        <w:spacing w:line="240" w:lineRule="auto" w:before="0" w:after="0"/>
        <w:ind w:left="1253" w:right="0" w:hanging="570"/>
        <w:jc w:val="left"/>
        <w:rPr>
          <w:sz w:val="24"/>
        </w:rPr>
      </w:pPr>
      <w:r>
        <w:rPr>
          <w:sz w:val="24"/>
        </w:rPr>
        <w:t>nevēlēšanās strādāt atbilstoši izglītībai un/ vai iemaņām atalgotu</w:t>
      </w:r>
      <w:r>
        <w:rPr>
          <w:spacing w:val="-6"/>
          <w:sz w:val="24"/>
        </w:rPr>
        <w:t> </w:t>
      </w:r>
      <w:r>
        <w:rPr>
          <w:sz w:val="24"/>
        </w:rPr>
        <w:t>darbu,</w:t>
      </w:r>
    </w:p>
    <w:p>
      <w:pPr>
        <w:pStyle w:val="ListParagraph"/>
        <w:numPr>
          <w:ilvl w:val="0"/>
          <w:numId w:val="52"/>
        </w:numPr>
        <w:tabs>
          <w:tab w:pos="1253" w:val="left" w:leader="none"/>
          <w:tab w:pos="1254" w:val="left" w:leader="none"/>
        </w:tabs>
        <w:spacing w:line="240" w:lineRule="auto" w:before="0" w:after="0"/>
        <w:ind w:left="1253" w:right="0" w:hanging="570"/>
        <w:jc w:val="left"/>
        <w:rPr>
          <w:sz w:val="24"/>
        </w:rPr>
      </w:pPr>
      <w:r>
        <w:rPr>
          <w:sz w:val="24"/>
        </w:rPr>
        <w:t>nepārdomātu neskaitāmu ātro kredītu ņemšana bez iespējām tos</w:t>
      </w:r>
      <w:r>
        <w:rPr>
          <w:spacing w:val="1"/>
          <w:sz w:val="24"/>
        </w:rPr>
        <w:t> </w:t>
      </w:r>
      <w:r>
        <w:rPr>
          <w:sz w:val="24"/>
        </w:rPr>
        <w:t>atdot,</w:t>
      </w:r>
    </w:p>
    <w:p>
      <w:pPr>
        <w:pStyle w:val="ListParagraph"/>
        <w:numPr>
          <w:ilvl w:val="0"/>
          <w:numId w:val="52"/>
        </w:numPr>
        <w:tabs>
          <w:tab w:pos="1253" w:val="left" w:leader="none"/>
          <w:tab w:pos="1254" w:val="left" w:leader="none"/>
        </w:tabs>
        <w:spacing w:line="240" w:lineRule="auto" w:before="0" w:after="0"/>
        <w:ind w:left="1253" w:right="0" w:hanging="570"/>
        <w:jc w:val="left"/>
        <w:rPr>
          <w:sz w:val="24"/>
        </w:rPr>
      </w:pPr>
      <w:r>
        <w:rPr>
          <w:sz w:val="24"/>
        </w:rPr>
        <w:t>maksātnespējas procesa izdevumu</w:t>
      </w:r>
      <w:r>
        <w:rPr>
          <w:spacing w:val="-1"/>
          <w:sz w:val="24"/>
        </w:rPr>
        <w:t> </w:t>
      </w:r>
      <w:r>
        <w:rPr>
          <w:sz w:val="24"/>
        </w:rPr>
        <w:t>nesegšana,</w:t>
      </w:r>
    </w:p>
    <w:p>
      <w:pPr>
        <w:pStyle w:val="ListParagraph"/>
        <w:numPr>
          <w:ilvl w:val="0"/>
          <w:numId w:val="52"/>
        </w:numPr>
        <w:tabs>
          <w:tab w:pos="1253" w:val="left" w:leader="none"/>
          <w:tab w:pos="1254" w:val="left" w:leader="none"/>
        </w:tabs>
        <w:spacing w:line="240" w:lineRule="auto" w:before="0" w:after="0"/>
        <w:ind w:left="1253" w:right="764" w:hanging="569"/>
        <w:jc w:val="left"/>
        <w:rPr>
          <w:sz w:val="24"/>
        </w:rPr>
      </w:pPr>
      <w:r>
        <w:rPr>
          <w:sz w:val="24"/>
        </w:rPr>
        <w:t>parādnieka negodprātība dažādos aspektos – informācijas nesniegšana, mantas slēpšana, apzināta nevēlēšanās pildīt saistības, fiktīvi kreditori</w:t>
      </w:r>
      <w:r>
        <w:rPr>
          <w:spacing w:val="-8"/>
          <w:sz w:val="24"/>
        </w:rPr>
        <w:t> </w:t>
      </w:r>
      <w:r>
        <w:rPr>
          <w:sz w:val="24"/>
        </w:rPr>
        <w:t>u.c.,</w:t>
      </w:r>
    </w:p>
    <w:p>
      <w:pPr>
        <w:spacing w:after="0" w:line="240" w:lineRule="auto"/>
        <w:jc w:val="left"/>
        <w:rPr>
          <w:sz w:val="24"/>
        </w:rPr>
        <w:sectPr>
          <w:pgSz w:w="11910" w:h="16840"/>
          <w:pgMar w:header="0" w:footer="1055" w:top="1340" w:bottom="1240" w:left="1180" w:right="1040"/>
        </w:sectPr>
      </w:pPr>
    </w:p>
    <w:p>
      <w:pPr>
        <w:pStyle w:val="ListParagraph"/>
        <w:numPr>
          <w:ilvl w:val="0"/>
          <w:numId w:val="52"/>
        </w:numPr>
        <w:tabs>
          <w:tab w:pos="1614" w:val="left" w:leader="none"/>
        </w:tabs>
        <w:spacing w:line="240" w:lineRule="auto" w:before="73" w:after="0"/>
        <w:ind w:left="1613" w:right="406" w:hanging="569"/>
        <w:jc w:val="both"/>
        <w:rPr>
          <w:sz w:val="24"/>
        </w:rPr>
      </w:pPr>
      <w:r>
        <w:rPr>
          <w:sz w:val="24"/>
        </w:rPr>
        <w:t>iespēja iesniegt atkārtotu maksātnespējas procesa pieteikumu, ja iepriekšējais maksātnespējas process izbeigts, nedzēšot</w:t>
      </w:r>
      <w:r>
        <w:rPr>
          <w:spacing w:val="-1"/>
          <w:sz w:val="24"/>
        </w:rPr>
        <w:t> </w:t>
      </w:r>
      <w:r>
        <w:rPr>
          <w:sz w:val="24"/>
        </w:rPr>
        <w:t>saistības,</w:t>
      </w:r>
    </w:p>
    <w:p>
      <w:pPr>
        <w:pStyle w:val="ListParagraph"/>
        <w:numPr>
          <w:ilvl w:val="0"/>
          <w:numId w:val="52"/>
        </w:numPr>
        <w:tabs>
          <w:tab w:pos="1614" w:val="left" w:leader="none"/>
        </w:tabs>
        <w:spacing w:line="240" w:lineRule="auto" w:before="0" w:after="0"/>
        <w:ind w:left="1613" w:right="0" w:hanging="570"/>
        <w:jc w:val="both"/>
        <w:rPr>
          <w:sz w:val="24"/>
        </w:rPr>
      </w:pPr>
      <w:r>
        <w:rPr>
          <w:sz w:val="24"/>
        </w:rPr>
        <w:t>maksātnespējas “tūrisms” – Lietuvas pilsoņu maksātnespējas</w:t>
      </w:r>
      <w:r>
        <w:rPr>
          <w:spacing w:val="-3"/>
          <w:sz w:val="24"/>
        </w:rPr>
        <w:t> </w:t>
      </w:r>
      <w:r>
        <w:rPr>
          <w:sz w:val="24"/>
        </w:rPr>
        <w:t>procesi,</w:t>
      </w:r>
    </w:p>
    <w:p>
      <w:pPr>
        <w:pStyle w:val="ListParagraph"/>
        <w:numPr>
          <w:ilvl w:val="0"/>
          <w:numId w:val="52"/>
        </w:numPr>
        <w:tabs>
          <w:tab w:pos="1614" w:val="left" w:leader="none"/>
        </w:tabs>
        <w:spacing w:line="240" w:lineRule="auto" w:before="0" w:after="0"/>
        <w:ind w:left="1613" w:right="404" w:hanging="569"/>
        <w:jc w:val="both"/>
        <w:rPr>
          <w:sz w:val="24"/>
        </w:rPr>
      </w:pPr>
      <w:r>
        <w:rPr>
          <w:sz w:val="24"/>
        </w:rPr>
        <w:t>tiesai nav tiesību izbeigt fiziskās personas maksātnespējas procesu pēc savas iniciatīvas,</w:t>
      </w:r>
    </w:p>
    <w:p>
      <w:pPr>
        <w:pStyle w:val="ListParagraph"/>
        <w:numPr>
          <w:ilvl w:val="0"/>
          <w:numId w:val="52"/>
        </w:numPr>
        <w:tabs>
          <w:tab w:pos="1614" w:val="left" w:leader="none"/>
        </w:tabs>
        <w:spacing w:line="240" w:lineRule="auto" w:before="0" w:after="0"/>
        <w:ind w:left="1613" w:right="401" w:hanging="569"/>
        <w:jc w:val="both"/>
        <w:rPr>
          <w:sz w:val="24"/>
        </w:rPr>
      </w:pPr>
      <w:r>
        <w:rPr>
          <w:sz w:val="24"/>
        </w:rPr>
        <w:t>būtiski atšķirīga tiesību normu interpretācija, piemēram, saistībā ar to, ko tiesa pārbauda, lemjot par saistību dzēšanu, un jautājumā par to, vai parādniekam ir pienākums maksāt 1/3 daļu no saviem ienākumiem, ja tiek paredzēts segt 20 % vai</w:t>
      </w:r>
      <w:r>
        <w:rPr>
          <w:spacing w:val="-5"/>
          <w:sz w:val="24"/>
        </w:rPr>
        <w:t> </w:t>
      </w:r>
      <w:r>
        <w:rPr>
          <w:sz w:val="24"/>
        </w:rPr>
        <w:t>30</w:t>
      </w:r>
      <w:r>
        <w:rPr>
          <w:spacing w:val="-5"/>
          <w:sz w:val="24"/>
        </w:rPr>
        <w:t> </w:t>
      </w:r>
      <w:r>
        <w:rPr>
          <w:sz w:val="24"/>
        </w:rPr>
        <w:t>%</w:t>
      </w:r>
      <w:r>
        <w:rPr>
          <w:spacing w:val="-5"/>
          <w:sz w:val="24"/>
        </w:rPr>
        <w:t> </w:t>
      </w:r>
      <w:r>
        <w:rPr>
          <w:sz w:val="24"/>
        </w:rPr>
        <w:t>no</w:t>
      </w:r>
      <w:r>
        <w:rPr>
          <w:spacing w:val="-5"/>
          <w:sz w:val="24"/>
        </w:rPr>
        <w:t> </w:t>
      </w:r>
      <w:r>
        <w:rPr>
          <w:sz w:val="24"/>
        </w:rPr>
        <w:t>saistībām</w:t>
      </w:r>
      <w:r>
        <w:rPr>
          <w:spacing w:val="-7"/>
          <w:sz w:val="24"/>
        </w:rPr>
        <w:t> </w:t>
      </w:r>
      <w:r>
        <w:rPr>
          <w:sz w:val="24"/>
        </w:rPr>
        <w:t>(daļa</w:t>
      </w:r>
      <w:r>
        <w:rPr>
          <w:spacing w:val="-5"/>
          <w:sz w:val="24"/>
        </w:rPr>
        <w:t> </w:t>
      </w:r>
      <w:r>
        <w:rPr>
          <w:sz w:val="24"/>
        </w:rPr>
        <w:t>tiesnešu</w:t>
      </w:r>
      <w:r>
        <w:rPr>
          <w:spacing w:val="-5"/>
          <w:sz w:val="24"/>
        </w:rPr>
        <w:t> </w:t>
      </w:r>
      <w:r>
        <w:rPr>
          <w:sz w:val="24"/>
        </w:rPr>
        <w:t>uzskata,</w:t>
      </w:r>
      <w:r>
        <w:rPr>
          <w:spacing w:val="-8"/>
          <w:sz w:val="24"/>
        </w:rPr>
        <w:t> </w:t>
      </w:r>
      <w:r>
        <w:rPr>
          <w:sz w:val="24"/>
        </w:rPr>
        <w:t>ka</w:t>
      </w:r>
      <w:r>
        <w:rPr>
          <w:spacing w:val="-5"/>
          <w:sz w:val="24"/>
        </w:rPr>
        <w:t> </w:t>
      </w:r>
      <w:r>
        <w:rPr>
          <w:sz w:val="24"/>
        </w:rPr>
        <w:t>ir</w:t>
      </w:r>
      <w:r>
        <w:rPr>
          <w:spacing w:val="-4"/>
          <w:sz w:val="24"/>
        </w:rPr>
        <w:t> </w:t>
      </w:r>
      <w:r>
        <w:rPr>
          <w:sz w:val="24"/>
        </w:rPr>
        <w:t>pieļaujams</w:t>
      </w:r>
      <w:r>
        <w:rPr>
          <w:spacing w:val="-5"/>
          <w:sz w:val="24"/>
        </w:rPr>
        <w:t> </w:t>
      </w:r>
      <w:r>
        <w:rPr>
          <w:sz w:val="24"/>
        </w:rPr>
        <w:t>veikt</w:t>
      </w:r>
      <w:r>
        <w:rPr>
          <w:spacing w:val="-5"/>
          <w:sz w:val="24"/>
        </w:rPr>
        <w:t> </w:t>
      </w:r>
      <w:r>
        <w:rPr>
          <w:sz w:val="24"/>
        </w:rPr>
        <w:t>maksājumus mazākā apmērā, tas ir, tik daudz, lai nosegtu attiecīgi 20 % vai 35 % no saistībām),</w:t>
      </w:r>
    </w:p>
    <w:p>
      <w:pPr>
        <w:pStyle w:val="ListParagraph"/>
        <w:numPr>
          <w:ilvl w:val="0"/>
          <w:numId w:val="52"/>
        </w:numPr>
        <w:tabs>
          <w:tab w:pos="1614" w:val="left" w:leader="none"/>
        </w:tabs>
        <w:spacing w:line="240" w:lineRule="auto" w:before="0" w:after="0"/>
        <w:ind w:left="1613" w:right="404" w:hanging="569"/>
        <w:jc w:val="both"/>
        <w:rPr>
          <w:sz w:val="24"/>
        </w:rPr>
      </w:pPr>
      <w:r>
        <w:rPr>
          <w:sz w:val="24"/>
        </w:rPr>
        <w:t>neskaidrs regulējums attiecībā uz kreditora prasījumu, kas atkarīgs no nosacījuma</w:t>
      </w:r>
      <w:r>
        <w:rPr>
          <w:spacing w:val="-4"/>
          <w:sz w:val="24"/>
        </w:rPr>
        <w:t> </w:t>
      </w:r>
      <w:r>
        <w:rPr>
          <w:sz w:val="24"/>
        </w:rPr>
        <w:t>iestāšanās,</w:t>
      </w:r>
    </w:p>
    <w:p>
      <w:pPr>
        <w:pStyle w:val="ListParagraph"/>
        <w:numPr>
          <w:ilvl w:val="0"/>
          <w:numId w:val="52"/>
        </w:numPr>
        <w:tabs>
          <w:tab w:pos="1614" w:val="left" w:leader="none"/>
        </w:tabs>
        <w:spacing w:line="240" w:lineRule="auto" w:before="1" w:after="0"/>
        <w:ind w:left="1613" w:right="402" w:hanging="569"/>
        <w:jc w:val="both"/>
        <w:rPr>
          <w:sz w:val="24"/>
        </w:rPr>
      </w:pPr>
      <w:r>
        <w:rPr>
          <w:sz w:val="24"/>
        </w:rPr>
        <w:t>pabeidzot saistību dzēšanas procedūru un dzēšot saistības, netiek pārbaudīti parādnieka ienākumi saistību dzēšanas procedūras</w:t>
      </w:r>
      <w:r>
        <w:rPr>
          <w:spacing w:val="-4"/>
          <w:sz w:val="24"/>
        </w:rPr>
        <w:t> </w:t>
      </w:r>
      <w:r>
        <w:rPr>
          <w:sz w:val="24"/>
        </w:rPr>
        <w:t>laikā,</w:t>
      </w:r>
    </w:p>
    <w:p>
      <w:pPr>
        <w:pStyle w:val="ListParagraph"/>
        <w:numPr>
          <w:ilvl w:val="0"/>
          <w:numId w:val="52"/>
        </w:numPr>
        <w:tabs>
          <w:tab w:pos="1614" w:val="left" w:leader="none"/>
        </w:tabs>
        <w:spacing w:line="240" w:lineRule="auto" w:before="0" w:after="0"/>
        <w:ind w:left="1613" w:right="402" w:hanging="569"/>
        <w:jc w:val="both"/>
        <w:rPr>
          <w:sz w:val="24"/>
        </w:rPr>
      </w:pPr>
      <w:r>
        <w:rPr>
          <w:sz w:val="24"/>
        </w:rPr>
        <w:t>tiesas pienākums, izskatot pieteikumu par saistību dzēšanu, skaitīt veiktos maksājumus, kas ir laikietilpīgs</w:t>
      </w:r>
      <w:r>
        <w:rPr>
          <w:spacing w:val="-1"/>
          <w:sz w:val="24"/>
        </w:rPr>
        <w:t> </w:t>
      </w:r>
      <w:r>
        <w:rPr>
          <w:sz w:val="24"/>
        </w:rPr>
        <w:t>process,</w:t>
      </w:r>
    </w:p>
    <w:p>
      <w:pPr>
        <w:pStyle w:val="ListParagraph"/>
        <w:numPr>
          <w:ilvl w:val="0"/>
          <w:numId w:val="52"/>
        </w:numPr>
        <w:tabs>
          <w:tab w:pos="1614" w:val="left" w:leader="none"/>
        </w:tabs>
        <w:spacing w:line="240" w:lineRule="auto" w:before="0" w:after="0"/>
        <w:ind w:left="1613" w:right="404" w:hanging="569"/>
        <w:jc w:val="both"/>
        <w:rPr>
          <w:sz w:val="24"/>
        </w:rPr>
      </w:pPr>
      <w:r>
        <w:rPr>
          <w:sz w:val="24"/>
        </w:rPr>
        <w:t>maksājumus saistību dzēšanas procedūras laikā veic trešā persona, nevis parādnieks,</w:t>
      </w:r>
    </w:p>
    <w:p>
      <w:pPr>
        <w:pStyle w:val="ListParagraph"/>
        <w:numPr>
          <w:ilvl w:val="0"/>
          <w:numId w:val="52"/>
        </w:numPr>
        <w:tabs>
          <w:tab w:pos="1614" w:val="left" w:leader="none"/>
        </w:tabs>
        <w:spacing w:line="240" w:lineRule="auto" w:before="0" w:after="0"/>
        <w:ind w:left="1613" w:right="0" w:hanging="570"/>
        <w:jc w:val="both"/>
        <w:rPr>
          <w:sz w:val="24"/>
        </w:rPr>
      </w:pPr>
      <w:r>
        <w:rPr>
          <w:sz w:val="24"/>
        </w:rPr>
        <w:t>pārāk īsi termiņi, kādos tiesām jāskata</w:t>
      </w:r>
      <w:r>
        <w:rPr>
          <w:spacing w:val="-2"/>
          <w:sz w:val="24"/>
        </w:rPr>
        <w:t> </w:t>
      </w:r>
      <w:r>
        <w:rPr>
          <w:sz w:val="24"/>
        </w:rPr>
        <w:t>pieteikumi,</w:t>
      </w:r>
    </w:p>
    <w:p>
      <w:pPr>
        <w:pStyle w:val="ListParagraph"/>
        <w:numPr>
          <w:ilvl w:val="0"/>
          <w:numId w:val="52"/>
        </w:numPr>
        <w:tabs>
          <w:tab w:pos="1614" w:val="left" w:leader="none"/>
        </w:tabs>
        <w:spacing w:line="240" w:lineRule="auto" w:before="0" w:after="0"/>
        <w:ind w:left="1613" w:right="403" w:hanging="569"/>
        <w:jc w:val="both"/>
        <w:rPr>
          <w:sz w:val="24"/>
        </w:rPr>
      </w:pPr>
      <w:r>
        <w:rPr>
          <w:sz w:val="24"/>
        </w:rPr>
        <w:t>parādnieki neņem vērā minimālās algas pieaugumu un bieži starpību piemaksā īsi pirms pieteikuma iesniegšanas tiesā par procesa pabeigšanu un saistību dzēšanu,</w:t>
      </w:r>
    </w:p>
    <w:p>
      <w:pPr>
        <w:pStyle w:val="ListParagraph"/>
        <w:numPr>
          <w:ilvl w:val="0"/>
          <w:numId w:val="52"/>
        </w:numPr>
        <w:tabs>
          <w:tab w:pos="1614" w:val="left" w:leader="none"/>
        </w:tabs>
        <w:spacing w:line="240" w:lineRule="auto" w:before="0" w:after="0"/>
        <w:ind w:left="1613" w:right="0" w:hanging="570"/>
        <w:jc w:val="both"/>
        <w:rPr>
          <w:sz w:val="24"/>
        </w:rPr>
      </w:pPr>
      <w:r>
        <w:rPr>
          <w:sz w:val="24"/>
        </w:rPr>
        <w:t>jaunu parādsaistību rašanās maksātnespējas procesa</w:t>
      </w:r>
      <w:r>
        <w:rPr>
          <w:spacing w:val="-1"/>
          <w:sz w:val="24"/>
        </w:rPr>
        <w:t> </w:t>
      </w:r>
      <w:r>
        <w:rPr>
          <w:sz w:val="24"/>
        </w:rPr>
        <w:t>laikā,</w:t>
      </w:r>
    </w:p>
    <w:p>
      <w:pPr>
        <w:pStyle w:val="ListParagraph"/>
        <w:numPr>
          <w:ilvl w:val="0"/>
          <w:numId w:val="52"/>
        </w:numPr>
        <w:tabs>
          <w:tab w:pos="1613" w:val="left" w:leader="none"/>
          <w:tab w:pos="1614" w:val="left" w:leader="none"/>
        </w:tabs>
        <w:spacing w:line="240" w:lineRule="auto" w:before="0" w:after="0"/>
        <w:ind w:left="1613" w:right="406" w:hanging="569"/>
        <w:jc w:val="left"/>
        <w:rPr>
          <w:sz w:val="24"/>
        </w:rPr>
      </w:pPr>
      <w:r>
        <w:rPr>
          <w:sz w:val="24"/>
        </w:rPr>
        <w:t>bankrota procedūra bieži tiek pabeigta 2-3 mēnešu laikā un kreditori nepagūst iesniegt kreditoru</w:t>
      </w:r>
      <w:r>
        <w:rPr>
          <w:spacing w:val="-1"/>
          <w:sz w:val="24"/>
        </w:rPr>
        <w:t> </w:t>
      </w:r>
      <w:r>
        <w:rPr>
          <w:sz w:val="24"/>
        </w:rPr>
        <w:t>prasījumu,</w:t>
      </w:r>
    </w:p>
    <w:p>
      <w:pPr>
        <w:pStyle w:val="ListParagraph"/>
        <w:numPr>
          <w:ilvl w:val="0"/>
          <w:numId w:val="52"/>
        </w:numPr>
        <w:tabs>
          <w:tab w:pos="1613" w:val="left" w:leader="none"/>
          <w:tab w:pos="1614" w:val="left" w:leader="none"/>
        </w:tabs>
        <w:spacing w:line="240" w:lineRule="auto" w:before="0" w:after="0"/>
        <w:ind w:left="1613" w:right="0" w:hanging="570"/>
        <w:jc w:val="left"/>
        <w:rPr>
          <w:sz w:val="24"/>
        </w:rPr>
      </w:pPr>
      <w:r>
        <w:rPr>
          <w:sz w:val="24"/>
        </w:rPr>
        <w:t>faktiski nenotiek parādnieka kontrole saistību dzēšanas procedūras</w:t>
      </w:r>
      <w:r>
        <w:rPr>
          <w:spacing w:val="-13"/>
          <w:sz w:val="24"/>
        </w:rPr>
        <w:t> </w:t>
      </w:r>
      <w:r>
        <w:rPr>
          <w:sz w:val="24"/>
        </w:rPr>
        <w:t>laikā,</w:t>
      </w:r>
    </w:p>
    <w:p>
      <w:pPr>
        <w:pStyle w:val="ListParagraph"/>
        <w:numPr>
          <w:ilvl w:val="0"/>
          <w:numId w:val="52"/>
        </w:numPr>
        <w:tabs>
          <w:tab w:pos="1613" w:val="left" w:leader="none"/>
          <w:tab w:pos="1614" w:val="left" w:leader="none"/>
        </w:tabs>
        <w:spacing w:line="240" w:lineRule="auto" w:before="0" w:after="0"/>
        <w:ind w:left="1613" w:right="0" w:hanging="570"/>
        <w:jc w:val="left"/>
        <w:rPr>
          <w:sz w:val="24"/>
        </w:rPr>
      </w:pPr>
      <w:r>
        <w:rPr>
          <w:sz w:val="24"/>
        </w:rPr>
        <w:t>nevienveidīga tiesu prakse un tiesu nolēmumu</w:t>
      </w:r>
      <w:r>
        <w:rPr>
          <w:spacing w:val="-4"/>
          <w:sz w:val="24"/>
        </w:rPr>
        <w:t> </w:t>
      </w:r>
      <w:r>
        <w:rPr>
          <w:sz w:val="24"/>
        </w:rPr>
        <w:t>nepārsūdzamība,</w:t>
      </w:r>
    </w:p>
    <w:p>
      <w:pPr>
        <w:pStyle w:val="ListParagraph"/>
        <w:numPr>
          <w:ilvl w:val="0"/>
          <w:numId w:val="52"/>
        </w:numPr>
        <w:tabs>
          <w:tab w:pos="1614" w:val="left" w:leader="none"/>
        </w:tabs>
        <w:spacing w:line="240" w:lineRule="auto" w:before="0" w:after="0"/>
        <w:ind w:left="1613" w:right="402" w:hanging="569"/>
        <w:jc w:val="both"/>
        <w:rPr>
          <w:sz w:val="24"/>
        </w:rPr>
      </w:pPr>
      <w:r>
        <w:rPr>
          <w:sz w:val="24"/>
        </w:rPr>
        <w:t>dažāda maksātnespējas procesa administratoru, kreditoru un tiesnešu izpratne par</w:t>
      </w:r>
      <w:r>
        <w:rPr>
          <w:spacing w:val="-9"/>
          <w:sz w:val="24"/>
        </w:rPr>
        <w:t> </w:t>
      </w:r>
      <w:r>
        <w:rPr>
          <w:sz w:val="24"/>
        </w:rPr>
        <w:t>viņu</w:t>
      </w:r>
      <w:r>
        <w:rPr>
          <w:spacing w:val="-6"/>
          <w:sz w:val="24"/>
        </w:rPr>
        <w:t> </w:t>
      </w:r>
      <w:r>
        <w:rPr>
          <w:sz w:val="24"/>
        </w:rPr>
        <w:t>lomu</w:t>
      </w:r>
      <w:r>
        <w:rPr>
          <w:spacing w:val="-6"/>
          <w:sz w:val="24"/>
        </w:rPr>
        <w:t> </w:t>
      </w:r>
      <w:r>
        <w:rPr>
          <w:sz w:val="24"/>
        </w:rPr>
        <w:t>un</w:t>
      </w:r>
      <w:r>
        <w:rPr>
          <w:spacing w:val="-6"/>
          <w:sz w:val="24"/>
        </w:rPr>
        <w:t> </w:t>
      </w:r>
      <w:r>
        <w:rPr>
          <w:sz w:val="24"/>
        </w:rPr>
        <w:t>pienākumiem</w:t>
      </w:r>
      <w:r>
        <w:rPr>
          <w:spacing w:val="-8"/>
          <w:sz w:val="24"/>
        </w:rPr>
        <w:t> </w:t>
      </w:r>
      <w:r>
        <w:rPr>
          <w:sz w:val="24"/>
        </w:rPr>
        <w:t>fiziskās</w:t>
      </w:r>
      <w:r>
        <w:rPr>
          <w:spacing w:val="-6"/>
          <w:sz w:val="24"/>
        </w:rPr>
        <w:t> </w:t>
      </w:r>
      <w:r>
        <w:rPr>
          <w:sz w:val="24"/>
        </w:rPr>
        <w:t>personas</w:t>
      </w:r>
      <w:r>
        <w:rPr>
          <w:spacing w:val="-8"/>
          <w:sz w:val="24"/>
        </w:rPr>
        <w:t> </w:t>
      </w:r>
      <w:r>
        <w:rPr>
          <w:sz w:val="24"/>
        </w:rPr>
        <w:t>maksātnespējas</w:t>
      </w:r>
      <w:r>
        <w:rPr>
          <w:spacing w:val="-6"/>
          <w:sz w:val="24"/>
        </w:rPr>
        <w:t> </w:t>
      </w:r>
      <w:r>
        <w:rPr>
          <w:sz w:val="24"/>
        </w:rPr>
        <w:t>procesā,</w:t>
      </w:r>
      <w:r>
        <w:rPr>
          <w:spacing w:val="-4"/>
          <w:sz w:val="24"/>
        </w:rPr>
        <w:t> </w:t>
      </w:r>
      <w:r>
        <w:rPr>
          <w:sz w:val="24"/>
        </w:rPr>
        <w:t>veltot savstarpējus pārmetumus par nepietiekamu iesaistīšanos vai ieinteresētības trūkumu liegt saistību dzēšanu negodprātīgiem</w:t>
      </w:r>
      <w:r>
        <w:rPr>
          <w:spacing w:val="-2"/>
          <w:sz w:val="24"/>
        </w:rPr>
        <w:t> </w:t>
      </w:r>
      <w:r>
        <w:rPr>
          <w:sz w:val="24"/>
        </w:rPr>
        <w:t>parādniekiem.</w:t>
      </w:r>
    </w:p>
    <w:p>
      <w:pPr>
        <w:pStyle w:val="BodyText"/>
        <w:jc w:val="left"/>
      </w:pPr>
    </w:p>
    <w:p>
      <w:pPr>
        <w:pStyle w:val="BodyText"/>
        <w:ind w:left="620" w:right="401" w:firstLine="427"/>
      </w:pPr>
      <w:r>
        <w:rPr/>
        <w:t>Kā minēto problēmu cēloņus respondenti ir norādījuši zemo saistību izpildes kultūru un ēnu ekonomikas īpatsvaru, kas netiek pietiekami efektīvi risināta, kā rezultātā parādnieku</w:t>
      </w:r>
      <w:r>
        <w:rPr>
          <w:spacing w:val="-4"/>
        </w:rPr>
        <w:t> </w:t>
      </w:r>
      <w:r>
        <w:rPr/>
        <w:t>“oficiālie”</w:t>
      </w:r>
      <w:r>
        <w:rPr>
          <w:spacing w:val="-4"/>
        </w:rPr>
        <w:t> </w:t>
      </w:r>
      <w:r>
        <w:rPr/>
        <w:t>ienākumi</w:t>
      </w:r>
      <w:r>
        <w:rPr>
          <w:spacing w:val="-6"/>
        </w:rPr>
        <w:t> </w:t>
      </w:r>
      <w:r>
        <w:rPr/>
        <w:t>ir</w:t>
      </w:r>
      <w:r>
        <w:rPr>
          <w:spacing w:val="-4"/>
        </w:rPr>
        <w:t> </w:t>
      </w:r>
      <w:r>
        <w:rPr/>
        <w:t>krietni</w:t>
      </w:r>
      <w:r>
        <w:rPr>
          <w:spacing w:val="-2"/>
        </w:rPr>
        <w:t> </w:t>
      </w:r>
      <w:r>
        <w:rPr/>
        <w:t>zem</w:t>
      </w:r>
      <w:r>
        <w:rPr>
          <w:spacing w:val="-6"/>
        </w:rPr>
        <w:t> </w:t>
      </w:r>
      <w:r>
        <w:rPr/>
        <w:t>statistikas</w:t>
      </w:r>
      <w:r>
        <w:rPr>
          <w:spacing w:val="-7"/>
        </w:rPr>
        <w:t> </w:t>
      </w:r>
      <w:r>
        <w:rPr/>
        <w:t>rādītājiem</w:t>
      </w:r>
      <w:r>
        <w:rPr>
          <w:spacing w:val="-6"/>
        </w:rPr>
        <w:t> </w:t>
      </w:r>
      <w:r>
        <w:rPr/>
        <w:t>par</w:t>
      </w:r>
      <w:r>
        <w:rPr>
          <w:spacing w:val="-5"/>
        </w:rPr>
        <w:t> </w:t>
      </w:r>
      <w:r>
        <w:rPr/>
        <w:t>vidējo</w:t>
      </w:r>
      <w:r>
        <w:rPr>
          <w:spacing w:val="-5"/>
        </w:rPr>
        <w:t> </w:t>
      </w:r>
      <w:r>
        <w:rPr/>
        <w:t>atalgojumu. Daudzi respondenti ir norādījuši uz to, ka Maksātnespējas likums nepiedāvā efektīvus instrumentus, kā “atsijāt” negodprātīgos parādniekus, kā arī nepiedāvā efektīvas</w:t>
      </w:r>
      <w:r>
        <w:rPr>
          <w:spacing w:val="-43"/>
        </w:rPr>
        <w:t> </w:t>
      </w:r>
      <w:r>
        <w:rPr/>
        <w:t>sankcijas, lai atturētu parādniekus no patieso ienākumu slēpšanas. Tāpat ļoti daudzi respondenti norādījuši uz to, ka Maksātnespējas likumā faktiski nav paredzēti parādnieka kontroles mehānismi saistību dzēšanas procedūras laikā, kā rezultātā parādniekiem pēc saistību dzēšanas plāna apstiprināšanas saistību dzēšana ir faktiski</w:t>
      </w:r>
      <w:r>
        <w:rPr>
          <w:spacing w:val="-4"/>
        </w:rPr>
        <w:t> </w:t>
      </w:r>
      <w:r>
        <w:rPr/>
        <w:t>garantēta.</w:t>
      </w:r>
    </w:p>
    <w:p>
      <w:pPr>
        <w:pStyle w:val="BodyText"/>
        <w:ind w:left="620" w:right="401" w:firstLine="427"/>
      </w:pPr>
      <w:r>
        <w:rPr/>
        <w:t>Daudzi respondenti ir norādījuši uz nepietiekamu vai formālu administratoru un/vai tiesas kontroli, taču netrūkst arī pārmetumu kreditoriem, kuri nav pietiekami aktīvi, lai, piemēram, maksātnespējas procesu izbeigtu parādniekam, kurš neveic maksājumus atbilstoši saistību dzēšanas plānam. Samērā bieži identificētās problēmas tiek saistītas ar Maksātnespējas likuma trūkumiem (pārsvarā vispārinātas tēzes veidā), tā biežajiem grozījumiem un nevienveidīgo tiesu praksi. Bieži kā identificēto problēmu cēlonis tiek minētā arī “ātro kredītu” vieglā pieejamība, parādnieku izpratnes vai zināšanu trūkums kā finanšu pratības, tā arī maksātnespējas procesa norises jomā, kā arī grūtības pierādīt</w:t>
      </w:r>
    </w:p>
    <w:p>
      <w:pPr>
        <w:spacing w:after="0"/>
        <w:sectPr>
          <w:pgSz w:w="11910" w:h="16840"/>
          <w:pgMar w:header="0" w:footer="1055" w:top="1340" w:bottom="1240" w:left="1180" w:right="1040"/>
        </w:sectPr>
      </w:pPr>
    </w:p>
    <w:p>
      <w:pPr>
        <w:pStyle w:val="BodyText"/>
        <w:spacing w:before="73"/>
        <w:ind w:left="260" w:right="767"/>
      </w:pPr>
      <w:r>
        <w:rPr/>
        <w:t>parādnieku negodprātību un samērā nelielais to gadījumu skaits, kuros negodprātīgiem parādniekiem maksātnespējas process tiek izbeigts, nedzēšot saistības.</w:t>
      </w:r>
    </w:p>
    <w:p>
      <w:pPr>
        <w:pStyle w:val="BodyText"/>
        <w:ind w:left="260" w:right="763" w:firstLine="427"/>
      </w:pPr>
      <w:r>
        <w:rPr/>
        <w:t>Piedāvājot</w:t>
      </w:r>
      <w:r>
        <w:rPr>
          <w:spacing w:val="-11"/>
        </w:rPr>
        <w:t> </w:t>
      </w:r>
      <w:r>
        <w:rPr/>
        <w:t>risinājumus</w:t>
      </w:r>
      <w:r>
        <w:rPr>
          <w:spacing w:val="-11"/>
        </w:rPr>
        <w:t> </w:t>
      </w:r>
      <w:r>
        <w:rPr/>
        <w:t>konstatēto</w:t>
      </w:r>
      <w:r>
        <w:rPr>
          <w:spacing w:val="-11"/>
        </w:rPr>
        <w:t> </w:t>
      </w:r>
      <w:r>
        <w:rPr/>
        <w:t>problēmu</w:t>
      </w:r>
      <w:r>
        <w:rPr>
          <w:spacing w:val="-11"/>
        </w:rPr>
        <w:t> </w:t>
      </w:r>
      <w:r>
        <w:rPr/>
        <w:t>risināšanai,</w:t>
      </w:r>
      <w:r>
        <w:rPr>
          <w:spacing w:val="-11"/>
        </w:rPr>
        <w:t> </w:t>
      </w:r>
      <w:r>
        <w:rPr/>
        <w:t>pamatā</w:t>
      </w:r>
      <w:r>
        <w:rPr>
          <w:spacing w:val="-11"/>
        </w:rPr>
        <w:t> </w:t>
      </w:r>
      <w:r>
        <w:rPr/>
        <w:t>respondenti</w:t>
      </w:r>
      <w:r>
        <w:rPr>
          <w:spacing w:val="-10"/>
        </w:rPr>
        <w:t> </w:t>
      </w:r>
      <w:r>
        <w:rPr/>
        <w:t>ir</w:t>
      </w:r>
      <w:r>
        <w:rPr>
          <w:spacing w:val="-11"/>
        </w:rPr>
        <w:t> </w:t>
      </w:r>
      <w:r>
        <w:rPr/>
        <w:t>pauduši viedokli par nepieciešamību maksātnespējas procesa administratoriem noteikt plašākas pilnvaras</w:t>
      </w:r>
      <w:r>
        <w:rPr>
          <w:spacing w:val="-7"/>
        </w:rPr>
        <w:t> </w:t>
      </w:r>
      <w:r>
        <w:rPr/>
        <w:t>un</w:t>
      </w:r>
      <w:r>
        <w:rPr>
          <w:spacing w:val="-5"/>
        </w:rPr>
        <w:t> </w:t>
      </w:r>
      <w:r>
        <w:rPr/>
        <w:t>pienākumus</w:t>
      </w:r>
      <w:r>
        <w:rPr>
          <w:spacing w:val="-3"/>
        </w:rPr>
        <w:t> </w:t>
      </w:r>
      <w:r>
        <w:rPr/>
        <w:t>parādnieka</w:t>
      </w:r>
      <w:r>
        <w:rPr>
          <w:spacing w:val="-5"/>
        </w:rPr>
        <w:t> </w:t>
      </w:r>
      <w:r>
        <w:rPr/>
        <w:t>kontrolē</w:t>
      </w:r>
      <w:r>
        <w:rPr>
          <w:spacing w:val="-4"/>
        </w:rPr>
        <w:t> </w:t>
      </w:r>
      <w:r>
        <w:rPr/>
        <w:t>(jo</w:t>
      </w:r>
      <w:r>
        <w:rPr>
          <w:spacing w:val="-5"/>
        </w:rPr>
        <w:t> </w:t>
      </w:r>
      <w:r>
        <w:rPr/>
        <w:t>īpaši</w:t>
      </w:r>
      <w:r>
        <w:rPr>
          <w:spacing w:val="-5"/>
        </w:rPr>
        <w:t> </w:t>
      </w:r>
      <w:r>
        <w:rPr/>
        <w:t>saistību</w:t>
      </w:r>
      <w:r>
        <w:rPr>
          <w:spacing w:val="-5"/>
        </w:rPr>
        <w:t> </w:t>
      </w:r>
      <w:r>
        <w:rPr/>
        <w:t>dzēšanas</w:t>
      </w:r>
      <w:r>
        <w:rPr>
          <w:spacing w:val="-7"/>
        </w:rPr>
        <w:t> </w:t>
      </w:r>
      <w:r>
        <w:rPr/>
        <w:t>procedūras</w:t>
      </w:r>
      <w:r>
        <w:rPr>
          <w:spacing w:val="-3"/>
        </w:rPr>
        <w:t> </w:t>
      </w:r>
      <w:r>
        <w:rPr/>
        <w:t>laikā), taču ir arī izteikti daudzi viedokļi par nepieciešamību paaugstināt tiesas kontroli. Vairāki respondenti ir izteikuši viedokli, ka ir nepieciešams vairāk iesaistīt kreditorus parādnieku kontrolē, piemēram, piešķirot tiesības iegūt informāciju par parādnieka ienākumiem. Respondentu atbildēs pārsvarā norādīti vispārīgi priekšlikumi par nepieciešamību </w:t>
      </w:r>
      <w:r>
        <w:rPr>
          <w:spacing w:val="-4"/>
        </w:rPr>
        <w:t>pēc </w:t>
      </w:r>
      <w:r>
        <w:rPr/>
        <w:t>lielākas parādnieku kontroles vai bargākiem sodiem, taču ir norādīti arī vairāki konkrēti priekšlikumi.</w:t>
      </w:r>
      <w:r>
        <w:rPr>
          <w:spacing w:val="-1"/>
        </w:rPr>
        <w:t> </w:t>
      </w:r>
      <w:r>
        <w:rPr/>
        <w:t>Piemēram:</w:t>
      </w:r>
    </w:p>
    <w:p>
      <w:pPr>
        <w:pStyle w:val="ListParagraph"/>
        <w:numPr>
          <w:ilvl w:val="0"/>
          <w:numId w:val="53"/>
        </w:numPr>
        <w:tabs>
          <w:tab w:pos="1048" w:val="left" w:leader="none"/>
        </w:tabs>
        <w:spacing w:line="240" w:lineRule="auto" w:before="0" w:after="0"/>
        <w:ind w:left="1047" w:right="0" w:hanging="361"/>
        <w:jc w:val="both"/>
        <w:rPr>
          <w:sz w:val="24"/>
        </w:rPr>
      </w:pPr>
      <w:r>
        <w:rPr>
          <w:sz w:val="24"/>
        </w:rPr>
        <w:t>noteikt, ka parādniekiem saziņā jāizmanto</w:t>
      </w:r>
      <w:r>
        <w:rPr>
          <w:spacing w:val="-1"/>
          <w:sz w:val="24"/>
        </w:rPr>
        <w:t> </w:t>
      </w:r>
      <w:r>
        <w:rPr>
          <w:sz w:val="24"/>
        </w:rPr>
        <w:t>e-pasts,</w:t>
      </w:r>
    </w:p>
    <w:p>
      <w:pPr>
        <w:pStyle w:val="ListParagraph"/>
        <w:numPr>
          <w:ilvl w:val="0"/>
          <w:numId w:val="53"/>
        </w:numPr>
        <w:tabs>
          <w:tab w:pos="1048" w:val="left" w:leader="none"/>
        </w:tabs>
        <w:spacing w:line="240" w:lineRule="auto" w:before="1" w:after="0"/>
        <w:ind w:left="1047" w:right="760" w:hanging="360"/>
        <w:jc w:val="both"/>
        <w:rPr>
          <w:sz w:val="24"/>
        </w:rPr>
      </w:pPr>
      <w:r>
        <w:rPr>
          <w:sz w:val="24"/>
        </w:rPr>
        <w:t>noteikt parādniekam pienākumu saistību dzēšanas procedūras laikā ik mēnesi/ceturksni sūtīt tiesai/administratoram un/vai kreditoriem atskaiti par saviem</w:t>
      </w:r>
      <w:r>
        <w:rPr>
          <w:spacing w:val="-1"/>
          <w:sz w:val="24"/>
        </w:rPr>
        <w:t> </w:t>
      </w:r>
      <w:r>
        <w:rPr>
          <w:sz w:val="24"/>
        </w:rPr>
        <w:t>ienākumiem,</w:t>
      </w:r>
    </w:p>
    <w:p>
      <w:pPr>
        <w:pStyle w:val="ListParagraph"/>
        <w:numPr>
          <w:ilvl w:val="0"/>
          <w:numId w:val="53"/>
        </w:numPr>
        <w:tabs>
          <w:tab w:pos="1048" w:val="left" w:leader="none"/>
        </w:tabs>
        <w:spacing w:line="240" w:lineRule="auto" w:before="0" w:after="0"/>
        <w:ind w:left="1047" w:right="762" w:hanging="360"/>
        <w:jc w:val="both"/>
        <w:rPr>
          <w:sz w:val="24"/>
        </w:rPr>
      </w:pPr>
      <w:r>
        <w:rPr>
          <w:sz w:val="24"/>
        </w:rPr>
        <w:t>paredzēt plašākas tiesības administratoram informācijas saņemšanai, paredzot to ne tiki Maksātnespējas likumā, bet arī citos likumos, piemēram kā zvērinātiem tiesu izpildītājiem,</w:t>
      </w:r>
    </w:p>
    <w:p>
      <w:pPr>
        <w:pStyle w:val="ListParagraph"/>
        <w:numPr>
          <w:ilvl w:val="0"/>
          <w:numId w:val="53"/>
        </w:numPr>
        <w:tabs>
          <w:tab w:pos="1048" w:val="left" w:leader="none"/>
        </w:tabs>
        <w:spacing w:line="240" w:lineRule="auto" w:before="0" w:after="0"/>
        <w:ind w:left="1047" w:right="762" w:hanging="360"/>
        <w:jc w:val="both"/>
        <w:rPr>
          <w:sz w:val="24"/>
        </w:rPr>
      </w:pPr>
      <w:r>
        <w:rPr>
          <w:sz w:val="24"/>
        </w:rPr>
        <w:t>noteikt parādniekam pienākumu par maksātnespējas procesa uzsākšanu informēt visus kreditorus,</w:t>
      </w:r>
    </w:p>
    <w:p>
      <w:pPr>
        <w:pStyle w:val="ListParagraph"/>
        <w:numPr>
          <w:ilvl w:val="0"/>
          <w:numId w:val="53"/>
        </w:numPr>
        <w:tabs>
          <w:tab w:pos="1048" w:val="left" w:leader="none"/>
        </w:tabs>
        <w:spacing w:line="240" w:lineRule="auto" w:before="0" w:after="0"/>
        <w:ind w:left="1047" w:right="763" w:hanging="360"/>
        <w:jc w:val="both"/>
        <w:rPr>
          <w:sz w:val="24"/>
        </w:rPr>
      </w:pPr>
      <w:r>
        <w:rPr>
          <w:sz w:val="24"/>
        </w:rPr>
        <w:t>noteikt stingrāk regulējumu tiem parādniekiem, kas veic minimālos maksājumus saistību dzēšanas procedūras</w:t>
      </w:r>
      <w:r>
        <w:rPr>
          <w:spacing w:val="-3"/>
          <w:sz w:val="24"/>
        </w:rPr>
        <w:t> </w:t>
      </w:r>
      <w:r>
        <w:rPr>
          <w:sz w:val="24"/>
        </w:rPr>
        <w:t>laikā,</w:t>
      </w:r>
    </w:p>
    <w:p>
      <w:pPr>
        <w:pStyle w:val="ListParagraph"/>
        <w:numPr>
          <w:ilvl w:val="0"/>
          <w:numId w:val="53"/>
        </w:numPr>
        <w:tabs>
          <w:tab w:pos="1048" w:val="left" w:leader="none"/>
        </w:tabs>
        <w:spacing w:line="240" w:lineRule="auto" w:before="0" w:after="0"/>
        <w:ind w:left="1047" w:right="0" w:hanging="361"/>
        <w:jc w:val="both"/>
        <w:rPr>
          <w:sz w:val="24"/>
        </w:rPr>
      </w:pPr>
      <w:r>
        <w:rPr>
          <w:sz w:val="24"/>
        </w:rPr>
        <w:t>palielināt pārsūdzamo nolēmumu</w:t>
      </w:r>
      <w:r>
        <w:rPr>
          <w:spacing w:val="-1"/>
          <w:sz w:val="24"/>
        </w:rPr>
        <w:t> </w:t>
      </w:r>
      <w:r>
        <w:rPr>
          <w:sz w:val="24"/>
        </w:rPr>
        <w:t>klāstu,</w:t>
      </w:r>
    </w:p>
    <w:p>
      <w:pPr>
        <w:pStyle w:val="ListParagraph"/>
        <w:numPr>
          <w:ilvl w:val="0"/>
          <w:numId w:val="53"/>
        </w:numPr>
        <w:tabs>
          <w:tab w:pos="1048" w:val="left" w:leader="none"/>
        </w:tabs>
        <w:spacing w:line="240" w:lineRule="auto" w:before="0" w:after="0"/>
        <w:ind w:left="1047" w:right="0" w:hanging="361"/>
        <w:jc w:val="both"/>
        <w:rPr>
          <w:sz w:val="24"/>
        </w:rPr>
      </w:pPr>
      <w:r>
        <w:rPr>
          <w:sz w:val="24"/>
        </w:rPr>
        <w:t>ieviest rīkus savlaicīgākai fiziskās personas maksātnespējas procesa</w:t>
      </w:r>
      <w:r>
        <w:rPr>
          <w:spacing w:val="-9"/>
          <w:sz w:val="24"/>
        </w:rPr>
        <w:t> </w:t>
      </w:r>
      <w:r>
        <w:rPr>
          <w:sz w:val="24"/>
        </w:rPr>
        <w:t>uzsākšanai,</w:t>
      </w:r>
    </w:p>
    <w:p>
      <w:pPr>
        <w:pStyle w:val="ListParagraph"/>
        <w:numPr>
          <w:ilvl w:val="0"/>
          <w:numId w:val="53"/>
        </w:numPr>
        <w:tabs>
          <w:tab w:pos="1048" w:val="left" w:leader="none"/>
        </w:tabs>
        <w:spacing w:line="240" w:lineRule="auto" w:before="0" w:after="0"/>
        <w:ind w:left="1047" w:right="0" w:hanging="361"/>
        <w:jc w:val="both"/>
        <w:rPr>
          <w:sz w:val="24"/>
        </w:rPr>
      </w:pPr>
      <w:r>
        <w:rPr>
          <w:sz w:val="24"/>
        </w:rPr>
        <w:t>ierobežot atkārtota maksātnespējas procesa iespēju negodprātīgiem</w:t>
      </w:r>
      <w:r>
        <w:rPr>
          <w:spacing w:val="-6"/>
          <w:sz w:val="24"/>
        </w:rPr>
        <w:t> </w:t>
      </w:r>
      <w:r>
        <w:rPr>
          <w:sz w:val="24"/>
        </w:rPr>
        <w:t>parādniekiem,</w:t>
      </w:r>
    </w:p>
    <w:p>
      <w:pPr>
        <w:pStyle w:val="ListParagraph"/>
        <w:numPr>
          <w:ilvl w:val="0"/>
          <w:numId w:val="53"/>
        </w:numPr>
        <w:tabs>
          <w:tab w:pos="1048" w:val="left" w:leader="none"/>
        </w:tabs>
        <w:spacing w:line="240" w:lineRule="auto" w:before="0" w:after="0"/>
        <w:ind w:left="1047" w:right="0" w:hanging="361"/>
        <w:jc w:val="both"/>
        <w:rPr>
          <w:sz w:val="24"/>
        </w:rPr>
      </w:pPr>
      <w:r>
        <w:rPr>
          <w:sz w:val="24"/>
        </w:rPr>
        <w:t>noteikt zemāku saistību slieksni maksātnespējas procesa</w:t>
      </w:r>
      <w:r>
        <w:rPr>
          <w:spacing w:val="-2"/>
          <w:sz w:val="24"/>
        </w:rPr>
        <w:t> </w:t>
      </w:r>
      <w:r>
        <w:rPr>
          <w:sz w:val="24"/>
        </w:rPr>
        <w:t>uzsākšanai,</w:t>
      </w:r>
    </w:p>
    <w:p>
      <w:pPr>
        <w:pStyle w:val="ListParagraph"/>
        <w:numPr>
          <w:ilvl w:val="0"/>
          <w:numId w:val="53"/>
        </w:numPr>
        <w:tabs>
          <w:tab w:pos="1048" w:val="left" w:leader="none"/>
        </w:tabs>
        <w:spacing w:line="240" w:lineRule="auto" w:before="0" w:after="0"/>
        <w:ind w:left="1047" w:right="764" w:hanging="360"/>
        <w:jc w:val="left"/>
        <w:rPr>
          <w:sz w:val="24"/>
        </w:rPr>
      </w:pPr>
      <w:r>
        <w:rPr>
          <w:sz w:val="24"/>
        </w:rPr>
        <w:t>paredzēt kreditoriem tiesības iesniegt fiziskās personas maksātnespējas procesa pieteikumu,</w:t>
      </w:r>
    </w:p>
    <w:p>
      <w:pPr>
        <w:pStyle w:val="ListParagraph"/>
        <w:numPr>
          <w:ilvl w:val="0"/>
          <w:numId w:val="53"/>
        </w:numPr>
        <w:tabs>
          <w:tab w:pos="1048" w:val="left" w:leader="none"/>
        </w:tabs>
        <w:spacing w:line="240" w:lineRule="auto" w:before="0" w:after="0"/>
        <w:ind w:left="1047" w:right="0" w:hanging="361"/>
        <w:jc w:val="left"/>
        <w:rPr>
          <w:sz w:val="24"/>
        </w:rPr>
      </w:pPr>
      <w:r>
        <w:rPr>
          <w:sz w:val="24"/>
        </w:rPr>
        <w:t>pagarināt “aizdomu periodu” darījumu</w:t>
      </w:r>
      <w:r>
        <w:rPr>
          <w:spacing w:val="-4"/>
          <w:sz w:val="24"/>
        </w:rPr>
        <w:t> </w:t>
      </w:r>
      <w:r>
        <w:rPr>
          <w:sz w:val="24"/>
        </w:rPr>
        <w:t>apstrīdēšanai,</w:t>
      </w:r>
    </w:p>
    <w:p>
      <w:pPr>
        <w:pStyle w:val="ListParagraph"/>
        <w:numPr>
          <w:ilvl w:val="0"/>
          <w:numId w:val="53"/>
        </w:numPr>
        <w:tabs>
          <w:tab w:pos="1048" w:val="left" w:leader="none"/>
        </w:tabs>
        <w:spacing w:line="240" w:lineRule="auto" w:before="0" w:after="0"/>
        <w:ind w:left="1047" w:right="0" w:hanging="361"/>
        <w:jc w:val="left"/>
        <w:rPr>
          <w:sz w:val="24"/>
        </w:rPr>
      </w:pPr>
      <w:r>
        <w:rPr>
          <w:sz w:val="24"/>
        </w:rPr>
        <w:t>noteikt, ka saistību dzēšanas plāna gatavošana ir jāveic</w:t>
      </w:r>
      <w:r>
        <w:rPr>
          <w:spacing w:val="-5"/>
          <w:sz w:val="24"/>
        </w:rPr>
        <w:t> </w:t>
      </w:r>
      <w:r>
        <w:rPr>
          <w:sz w:val="24"/>
        </w:rPr>
        <w:t>administratoram,</w:t>
      </w:r>
    </w:p>
    <w:p>
      <w:pPr>
        <w:pStyle w:val="ListParagraph"/>
        <w:numPr>
          <w:ilvl w:val="0"/>
          <w:numId w:val="53"/>
        </w:numPr>
        <w:tabs>
          <w:tab w:pos="1048" w:val="left" w:leader="none"/>
        </w:tabs>
        <w:spacing w:line="240" w:lineRule="auto" w:before="0" w:after="0"/>
        <w:ind w:left="1047" w:right="761" w:hanging="360"/>
        <w:jc w:val="left"/>
        <w:rPr>
          <w:sz w:val="24"/>
        </w:rPr>
      </w:pPr>
      <w:r>
        <w:rPr>
          <w:sz w:val="24"/>
        </w:rPr>
        <w:t>izstrādāt jaunu fizisko personu maksātnespējas procesa regulējumu, kas ir</w:t>
      </w:r>
      <w:r>
        <w:rPr>
          <w:spacing w:val="-41"/>
          <w:sz w:val="24"/>
        </w:rPr>
        <w:t> </w:t>
      </w:r>
      <w:r>
        <w:rPr>
          <w:sz w:val="24"/>
        </w:rPr>
        <w:t>nodalīts no juridisko personu maksātnespējas procesa</w:t>
      </w:r>
      <w:r>
        <w:rPr>
          <w:spacing w:val="1"/>
          <w:sz w:val="24"/>
        </w:rPr>
        <w:t> </w:t>
      </w:r>
      <w:r>
        <w:rPr>
          <w:sz w:val="24"/>
        </w:rPr>
        <w:t>regulējuma,</w:t>
      </w:r>
    </w:p>
    <w:p>
      <w:pPr>
        <w:pStyle w:val="ListParagraph"/>
        <w:numPr>
          <w:ilvl w:val="0"/>
          <w:numId w:val="53"/>
        </w:numPr>
        <w:tabs>
          <w:tab w:pos="1048" w:val="left" w:leader="none"/>
        </w:tabs>
        <w:spacing w:line="240" w:lineRule="auto" w:before="0" w:after="0"/>
        <w:ind w:left="1047" w:right="0" w:hanging="361"/>
        <w:jc w:val="left"/>
        <w:rPr>
          <w:sz w:val="24"/>
        </w:rPr>
      </w:pPr>
      <w:r>
        <w:rPr>
          <w:sz w:val="24"/>
        </w:rPr>
        <w:t>paredzēt atbrīvojumus no depozīta</w:t>
      </w:r>
      <w:r>
        <w:rPr>
          <w:spacing w:val="-5"/>
          <w:sz w:val="24"/>
        </w:rPr>
        <w:t> </w:t>
      </w:r>
      <w:r>
        <w:rPr>
          <w:sz w:val="24"/>
        </w:rPr>
        <w:t>samaksas,</w:t>
      </w:r>
    </w:p>
    <w:p>
      <w:pPr>
        <w:pStyle w:val="ListParagraph"/>
        <w:numPr>
          <w:ilvl w:val="0"/>
          <w:numId w:val="53"/>
        </w:numPr>
        <w:tabs>
          <w:tab w:pos="1048" w:val="left" w:leader="none"/>
        </w:tabs>
        <w:spacing w:line="240" w:lineRule="auto" w:before="0" w:after="0"/>
        <w:ind w:left="1047" w:right="763" w:hanging="360"/>
        <w:jc w:val="left"/>
        <w:rPr>
          <w:sz w:val="24"/>
        </w:rPr>
      </w:pPr>
      <w:r>
        <w:rPr>
          <w:sz w:val="24"/>
        </w:rPr>
        <w:t>paredzēt iespēju atlikt sākotnējo maksātnespējas procesa izdevumu samaksu uz laiku pēc personas maksātspējas</w:t>
      </w:r>
      <w:r>
        <w:rPr>
          <w:spacing w:val="-9"/>
          <w:sz w:val="24"/>
        </w:rPr>
        <w:t> </w:t>
      </w:r>
      <w:r>
        <w:rPr>
          <w:sz w:val="24"/>
        </w:rPr>
        <w:t>atgūšanas,</w:t>
      </w:r>
    </w:p>
    <w:p>
      <w:pPr>
        <w:pStyle w:val="ListParagraph"/>
        <w:numPr>
          <w:ilvl w:val="0"/>
          <w:numId w:val="53"/>
        </w:numPr>
        <w:tabs>
          <w:tab w:pos="1108" w:val="left" w:leader="none"/>
        </w:tabs>
        <w:spacing w:line="240" w:lineRule="auto" w:before="0" w:after="0"/>
        <w:ind w:left="1047" w:right="764" w:hanging="360"/>
        <w:jc w:val="left"/>
        <w:rPr>
          <w:sz w:val="24"/>
        </w:rPr>
      </w:pPr>
      <w:r>
        <w:rPr/>
        <w:tab/>
      </w:r>
      <w:r>
        <w:rPr>
          <w:sz w:val="24"/>
        </w:rPr>
        <w:t>noteikt aizliegumu aizņemties naudu vismaz 2 gadus pēc maksātnespējas procesa pabeigšanas,</w:t>
      </w:r>
    </w:p>
    <w:p>
      <w:pPr>
        <w:pStyle w:val="ListParagraph"/>
        <w:numPr>
          <w:ilvl w:val="0"/>
          <w:numId w:val="53"/>
        </w:numPr>
        <w:tabs>
          <w:tab w:pos="1048" w:val="left" w:leader="none"/>
        </w:tabs>
        <w:spacing w:line="240" w:lineRule="auto" w:before="0" w:after="0"/>
        <w:ind w:left="1047" w:right="761" w:hanging="360"/>
        <w:jc w:val="left"/>
        <w:rPr>
          <w:sz w:val="24"/>
        </w:rPr>
      </w:pPr>
      <w:r>
        <w:rPr>
          <w:sz w:val="24"/>
        </w:rPr>
        <w:t>motivēt parādnieku saistību dzēšanas procedūras laikā maksāt vairāk, bet īsākā termiņā,</w:t>
      </w:r>
    </w:p>
    <w:p>
      <w:pPr>
        <w:pStyle w:val="ListParagraph"/>
        <w:numPr>
          <w:ilvl w:val="0"/>
          <w:numId w:val="53"/>
        </w:numPr>
        <w:tabs>
          <w:tab w:pos="1048" w:val="left" w:leader="none"/>
        </w:tabs>
        <w:spacing w:line="240" w:lineRule="auto" w:before="0" w:after="0"/>
        <w:ind w:left="1047" w:right="0" w:hanging="361"/>
        <w:jc w:val="left"/>
        <w:rPr>
          <w:sz w:val="24"/>
        </w:rPr>
      </w:pPr>
      <w:r>
        <w:rPr>
          <w:sz w:val="24"/>
        </w:rPr>
        <w:t>konkretizēt parādnieka pienākumus maksātnespējas procesa</w:t>
      </w:r>
      <w:r>
        <w:rPr>
          <w:spacing w:val="-5"/>
          <w:sz w:val="24"/>
        </w:rPr>
        <w:t> </w:t>
      </w:r>
      <w:r>
        <w:rPr>
          <w:sz w:val="24"/>
        </w:rPr>
        <w:t>laikā,</w:t>
      </w:r>
    </w:p>
    <w:p>
      <w:pPr>
        <w:pStyle w:val="ListParagraph"/>
        <w:numPr>
          <w:ilvl w:val="0"/>
          <w:numId w:val="53"/>
        </w:numPr>
        <w:tabs>
          <w:tab w:pos="1048" w:val="left" w:leader="none"/>
        </w:tabs>
        <w:spacing w:line="240" w:lineRule="auto" w:before="0" w:after="0"/>
        <w:ind w:left="1047" w:right="763" w:hanging="360"/>
        <w:jc w:val="left"/>
        <w:rPr>
          <w:sz w:val="24"/>
        </w:rPr>
      </w:pPr>
      <w:r>
        <w:rPr>
          <w:sz w:val="24"/>
        </w:rPr>
        <w:t>noteikt, ka parādniekam ir jābūt </w:t>
      </w:r>
      <w:r>
        <w:rPr>
          <w:spacing w:val="-3"/>
          <w:sz w:val="24"/>
        </w:rPr>
        <w:t>LR </w:t>
      </w:r>
      <w:r>
        <w:rPr>
          <w:sz w:val="24"/>
        </w:rPr>
        <w:t>nodokļu maksātājam vismaz iepriekšējos 12 mēnešus pirms maksātnespējas procesa pieteikuma</w:t>
      </w:r>
      <w:r>
        <w:rPr>
          <w:spacing w:val="2"/>
          <w:sz w:val="24"/>
        </w:rPr>
        <w:t> </w:t>
      </w:r>
      <w:r>
        <w:rPr>
          <w:sz w:val="24"/>
        </w:rPr>
        <w:t>iesniegšanas,</w:t>
      </w:r>
    </w:p>
    <w:p>
      <w:pPr>
        <w:pStyle w:val="ListParagraph"/>
        <w:numPr>
          <w:ilvl w:val="0"/>
          <w:numId w:val="53"/>
        </w:numPr>
        <w:tabs>
          <w:tab w:pos="1048" w:val="left" w:leader="none"/>
        </w:tabs>
        <w:spacing w:line="240" w:lineRule="auto" w:before="0" w:after="0"/>
        <w:ind w:left="1047" w:right="763" w:hanging="360"/>
        <w:jc w:val="left"/>
        <w:rPr>
          <w:sz w:val="24"/>
        </w:rPr>
      </w:pPr>
      <w:r>
        <w:rPr>
          <w:sz w:val="24"/>
        </w:rPr>
        <w:t>noteikt nebanku kredītu izsniegšanas ierobežojums (stingrāka ienākumu un citu saistību pārbaudes pienākums),</w:t>
      </w:r>
    </w:p>
    <w:p>
      <w:pPr>
        <w:pStyle w:val="ListParagraph"/>
        <w:numPr>
          <w:ilvl w:val="0"/>
          <w:numId w:val="53"/>
        </w:numPr>
        <w:tabs>
          <w:tab w:pos="1048" w:val="left" w:leader="none"/>
        </w:tabs>
        <w:spacing w:line="240" w:lineRule="auto" w:before="0" w:after="0"/>
        <w:ind w:left="1047" w:right="762" w:hanging="360"/>
        <w:jc w:val="left"/>
        <w:rPr>
          <w:sz w:val="24"/>
        </w:rPr>
      </w:pPr>
      <w:r>
        <w:rPr>
          <w:sz w:val="24"/>
        </w:rPr>
        <w:t>ieviest regulējumu, kas maksātnespējas procesa administratorus vairāk motivētu vērsties pret negodprātīgiem</w:t>
      </w:r>
      <w:r>
        <w:rPr>
          <w:spacing w:val="-6"/>
          <w:sz w:val="24"/>
        </w:rPr>
        <w:t> </w:t>
      </w:r>
      <w:r>
        <w:rPr>
          <w:sz w:val="24"/>
        </w:rPr>
        <w:t>parādniekiem,</w:t>
      </w:r>
    </w:p>
    <w:p>
      <w:pPr>
        <w:pStyle w:val="ListParagraph"/>
        <w:numPr>
          <w:ilvl w:val="0"/>
          <w:numId w:val="53"/>
        </w:numPr>
        <w:tabs>
          <w:tab w:pos="1048" w:val="left" w:leader="none"/>
        </w:tabs>
        <w:spacing w:line="240" w:lineRule="auto" w:before="0" w:after="0"/>
        <w:ind w:left="1047" w:right="0" w:hanging="361"/>
        <w:jc w:val="left"/>
        <w:rPr>
          <w:sz w:val="24"/>
        </w:rPr>
      </w:pPr>
      <w:r>
        <w:rPr>
          <w:sz w:val="24"/>
        </w:rPr>
        <w:t>ierobežot nebanku kredītu</w:t>
      </w:r>
      <w:r>
        <w:rPr>
          <w:spacing w:val="-1"/>
          <w:sz w:val="24"/>
        </w:rPr>
        <w:t> </w:t>
      </w:r>
      <w:r>
        <w:rPr>
          <w:sz w:val="24"/>
        </w:rPr>
        <w:t>izsniegšanu,</w:t>
      </w:r>
    </w:p>
    <w:p>
      <w:pPr>
        <w:pStyle w:val="ListParagraph"/>
        <w:numPr>
          <w:ilvl w:val="0"/>
          <w:numId w:val="53"/>
        </w:numPr>
        <w:tabs>
          <w:tab w:pos="1048" w:val="left" w:leader="none"/>
        </w:tabs>
        <w:spacing w:line="240" w:lineRule="auto" w:before="0" w:after="0"/>
        <w:ind w:left="1047" w:right="0" w:hanging="361"/>
        <w:jc w:val="left"/>
        <w:rPr>
          <w:sz w:val="24"/>
        </w:rPr>
      </w:pPr>
      <w:r>
        <w:rPr>
          <w:sz w:val="24"/>
        </w:rPr>
        <w:t>skaidrāk definēt maksātnespējas procesa administratoru un tiesu</w:t>
      </w:r>
      <w:r>
        <w:rPr>
          <w:spacing w:val="-8"/>
          <w:sz w:val="24"/>
        </w:rPr>
        <w:t> </w:t>
      </w:r>
      <w:r>
        <w:rPr>
          <w:sz w:val="24"/>
        </w:rPr>
        <w:t>lomu,</w:t>
      </w:r>
    </w:p>
    <w:p>
      <w:pPr>
        <w:pStyle w:val="ListParagraph"/>
        <w:numPr>
          <w:ilvl w:val="0"/>
          <w:numId w:val="53"/>
        </w:numPr>
        <w:tabs>
          <w:tab w:pos="1048" w:val="left" w:leader="none"/>
        </w:tabs>
        <w:spacing w:line="240" w:lineRule="auto" w:before="0" w:after="0"/>
        <w:ind w:left="1047" w:right="0" w:hanging="361"/>
        <w:jc w:val="left"/>
        <w:rPr>
          <w:sz w:val="24"/>
        </w:rPr>
      </w:pPr>
      <w:r>
        <w:rPr>
          <w:sz w:val="24"/>
        </w:rPr>
        <w:t>ievest vairāk ierobežojumus maksātnespējas procesa</w:t>
      </w:r>
      <w:r>
        <w:rPr>
          <w:spacing w:val="1"/>
          <w:sz w:val="24"/>
        </w:rPr>
        <w:t> </w:t>
      </w:r>
      <w:r>
        <w:rPr>
          <w:sz w:val="24"/>
        </w:rPr>
        <w:t>uzsākšanai.</w:t>
      </w:r>
    </w:p>
    <w:p>
      <w:pPr>
        <w:spacing w:after="0" w:line="240" w:lineRule="auto"/>
        <w:jc w:val="left"/>
        <w:rPr>
          <w:sz w:val="24"/>
        </w:rPr>
        <w:sectPr>
          <w:pgSz w:w="11910" w:h="16840"/>
          <w:pgMar w:header="0" w:footer="1055" w:top="1340" w:bottom="1240" w:left="1180" w:right="1040"/>
        </w:sectPr>
      </w:pPr>
    </w:p>
    <w:p>
      <w:pPr>
        <w:pStyle w:val="Heading2"/>
        <w:numPr>
          <w:ilvl w:val="1"/>
          <w:numId w:val="6"/>
        </w:numPr>
        <w:tabs>
          <w:tab w:pos="4882" w:val="left" w:leader="none"/>
          <w:tab w:pos="4883" w:val="left" w:leader="none"/>
        </w:tabs>
        <w:spacing w:line="240" w:lineRule="auto" w:before="59" w:after="0"/>
        <w:ind w:left="3608" w:right="3034" w:firstLine="554"/>
        <w:jc w:val="left"/>
      </w:pPr>
      <w:bookmarkStart w:name="_TOC_250045" w:id="33"/>
      <w:r>
        <w:rPr>
          <w:color w:val="4472C3"/>
        </w:rPr>
        <w:t>NODAĻA ĀRVALSTU</w:t>
      </w:r>
      <w:r>
        <w:rPr>
          <w:color w:val="4472C3"/>
          <w:spacing w:val="4"/>
        </w:rPr>
        <w:t> </w:t>
      </w:r>
      <w:bookmarkEnd w:id="33"/>
      <w:r>
        <w:rPr>
          <w:color w:val="4472C3"/>
          <w:spacing w:val="-3"/>
        </w:rPr>
        <w:t>PIEREDZE</w:t>
      </w:r>
    </w:p>
    <w:p>
      <w:pPr>
        <w:pStyle w:val="BodyText"/>
        <w:spacing w:before="11"/>
        <w:jc w:val="left"/>
        <w:rPr>
          <w:b/>
          <w:sz w:val="23"/>
        </w:rPr>
      </w:pPr>
    </w:p>
    <w:p>
      <w:pPr>
        <w:pStyle w:val="Heading2"/>
        <w:spacing w:before="0"/>
        <w:ind w:left="4186"/>
      </w:pPr>
      <w:bookmarkStart w:name="_TOC_250044" w:id="34"/>
      <w:bookmarkEnd w:id="34"/>
      <w:r>
        <w:rPr/>
        <w:t>1. Lielbritānija</w:t>
      </w:r>
    </w:p>
    <w:p>
      <w:pPr>
        <w:pStyle w:val="BodyText"/>
        <w:spacing w:before="10"/>
        <w:jc w:val="left"/>
        <w:rPr>
          <w:b/>
          <w:sz w:val="23"/>
        </w:rPr>
      </w:pPr>
    </w:p>
    <w:p>
      <w:pPr>
        <w:pStyle w:val="Heading4"/>
        <w:numPr>
          <w:ilvl w:val="1"/>
          <w:numId w:val="54"/>
        </w:numPr>
        <w:tabs>
          <w:tab w:pos="1342" w:val="left" w:leader="none"/>
        </w:tabs>
        <w:spacing w:line="240" w:lineRule="auto" w:before="0" w:after="0"/>
        <w:ind w:left="1341" w:right="0" w:hanging="362"/>
        <w:jc w:val="left"/>
        <w:rPr>
          <w:i/>
        </w:rPr>
      </w:pPr>
      <w:bookmarkStart w:name="_TOC_250043" w:id="35"/>
      <w:bookmarkEnd w:id="35"/>
      <w:r>
        <w:rPr>
          <w:i/>
        </w:rPr>
        <w:t>Vispārējs apraksts par pieejamajām maksātnespējas procedūrām</w:t>
      </w:r>
    </w:p>
    <w:p>
      <w:pPr>
        <w:pStyle w:val="BodyText"/>
        <w:spacing w:before="11"/>
        <w:jc w:val="left"/>
        <w:rPr>
          <w:b/>
          <w:i/>
          <w:sz w:val="23"/>
        </w:rPr>
      </w:pPr>
    </w:p>
    <w:p>
      <w:pPr>
        <w:pStyle w:val="BodyText"/>
        <w:spacing w:line="235" w:lineRule="auto"/>
        <w:ind w:left="620" w:right="401" w:firstLine="720"/>
        <w:rPr>
          <w:sz w:val="16"/>
        </w:rPr>
      </w:pPr>
      <w:r>
        <w:rPr/>
        <w:t>Lielbritānijā maksātnespējas jomā faktiski pastāv trīs jurisdikcijas – Anglijas un Velsas; Skotijas un Ziemeļīrijas. Atbilstoši statistikas datiem par 2018.gada pirmo ceturksni (janvāris - marts), Anglijā un Velsā kopumā bija ierosinātas 27 388 individuālās maksātnespējas procedūras, no kurām 4188 bija bankrota procedūras, 6524 parādu atbrīvošanas rīkojumi (debt relief orders), kā arī 16 676 individuālās brīvprātīgās vienošanās ar kreditoriem par parādu samaksu (individual volantary arrangements).</w:t>
      </w:r>
      <w:r>
        <w:rPr>
          <w:position w:val="9"/>
          <w:sz w:val="16"/>
        </w:rPr>
        <w:t>228 </w:t>
      </w:r>
      <w:r>
        <w:rPr/>
        <w:t>Salīdzinājumam, Skotijā tajā pat laikā bija tikai 2501 individuālais maksātnespējas process</w:t>
      </w:r>
      <w:r>
        <w:rPr>
          <w:position w:val="9"/>
          <w:sz w:val="16"/>
        </w:rPr>
        <w:t>229</w:t>
      </w:r>
      <w:r>
        <w:rPr/>
        <w:t>, bet Ziemeļīrijā tikai 574 procesi.</w:t>
      </w:r>
      <w:r>
        <w:rPr>
          <w:position w:val="9"/>
          <w:sz w:val="16"/>
        </w:rPr>
        <w:t>230</w:t>
      </w:r>
    </w:p>
    <w:p>
      <w:pPr>
        <w:pStyle w:val="BodyText"/>
        <w:spacing w:before="9"/>
        <w:ind w:left="620" w:right="405" w:firstLine="720"/>
      </w:pPr>
      <w:r>
        <w:rPr/>
        <w:t>Ņemot vērā ievērojami izteikto atšķirību starp popularitāti un izmantojamību starp šīm trīs jurisdikcijām, pētījuma ietvaros tiek aplūkots Anglijas un Velsas regulējums un prakse, tā kā tieši no šī regulējuma tiek veidota lielākā daļa Lielbritānijas maksātnespējas lietu apjoma ziņā.</w:t>
      </w:r>
    </w:p>
    <w:p>
      <w:pPr>
        <w:pStyle w:val="BodyText"/>
        <w:spacing w:line="237" w:lineRule="auto" w:before="3"/>
        <w:ind w:left="564" w:right="403" w:firstLine="720"/>
        <w:jc w:val="right"/>
      </w:pPr>
      <w:r>
        <w:rPr/>
        <w:t>Pretstatā citām valstīm, kur pastāv viena maksātnespējas procedūra, kas ietver vairākus posmus un tiek izmantota, lai atrisinātu parādnieka parādsaistības, angļu</w:t>
      </w:r>
      <w:r>
        <w:rPr>
          <w:spacing w:val="54"/>
        </w:rPr>
        <w:t> </w:t>
      </w:r>
      <w:r>
        <w:rPr/>
        <w:t>un velsiešu sistēmā pastāv vairāki atsevišķi procesi, no kuriem daudzi noved pie tāda paša mērķa – atbrīvošanas no saistībām, bet ir piemērojama tikai dažos konkrētos gadījumos.</w:t>
      </w:r>
      <w:r>
        <w:rPr>
          <w:position w:val="9"/>
          <w:sz w:val="16"/>
        </w:rPr>
        <w:t>231</w:t>
      </w:r>
      <w:r>
        <w:rPr>
          <w:w w:val="100"/>
          <w:position w:val="9"/>
          <w:sz w:val="16"/>
        </w:rPr>
        <w:t> </w:t>
      </w:r>
      <w:r>
        <w:rPr/>
        <w:t>Tomēr pirmsšķietami aplūkojot šīs procedūras, nekas neliecina par to, ka  šīs procedūras cita no citas būtu nošķiramas pēc subjekta, kuriem procedūra ir pieejama, atkarībā no to</w:t>
      </w:r>
      <w:r>
        <w:rPr>
          <w:spacing w:val="-10"/>
        </w:rPr>
        <w:t> </w:t>
      </w:r>
      <w:r>
        <w:rPr/>
        <w:t>sociālā statusa vai vecuma. Kā nošķiramo kritēriju var minēt tieši parādnieka</w:t>
      </w:r>
    </w:p>
    <w:p>
      <w:pPr>
        <w:pStyle w:val="BodyText"/>
        <w:spacing w:before="2"/>
        <w:ind w:left="620"/>
      </w:pPr>
      <w:r>
        <w:rPr/>
        <w:t>saistību apmēru un īpašumu/mantas esamību vai neesamību.</w:t>
      </w:r>
    </w:p>
    <w:p>
      <w:pPr>
        <w:pStyle w:val="BodyText"/>
        <w:ind w:left="620" w:right="401" w:firstLine="720"/>
      </w:pPr>
      <w:r>
        <w:rPr/>
        <w:t>Anglijas un Velsas regulējumā patērētājiem ir iespēja izvēlēties starp vairākām procedūrām, kuras var palīdzēt parādniekam tikt galā ar savu finansiālo situāciju un parādiem. Kopā šīs maksātnespējas procedūras var iedalīt divās lielās grupās:</w:t>
      </w:r>
    </w:p>
    <w:p>
      <w:pPr>
        <w:pStyle w:val="ListParagraph"/>
        <w:numPr>
          <w:ilvl w:val="0"/>
          <w:numId w:val="55"/>
        </w:numPr>
        <w:tabs>
          <w:tab w:pos="1340" w:val="left" w:leader="none"/>
        </w:tabs>
        <w:spacing w:line="240" w:lineRule="auto" w:before="0" w:after="0"/>
        <w:ind w:left="1340" w:right="0" w:hanging="360"/>
        <w:jc w:val="both"/>
        <w:rPr>
          <w:sz w:val="24"/>
        </w:rPr>
      </w:pPr>
      <w:r>
        <w:rPr>
          <w:sz w:val="24"/>
        </w:rPr>
        <w:t>bankrota procedūra, ko angliski saprot ar jēdzienu</w:t>
      </w:r>
      <w:r>
        <w:rPr>
          <w:spacing w:val="-1"/>
          <w:sz w:val="24"/>
        </w:rPr>
        <w:t> </w:t>
      </w:r>
      <w:r>
        <w:rPr>
          <w:sz w:val="24"/>
        </w:rPr>
        <w:t>“bankruptcy”;</w:t>
      </w:r>
    </w:p>
    <w:p>
      <w:pPr>
        <w:pStyle w:val="ListParagraph"/>
        <w:numPr>
          <w:ilvl w:val="0"/>
          <w:numId w:val="55"/>
        </w:numPr>
        <w:tabs>
          <w:tab w:pos="1340" w:val="left" w:leader="none"/>
        </w:tabs>
        <w:spacing w:line="240" w:lineRule="auto" w:before="0" w:after="0"/>
        <w:ind w:left="1340" w:right="404" w:hanging="360"/>
        <w:jc w:val="both"/>
        <w:rPr>
          <w:sz w:val="24"/>
        </w:rPr>
      </w:pPr>
      <w:r>
        <w:rPr>
          <w:sz w:val="24"/>
        </w:rPr>
        <w:t>visas</w:t>
      </w:r>
      <w:r>
        <w:rPr>
          <w:spacing w:val="-12"/>
          <w:sz w:val="24"/>
        </w:rPr>
        <w:t> </w:t>
      </w:r>
      <w:r>
        <w:rPr>
          <w:sz w:val="24"/>
        </w:rPr>
        <w:t>citas</w:t>
      </w:r>
      <w:r>
        <w:rPr>
          <w:spacing w:val="-12"/>
          <w:sz w:val="24"/>
        </w:rPr>
        <w:t> </w:t>
      </w:r>
      <w:r>
        <w:rPr>
          <w:sz w:val="24"/>
        </w:rPr>
        <w:t>procedūras,</w:t>
      </w:r>
      <w:r>
        <w:rPr>
          <w:spacing w:val="-12"/>
          <w:sz w:val="24"/>
        </w:rPr>
        <w:t> </w:t>
      </w:r>
      <w:r>
        <w:rPr>
          <w:sz w:val="24"/>
        </w:rPr>
        <w:t>kuras</w:t>
      </w:r>
      <w:r>
        <w:rPr>
          <w:spacing w:val="-12"/>
          <w:sz w:val="24"/>
        </w:rPr>
        <w:t> </w:t>
      </w:r>
      <w:r>
        <w:rPr>
          <w:sz w:val="24"/>
        </w:rPr>
        <w:t>pēc</w:t>
      </w:r>
      <w:r>
        <w:rPr>
          <w:spacing w:val="-16"/>
          <w:sz w:val="24"/>
        </w:rPr>
        <w:t> </w:t>
      </w:r>
      <w:r>
        <w:rPr>
          <w:sz w:val="24"/>
        </w:rPr>
        <w:t>savas</w:t>
      </w:r>
      <w:r>
        <w:rPr>
          <w:spacing w:val="-12"/>
          <w:sz w:val="24"/>
        </w:rPr>
        <w:t> </w:t>
      </w:r>
      <w:r>
        <w:rPr>
          <w:sz w:val="24"/>
        </w:rPr>
        <w:t>būtības</w:t>
      </w:r>
      <w:r>
        <w:rPr>
          <w:spacing w:val="-12"/>
          <w:sz w:val="24"/>
        </w:rPr>
        <w:t> </w:t>
      </w:r>
      <w:r>
        <w:rPr>
          <w:sz w:val="24"/>
        </w:rPr>
        <w:t>un</w:t>
      </w:r>
      <w:r>
        <w:rPr>
          <w:spacing w:val="-12"/>
          <w:sz w:val="24"/>
        </w:rPr>
        <w:t> </w:t>
      </w:r>
      <w:r>
        <w:rPr>
          <w:sz w:val="24"/>
        </w:rPr>
        <w:t>mērķa</w:t>
      </w:r>
      <w:r>
        <w:rPr>
          <w:spacing w:val="-12"/>
          <w:sz w:val="24"/>
        </w:rPr>
        <w:t> </w:t>
      </w:r>
      <w:r>
        <w:rPr>
          <w:sz w:val="24"/>
        </w:rPr>
        <w:t>var</w:t>
      </w:r>
      <w:r>
        <w:rPr>
          <w:spacing w:val="-15"/>
          <w:sz w:val="24"/>
        </w:rPr>
        <w:t> </w:t>
      </w:r>
      <w:r>
        <w:rPr>
          <w:sz w:val="24"/>
        </w:rPr>
        <w:t>definēt</w:t>
      </w:r>
      <w:r>
        <w:rPr>
          <w:spacing w:val="-12"/>
          <w:sz w:val="24"/>
        </w:rPr>
        <w:t> </w:t>
      </w:r>
      <w:r>
        <w:rPr>
          <w:sz w:val="24"/>
        </w:rPr>
        <w:t>kā</w:t>
      </w:r>
      <w:r>
        <w:rPr>
          <w:spacing w:val="-12"/>
          <w:sz w:val="24"/>
        </w:rPr>
        <w:t> </w:t>
      </w:r>
      <w:r>
        <w:rPr>
          <w:sz w:val="24"/>
        </w:rPr>
        <w:t>dažāda</w:t>
      </w:r>
      <w:r>
        <w:rPr>
          <w:spacing w:val="-15"/>
          <w:sz w:val="24"/>
        </w:rPr>
        <w:t> </w:t>
      </w:r>
      <w:r>
        <w:rPr>
          <w:spacing w:val="-3"/>
          <w:sz w:val="24"/>
        </w:rPr>
        <w:t>veida </w:t>
      </w:r>
      <w:r>
        <w:rPr>
          <w:sz w:val="24"/>
        </w:rPr>
        <w:t>vienošanās par parādu</w:t>
      </w:r>
      <w:r>
        <w:rPr>
          <w:spacing w:val="-3"/>
          <w:sz w:val="24"/>
        </w:rPr>
        <w:t> </w:t>
      </w:r>
      <w:r>
        <w:rPr>
          <w:sz w:val="24"/>
        </w:rPr>
        <w:t>norēķinu:</w:t>
      </w:r>
    </w:p>
    <w:p>
      <w:pPr>
        <w:pStyle w:val="ListParagraph"/>
        <w:numPr>
          <w:ilvl w:val="1"/>
          <w:numId w:val="55"/>
        </w:numPr>
        <w:tabs>
          <w:tab w:pos="1700" w:val="left" w:leader="none"/>
        </w:tabs>
        <w:spacing w:line="240" w:lineRule="auto" w:before="0" w:after="0"/>
        <w:ind w:left="1700" w:right="405" w:hanging="360"/>
        <w:jc w:val="both"/>
        <w:rPr>
          <w:sz w:val="24"/>
        </w:rPr>
      </w:pPr>
      <w:r>
        <w:rPr>
          <w:sz w:val="24"/>
        </w:rPr>
        <w:t>individuālās brīvprātīgās vienošanās ar kreditoriem par parādu samaksu (individual volantary</w:t>
      </w:r>
      <w:r>
        <w:rPr>
          <w:spacing w:val="-5"/>
          <w:sz w:val="24"/>
        </w:rPr>
        <w:t> </w:t>
      </w:r>
      <w:r>
        <w:rPr>
          <w:sz w:val="24"/>
        </w:rPr>
        <w:t>arrangements);</w:t>
      </w:r>
    </w:p>
    <w:p>
      <w:pPr>
        <w:pStyle w:val="ListParagraph"/>
        <w:numPr>
          <w:ilvl w:val="1"/>
          <w:numId w:val="55"/>
        </w:numPr>
        <w:tabs>
          <w:tab w:pos="1700" w:val="left" w:leader="none"/>
        </w:tabs>
        <w:spacing w:line="240" w:lineRule="auto" w:before="0" w:after="0"/>
        <w:ind w:left="1700" w:right="0" w:hanging="360"/>
        <w:jc w:val="both"/>
        <w:rPr>
          <w:sz w:val="24"/>
        </w:rPr>
      </w:pPr>
      <w:r>
        <w:rPr>
          <w:sz w:val="24"/>
        </w:rPr>
        <w:t>parādu atvieglojuma rīkojumi (debt relief orders jeb</w:t>
      </w:r>
      <w:r>
        <w:rPr>
          <w:spacing w:val="1"/>
          <w:sz w:val="24"/>
        </w:rPr>
        <w:t> </w:t>
      </w:r>
      <w:r>
        <w:rPr>
          <w:sz w:val="24"/>
        </w:rPr>
        <w:t>DRO);</w:t>
      </w:r>
    </w:p>
    <w:p>
      <w:pPr>
        <w:pStyle w:val="ListParagraph"/>
        <w:numPr>
          <w:ilvl w:val="1"/>
          <w:numId w:val="55"/>
        </w:numPr>
        <w:tabs>
          <w:tab w:pos="1700" w:val="left" w:leader="none"/>
        </w:tabs>
        <w:spacing w:line="240" w:lineRule="auto" w:before="0" w:after="0"/>
        <w:ind w:left="1700" w:right="405" w:hanging="360"/>
        <w:jc w:val="both"/>
        <w:rPr>
          <w:sz w:val="24"/>
        </w:rPr>
      </w:pPr>
      <w:r>
        <w:rPr>
          <w:sz w:val="24"/>
        </w:rPr>
        <w:t>County Court tiesas administrācijas rīkojums (County Court Administration Order);</w:t>
      </w:r>
    </w:p>
    <w:p>
      <w:pPr>
        <w:pStyle w:val="ListParagraph"/>
        <w:numPr>
          <w:ilvl w:val="1"/>
          <w:numId w:val="55"/>
        </w:numPr>
        <w:tabs>
          <w:tab w:pos="1700" w:val="left" w:leader="none"/>
        </w:tabs>
        <w:spacing w:line="240" w:lineRule="auto" w:before="0" w:after="0"/>
        <w:ind w:left="1700" w:right="0" w:hanging="360"/>
        <w:jc w:val="both"/>
        <w:rPr>
          <w:sz w:val="24"/>
        </w:rPr>
      </w:pPr>
      <w:r>
        <w:rPr>
          <w:sz w:val="24"/>
        </w:rPr>
        <w:t>parādu pārvaldības plāns (Debt Management</w:t>
      </w:r>
      <w:r>
        <w:rPr>
          <w:spacing w:val="3"/>
          <w:sz w:val="24"/>
        </w:rPr>
        <w:t> </w:t>
      </w:r>
      <w:r>
        <w:rPr>
          <w:sz w:val="24"/>
        </w:rPr>
        <w:t>Plan).</w:t>
      </w:r>
    </w:p>
    <w:p>
      <w:pPr>
        <w:pStyle w:val="BodyText"/>
        <w:ind w:left="620" w:right="402" w:firstLine="720"/>
      </w:pPr>
      <w:r>
        <w:rPr/>
        <w:t>Būtiski norādīt, ka parādniekam ir diezgan liela rīcības brīvība attiecībā uz to,</w:t>
      </w:r>
      <w:r>
        <w:rPr>
          <w:spacing w:val="-40"/>
        </w:rPr>
        <w:t> </w:t>
      </w:r>
      <w:r>
        <w:rPr/>
        <w:t>kuru no</w:t>
      </w:r>
      <w:r>
        <w:rPr>
          <w:spacing w:val="24"/>
        </w:rPr>
        <w:t> </w:t>
      </w:r>
      <w:r>
        <w:rPr/>
        <w:t>procedūrām</w:t>
      </w:r>
      <w:r>
        <w:rPr>
          <w:spacing w:val="24"/>
        </w:rPr>
        <w:t> </w:t>
      </w:r>
      <w:r>
        <w:rPr/>
        <w:t>izvēlēties,</w:t>
      </w:r>
      <w:r>
        <w:rPr>
          <w:spacing w:val="24"/>
        </w:rPr>
        <w:t> </w:t>
      </w:r>
      <w:r>
        <w:rPr/>
        <w:t>ja</w:t>
      </w:r>
      <w:r>
        <w:rPr>
          <w:spacing w:val="21"/>
        </w:rPr>
        <w:t> </w:t>
      </w:r>
      <w:r>
        <w:rPr/>
        <w:t>viņa</w:t>
      </w:r>
      <w:r>
        <w:rPr>
          <w:spacing w:val="21"/>
        </w:rPr>
        <w:t> </w:t>
      </w:r>
      <w:r>
        <w:rPr/>
        <w:t>faktiskā</w:t>
      </w:r>
      <w:r>
        <w:rPr>
          <w:spacing w:val="25"/>
        </w:rPr>
        <w:t> </w:t>
      </w:r>
      <w:r>
        <w:rPr/>
        <w:t>situācija</w:t>
      </w:r>
      <w:r>
        <w:rPr>
          <w:spacing w:val="24"/>
        </w:rPr>
        <w:t> </w:t>
      </w:r>
      <w:r>
        <w:rPr/>
        <w:t>atbilst</w:t>
      </w:r>
      <w:r>
        <w:rPr>
          <w:spacing w:val="26"/>
        </w:rPr>
        <w:t> </w:t>
      </w:r>
      <w:r>
        <w:rPr/>
        <w:t>kritērijiem</w:t>
      </w:r>
      <w:r>
        <w:rPr>
          <w:spacing w:val="24"/>
        </w:rPr>
        <w:t> </w:t>
      </w:r>
      <w:r>
        <w:rPr/>
        <w:t>no</w:t>
      </w:r>
      <w:r>
        <w:rPr>
          <w:spacing w:val="24"/>
        </w:rPr>
        <w:t> </w:t>
      </w:r>
      <w:r>
        <w:rPr>
          <w:spacing w:val="-3"/>
        </w:rPr>
        <w:t>vairākām</w:t>
      </w:r>
    </w:p>
    <w:p>
      <w:pPr>
        <w:pStyle w:val="BodyText"/>
        <w:spacing w:before="7"/>
        <w:jc w:val="left"/>
      </w:pPr>
      <w:r>
        <w:rPr/>
        <w:pict>
          <v:shape style="position:absolute;margin-left:90pt;margin-top:16.440321pt;width:144pt;height:.1pt;mso-position-horizontal-relative:page;mso-position-vertical-relative:paragraph;z-index:-251521024;mso-wrap-distance-left:0;mso-wrap-distance-right:0" coordorigin="1800,329" coordsize="2880,0" path="m1800,329l4680,329e" filled="false" stroked="true" strokeweight=".600037pt" strokecolor="#000000">
            <v:path arrowok="t"/>
            <v:stroke dashstyle="solid"/>
            <w10:wrap type="topAndBottom"/>
          </v:shape>
        </w:pict>
      </w:r>
    </w:p>
    <w:p>
      <w:pPr>
        <w:spacing w:before="70"/>
        <w:ind w:left="620" w:right="404" w:firstLine="0"/>
        <w:jc w:val="both"/>
        <w:rPr>
          <w:sz w:val="20"/>
        </w:rPr>
      </w:pPr>
      <w:r>
        <w:rPr>
          <w:position w:val="7"/>
          <w:sz w:val="13"/>
        </w:rPr>
        <w:t>228 </w:t>
      </w:r>
      <w:r>
        <w:rPr>
          <w:sz w:val="20"/>
        </w:rPr>
        <w:t>Sk.: The Insolvency Service: Insolvency Statistics – January to March 2018 (Q1 2018), p.4. Pieejams </w:t>
      </w:r>
      <w:r>
        <w:rPr>
          <w:color w:val="0562C1"/>
          <w:sz w:val="20"/>
          <w:u w:val="single" w:color="0562C1"/>
        </w:rPr>
        <w:t>https://</w:t>
      </w:r>
      <w:hyperlink r:id="rId64">
        <w:r>
          <w:rPr>
            <w:color w:val="0562C1"/>
            <w:sz w:val="20"/>
            <w:u w:val="single" w:color="0562C1"/>
          </w:rPr>
          <w:t>www.gov.uk/government/statistics/insolvency-statistics-january-to-march-2018</w:t>
        </w:r>
        <w:r>
          <w:rPr>
            <w:color w:val="0562C1"/>
            <w:sz w:val="20"/>
          </w:rPr>
          <w:t> </w:t>
        </w:r>
      </w:hyperlink>
      <w:r>
        <w:rPr>
          <w:sz w:val="20"/>
        </w:rPr>
        <w:t>[aplūkots 2018.gada 12.novembrī].</w:t>
      </w:r>
    </w:p>
    <w:p>
      <w:pPr>
        <w:spacing w:line="229" w:lineRule="exact" w:before="0"/>
        <w:ind w:left="620" w:right="0" w:firstLine="0"/>
        <w:jc w:val="both"/>
        <w:rPr>
          <w:sz w:val="20"/>
        </w:rPr>
      </w:pPr>
      <w:r>
        <w:rPr>
          <w:position w:val="7"/>
          <w:sz w:val="13"/>
        </w:rPr>
        <w:t>229  </w:t>
      </w:r>
      <w:r>
        <w:rPr>
          <w:sz w:val="20"/>
        </w:rPr>
        <w:t>Ibid,</w:t>
      </w:r>
      <w:r>
        <w:rPr>
          <w:spacing w:val="-18"/>
          <w:sz w:val="20"/>
        </w:rPr>
        <w:t> </w:t>
      </w:r>
      <w:r>
        <w:rPr>
          <w:sz w:val="20"/>
        </w:rPr>
        <w:t>p.17.</w:t>
      </w:r>
    </w:p>
    <w:p>
      <w:pPr>
        <w:spacing w:line="229" w:lineRule="exact" w:before="0"/>
        <w:ind w:left="620" w:right="0" w:firstLine="0"/>
        <w:jc w:val="both"/>
        <w:rPr>
          <w:sz w:val="20"/>
        </w:rPr>
      </w:pPr>
      <w:r>
        <w:rPr>
          <w:position w:val="7"/>
          <w:sz w:val="13"/>
        </w:rPr>
        <w:t>230  </w:t>
      </w:r>
      <w:r>
        <w:rPr>
          <w:sz w:val="20"/>
        </w:rPr>
        <w:t>Ibid,</w:t>
      </w:r>
      <w:r>
        <w:rPr>
          <w:spacing w:val="-18"/>
          <w:sz w:val="20"/>
        </w:rPr>
        <w:t> </w:t>
      </w:r>
      <w:r>
        <w:rPr>
          <w:sz w:val="20"/>
        </w:rPr>
        <w:t>p.19.</w:t>
      </w:r>
    </w:p>
    <w:p>
      <w:pPr>
        <w:spacing w:line="240" w:lineRule="auto" w:before="0"/>
        <w:ind w:left="620" w:right="402" w:firstLine="0"/>
        <w:jc w:val="both"/>
        <w:rPr>
          <w:sz w:val="20"/>
        </w:rPr>
      </w:pPr>
      <w:r>
        <w:rPr>
          <w:position w:val="7"/>
          <w:sz w:val="13"/>
        </w:rPr>
        <w:t>231 </w:t>
      </w:r>
      <w:r>
        <w:rPr>
          <w:sz w:val="20"/>
        </w:rPr>
        <w:t>Study on means to protect consumers in financial difficulty: Personal bankruptcy, </w:t>
      </w:r>
      <w:r>
        <w:rPr>
          <w:i/>
          <w:sz w:val="20"/>
        </w:rPr>
        <w:t>datio in solutum </w:t>
      </w:r>
      <w:r>
        <w:rPr>
          <w:sz w:val="20"/>
        </w:rPr>
        <w:t>of mortgages, and restrictions on debt collection abusive practices. Final Report, prepared by London Economics, 2012., p.97. Pieejams:</w:t>
      </w:r>
      <w:r>
        <w:rPr>
          <w:color w:val="0562C1"/>
          <w:sz w:val="20"/>
          <w:u w:val="single" w:color="0562C1"/>
        </w:rPr>
        <w:t> https://ec.europa.eu/info/file/46906/download_en?token=9buOvl55.</w:t>
      </w:r>
      <w:r>
        <w:rPr>
          <w:color w:val="0562C1"/>
          <w:sz w:val="20"/>
        </w:rPr>
        <w:t> </w:t>
      </w:r>
      <w:r>
        <w:rPr>
          <w:sz w:val="20"/>
        </w:rPr>
        <w:t>[aplūkots 2018.gada 9.oktobrī].</w:t>
      </w:r>
    </w:p>
    <w:p>
      <w:pPr>
        <w:spacing w:after="0" w:line="240" w:lineRule="auto"/>
        <w:jc w:val="both"/>
        <w:rPr>
          <w:sz w:val="20"/>
        </w:rPr>
        <w:sectPr>
          <w:pgSz w:w="11910" w:h="16840"/>
          <w:pgMar w:header="0" w:footer="1055" w:top="1360" w:bottom="1240" w:left="1180" w:right="1040"/>
        </w:sectPr>
      </w:pPr>
    </w:p>
    <w:p>
      <w:pPr>
        <w:pStyle w:val="BodyText"/>
        <w:spacing w:line="235" w:lineRule="auto" w:before="78"/>
        <w:ind w:left="260" w:right="762"/>
        <w:rPr>
          <w:sz w:val="16"/>
        </w:rPr>
      </w:pPr>
      <w:r>
        <w:rPr/>
        <w:t>procedūrām. Lielbritānijas valdības digitālais dienests ir izveidojis mājaslapu internetā </w:t>
      </w:r>
      <w:hyperlink r:id="rId65">
        <w:r>
          <w:rPr>
            <w:color w:val="0562C1"/>
            <w:u w:val="single" w:color="0562C1"/>
          </w:rPr>
          <w:t>www.gov.uk</w:t>
        </w:r>
        <w:r>
          <w:rPr/>
          <w:t>, </w:t>
        </w:r>
      </w:hyperlink>
      <w:r>
        <w:rPr/>
        <w:t>kurā ir vienkāršā, skaidrā un ērtā veidā apkopota informācija par valdības pakalpojumiem un cita veida informāciju.</w:t>
      </w:r>
      <w:r>
        <w:rPr>
          <w:position w:val="9"/>
          <w:sz w:val="16"/>
        </w:rPr>
        <w:t>232 </w:t>
      </w:r>
      <w:r>
        <w:rPr/>
        <w:t>Šī mājaslapa cita starpā sniedz iespēju parādniekam īsā laikā noskaidrot, kādas procedūras attiecībā uz iespējām norēķināties ar saviem kreditoriem parādniekam ir pieejamas. Par kritēriju maksātnespējas procedūru noteikšanai</w:t>
      </w:r>
      <w:r>
        <w:rPr>
          <w:spacing w:val="-13"/>
        </w:rPr>
        <w:t> </w:t>
      </w:r>
      <w:r>
        <w:rPr/>
        <w:t>tiek</w:t>
      </w:r>
      <w:r>
        <w:rPr>
          <w:spacing w:val="-12"/>
        </w:rPr>
        <w:t> </w:t>
      </w:r>
      <w:r>
        <w:rPr/>
        <w:t>izmantoti</w:t>
      </w:r>
      <w:r>
        <w:rPr>
          <w:spacing w:val="-10"/>
        </w:rPr>
        <w:t> </w:t>
      </w:r>
      <w:r>
        <w:rPr/>
        <w:t>parādnieka</w:t>
      </w:r>
      <w:r>
        <w:rPr>
          <w:spacing w:val="-12"/>
        </w:rPr>
        <w:t> </w:t>
      </w:r>
      <w:r>
        <w:rPr/>
        <w:t>norādītie</w:t>
      </w:r>
      <w:r>
        <w:rPr>
          <w:spacing w:val="-10"/>
        </w:rPr>
        <w:t> </w:t>
      </w:r>
      <w:r>
        <w:rPr/>
        <w:t>faktiskie</w:t>
      </w:r>
      <w:r>
        <w:rPr>
          <w:spacing w:val="-11"/>
        </w:rPr>
        <w:t> </w:t>
      </w:r>
      <w:r>
        <w:rPr/>
        <w:t>apstākļi,</w:t>
      </w:r>
      <w:r>
        <w:rPr>
          <w:spacing w:val="-10"/>
        </w:rPr>
        <w:t> </w:t>
      </w:r>
      <w:r>
        <w:rPr/>
        <w:t>aizpildot</w:t>
      </w:r>
      <w:r>
        <w:rPr>
          <w:spacing w:val="-12"/>
        </w:rPr>
        <w:t> </w:t>
      </w:r>
      <w:r>
        <w:rPr/>
        <w:t>testu,</w:t>
      </w:r>
      <w:r>
        <w:rPr>
          <w:spacing w:val="-10"/>
        </w:rPr>
        <w:t> </w:t>
      </w:r>
      <w:r>
        <w:rPr/>
        <w:t>kas</w:t>
      </w:r>
      <w:r>
        <w:rPr>
          <w:spacing w:val="-10"/>
        </w:rPr>
        <w:t> </w:t>
      </w:r>
      <w:r>
        <w:rPr/>
        <w:t>sastāv no</w:t>
      </w:r>
      <w:r>
        <w:rPr>
          <w:spacing w:val="-6"/>
        </w:rPr>
        <w:t> </w:t>
      </w:r>
      <w:r>
        <w:rPr/>
        <w:t>dažiem</w:t>
      </w:r>
      <w:r>
        <w:rPr>
          <w:spacing w:val="-8"/>
        </w:rPr>
        <w:t> </w:t>
      </w:r>
      <w:r>
        <w:rPr/>
        <w:t>jautājumiem</w:t>
      </w:r>
      <w:r>
        <w:rPr>
          <w:spacing w:val="-7"/>
        </w:rPr>
        <w:t> </w:t>
      </w:r>
      <w:r>
        <w:rPr/>
        <w:t>par</w:t>
      </w:r>
      <w:r>
        <w:rPr>
          <w:spacing w:val="-6"/>
        </w:rPr>
        <w:t> </w:t>
      </w:r>
      <w:r>
        <w:rPr/>
        <w:t>kopējo</w:t>
      </w:r>
      <w:r>
        <w:rPr>
          <w:spacing w:val="-6"/>
        </w:rPr>
        <w:t> </w:t>
      </w:r>
      <w:r>
        <w:rPr/>
        <w:t>parādsaistību</w:t>
      </w:r>
      <w:r>
        <w:rPr>
          <w:spacing w:val="-5"/>
        </w:rPr>
        <w:t> </w:t>
      </w:r>
      <w:r>
        <w:rPr/>
        <w:t>apmēru,</w:t>
      </w:r>
      <w:r>
        <w:rPr>
          <w:spacing w:val="-6"/>
        </w:rPr>
        <w:t> </w:t>
      </w:r>
      <w:r>
        <w:rPr/>
        <w:t>parādnieka</w:t>
      </w:r>
      <w:r>
        <w:rPr>
          <w:spacing w:val="-3"/>
        </w:rPr>
        <w:t> </w:t>
      </w:r>
      <w:r>
        <w:rPr/>
        <w:t>aktīvu</w:t>
      </w:r>
      <w:r>
        <w:rPr>
          <w:spacing w:val="-6"/>
        </w:rPr>
        <w:t> </w:t>
      </w:r>
      <w:r>
        <w:rPr/>
        <w:t>apmēru,</w:t>
      </w:r>
      <w:r>
        <w:rPr>
          <w:spacing w:val="-6"/>
        </w:rPr>
        <w:t> </w:t>
      </w:r>
      <w:r>
        <w:rPr/>
        <w:t>kā</w:t>
      </w:r>
      <w:r>
        <w:rPr>
          <w:spacing w:val="-4"/>
        </w:rPr>
        <w:t> </w:t>
      </w:r>
      <w:r>
        <w:rPr/>
        <w:t>arī ienākumiem.</w:t>
      </w:r>
      <w:r>
        <w:rPr>
          <w:position w:val="9"/>
          <w:sz w:val="16"/>
        </w:rPr>
        <w:t>233</w:t>
      </w:r>
    </w:p>
    <w:p>
      <w:pPr>
        <w:pStyle w:val="BodyText"/>
        <w:spacing w:before="9"/>
        <w:ind w:left="260" w:right="762" w:firstLine="720"/>
      </w:pPr>
      <w:r>
        <w:rPr/>
        <w:t>Piemēram, parādniekam, kurš dzīvo Anglijā, kura parādsaistības ir zem 20 000 mārciņām, kura aktīvi nav lielākā vērtībā par 1000 mārciņām (neattiecas uz parādniekam piederošo transportlīdzekli, ja tas nepārsniedz 1000 mārciņu vērtību) un kuram pēc ikdienas mājsaimniecības izdevumu segšanas mēnesī nepaliek pāri vairāk nekā 50 mārciņas, tiek piedāvāta iespēja segt parādsaistības, izmantojot debt relief order, vai debt management plan.</w:t>
      </w:r>
    </w:p>
    <w:p>
      <w:pPr>
        <w:pStyle w:val="BodyText"/>
        <w:ind w:left="260" w:right="760" w:firstLine="720"/>
      </w:pPr>
      <w:r>
        <w:rPr/>
        <w:t>Savukārt, ja pie tādiem pašiem apstākļiem parādniekam piederošais transportlīdzeklis pārsniedz 1000 mārciņu vērtību, tad parādnieks var izvēlēties starp bankrota procedūru, debt management plan vai individual voluntary arrangement.</w:t>
      </w:r>
    </w:p>
    <w:p>
      <w:pPr>
        <w:pStyle w:val="BodyText"/>
        <w:spacing w:line="237" w:lineRule="auto" w:before="2"/>
        <w:ind w:left="260" w:right="760" w:firstLine="720"/>
      </w:pPr>
      <w:r>
        <w:rPr/>
        <w:t>Lai</w:t>
      </w:r>
      <w:r>
        <w:rPr>
          <w:spacing w:val="-3"/>
        </w:rPr>
        <w:t> </w:t>
      </w:r>
      <w:r>
        <w:rPr/>
        <w:t>arī</w:t>
      </w:r>
      <w:r>
        <w:rPr>
          <w:spacing w:val="-3"/>
        </w:rPr>
        <w:t> </w:t>
      </w:r>
      <w:r>
        <w:rPr/>
        <w:t>gadījumos,</w:t>
      </w:r>
      <w:r>
        <w:rPr>
          <w:spacing w:val="-5"/>
        </w:rPr>
        <w:t> </w:t>
      </w:r>
      <w:r>
        <w:rPr/>
        <w:t>kad</w:t>
      </w:r>
      <w:r>
        <w:rPr>
          <w:spacing w:val="-8"/>
        </w:rPr>
        <w:t> </w:t>
      </w:r>
      <w:r>
        <w:rPr/>
        <w:t>persona,</w:t>
      </w:r>
      <w:r>
        <w:rPr>
          <w:spacing w:val="-5"/>
        </w:rPr>
        <w:t> </w:t>
      </w:r>
      <w:r>
        <w:rPr/>
        <w:t>kura</w:t>
      </w:r>
      <w:r>
        <w:rPr>
          <w:spacing w:val="-9"/>
        </w:rPr>
        <w:t> </w:t>
      </w:r>
      <w:r>
        <w:rPr/>
        <w:t>atbilst</w:t>
      </w:r>
      <w:r>
        <w:rPr>
          <w:spacing w:val="-5"/>
        </w:rPr>
        <w:t> </w:t>
      </w:r>
      <w:r>
        <w:rPr/>
        <w:t>DRO</w:t>
      </w:r>
      <w:r>
        <w:rPr>
          <w:spacing w:val="-5"/>
        </w:rPr>
        <w:t> </w:t>
      </w:r>
      <w:r>
        <w:rPr/>
        <w:t>kritērijiem,</w:t>
      </w:r>
      <w:r>
        <w:rPr>
          <w:spacing w:val="-5"/>
        </w:rPr>
        <w:t> </w:t>
      </w:r>
      <w:r>
        <w:rPr/>
        <w:t>teorētiski</w:t>
      </w:r>
      <w:r>
        <w:rPr>
          <w:spacing w:val="-5"/>
        </w:rPr>
        <w:t> </w:t>
      </w:r>
      <w:r>
        <w:rPr/>
        <w:t>var</w:t>
      </w:r>
      <w:r>
        <w:rPr>
          <w:spacing w:val="-8"/>
        </w:rPr>
        <w:t> </w:t>
      </w:r>
      <w:r>
        <w:rPr/>
        <w:t>iesniegt arī pieteikumu bankrota procedūrai, tomēr jāņem vērā, ka tiesa ne vienmēr pasludinās bankrota procedūru. Atbilstoši </w:t>
      </w:r>
      <w:r>
        <w:rPr>
          <w:i/>
        </w:rPr>
        <w:t>Insolvency Act 1986 </w:t>
      </w:r>
      <w:r>
        <w:rPr/>
        <w:t>(turpmāk tekstā - Lielbritānijas Maksātnespējas likums)</w:t>
      </w:r>
      <w:r>
        <w:rPr>
          <w:position w:val="9"/>
          <w:sz w:val="16"/>
        </w:rPr>
        <w:t>234 </w:t>
      </w:r>
      <w:r>
        <w:rPr/>
        <w:t>gadījumos, kad parādnieks ir pats ir iesniedzis bankrota pieteikumu, tomēr tiesai šķiet, ka parādnieka interesēs būtu pieteikties DRO, nevis turpinātu izskatīt iesniegto bankrota pieteikumu, tad tiesa var norīkot parādnieku pie apstiprinātā</w:t>
      </w:r>
      <w:r>
        <w:rPr>
          <w:spacing w:val="-18"/>
        </w:rPr>
        <w:t> </w:t>
      </w:r>
      <w:r>
        <w:rPr/>
        <w:t>starpnieka</w:t>
      </w:r>
      <w:r>
        <w:rPr>
          <w:spacing w:val="-16"/>
        </w:rPr>
        <w:t> </w:t>
      </w:r>
      <w:r>
        <w:rPr/>
        <w:t>(atbilstoši</w:t>
      </w:r>
      <w:r>
        <w:rPr>
          <w:spacing w:val="-15"/>
        </w:rPr>
        <w:t> </w:t>
      </w:r>
      <w:r>
        <w:rPr/>
        <w:t>likuma</w:t>
      </w:r>
      <w:r>
        <w:rPr>
          <w:spacing w:val="-14"/>
        </w:rPr>
        <w:t> </w:t>
      </w:r>
      <w:r>
        <w:rPr/>
        <w:t>7A</w:t>
      </w:r>
      <w:r>
        <w:rPr>
          <w:spacing w:val="-17"/>
        </w:rPr>
        <w:t> </w:t>
      </w:r>
      <w:r>
        <w:rPr/>
        <w:t>daļai)</w:t>
      </w:r>
      <w:r>
        <w:rPr>
          <w:spacing w:val="-16"/>
        </w:rPr>
        <w:t> </w:t>
      </w:r>
      <w:r>
        <w:rPr/>
        <w:t>ar</w:t>
      </w:r>
      <w:r>
        <w:rPr>
          <w:spacing w:val="-18"/>
        </w:rPr>
        <w:t> </w:t>
      </w:r>
      <w:r>
        <w:rPr/>
        <w:t>mērķi</w:t>
      </w:r>
      <w:r>
        <w:rPr>
          <w:spacing w:val="-13"/>
        </w:rPr>
        <w:t> </w:t>
      </w:r>
      <w:r>
        <w:rPr/>
        <w:t>iesniegt</w:t>
      </w:r>
      <w:r>
        <w:rPr>
          <w:spacing w:val="-15"/>
        </w:rPr>
        <w:t> </w:t>
      </w:r>
      <w:r>
        <w:rPr/>
        <w:t>DRO</w:t>
      </w:r>
      <w:r>
        <w:rPr>
          <w:spacing w:val="-16"/>
        </w:rPr>
        <w:t> </w:t>
      </w:r>
      <w:r>
        <w:rPr/>
        <w:t>pieteikumu.</w:t>
      </w:r>
      <w:r>
        <w:rPr>
          <w:spacing w:val="-15"/>
        </w:rPr>
        <w:t> </w:t>
      </w:r>
      <w:r>
        <w:rPr/>
        <w:t>Šādā gadījumā tiesa aptur lūguma par bankrota procedūras izskatīšanu un laiku, kāda tā uzskata par</w:t>
      </w:r>
      <w:r>
        <w:rPr>
          <w:spacing w:val="-18"/>
        </w:rPr>
        <w:t> </w:t>
      </w:r>
      <w:r>
        <w:rPr/>
        <w:t>vajadzīgu,</w:t>
      </w:r>
      <w:r>
        <w:rPr>
          <w:spacing w:val="-16"/>
        </w:rPr>
        <w:t> </w:t>
      </w:r>
      <w:r>
        <w:rPr/>
        <w:t>bet</w:t>
      </w:r>
      <w:r>
        <w:rPr>
          <w:spacing w:val="-15"/>
        </w:rPr>
        <w:t> </w:t>
      </w:r>
      <w:r>
        <w:rPr/>
        <w:t>gadījumā,</w:t>
      </w:r>
      <w:r>
        <w:rPr>
          <w:spacing w:val="-18"/>
        </w:rPr>
        <w:t> </w:t>
      </w:r>
      <w:r>
        <w:rPr/>
        <w:t>ja</w:t>
      </w:r>
      <w:r>
        <w:rPr>
          <w:spacing w:val="-14"/>
        </w:rPr>
        <w:t> </w:t>
      </w:r>
      <w:r>
        <w:rPr/>
        <w:t>tiek</w:t>
      </w:r>
      <w:r>
        <w:rPr>
          <w:spacing w:val="-15"/>
        </w:rPr>
        <w:t> </w:t>
      </w:r>
      <w:r>
        <w:rPr/>
        <w:t>izdots</w:t>
      </w:r>
      <w:r>
        <w:rPr>
          <w:spacing w:val="-16"/>
        </w:rPr>
        <w:t> </w:t>
      </w:r>
      <w:r>
        <w:rPr/>
        <w:t>rīkojums</w:t>
      </w:r>
      <w:r>
        <w:rPr>
          <w:spacing w:val="-16"/>
        </w:rPr>
        <w:t> </w:t>
      </w:r>
      <w:r>
        <w:rPr/>
        <w:t>par</w:t>
      </w:r>
      <w:r>
        <w:rPr>
          <w:spacing w:val="-15"/>
        </w:rPr>
        <w:t> </w:t>
      </w:r>
      <w:r>
        <w:rPr/>
        <w:t>DRO,</w:t>
      </w:r>
      <w:r>
        <w:rPr>
          <w:spacing w:val="-16"/>
        </w:rPr>
        <w:t> </w:t>
      </w:r>
      <w:r>
        <w:rPr/>
        <w:t>tad</w:t>
      </w:r>
      <w:r>
        <w:rPr>
          <w:spacing w:val="-18"/>
        </w:rPr>
        <w:t> </w:t>
      </w:r>
      <w:r>
        <w:rPr/>
        <w:t>tiesai</w:t>
      </w:r>
      <w:r>
        <w:rPr>
          <w:spacing w:val="-15"/>
        </w:rPr>
        <w:t> </w:t>
      </w:r>
      <w:r>
        <w:rPr/>
        <w:t>bankrota</w:t>
      </w:r>
      <w:r>
        <w:rPr>
          <w:spacing w:val="-14"/>
        </w:rPr>
        <w:t> </w:t>
      </w:r>
      <w:r>
        <w:rPr/>
        <w:t>pieteikums ir</w:t>
      </w:r>
      <w:r>
        <w:rPr>
          <w:spacing w:val="-1"/>
        </w:rPr>
        <w:t> </w:t>
      </w:r>
      <w:r>
        <w:rPr/>
        <w:t>jāatceļ.</w:t>
      </w:r>
    </w:p>
    <w:p>
      <w:pPr>
        <w:pStyle w:val="BodyText"/>
        <w:spacing w:before="11"/>
        <w:ind w:left="260" w:right="767" w:firstLine="720"/>
      </w:pPr>
      <w:r>
        <w:rPr/>
        <w:t>Tātad noteicošie kritēriji izvēloties iespējamo veidu, kādā parādnieks var tikt galā ar savām parādsaistībām, ir tieši parādnieka parādsaistību lielums, aktīvu vērtība un brīvie līdzekļi, kas var tikt novirzīti kreditoriem parāda segšanai.</w:t>
      </w:r>
    </w:p>
    <w:p>
      <w:pPr>
        <w:pStyle w:val="BodyText"/>
        <w:spacing w:before="4"/>
        <w:jc w:val="left"/>
      </w:pPr>
    </w:p>
    <w:p>
      <w:pPr>
        <w:pStyle w:val="Heading4"/>
        <w:numPr>
          <w:ilvl w:val="1"/>
          <w:numId w:val="54"/>
        </w:numPr>
        <w:tabs>
          <w:tab w:pos="1041" w:val="left" w:leader="none"/>
        </w:tabs>
        <w:spacing w:line="240" w:lineRule="auto" w:before="1" w:after="0"/>
        <w:ind w:left="1040" w:right="0" w:hanging="421"/>
        <w:jc w:val="left"/>
        <w:rPr>
          <w:i/>
        </w:rPr>
      </w:pPr>
      <w:bookmarkStart w:name="_TOC_250042" w:id="36"/>
      <w:r>
        <w:rPr>
          <w:i/>
        </w:rPr>
        <w:t>Bankrota procedūra Anglijā un</w:t>
      </w:r>
      <w:r>
        <w:rPr>
          <w:i/>
          <w:spacing w:val="1"/>
        </w:rPr>
        <w:t> </w:t>
      </w:r>
      <w:bookmarkEnd w:id="36"/>
      <w:r>
        <w:rPr>
          <w:i/>
        </w:rPr>
        <w:t>Velsā</w:t>
      </w:r>
    </w:p>
    <w:p>
      <w:pPr>
        <w:pStyle w:val="BodyText"/>
        <w:spacing w:before="6"/>
        <w:jc w:val="left"/>
        <w:rPr>
          <w:b/>
          <w:i/>
          <w:sz w:val="23"/>
        </w:rPr>
      </w:pPr>
    </w:p>
    <w:p>
      <w:pPr>
        <w:pStyle w:val="BodyText"/>
        <w:ind w:left="260" w:right="764" w:firstLine="720"/>
      </w:pPr>
      <w:r>
        <w:rPr/>
        <w:t>Salīdzinot ar bankrota procedūras izpratni Latvijā, Anglijā un Velsā tā ir citādāka. Bankrota procedūra ilgst limitētu laiku – 12 mēnešus no bankrota rīkojuma izdošanas.</w:t>
      </w:r>
      <w:r>
        <w:rPr>
          <w:spacing w:val="-21"/>
        </w:rPr>
        <w:t> </w:t>
      </w:r>
      <w:r>
        <w:rPr/>
        <w:t>Pēc</w:t>
      </w:r>
    </w:p>
    <w:p>
      <w:pPr>
        <w:pStyle w:val="BodyText"/>
        <w:spacing w:line="276" w:lineRule="exact" w:before="4"/>
        <w:ind w:left="260" w:right="761"/>
      </w:pPr>
      <w:r>
        <w:rPr/>
        <w:t>12 mēnešu termiņa beigām parādnieks tiek atbrīvots no bankrota.</w:t>
      </w:r>
      <w:r>
        <w:rPr>
          <w:position w:val="9"/>
          <w:sz w:val="16"/>
        </w:rPr>
        <w:t>235 </w:t>
      </w:r>
      <w:r>
        <w:rPr/>
        <w:t>Pēc bankrota procedūras</w:t>
      </w:r>
      <w:r>
        <w:rPr>
          <w:spacing w:val="-12"/>
        </w:rPr>
        <w:t> </w:t>
      </w:r>
      <w:r>
        <w:rPr/>
        <w:t>pasludināšanas</w:t>
      </w:r>
      <w:r>
        <w:rPr>
          <w:spacing w:val="-9"/>
        </w:rPr>
        <w:t> </w:t>
      </w:r>
      <w:r>
        <w:rPr/>
        <w:t>tiesa</w:t>
      </w:r>
      <w:r>
        <w:rPr>
          <w:spacing w:val="-13"/>
        </w:rPr>
        <w:t> </w:t>
      </w:r>
      <w:r>
        <w:rPr/>
        <w:t>ieceļ</w:t>
      </w:r>
      <w:r>
        <w:rPr>
          <w:spacing w:val="-11"/>
        </w:rPr>
        <w:t> </w:t>
      </w:r>
      <w:r>
        <w:rPr/>
        <w:t>personu,</w:t>
      </w:r>
      <w:r>
        <w:rPr>
          <w:spacing w:val="-12"/>
        </w:rPr>
        <w:t> </w:t>
      </w:r>
      <w:r>
        <w:rPr/>
        <w:t>kas</w:t>
      </w:r>
      <w:r>
        <w:rPr>
          <w:spacing w:val="-9"/>
        </w:rPr>
        <w:t> </w:t>
      </w:r>
      <w:r>
        <w:rPr/>
        <w:t>vada</w:t>
      </w:r>
      <w:r>
        <w:rPr>
          <w:spacing w:val="-11"/>
        </w:rPr>
        <w:t> </w:t>
      </w:r>
      <w:r>
        <w:rPr/>
        <w:t>parādnieka</w:t>
      </w:r>
      <w:r>
        <w:rPr>
          <w:spacing w:val="-11"/>
        </w:rPr>
        <w:t> </w:t>
      </w:r>
      <w:r>
        <w:rPr/>
        <w:t>bankrota</w:t>
      </w:r>
      <w:r>
        <w:rPr>
          <w:spacing w:val="-11"/>
        </w:rPr>
        <w:t> </w:t>
      </w:r>
      <w:r>
        <w:rPr/>
        <w:t>procedūru.</w:t>
      </w:r>
      <w:r>
        <w:rPr>
          <w:spacing w:val="-11"/>
        </w:rPr>
        <w:t> </w:t>
      </w:r>
      <w:r>
        <w:rPr/>
        <w:t>Šo personu angliski dēvē par “trustee”, ko var tulkot kā pilnvaroto. Pilnvarotās personas uzdevums lielākoties ir pārvaldīt un operēt ar parādnieka mantu, kas ir jāpārdod, lai no iegūtajiem līdzekļiem varētu segt kreditoru prasījumus. Bankrota procedūras viena no īpatnībām</w:t>
      </w:r>
      <w:r>
        <w:rPr>
          <w:spacing w:val="-3"/>
        </w:rPr>
        <w:t> </w:t>
      </w:r>
      <w:r>
        <w:rPr/>
        <w:t>ir</w:t>
      </w:r>
      <w:r>
        <w:rPr>
          <w:spacing w:val="-3"/>
        </w:rPr>
        <w:t> </w:t>
      </w:r>
      <w:r>
        <w:rPr/>
        <w:t>tā,</w:t>
      </w:r>
      <w:r>
        <w:rPr>
          <w:spacing w:val="-3"/>
        </w:rPr>
        <w:t> </w:t>
      </w:r>
      <w:r>
        <w:rPr/>
        <w:t>ka</w:t>
      </w:r>
      <w:r>
        <w:rPr>
          <w:spacing w:val="-5"/>
        </w:rPr>
        <w:t> </w:t>
      </w:r>
      <w:r>
        <w:rPr/>
        <w:t>tie</w:t>
      </w:r>
      <w:r>
        <w:rPr>
          <w:spacing w:val="-5"/>
        </w:rPr>
        <w:t> </w:t>
      </w:r>
      <w:r>
        <w:rPr/>
        <w:t>personas</w:t>
      </w:r>
      <w:r>
        <w:rPr>
          <w:spacing w:val="-3"/>
        </w:rPr>
        <w:t> </w:t>
      </w:r>
      <w:r>
        <w:rPr/>
        <w:t>īpašumi</w:t>
      </w:r>
      <w:r>
        <w:rPr>
          <w:spacing w:val="-3"/>
        </w:rPr>
        <w:t> </w:t>
      </w:r>
      <w:r>
        <w:rPr/>
        <w:t>un</w:t>
      </w:r>
      <w:r>
        <w:rPr>
          <w:spacing w:val="-3"/>
        </w:rPr>
        <w:t> </w:t>
      </w:r>
      <w:r>
        <w:rPr/>
        <w:t>manta,</w:t>
      </w:r>
      <w:r>
        <w:rPr>
          <w:spacing w:val="-2"/>
        </w:rPr>
        <w:t> </w:t>
      </w:r>
      <w:r>
        <w:rPr/>
        <w:t>kas</w:t>
      </w:r>
      <w:r>
        <w:rPr>
          <w:spacing w:val="-5"/>
        </w:rPr>
        <w:t> </w:t>
      </w:r>
      <w:r>
        <w:rPr/>
        <w:t>12</w:t>
      </w:r>
      <w:r>
        <w:rPr>
          <w:spacing w:val="-3"/>
        </w:rPr>
        <w:t> </w:t>
      </w:r>
      <w:r>
        <w:rPr/>
        <w:t>mēnešu</w:t>
      </w:r>
      <w:r>
        <w:rPr>
          <w:spacing w:val="-3"/>
        </w:rPr>
        <w:t> </w:t>
      </w:r>
      <w:r>
        <w:rPr/>
        <w:t>laikā</w:t>
      </w:r>
      <w:r>
        <w:rPr>
          <w:spacing w:val="-3"/>
        </w:rPr>
        <w:t> </w:t>
      </w:r>
      <w:r>
        <w:rPr/>
        <w:t>vēl</w:t>
      </w:r>
      <w:r>
        <w:rPr>
          <w:spacing w:val="-5"/>
        </w:rPr>
        <w:t> </w:t>
      </w:r>
      <w:r>
        <w:rPr/>
        <w:t>nav</w:t>
      </w:r>
      <w:r>
        <w:rPr>
          <w:spacing w:val="-3"/>
        </w:rPr>
        <w:t> </w:t>
      </w:r>
      <w:r>
        <w:rPr/>
        <w:t>pārdoti,</w:t>
      </w:r>
      <w:r>
        <w:rPr>
          <w:spacing w:val="-3"/>
        </w:rPr>
        <w:t> </w:t>
      </w:r>
      <w:r>
        <w:rPr/>
        <w:t>(kā arī naudas līdzekļi, kas ir pilnvarotās personas rīcībā, nav līdz galam izlietoti) tik un tā paliek  pilnvarotās  personas  rīcībā  un  tiek  pārdoti  vēlāk,  lai  arī  parādnieka </w:t>
      </w:r>
      <w:r>
        <w:rPr>
          <w:spacing w:val="41"/>
        </w:rPr>
        <w:t> </w:t>
      </w:r>
      <w:r>
        <w:rPr/>
        <w:t>bankrota</w:t>
      </w:r>
    </w:p>
    <w:p>
      <w:pPr>
        <w:pStyle w:val="BodyText"/>
        <w:jc w:val="left"/>
        <w:rPr>
          <w:sz w:val="20"/>
        </w:rPr>
      </w:pPr>
    </w:p>
    <w:p>
      <w:pPr>
        <w:pStyle w:val="BodyText"/>
        <w:spacing w:before="4"/>
        <w:jc w:val="left"/>
        <w:rPr>
          <w:sz w:val="28"/>
        </w:rPr>
      </w:pPr>
      <w:r>
        <w:rPr/>
        <w:pict>
          <v:shape style="position:absolute;margin-left:72pt;margin-top:18.557734pt;width:144pt;height:.1pt;mso-position-horizontal-relative:page;mso-position-vertical-relative:paragraph;z-index:-251520000;mso-wrap-distance-left:0;mso-wrap-distance-right:0" coordorigin="1440,371" coordsize="2880,0" path="m1440,371l4320,371e" filled="false" stroked="true" strokeweight=".59999pt" strokecolor="#000000">
            <v:path arrowok="t"/>
            <v:stroke dashstyle="solid"/>
            <w10:wrap type="topAndBottom"/>
          </v:shape>
        </w:pict>
      </w:r>
    </w:p>
    <w:p>
      <w:pPr>
        <w:spacing w:before="70"/>
        <w:ind w:left="260" w:right="398" w:firstLine="0"/>
        <w:jc w:val="left"/>
        <w:rPr>
          <w:sz w:val="20"/>
        </w:rPr>
      </w:pPr>
      <w:r>
        <w:rPr>
          <w:position w:val="7"/>
          <w:sz w:val="13"/>
        </w:rPr>
        <w:t>232 </w:t>
      </w:r>
      <w:r>
        <w:rPr>
          <w:sz w:val="20"/>
        </w:rPr>
        <w:t>Mājaslapa, kurā parādnieks var uzzināt savas iespējas attiecībā uz dažādo procedūru izmantošanu: </w:t>
      </w:r>
      <w:hyperlink r:id="rId65">
        <w:r>
          <w:rPr>
            <w:color w:val="0562C1"/>
            <w:sz w:val="20"/>
            <w:u w:val="single" w:color="0562C1"/>
          </w:rPr>
          <w:t>www.gov.uk</w:t>
        </w:r>
        <w:r>
          <w:rPr>
            <w:color w:val="0562C1"/>
            <w:sz w:val="20"/>
          </w:rPr>
          <w:t> </w:t>
        </w:r>
      </w:hyperlink>
      <w:r>
        <w:rPr>
          <w:sz w:val="20"/>
        </w:rPr>
        <w:t>[aplūkots 2018.gada 20.oktobrī].</w:t>
      </w:r>
    </w:p>
    <w:p>
      <w:pPr>
        <w:spacing w:line="240" w:lineRule="auto" w:before="0"/>
        <w:ind w:left="260" w:right="882" w:firstLine="0"/>
        <w:jc w:val="left"/>
        <w:rPr>
          <w:sz w:val="20"/>
        </w:rPr>
      </w:pPr>
      <w:r>
        <w:rPr>
          <w:position w:val="7"/>
          <w:sz w:val="13"/>
        </w:rPr>
        <w:t>233 </w:t>
      </w:r>
      <w:r>
        <w:rPr>
          <w:sz w:val="20"/>
        </w:rPr>
        <w:t>Options for dealing with  your  debts.  Pieejams:  </w:t>
      </w:r>
      <w:r>
        <w:rPr>
          <w:color w:val="0562C1"/>
          <w:sz w:val="20"/>
          <w:u w:val="single" w:color="0562C1"/>
        </w:rPr>
        <w:t>https://</w:t>
      </w:r>
      <w:hyperlink r:id="rId66">
        <w:r>
          <w:rPr>
            <w:color w:val="0562C1"/>
            <w:sz w:val="20"/>
            <w:u w:val="single" w:color="0562C1"/>
          </w:rPr>
          <w:t>www.gov.uk/pay-off-debts</w:t>
        </w:r>
      </w:hyperlink>
      <w:r>
        <w:rPr>
          <w:color w:val="0562C1"/>
          <w:sz w:val="20"/>
        </w:rPr>
        <w:t>  </w:t>
      </w:r>
      <w:r>
        <w:rPr>
          <w:sz w:val="20"/>
        </w:rPr>
        <w:t>[aplūkots  2018.gada</w:t>
      </w:r>
      <w:r>
        <w:rPr>
          <w:spacing w:val="-1"/>
          <w:sz w:val="20"/>
        </w:rPr>
        <w:t> </w:t>
      </w:r>
      <w:r>
        <w:rPr>
          <w:sz w:val="20"/>
        </w:rPr>
        <w:t>20.oktobrī].</w:t>
      </w:r>
    </w:p>
    <w:p>
      <w:pPr>
        <w:spacing w:line="229" w:lineRule="exact" w:before="0"/>
        <w:ind w:left="260" w:right="0" w:firstLine="0"/>
        <w:jc w:val="left"/>
        <w:rPr>
          <w:sz w:val="20"/>
        </w:rPr>
      </w:pPr>
      <w:r>
        <w:rPr>
          <w:position w:val="7"/>
          <w:sz w:val="13"/>
        </w:rPr>
        <w:t>234 </w:t>
      </w:r>
      <w:r>
        <w:rPr>
          <w:sz w:val="20"/>
        </w:rPr>
        <w:t>Lielbritānijas Maksātnespējas likums, 274A. pants</w:t>
      </w:r>
    </w:p>
    <w:p>
      <w:pPr>
        <w:spacing w:line="233" w:lineRule="exact" w:before="0"/>
        <w:ind w:left="260" w:right="0" w:firstLine="0"/>
        <w:jc w:val="left"/>
        <w:rPr>
          <w:sz w:val="20"/>
        </w:rPr>
      </w:pPr>
      <w:r>
        <w:rPr>
          <w:position w:val="7"/>
          <w:sz w:val="13"/>
        </w:rPr>
        <w:t>235 </w:t>
      </w:r>
      <w:r>
        <w:rPr>
          <w:sz w:val="20"/>
        </w:rPr>
        <w:t>Lielbritānijas Maksātnespējas likums, 279. pants</w:t>
      </w:r>
    </w:p>
    <w:p>
      <w:pPr>
        <w:spacing w:after="0" w:line="233" w:lineRule="exact"/>
        <w:jc w:val="left"/>
        <w:rPr>
          <w:sz w:val="20"/>
        </w:rPr>
        <w:sectPr>
          <w:pgSz w:w="11910" w:h="16840"/>
          <w:pgMar w:header="0" w:footer="1055" w:top="1340" w:bottom="1240" w:left="1180" w:right="1040"/>
        </w:sectPr>
      </w:pPr>
    </w:p>
    <w:p>
      <w:pPr>
        <w:pStyle w:val="BodyText"/>
        <w:spacing w:before="73"/>
        <w:ind w:left="620" w:right="401"/>
      </w:pPr>
      <w:r>
        <w:rPr/>
        <w:t>procedūra jau ir izbeigta. Bankrota procedūras izbeigšana notiek automātiski pēc 12 mēnešiem, nav nepieciešams atsevišķs tiesas rīkojums par to.</w:t>
      </w:r>
    </w:p>
    <w:p>
      <w:pPr>
        <w:pStyle w:val="BodyText"/>
        <w:spacing w:line="237" w:lineRule="auto" w:before="3"/>
        <w:ind w:left="620" w:right="402" w:firstLine="720"/>
      </w:pPr>
      <w:r>
        <w:rPr/>
        <w:t>Nākošā</w:t>
      </w:r>
      <w:r>
        <w:rPr>
          <w:spacing w:val="-9"/>
        </w:rPr>
        <w:t> </w:t>
      </w:r>
      <w:r>
        <w:rPr/>
        <w:t>atšķirība</w:t>
      </w:r>
      <w:r>
        <w:rPr>
          <w:spacing w:val="-6"/>
        </w:rPr>
        <w:t> </w:t>
      </w:r>
      <w:r>
        <w:rPr/>
        <w:t>ir</w:t>
      </w:r>
      <w:r>
        <w:rPr>
          <w:spacing w:val="-8"/>
        </w:rPr>
        <w:t> </w:t>
      </w:r>
      <w:r>
        <w:rPr/>
        <w:t>tā,</w:t>
      </w:r>
      <w:r>
        <w:rPr>
          <w:spacing w:val="-9"/>
        </w:rPr>
        <w:t> </w:t>
      </w:r>
      <w:r>
        <w:rPr/>
        <w:t>ka</w:t>
      </w:r>
      <w:r>
        <w:rPr>
          <w:spacing w:val="-5"/>
        </w:rPr>
        <w:t> </w:t>
      </w:r>
      <w:r>
        <w:rPr/>
        <w:t>bankrota</w:t>
      </w:r>
      <w:r>
        <w:rPr>
          <w:spacing w:val="-8"/>
        </w:rPr>
        <w:t> </w:t>
      </w:r>
      <w:r>
        <w:rPr/>
        <w:t>procedūrā</w:t>
      </w:r>
      <w:r>
        <w:rPr>
          <w:spacing w:val="-11"/>
        </w:rPr>
        <w:t> </w:t>
      </w:r>
      <w:r>
        <w:rPr/>
        <w:t>pilnvarotā</w:t>
      </w:r>
      <w:r>
        <w:rPr>
          <w:spacing w:val="-8"/>
        </w:rPr>
        <w:t> </w:t>
      </w:r>
      <w:r>
        <w:rPr/>
        <w:t>persona</w:t>
      </w:r>
      <w:r>
        <w:rPr>
          <w:spacing w:val="-10"/>
        </w:rPr>
        <w:t> </w:t>
      </w:r>
      <w:r>
        <w:rPr/>
        <w:t>var</w:t>
      </w:r>
      <w:r>
        <w:rPr>
          <w:spacing w:val="-8"/>
        </w:rPr>
        <w:t> </w:t>
      </w:r>
      <w:r>
        <w:rPr/>
        <w:t>lemt</w:t>
      </w:r>
      <w:r>
        <w:rPr>
          <w:spacing w:val="-9"/>
        </w:rPr>
        <w:t> </w:t>
      </w:r>
      <w:r>
        <w:rPr/>
        <w:t>par</w:t>
      </w:r>
      <w:r>
        <w:rPr>
          <w:spacing w:val="-8"/>
        </w:rPr>
        <w:t> </w:t>
      </w:r>
      <w:r>
        <w:rPr/>
        <w:t>to,</w:t>
      </w:r>
      <w:r>
        <w:rPr>
          <w:spacing w:val="-8"/>
        </w:rPr>
        <w:t> </w:t>
      </w:r>
      <w:r>
        <w:rPr/>
        <w:t>vai parādniekam vēl kaut kas papildus ir jāmaksā</w:t>
      </w:r>
      <w:r>
        <w:rPr>
          <w:position w:val="9"/>
          <w:sz w:val="16"/>
        </w:rPr>
        <w:t>236</w:t>
      </w:r>
      <w:r>
        <w:rPr/>
        <w:t>, respektīvi, pamatā kreditoru prasījumi tiek apmierināti no pārdotajiem parādnieka īpašumiem, bet tas, vai ir nepieciešams</w:t>
      </w:r>
      <w:r>
        <w:rPr>
          <w:spacing w:val="-38"/>
        </w:rPr>
        <w:t> </w:t>
      </w:r>
      <w:r>
        <w:rPr/>
        <w:t>maksāt kreditoriem un cik daudz ir jāmaksā, izlemj pilnvarotā persona, vadoties no personas ienākumiem.</w:t>
      </w:r>
    </w:p>
    <w:p>
      <w:pPr>
        <w:pStyle w:val="BodyText"/>
        <w:ind w:left="620" w:right="401" w:firstLine="720"/>
      </w:pPr>
      <w:r>
        <w:rPr/>
        <w:t>Ja pilnvarotā persona uzskata, ka personas ienākumi ir pietiekami, lai veiktu izmaksas kreditoriem, tiek noslēgta vienošanās par maksājamo summu un ilgumu. Savukārt</w:t>
      </w:r>
      <w:r>
        <w:rPr>
          <w:spacing w:val="-11"/>
        </w:rPr>
        <w:t> </w:t>
      </w:r>
      <w:r>
        <w:rPr/>
        <w:t>gadījumā,</w:t>
      </w:r>
      <w:r>
        <w:rPr>
          <w:spacing w:val="-11"/>
        </w:rPr>
        <w:t> </w:t>
      </w:r>
      <w:r>
        <w:rPr/>
        <w:t>ja</w:t>
      </w:r>
      <w:r>
        <w:rPr>
          <w:spacing w:val="-13"/>
        </w:rPr>
        <w:t> </w:t>
      </w:r>
      <w:r>
        <w:rPr/>
        <w:t>parādnieks</w:t>
      </w:r>
      <w:r>
        <w:rPr>
          <w:spacing w:val="-11"/>
        </w:rPr>
        <w:t> </w:t>
      </w:r>
      <w:r>
        <w:rPr/>
        <w:t>nepiekrīt</w:t>
      </w:r>
      <w:r>
        <w:rPr>
          <w:spacing w:val="-9"/>
        </w:rPr>
        <w:t> </w:t>
      </w:r>
      <w:r>
        <w:rPr/>
        <w:t>maksāt,</w:t>
      </w:r>
      <w:r>
        <w:rPr>
          <w:spacing w:val="-11"/>
        </w:rPr>
        <w:t> </w:t>
      </w:r>
      <w:r>
        <w:rPr/>
        <w:t>tad</w:t>
      </w:r>
      <w:r>
        <w:rPr>
          <w:spacing w:val="-11"/>
        </w:rPr>
        <w:t> </w:t>
      </w:r>
      <w:r>
        <w:rPr/>
        <w:t>pilnvarotā</w:t>
      </w:r>
      <w:r>
        <w:rPr>
          <w:spacing w:val="-11"/>
        </w:rPr>
        <w:t> </w:t>
      </w:r>
      <w:r>
        <w:rPr/>
        <w:t>persona</w:t>
      </w:r>
      <w:r>
        <w:rPr>
          <w:spacing w:val="-11"/>
        </w:rPr>
        <w:t> </w:t>
      </w:r>
      <w:r>
        <w:rPr/>
        <w:t>var</w:t>
      </w:r>
      <w:r>
        <w:rPr>
          <w:spacing w:val="-11"/>
        </w:rPr>
        <w:t> </w:t>
      </w:r>
      <w:r>
        <w:rPr/>
        <w:t>vērsties</w:t>
      </w:r>
      <w:r>
        <w:rPr>
          <w:spacing w:val="-9"/>
        </w:rPr>
        <w:t> </w:t>
      </w:r>
      <w:r>
        <w:rPr/>
        <w:t>tiesā un</w:t>
      </w:r>
      <w:r>
        <w:rPr>
          <w:spacing w:val="-12"/>
        </w:rPr>
        <w:t> </w:t>
      </w:r>
      <w:r>
        <w:rPr/>
        <w:t>saņemt</w:t>
      </w:r>
      <w:r>
        <w:rPr>
          <w:spacing w:val="-10"/>
        </w:rPr>
        <w:t> </w:t>
      </w:r>
      <w:r>
        <w:rPr/>
        <w:t>rīkojumu</w:t>
      </w:r>
      <w:r>
        <w:rPr>
          <w:spacing w:val="-10"/>
        </w:rPr>
        <w:t> </w:t>
      </w:r>
      <w:r>
        <w:rPr/>
        <w:t>par</w:t>
      </w:r>
      <w:r>
        <w:rPr>
          <w:spacing w:val="-16"/>
        </w:rPr>
        <w:t> </w:t>
      </w:r>
      <w:r>
        <w:rPr/>
        <w:t>šādas</w:t>
      </w:r>
      <w:r>
        <w:rPr>
          <w:spacing w:val="-15"/>
        </w:rPr>
        <w:t> </w:t>
      </w:r>
      <w:r>
        <w:rPr/>
        <w:t>summas</w:t>
      </w:r>
      <w:r>
        <w:rPr>
          <w:spacing w:val="-12"/>
        </w:rPr>
        <w:t> </w:t>
      </w:r>
      <w:r>
        <w:rPr/>
        <w:t>izmaksu.</w:t>
      </w:r>
      <w:r>
        <w:rPr>
          <w:spacing w:val="-11"/>
        </w:rPr>
        <w:t> </w:t>
      </w:r>
      <w:r>
        <w:rPr/>
        <w:t>Neskatoties</w:t>
      </w:r>
      <w:r>
        <w:rPr>
          <w:spacing w:val="-12"/>
        </w:rPr>
        <w:t> </w:t>
      </w:r>
      <w:r>
        <w:rPr/>
        <w:t>uz</w:t>
      </w:r>
      <w:r>
        <w:rPr>
          <w:spacing w:val="-11"/>
        </w:rPr>
        <w:t> </w:t>
      </w:r>
      <w:r>
        <w:rPr/>
        <w:t>to,</w:t>
      </w:r>
      <w:r>
        <w:rPr>
          <w:spacing w:val="-15"/>
        </w:rPr>
        <w:t> </w:t>
      </w:r>
      <w:r>
        <w:rPr/>
        <w:t>ka</w:t>
      </w:r>
      <w:r>
        <w:rPr>
          <w:spacing w:val="-12"/>
        </w:rPr>
        <w:t> </w:t>
      </w:r>
      <w:r>
        <w:rPr/>
        <w:t>persona</w:t>
      </w:r>
      <w:r>
        <w:rPr>
          <w:spacing w:val="-12"/>
        </w:rPr>
        <w:t> </w:t>
      </w:r>
      <w:r>
        <w:rPr/>
        <w:t>tiek</w:t>
      </w:r>
      <w:r>
        <w:rPr>
          <w:spacing w:val="-11"/>
        </w:rPr>
        <w:t> </w:t>
      </w:r>
      <w:r>
        <w:rPr>
          <w:spacing w:val="-3"/>
        </w:rPr>
        <w:t>atbrīvota </w:t>
      </w:r>
      <w:r>
        <w:rPr/>
        <w:t>no bankrota statusa 12 mēnešu laikā, parādniekam var saglabāties pienākums veikt maksājumus kreditoriem vēl līdz 3 gadiem</w:t>
      </w:r>
      <w:r>
        <w:rPr>
          <w:position w:val="9"/>
          <w:sz w:val="16"/>
        </w:rPr>
        <w:t>237</w:t>
      </w:r>
      <w:r>
        <w:rPr/>
        <w:t>. Maksājumi ir veicami atkarībā no tā, vai parādniekam ir kādi papildus ienākumi, no kuriem varētu veikt šos maksājumus. Ja parādniekam</w:t>
      </w:r>
      <w:r>
        <w:rPr>
          <w:spacing w:val="-11"/>
        </w:rPr>
        <w:t> </w:t>
      </w:r>
      <w:r>
        <w:rPr/>
        <w:t>nav</w:t>
      </w:r>
      <w:r>
        <w:rPr>
          <w:spacing w:val="-9"/>
        </w:rPr>
        <w:t> </w:t>
      </w:r>
      <w:r>
        <w:rPr/>
        <w:t>nekādu</w:t>
      </w:r>
      <w:r>
        <w:rPr>
          <w:spacing w:val="-8"/>
        </w:rPr>
        <w:t> </w:t>
      </w:r>
      <w:r>
        <w:rPr/>
        <w:t>ienākumu,</w:t>
      </w:r>
      <w:r>
        <w:rPr>
          <w:spacing w:val="-9"/>
        </w:rPr>
        <w:t> </w:t>
      </w:r>
      <w:r>
        <w:rPr/>
        <w:t>kas</w:t>
      </w:r>
      <w:r>
        <w:rPr>
          <w:spacing w:val="-10"/>
        </w:rPr>
        <w:t> </w:t>
      </w:r>
      <w:r>
        <w:rPr/>
        <w:t>paliek</w:t>
      </w:r>
      <w:r>
        <w:rPr>
          <w:spacing w:val="-9"/>
        </w:rPr>
        <w:t> </w:t>
      </w:r>
      <w:r>
        <w:rPr/>
        <w:t>pāri</w:t>
      </w:r>
      <w:r>
        <w:rPr>
          <w:spacing w:val="-10"/>
        </w:rPr>
        <w:t> </w:t>
      </w:r>
      <w:r>
        <w:rPr/>
        <w:t>pēc</w:t>
      </w:r>
      <w:r>
        <w:rPr>
          <w:spacing w:val="-11"/>
        </w:rPr>
        <w:t> </w:t>
      </w:r>
      <w:r>
        <w:rPr/>
        <w:t>ikdienas</w:t>
      </w:r>
      <w:r>
        <w:rPr>
          <w:spacing w:val="-10"/>
        </w:rPr>
        <w:t> </w:t>
      </w:r>
      <w:r>
        <w:rPr/>
        <w:t>maksājumu</w:t>
      </w:r>
      <w:r>
        <w:rPr>
          <w:spacing w:val="-11"/>
        </w:rPr>
        <w:t> </w:t>
      </w:r>
      <w:r>
        <w:rPr/>
        <w:t>veikšanas,</w:t>
      </w:r>
      <w:r>
        <w:rPr>
          <w:spacing w:val="-8"/>
        </w:rPr>
        <w:t> </w:t>
      </w:r>
      <w:r>
        <w:rPr/>
        <w:t>tad papildus maksājumi nav veicami. Vēsturiski nebija noteikts termiņš un maksājamās summas apmērs, bet katrs gadījums tika vērtēts individuāli. Tomēr 2010.gadā Maksātnespējas serviss izdeva rokasgrāmatu, kas deva skaidras vadlīnijas vienveidīgas prakses īstenošanai attiecībā uz maksājumiem</w:t>
      </w:r>
      <w:r>
        <w:rPr>
          <w:spacing w:val="-2"/>
        </w:rPr>
        <w:t> </w:t>
      </w:r>
      <w:r>
        <w:rPr/>
        <w:t>kreditoriem.</w:t>
      </w:r>
    </w:p>
    <w:p>
      <w:pPr>
        <w:pStyle w:val="BodyText"/>
        <w:spacing w:line="228" w:lineRule="auto"/>
        <w:ind w:left="620" w:right="401" w:firstLine="720"/>
        <w:rPr>
          <w:sz w:val="16"/>
        </w:rPr>
      </w:pPr>
      <w:r>
        <w:rPr/>
        <w:t>Atbilstoši</w:t>
      </w:r>
      <w:r>
        <w:rPr>
          <w:spacing w:val="-12"/>
        </w:rPr>
        <w:t> </w:t>
      </w:r>
      <w:r>
        <w:rPr/>
        <w:t>Lielbritānijas</w:t>
      </w:r>
      <w:r>
        <w:rPr>
          <w:spacing w:val="-9"/>
        </w:rPr>
        <w:t> </w:t>
      </w:r>
      <w:r>
        <w:rPr/>
        <w:t>Maksātnespējas</w:t>
      </w:r>
      <w:r>
        <w:rPr>
          <w:spacing w:val="-11"/>
        </w:rPr>
        <w:t> </w:t>
      </w:r>
      <w:r>
        <w:rPr/>
        <w:t>likumam,</w:t>
      </w:r>
      <w:r>
        <w:rPr>
          <w:spacing w:val="-11"/>
        </w:rPr>
        <w:t> </w:t>
      </w:r>
      <w:r>
        <w:rPr/>
        <w:t>bankrota</w:t>
      </w:r>
      <w:r>
        <w:rPr>
          <w:spacing w:val="-12"/>
        </w:rPr>
        <w:t> </w:t>
      </w:r>
      <w:r>
        <w:rPr/>
        <w:t>procedūru</w:t>
      </w:r>
      <w:r>
        <w:rPr>
          <w:spacing w:val="-13"/>
        </w:rPr>
        <w:t> </w:t>
      </w:r>
      <w:r>
        <w:rPr/>
        <w:t>var</w:t>
      </w:r>
      <w:r>
        <w:rPr>
          <w:spacing w:val="-11"/>
        </w:rPr>
        <w:t> </w:t>
      </w:r>
      <w:r>
        <w:rPr/>
        <w:t>ierosināt gan pats parādnieks, gan arī parādnieka</w:t>
      </w:r>
      <w:r>
        <w:rPr>
          <w:spacing w:val="1"/>
        </w:rPr>
        <w:t> </w:t>
      </w:r>
      <w:r>
        <w:rPr/>
        <w:t>kreditors.</w:t>
      </w:r>
      <w:r>
        <w:rPr>
          <w:position w:val="9"/>
          <w:sz w:val="16"/>
        </w:rPr>
        <w:t>238</w:t>
      </w:r>
    </w:p>
    <w:p>
      <w:pPr>
        <w:pStyle w:val="BodyText"/>
        <w:spacing w:line="237" w:lineRule="auto"/>
        <w:ind w:left="620" w:right="402" w:firstLine="720"/>
      </w:pPr>
      <w:r>
        <w:rPr/>
        <w:t>Lai arī varētu šķist, ka kreditoriem sniegtā iespēja iesniegt pieteikumu par fiziskās personas</w:t>
      </w:r>
      <w:r>
        <w:rPr>
          <w:spacing w:val="-14"/>
        </w:rPr>
        <w:t> </w:t>
      </w:r>
      <w:r>
        <w:rPr/>
        <w:t>bankrota</w:t>
      </w:r>
      <w:r>
        <w:rPr>
          <w:spacing w:val="-12"/>
        </w:rPr>
        <w:t> </w:t>
      </w:r>
      <w:r>
        <w:rPr/>
        <w:t>procedūru</w:t>
      </w:r>
      <w:r>
        <w:rPr>
          <w:spacing w:val="-13"/>
        </w:rPr>
        <w:t> </w:t>
      </w:r>
      <w:r>
        <w:rPr/>
        <w:t>ir</w:t>
      </w:r>
      <w:r>
        <w:rPr>
          <w:spacing w:val="-13"/>
        </w:rPr>
        <w:t> </w:t>
      </w:r>
      <w:r>
        <w:rPr/>
        <w:t>liela</w:t>
      </w:r>
      <w:r>
        <w:rPr>
          <w:spacing w:val="-16"/>
        </w:rPr>
        <w:t> </w:t>
      </w:r>
      <w:r>
        <w:rPr/>
        <w:t>priekšrocība,</w:t>
      </w:r>
      <w:r>
        <w:rPr>
          <w:spacing w:val="-13"/>
        </w:rPr>
        <w:t> </w:t>
      </w:r>
      <w:r>
        <w:rPr/>
        <w:t>tomēr</w:t>
      </w:r>
      <w:r>
        <w:rPr>
          <w:spacing w:val="-13"/>
        </w:rPr>
        <w:t> </w:t>
      </w:r>
      <w:r>
        <w:rPr/>
        <w:t>arī</w:t>
      </w:r>
      <w:r>
        <w:rPr>
          <w:spacing w:val="-14"/>
        </w:rPr>
        <w:t> </w:t>
      </w:r>
      <w:r>
        <w:rPr/>
        <w:t>šim</w:t>
      </w:r>
      <w:r>
        <w:rPr>
          <w:spacing w:val="-13"/>
        </w:rPr>
        <w:t> </w:t>
      </w:r>
      <w:r>
        <w:rPr/>
        <w:t>aspektam</w:t>
      </w:r>
      <w:r>
        <w:rPr>
          <w:spacing w:val="-13"/>
        </w:rPr>
        <w:t> </w:t>
      </w:r>
      <w:r>
        <w:rPr/>
        <w:t>ir</w:t>
      </w:r>
      <w:r>
        <w:rPr>
          <w:spacing w:val="-16"/>
        </w:rPr>
        <w:t> </w:t>
      </w:r>
      <w:r>
        <w:rPr/>
        <w:t>savas</w:t>
      </w:r>
      <w:r>
        <w:rPr>
          <w:spacing w:val="-16"/>
        </w:rPr>
        <w:t> </w:t>
      </w:r>
      <w:r>
        <w:rPr/>
        <w:t>negatīvās iezīmes.</w:t>
      </w:r>
      <w:r>
        <w:rPr>
          <w:spacing w:val="-6"/>
        </w:rPr>
        <w:t> </w:t>
      </w:r>
      <w:r>
        <w:rPr/>
        <w:t>Proti,</w:t>
      </w:r>
      <w:r>
        <w:rPr>
          <w:spacing w:val="-6"/>
        </w:rPr>
        <w:t> </w:t>
      </w:r>
      <w:r>
        <w:rPr/>
        <w:t>kreditori</w:t>
      </w:r>
      <w:r>
        <w:rPr>
          <w:spacing w:val="-5"/>
        </w:rPr>
        <w:t> </w:t>
      </w:r>
      <w:r>
        <w:rPr/>
        <w:t>nereti</w:t>
      </w:r>
      <w:r>
        <w:rPr>
          <w:spacing w:val="-3"/>
        </w:rPr>
        <w:t> </w:t>
      </w:r>
      <w:r>
        <w:rPr/>
        <w:t>izmanto</w:t>
      </w:r>
      <w:r>
        <w:rPr>
          <w:spacing w:val="-5"/>
        </w:rPr>
        <w:t> </w:t>
      </w:r>
      <w:r>
        <w:rPr/>
        <w:t>bankrota</w:t>
      </w:r>
      <w:r>
        <w:rPr>
          <w:spacing w:val="-6"/>
        </w:rPr>
        <w:t> </w:t>
      </w:r>
      <w:r>
        <w:rPr/>
        <w:t>draudus,</w:t>
      </w:r>
      <w:r>
        <w:rPr>
          <w:spacing w:val="-6"/>
        </w:rPr>
        <w:t> </w:t>
      </w:r>
      <w:r>
        <w:rPr/>
        <w:t>lai</w:t>
      </w:r>
      <w:r>
        <w:rPr>
          <w:spacing w:val="-5"/>
        </w:rPr>
        <w:t> </w:t>
      </w:r>
      <w:r>
        <w:rPr/>
        <w:t>sasniegtu</w:t>
      </w:r>
      <w:r>
        <w:rPr>
          <w:spacing w:val="-6"/>
        </w:rPr>
        <w:t> </w:t>
      </w:r>
      <w:r>
        <w:rPr/>
        <w:t>mērķus,</w:t>
      </w:r>
      <w:r>
        <w:rPr>
          <w:spacing w:val="-5"/>
        </w:rPr>
        <w:t> </w:t>
      </w:r>
      <w:r>
        <w:rPr/>
        <w:t>kas</w:t>
      </w:r>
      <w:r>
        <w:rPr>
          <w:spacing w:val="-8"/>
        </w:rPr>
        <w:t> </w:t>
      </w:r>
      <w:r>
        <w:rPr/>
        <w:t>ne</w:t>
      </w:r>
      <w:r>
        <w:rPr>
          <w:spacing w:val="-5"/>
        </w:rPr>
        <w:t> </w:t>
      </w:r>
      <w:r>
        <w:rPr/>
        <w:t>tikai neatbilst, bet pat ir pretrunā ar paredzēto bankrota procedūras ietekmi un nozīmi.</w:t>
      </w:r>
      <w:r>
        <w:rPr>
          <w:position w:val="9"/>
          <w:sz w:val="16"/>
        </w:rPr>
        <w:t>239 </w:t>
      </w:r>
      <w:r>
        <w:rPr/>
        <w:t>Piemēram, daļa kreditoru fiziskās personas maksātnespējas procesu (draudus iesniegt pieteikumu par fiziskās personas maksātnespējas procesu) izmanto kā vienu no parādu atgūšanas</w:t>
      </w:r>
      <w:r>
        <w:rPr>
          <w:spacing w:val="-3"/>
        </w:rPr>
        <w:t> </w:t>
      </w:r>
      <w:r>
        <w:rPr/>
        <w:t>mehānismiem.</w:t>
      </w:r>
    </w:p>
    <w:p>
      <w:pPr>
        <w:pStyle w:val="BodyText"/>
        <w:spacing w:line="235" w:lineRule="auto" w:before="2"/>
        <w:ind w:left="620" w:right="402" w:firstLine="720"/>
        <w:rPr>
          <w:sz w:val="16"/>
        </w:rPr>
      </w:pPr>
      <w:r>
        <w:rPr/>
        <w:t>No vienas puses, kreditoram tas ir izdevīgi. Tas ir sava veida šķirošanas līdzeklis, ar kuru kreditors var ātri noteikt, vai parādniekam ir līdzekļi un vēlme maksāt, vai arī parādnieks tik tiešām ir maksātnespējīgs un nespēj norēķināties.</w:t>
      </w:r>
      <w:r>
        <w:rPr>
          <w:position w:val="9"/>
          <w:sz w:val="16"/>
        </w:rPr>
        <w:t>240 </w:t>
      </w:r>
      <w:r>
        <w:rPr/>
        <w:t>Ja izrādās, ka parādnieks tik tiešām nespēj maksāt, tad tiek novērstas tās izmaksas, kas varētu rasties, lai parastā kārtībā celtu prasību, saņemtu spriedumu un tad mēģinātu identificēt mantu, uz kuru varētu vērst piedziņu – process var ātri atrisināt jautājumu par parādu atgūšanu vai parādu norakstīšanu.</w:t>
      </w:r>
      <w:r>
        <w:rPr>
          <w:position w:val="9"/>
          <w:sz w:val="16"/>
        </w:rPr>
        <w:t>241</w:t>
      </w:r>
    </w:p>
    <w:p>
      <w:pPr>
        <w:pStyle w:val="BodyText"/>
        <w:spacing w:before="4"/>
        <w:ind w:left="620" w:right="402" w:firstLine="720"/>
      </w:pPr>
      <w:r>
        <w:rPr/>
        <w:t>Tomēr</w:t>
      </w:r>
      <w:r>
        <w:rPr>
          <w:spacing w:val="-10"/>
        </w:rPr>
        <w:t> </w:t>
      </w:r>
      <w:r>
        <w:rPr/>
        <w:t>šāda</w:t>
      </w:r>
      <w:r>
        <w:rPr>
          <w:spacing w:val="-9"/>
        </w:rPr>
        <w:t> </w:t>
      </w:r>
      <w:r>
        <w:rPr/>
        <w:t>vienam</w:t>
      </w:r>
      <w:r>
        <w:rPr>
          <w:spacing w:val="-9"/>
        </w:rPr>
        <w:t> </w:t>
      </w:r>
      <w:r>
        <w:rPr/>
        <w:t>kreditoram</w:t>
      </w:r>
      <w:r>
        <w:rPr>
          <w:spacing w:val="-7"/>
        </w:rPr>
        <w:t> </w:t>
      </w:r>
      <w:r>
        <w:rPr/>
        <w:t>esoša</w:t>
      </w:r>
      <w:r>
        <w:rPr>
          <w:spacing w:val="-10"/>
        </w:rPr>
        <w:t> </w:t>
      </w:r>
      <w:r>
        <w:rPr/>
        <w:t>priekšrocība,</w:t>
      </w:r>
      <w:r>
        <w:rPr>
          <w:spacing w:val="-4"/>
        </w:rPr>
        <w:t> </w:t>
      </w:r>
      <w:r>
        <w:rPr/>
        <w:t>var</w:t>
      </w:r>
      <w:r>
        <w:rPr>
          <w:spacing w:val="-10"/>
        </w:rPr>
        <w:t> </w:t>
      </w:r>
      <w:r>
        <w:rPr/>
        <w:t>kaitēt</w:t>
      </w:r>
      <w:r>
        <w:rPr>
          <w:spacing w:val="-7"/>
        </w:rPr>
        <w:t> </w:t>
      </w:r>
      <w:r>
        <w:rPr/>
        <w:t>citiem</w:t>
      </w:r>
      <w:r>
        <w:rPr>
          <w:spacing w:val="-10"/>
        </w:rPr>
        <w:t> </w:t>
      </w:r>
      <w:r>
        <w:rPr/>
        <w:t>kreditoriem.</w:t>
      </w:r>
      <w:r>
        <w:rPr>
          <w:spacing w:val="-7"/>
        </w:rPr>
        <w:t> </w:t>
      </w:r>
      <w:r>
        <w:rPr/>
        <w:t>Ja maksātnespējas process tiktu izmantots pilnībā, tad citiem kreditoriem kaitējums netiktu nodarīts,</w:t>
      </w:r>
      <w:r>
        <w:rPr>
          <w:spacing w:val="8"/>
        </w:rPr>
        <w:t> </w:t>
      </w:r>
      <w:r>
        <w:rPr/>
        <w:t>jo</w:t>
      </w:r>
      <w:r>
        <w:rPr>
          <w:spacing w:val="9"/>
        </w:rPr>
        <w:t> </w:t>
      </w:r>
      <w:r>
        <w:rPr/>
        <w:t>neatkarīgi</w:t>
      </w:r>
      <w:r>
        <w:rPr>
          <w:spacing w:val="11"/>
        </w:rPr>
        <w:t> </w:t>
      </w:r>
      <w:r>
        <w:rPr/>
        <w:t>no</w:t>
      </w:r>
      <w:r>
        <w:rPr>
          <w:spacing w:val="9"/>
        </w:rPr>
        <w:t> </w:t>
      </w:r>
      <w:r>
        <w:rPr/>
        <w:t>parādnieka</w:t>
      </w:r>
      <w:r>
        <w:rPr>
          <w:spacing w:val="7"/>
        </w:rPr>
        <w:t> </w:t>
      </w:r>
      <w:r>
        <w:rPr/>
        <w:t>mantas</w:t>
      </w:r>
      <w:r>
        <w:rPr>
          <w:spacing w:val="11"/>
        </w:rPr>
        <w:t> </w:t>
      </w:r>
      <w:r>
        <w:rPr/>
        <w:t>vērtības,</w:t>
      </w:r>
      <w:r>
        <w:rPr>
          <w:spacing w:val="9"/>
        </w:rPr>
        <w:t> </w:t>
      </w:r>
      <w:r>
        <w:rPr/>
        <w:t>tā</w:t>
      </w:r>
      <w:r>
        <w:rPr>
          <w:spacing w:val="13"/>
        </w:rPr>
        <w:t> </w:t>
      </w:r>
      <w:r>
        <w:rPr/>
        <w:t>tiktu</w:t>
      </w:r>
      <w:r>
        <w:rPr>
          <w:spacing w:val="8"/>
        </w:rPr>
        <w:t> </w:t>
      </w:r>
      <w:r>
        <w:rPr/>
        <w:t>sadalīta</w:t>
      </w:r>
      <w:r>
        <w:rPr>
          <w:spacing w:val="7"/>
        </w:rPr>
        <w:t> </w:t>
      </w:r>
      <w:r>
        <w:rPr/>
        <w:t>starp</w:t>
      </w:r>
      <w:r>
        <w:rPr>
          <w:spacing w:val="9"/>
        </w:rPr>
        <w:t> </w:t>
      </w:r>
      <w:r>
        <w:rPr/>
        <w:t>visiem</w:t>
      </w:r>
    </w:p>
    <w:p>
      <w:pPr>
        <w:pStyle w:val="BodyText"/>
        <w:jc w:val="left"/>
        <w:rPr>
          <w:sz w:val="20"/>
        </w:rPr>
      </w:pPr>
    </w:p>
    <w:p>
      <w:pPr>
        <w:pStyle w:val="BodyText"/>
        <w:jc w:val="left"/>
        <w:rPr>
          <w:sz w:val="20"/>
        </w:rPr>
      </w:pPr>
    </w:p>
    <w:p>
      <w:pPr>
        <w:pStyle w:val="BodyText"/>
        <w:spacing w:before="7"/>
        <w:jc w:val="left"/>
        <w:rPr>
          <w:sz w:val="28"/>
        </w:rPr>
      </w:pPr>
      <w:r>
        <w:rPr/>
        <w:pict>
          <v:shape style="position:absolute;margin-left:90pt;margin-top:18.740271pt;width:144pt;height:.1pt;mso-position-horizontal-relative:page;mso-position-vertical-relative:paragraph;z-index:-251518976;mso-wrap-distance-left:0;mso-wrap-distance-right:0" coordorigin="1800,375" coordsize="2880,0" path="m1800,375l4680,375e" filled="false" stroked="true" strokeweight=".599991pt" strokecolor="#000000">
            <v:path arrowok="t"/>
            <v:stroke dashstyle="solid"/>
            <w10:wrap type="topAndBottom"/>
          </v:shape>
        </w:pict>
      </w:r>
    </w:p>
    <w:p>
      <w:pPr>
        <w:spacing w:line="231" w:lineRule="exact" w:before="70"/>
        <w:ind w:left="620" w:right="0" w:firstLine="0"/>
        <w:jc w:val="left"/>
        <w:rPr>
          <w:sz w:val="20"/>
        </w:rPr>
      </w:pPr>
      <w:r>
        <w:rPr>
          <w:position w:val="7"/>
          <w:sz w:val="13"/>
        </w:rPr>
        <w:t>236 </w:t>
      </w:r>
      <w:r>
        <w:rPr>
          <w:sz w:val="20"/>
        </w:rPr>
        <w:t>Lielbritānijas Maksātnespējas likums, 310. pants – income payments orders</w:t>
      </w:r>
    </w:p>
    <w:p>
      <w:pPr>
        <w:spacing w:line="229" w:lineRule="exact" w:before="0"/>
        <w:ind w:left="620" w:right="0" w:firstLine="0"/>
        <w:jc w:val="left"/>
        <w:rPr>
          <w:sz w:val="20"/>
        </w:rPr>
      </w:pPr>
      <w:r>
        <w:rPr>
          <w:position w:val="7"/>
          <w:sz w:val="13"/>
        </w:rPr>
        <w:t>237 </w:t>
      </w:r>
      <w:r>
        <w:rPr>
          <w:sz w:val="20"/>
        </w:rPr>
        <w:t>Lielbritānijas Maksātnespējas likums, 310. panta sestā daļa</w:t>
      </w:r>
    </w:p>
    <w:p>
      <w:pPr>
        <w:spacing w:line="230" w:lineRule="exact" w:before="0"/>
        <w:ind w:left="620" w:right="0" w:firstLine="0"/>
        <w:jc w:val="left"/>
        <w:rPr>
          <w:sz w:val="20"/>
        </w:rPr>
      </w:pPr>
      <w:r>
        <w:rPr>
          <w:position w:val="7"/>
          <w:sz w:val="13"/>
        </w:rPr>
        <w:t>238 </w:t>
      </w:r>
      <w:r>
        <w:rPr>
          <w:sz w:val="20"/>
        </w:rPr>
        <w:t>Lielbritānijas Maksātnespējas likums, 264.panta pirmās daļas a un b apakšpunkti</w:t>
      </w:r>
    </w:p>
    <w:p>
      <w:pPr>
        <w:tabs>
          <w:tab w:pos="1029" w:val="left" w:leader="none"/>
          <w:tab w:pos="1868" w:val="left" w:leader="none"/>
          <w:tab w:pos="2264" w:val="left" w:leader="none"/>
          <w:tab w:pos="3104" w:val="left" w:leader="none"/>
          <w:tab w:pos="3514" w:val="left" w:leader="none"/>
          <w:tab w:pos="5184" w:val="left" w:leader="none"/>
          <w:tab w:pos="6758" w:val="left" w:leader="none"/>
          <w:tab w:pos="7228" w:val="left" w:leader="none"/>
          <w:tab w:pos="7971" w:val="left" w:leader="none"/>
        </w:tabs>
        <w:spacing w:line="240" w:lineRule="auto" w:before="0"/>
        <w:ind w:left="620" w:right="404" w:firstLine="0"/>
        <w:jc w:val="left"/>
        <w:rPr>
          <w:sz w:val="20"/>
        </w:rPr>
      </w:pPr>
      <w:r>
        <w:rPr>
          <w:position w:val="7"/>
          <w:sz w:val="13"/>
        </w:rPr>
        <w:t>239</w:t>
        <w:tab/>
      </w:r>
      <w:r>
        <w:rPr>
          <w:sz w:val="20"/>
        </w:rPr>
        <w:t>Kilborn</w:t>
        <w:tab/>
        <w:t>J.,</w:t>
        <w:tab/>
        <w:t>Walters</w:t>
        <w:tab/>
        <w:t>A.</w:t>
        <w:tab/>
        <w:t>INVOLUNTARY</w:t>
        <w:tab/>
        <w:t>BANKRUPTCY</w:t>
        <w:tab/>
        <w:t>AS</w:t>
        <w:tab/>
        <w:t>DEBT</w:t>
        <w:tab/>
      </w:r>
      <w:r>
        <w:rPr>
          <w:w w:val="95"/>
          <w:sz w:val="20"/>
        </w:rPr>
        <w:t>COLLECTION: </w:t>
      </w:r>
      <w:r>
        <w:rPr>
          <w:sz w:val="20"/>
        </w:rPr>
        <w:t>MULTIJURISDICTIONAL</w:t>
      </w:r>
    </w:p>
    <w:p>
      <w:pPr>
        <w:tabs>
          <w:tab w:pos="1738" w:val="left" w:leader="none"/>
          <w:tab w:pos="2202" w:val="left" w:leader="none"/>
          <w:tab w:pos="3492" w:val="left" w:leader="none"/>
          <w:tab w:pos="4138" w:val="left" w:leader="none"/>
          <w:tab w:pos="5000" w:val="left" w:leader="none"/>
          <w:tab w:pos="5785" w:val="left" w:leader="none"/>
          <w:tab w:pos="6428" w:val="left" w:leader="none"/>
          <w:tab w:pos="7072" w:val="left" w:leader="none"/>
          <w:tab w:pos="7734" w:val="left" w:leader="none"/>
          <w:tab w:pos="8504" w:val="left" w:leader="none"/>
        </w:tabs>
        <w:spacing w:before="0"/>
        <w:ind w:left="620" w:right="0" w:firstLine="0"/>
        <w:jc w:val="left"/>
        <w:rPr>
          <w:sz w:val="20"/>
        </w:rPr>
      </w:pPr>
      <w:r>
        <w:rPr>
          <w:sz w:val="20"/>
        </w:rPr>
        <w:t>LESSONS</w:t>
        <w:tab/>
        <w:t>IN</w:t>
        <w:tab/>
        <w:t>CHOOSING</w:t>
        <w:tab/>
        <w:t>THE</w:t>
        <w:tab/>
        <w:t>RIGHT</w:t>
        <w:tab/>
        <w:t>TOOL</w:t>
        <w:tab/>
        <w:t>FOR</w:t>
        <w:tab/>
        <w:t>THE</w:t>
        <w:tab/>
        <w:t>JOB.</w:t>
        <w:tab/>
        <w:t>p.3.-4.</w:t>
        <w:tab/>
        <w:t>Pieejams:</w:t>
      </w:r>
    </w:p>
    <w:p>
      <w:pPr>
        <w:spacing w:line="229" w:lineRule="exact" w:before="0"/>
        <w:ind w:left="620" w:right="0" w:firstLine="0"/>
        <w:jc w:val="left"/>
        <w:rPr>
          <w:sz w:val="20"/>
        </w:rPr>
      </w:pPr>
      <w:r>
        <w:rPr>
          <w:color w:val="0562C1"/>
          <w:sz w:val="20"/>
          <w:u w:val="single" w:color="0562C1"/>
        </w:rPr>
        <w:t>https://</w:t>
      </w:r>
      <w:hyperlink r:id="rId67">
        <w:r>
          <w:rPr>
            <w:color w:val="0562C1"/>
            <w:sz w:val="20"/>
            <w:u w:val="single" w:color="0562C1"/>
          </w:rPr>
          <w:t>www.iiiglobal.org/sites/default/files/19036439v1%20-</w:t>
        </w:r>
      </w:hyperlink>
    </w:p>
    <w:p>
      <w:pPr>
        <w:tabs>
          <w:tab w:pos="8535" w:val="left" w:leader="none"/>
        </w:tabs>
        <w:spacing w:before="0"/>
        <w:ind w:left="620" w:right="404" w:firstLine="0"/>
        <w:jc w:val="left"/>
        <w:rPr>
          <w:sz w:val="20"/>
        </w:rPr>
      </w:pPr>
      <w:r>
        <w:rPr>
          <w:color w:val="0562C1"/>
          <w:sz w:val="20"/>
          <w:u w:val="single" w:color="0562C1"/>
        </w:rPr>
        <w:t>%20Involuntary%20Bankruptcy%20As%20Debt%20Collection%20(Jason%20Kilborn).PDF</w:t>
      </w:r>
      <w:r>
        <w:rPr>
          <w:color w:val="0562C1"/>
          <w:sz w:val="20"/>
        </w:rPr>
        <w:tab/>
      </w:r>
      <w:r>
        <w:rPr>
          <w:w w:val="95"/>
          <w:sz w:val="20"/>
        </w:rPr>
        <w:t>[aplūkots </w:t>
      </w:r>
      <w:r>
        <w:rPr>
          <w:sz w:val="20"/>
        </w:rPr>
        <w:t>2018.gada</w:t>
      </w:r>
      <w:r>
        <w:rPr>
          <w:spacing w:val="-1"/>
          <w:sz w:val="20"/>
        </w:rPr>
        <w:t> </w:t>
      </w:r>
      <w:r>
        <w:rPr>
          <w:sz w:val="20"/>
        </w:rPr>
        <w:t>20.septembrī].</w:t>
      </w:r>
    </w:p>
    <w:p>
      <w:pPr>
        <w:spacing w:line="229" w:lineRule="exact" w:before="0"/>
        <w:ind w:left="620" w:right="0" w:firstLine="0"/>
        <w:jc w:val="left"/>
        <w:rPr>
          <w:sz w:val="20"/>
        </w:rPr>
      </w:pPr>
      <w:r>
        <w:rPr>
          <w:position w:val="7"/>
          <w:sz w:val="13"/>
        </w:rPr>
        <w:t>240  </w:t>
      </w:r>
      <w:r>
        <w:rPr>
          <w:sz w:val="20"/>
        </w:rPr>
        <w:t>Ibid,</w:t>
      </w:r>
      <w:r>
        <w:rPr>
          <w:spacing w:val="-18"/>
          <w:sz w:val="20"/>
        </w:rPr>
        <w:t> </w:t>
      </w:r>
      <w:r>
        <w:rPr>
          <w:sz w:val="20"/>
        </w:rPr>
        <w:t>p.18.</w:t>
      </w:r>
    </w:p>
    <w:p>
      <w:pPr>
        <w:spacing w:line="233" w:lineRule="exact" w:before="0"/>
        <w:ind w:left="620" w:right="0" w:firstLine="0"/>
        <w:jc w:val="left"/>
        <w:rPr>
          <w:sz w:val="20"/>
        </w:rPr>
      </w:pPr>
      <w:r>
        <w:rPr>
          <w:position w:val="7"/>
          <w:sz w:val="13"/>
        </w:rPr>
        <w:t>241  </w:t>
      </w:r>
      <w:r>
        <w:rPr>
          <w:sz w:val="20"/>
        </w:rPr>
        <w:t>Ibid,</w:t>
      </w:r>
      <w:r>
        <w:rPr>
          <w:spacing w:val="-18"/>
          <w:sz w:val="20"/>
        </w:rPr>
        <w:t> </w:t>
      </w:r>
      <w:r>
        <w:rPr>
          <w:sz w:val="20"/>
        </w:rPr>
        <w:t>p.19.</w:t>
      </w:r>
    </w:p>
    <w:p>
      <w:pPr>
        <w:spacing w:after="0" w:line="233" w:lineRule="exact"/>
        <w:jc w:val="left"/>
        <w:rPr>
          <w:sz w:val="20"/>
        </w:rPr>
        <w:sectPr>
          <w:pgSz w:w="11910" w:h="16840"/>
          <w:pgMar w:header="0" w:footer="1055" w:top="1340" w:bottom="1240" w:left="1180" w:right="1040"/>
        </w:sectPr>
      </w:pPr>
    </w:p>
    <w:p>
      <w:pPr>
        <w:pStyle w:val="BodyText"/>
        <w:spacing w:line="237" w:lineRule="auto" w:before="80"/>
        <w:ind w:left="260" w:right="762"/>
      </w:pPr>
      <w:r>
        <w:rPr/>
        <w:t>kreditoriem.</w:t>
      </w:r>
      <w:r>
        <w:rPr>
          <w:position w:val="9"/>
          <w:sz w:val="16"/>
        </w:rPr>
        <w:t>242 </w:t>
      </w:r>
      <w:r>
        <w:rPr/>
        <w:t>Tomēr, kā rāda statistikas dati, tad Lielbritānijas gadījumā kreditora pieteikums par parādnieka bankrota procedūras pasludināšanu, bieži vien nemaz netiek apmierināts, bet gan noraidīts tiesā, vai arī kreditors labprātīgi no tā atsakās. Aptuveni 50- 60 procenti no visiem kreditoru pieteikumiem tiek vai nu brīvprātīgi atsaukti, vai arī noraidīti.</w:t>
      </w:r>
      <w:r>
        <w:rPr>
          <w:position w:val="9"/>
          <w:sz w:val="16"/>
        </w:rPr>
        <w:t>243 </w:t>
      </w:r>
      <w:r>
        <w:rPr/>
        <w:t>Līdz ar to var izdarīt secinājumu, ka kreditori lielā daļā gadījumu iesaistās procesā,</w:t>
      </w:r>
      <w:r>
        <w:rPr>
          <w:spacing w:val="-9"/>
        </w:rPr>
        <w:t> </w:t>
      </w:r>
      <w:r>
        <w:rPr/>
        <w:t>nevis</w:t>
      </w:r>
      <w:r>
        <w:rPr>
          <w:spacing w:val="-11"/>
        </w:rPr>
        <w:t> </w:t>
      </w:r>
      <w:r>
        <w:rPr/>
        <w:t>lai</w:t>
      </w:r>
      <w:r>
        <w:rPr>
          <w:spacing w:val="-10"/>
        </w:rPr>
        <w:t> </w:t>
      </w:r>
      <w:r>
        <w:rPr/>
        <w:t>realizētu</w:t>
      </w:r>
      <w:r>
        <w:rPr>
          <w:spacing w:val="-11"/>
        </w:rPr>
        <w:t> </w:t>
      </w:r>
      <w:r>
        <w:rPr/>
        <w:t>šo</w:t>
      </w:r>
      <w:r>
        <w:rPr>
          <w:spacing w:val="-10"/>
        </w:rPr>
        <w:t> </w:t>
      </w:r>
      <w:r>
        <w:rPr/>
        <w:t>procedūru</w:t>
      </w:r>
      <w:r>
        <w:rPr>
          <w:spacing w:val="-11"/>
        </w:rPr>
        <w:t> </w:t>
      </w:r>
      <w:r>
        <w:rPr/>
        <w:t>līdz</w:t>
      </w:r>
      <w:r>
        <w:rPr>
          <w:spacing w:val="-9"/>
        </w:rPr>
        <w:t> </w:t>
      </w:r>
      <w:r>
        <w:rPr/>
        <w:t>tās</w:t>
      </w:r>
      <w:r>
        <w:rPr>
          <w:spacing w:val="-11"/>
        </w:rPr>
        <w:t> </w:t>
      </w:r>
      <w:r>
        <w:rPr/>
        <w:t>likumā</w:t>
      </w:r>
      <w:r>
        <w:rPr>
          <w:spacing w:val="-11"/>
        </w:rPr>
        <w:t> </w:t>
      </w:r>
      <w:r>
        <w:rPr/>
        <w:t>paredzētajam</w:t>
      </w:r>
      <w:r>
        <w:rPr>
          <w:spacing w:val="-12"/>
        </w:rPr>
        <w:t> </w:t>
      </w:r>
      <w:r>
        <w:rPr/>
        <w:t>noslēgumam,</w:t>
      </w:r>
      <w:r>
        <w:rPr>
          <w:spacing w:val="-11"/>
        </w:rPr>
        <w:t> </w:t>
      </w:r>
      <w:r>
        <w:rPr/>
        <w:t>bet</w:t>
      </w:r>
      <w:r>
        <w:rPr>
          <w:spacing w:val="-8"/>
        </w:rPr>
        <w:t> </w:t>
      </w:r>
      <w:r>
        <w:rPr/>
        <w:t>gan lai palielinātu savu sviras efektu pār parādnieku.</w:t>
      </w:r>
      <w:r>
        <w:rPr>
          <w:position w:val="9"/>
          <w:sz w:val="16"/>
        </w:rPr>
        <w:t>244 </w:t>
      </w:r>
      <w:r>
        <w:rPr/>
        <w:t>Tādā veidā tiek nodarīts kaitējumu citiem kreditoriem, jo parādnieks, baidoties no iespējas tikt pasludinātam par maksātnespējīgu, rod iespējas norēķināties ar vienu kreditoru, tādējādi pārējiem kreditoriem tiek atstāts mazāks vērtību un mantas kopums, no kā tie varētu meklēt savu prasījumu</w:t>
      </w:r>
      <w:r>
        <w:rPr>
          <w:spacing w:val="-1"/>
        </w:rPr>
        <w:t> </w:t>
      </w:r>
      <w:r>
        <w:rPr/>
        <w:t>apmierinājumu.</w:t>
      </w:r>
    </w:p>
    <w:p>
      <w:pPr>
        <w:pStyle w:val="BodyText"/>
        <w:spacing w:line="237" w:lineRule="auto"/>
        <w:ind w:left="260" w:right="762" w:firstLine="720"/>
        <w:rPr>
          <w:sz w:val="16"/>
        </w:rPr>
      </w:pPr>
      <w:r>
        <w:rPr/>
        <w:t>Tiek norādīts, ka bankrota draudu izmantošana kā vienkāršs parādu atgūšanas mehānisms atņem parādniekam to aizsardzību, kāda var tikt piemērota parastas parādu atgūšanas procesa gaitā, proti, no Lielbritānijas sistēmas izriet, ka viens no iemesliem, kādēļ kreditori izmanto bankrota sistēmu parādu piedziņai, ir tas, ka, kreditoru ieskatā, parastās izpildes procedūras ir parādniekam “draudzīgākas”, pieļaujot pagarināt maksājumu plānus vai sniedzot citas iespējas, lai parādniekiem saudzīgāk un efektīvāk atrastu kompromisa risinājumus parādu izpildē.</w:t>
      </w:r>
      <w:r>
        <w:rPr>
          <w:position w:val="9"/>
          <w:sz w:val="16"/>
        </w:rPr>
        <w:t>245</w:t>
      </w:r>
    </w:p>
    <w:p>
      <w:pPr>
        <w:pStyle w:val="BodyText"/>
        <w:spacing w:line="235" w:lineRule="auto" w:before="7"/>
        <w:ind w:left="260" w:right="761" w:firstLine="720"/>
        <w:rPr>
          <w:sz w:val="16"/>
        </w:rPr>
      </w:pPr>
      <w:r>
        <w:rPr/>
        <w:t>Treškārt, kā vēl viens būtisks trūkums attiecībā uz kreditora ierosinātām maksātnespējas lietām, tiek norādīts tas, ka lielā daļā gadījumu tiek nepamatoti noslogota tiesu</w:t>
      </w:r>
      <w:r>
        <w:rPr>
          <w:spacing w:val="-8"/>
        </w:rPr>
        <w:t> </w:t>
      </w:r>
      <w:r>
        <w:rPr/>
        <w:t>sistēma.</w:t>
      </w:r>
      <w:r>
        <w:rPr>
          <w:spacing w:val="-10"/>
        </w:rPr>
        <w:t> </w:t>
      </w:r>
      <w:r>
        <w:rPr/>
        <w:t>Ja</w:t>
      </w:r>
      <w:r>
        <w:rPr>
          <w:spacing w:val="-10"/>
        </w:rPr>
        <w:t> </w:t>
      </w:r>
      <w:r>
        <w:rPr/>
        <w:t>kreditori</w:t>
      </w:r>
      <w:r>
        <w:rPr>
          <w:spacing w:val="-8"/>
        </w:rPr>
        <w:t> </w:t>
      </w:r>
      <w:r>
        <w:rPr/>
        <w:t>ierosina</w:t>
      </w:r>
      <w:r>
        <w:rPr>
          <w:spacing w:val="-10"/>
        </w:rPr>
        <w:t> </w:t>
      </w:r>
      <w:r>
        <w:rPr/>
        <w:t>lietas,</w:t>
      </w:r>
      <w:r>
        <w:rPr>
          <w:spacing w:val="-8"/>
        </w:rPr>
        <w:t> </w:t>
      </w:r>
      <w:r>
        <w:rPr/>
        <w:t>no</w:t>
      </w:r>
      <w:r>
        <w:rPr>
          <w:spacing w:val="-8"/>
        </w:rPr>
        <w:t> </w:t>
      </w:r>
      <w:r>
        <w:rPr/>
        <w:t>kurām</w:t>
      </w:r>
      <w:r>
        <w:rPr>
          <w:spacing w:val="-10"/>
        </w:rPr>
        <w:t> </w:t>
      </w:r>
      <w:r>
        <w:rPr/>
        <w:t>pēc</w:t>
      </w:r>
      <w:r>
        <w:rPr>
          <w:spacing w:val="-8"/>
        </w:rPr>
        <w:t> </w:t>
      </w:r>
      <w:r>
        <w:rPr/>
        <w:t>tam</w:t>
      </w:r>
      <w:r>
        <w:rPr>
          <w:spacing w:val="-10"/>
        </w:rPr>
        <w:t> </w:t>
      </w:r>
      <w:r>
        <w:rPr/>
        <w:t>brīvprātīgi</w:t>
      </w:r>
      <w:r>
        <w:rPr>
          <w:spacing w:val="-8"/>
        </w:rPr>
        <w:t> </w:t>
      </w:r>
      <w:r>
        <w:rPr/>
        <w:t>atsakās</w:t>
      </w:r>
      <w:r>
        <w:rPr>
          <w:spacing w:val="-10"/>
        </w:rPr>
        <w:t> </w:t>
      </w:r>
      <w:r>
        <w:rPr/>
        <w:t>vai</w:t>
      </w:r>
      <w:r>
        <w:rPr>
          <w:spacing w:val="-8"/>
        </w:rPr>
        <w:t> </w:t>
      </w:r>
      <w:r>
        <w:rPr/>
        <w:t>tiesas</w:t>
      </w:r>
      <w:r>
        <w:rPr>
          <w:spacing w:val="-8"/>
        </w:rPr>
        <w:t> </w:t>
      </w:r>
      <w:r>
        <w:rPr/>
        <w:t>tās noraida, tad tās vēl vairāk noslogo jau tā pārmērīgi noslogoto tiesu</w:t>
      </w:r>
      <w:r>
        <w:rPr>
          <w:spacing w:val="-1"/>
        </w:rPr>
        <w:t> </w:t>
      </w:r>
      <w:r>
        <w:rPr/>
        <w:t>sistēmu.</w:t>
      </w:r>
      <w:r>
        <w:rPr>
          <w:position w:val="9"/>
          <w:sz w:val="16"/>
        </w:rPr>
        <w:t>246</w:t>
      </w:r>
    </w:p>
    <w:p>
      <w:pPr>
        <w:pStyle w:val="BodyText"/>
        <w:spacing w:line="235" w:lineRule="auto" w:before="6"/>
        <w:ind w:left="260" w:right="762" w:firstLine="720"/>
        <w:rPr>
          <w:sz w:val="16"/>
        </w:rPr>
      </w:pPr>
      <w:r>
        <w:rPr/>
        <w:t>Lai arī pastāv negatīvie aspekti saistībā ar kreditora iesniegtu maksātnespējas procesa pieteikumu, šādam pieteikumam ir arī vairāki ieguvumi, kas var būt jo īpaši izdevīgi situācijās, ja parādnieks ir maksātspējīgs, taču tam nav vēlēšanās nokārtot parādsaistības.</w:t>
      </w:r>
      <w:r>
        <w:rPr>
          <w:position w:val="9"/>
          <w:sz w:val="16"/>
        </w:rPr>
        <w:t>247 </w:t>
      </w:r>
      <w:r>
        <w:rPr/>
        <w:t>Šādās situācijās kreditora iesniegts maksātnespējas pieteikums parasti parāda parādniekam, ka kreditoram ir pilnīgi nopietna attieksme piedzīt parādu, un, ja parāds netiks samaksāts, parādnieks cietīs likvidācijas vai bankrota neatgriezeniskās sekas.</w:t>
      </w:r>
      <w:r>
        <w:rPr>
          <w:position w:val="9"/>
          <w:sz w:val="16"/>
        </w:rPr>
        <w:t>248</w:t>
      </w:r>
    </w:p>
    <w:p>
      <w:pPr>
        <w:pStyle w:val="BodyText"/>
        <w:spacing w:before="4"/>
        <w:ind w:left="260" w:right="762" w:firstLine="720"/>
      </w:pPr>
      <w:r>
        <w:rPr/>
        <w:t>Kreditora maksātnespējas procesa pieteikums darbojas kā kvaziregulējošs mehānisms</w:t>
      </w:r>
      <w:r>
        <w:rPr>
          <w:spacing w:val="-7"/>
        </w:rPr>
        <w:t> </w:t>
      </w:r>
      <w:r>
        <w:rPr/>
        <w:t>parādu</w:t>
      </w:r>
      <w:r>
        <w:rPr>
          <w:spacing w:val="-7"/>
        </w:rPr>
        <w:t> </w:t>
      </w:r>
      <w:r>
        <w:rPr/>
        <w:t>atgūšanai</w:t>
      </w:r>
      <w:r>
        <w:rPr>
          <w:spacing w:val="-6"/>
        </w:rPr>
        <w:t> </w:t>
      </w:r>
      <w:r>
        <w:rPr/>
        <w:t>no</w:t>
      </w:r>
      <w:r>
        <w:rPr>
          <w:spacing w:val="-7"/>
        </w:rPr>
        <w:t> </w:t>
      </w:r>
      <w:r>
        <w:rPr/>
        <w:t>nereaģējošiem</w:t>
      </w:r>
      <w:r>
        <w:rPr>
          <w:spacing w:val="-6"/>
        </w:rPr>
        <w:t> </w:t>
      </w:r>
      <w:r>
        <w:rPr/>
        <w:t>parādniekiem,</w:t>
      </w:r>
      <w:r>
        <w:rPr>
          <w:spacing w:val="-7"/>
        </w:rPr>
        <w:t> </w:t>
      </w:r>
      <w:r>
        <w:rPr/>
        <w:t>un,</w:t>
      </w:r>
      <w:r>
        <w:rPr>
          <w:spacing w:val="-6"/>
        </w:rPr>
        <w:t> </w:t>
      </w:r>
      <w:r>
        <w:rPr/>
        <w:t>ja</w:t>
      </w:r>
      <w:r>
        <w:rPr>
          <w:spacing w:val="-7"/>
        </w:rPr>
        <w:t> </w:t>
      </w:r>
      <w:r>
        <w:rPr/>
        <w:t>izrādās,</w:t>
      </w:r>
      <w:r>
        <w:rPr>
          <w:spacing w:val="-4"/>
        </w:rPr>
        <w:t> </w:t>
      </w:r>
      <w:r>
        <w:rPr/>
        <w:t>ka</w:t>
      </w:r>
      <w:r>
        <w:rPr>
          <w:spacing w:val="-7"/>
        </w:rPr>
        <w:t> </w:t>
      </w:r>
      <w:r>
        <w:rPr/>
        <w:t>parādnieks patiesi nav spējīgs maksāt, tas palīdz ierobežot turpmākos zaudējumus citiem kreditoriem, kuri varētu ciest zaudējumus, ja parādnieks turpina darboties ārpus maksātnespējas sistēmas, kas savukārt dod labumu arī citiem nenodrošinātiem kreditoriem, kuri</w:t>
      </w:r>
      <w:r>
        <w:rPr>
          <w:spacing w:val="54"/>
        </w:rPr>
        <w:t> </w:t>
      </w:r>
      <w:r>
        <w:rPr/>
        <w:t>pretējā</w:t>
      </w:r>
    </w:p>
    <w:p>
      <w:pPr>
        <w:pStyle w:val="BodyText"/>
        <w:jc w:val="left"/>
        <w:rPr>
          <w:sz w:val="20"/>
        </w:rPr>
      </w:pPr>
    </w:p>
    <w:p>
      <w:pPr>
        <w:pStyle w:val="BodyText"/>
        <w:jc w:val="left"/>
        <w:rPr>
          <w:sz w:val="20"/>
        </w:rPr>
      </w:pPr>
    </w:p>
    <w:p>
      <w:pPr>
        <w:pStyle w:val="BodyText"/>
        <w:spacing w:before="6"/>
        <w:jc w:val="left"/>
      </w:pPr>
      <w:r>
        <w:rPr/>
        <w:pict>
          <v:shape style="position:absolute;margin-left:72pt;margin-top:16.371918pt;width:144pt;height:.1pt;mso-position-horizontal-relative:page;mso-position-vertical-relative:paragraph;z-index:-251517952;mso-wrap-distance-left:0;mso-wrap-distance-right:0" coordorigin="1440,327" coordsize="2880,0" path="m1440,327l4320,327e" filled="false" stroked="true" strokeweight=".599991pt" strokecolor="#000000">
            <v:path arrowok="t"/>
            <v:stroke dashstyle="solid"/>
            <w10:wrap type="topAndBottom"/>
          </v:shape>
        </w:pict>
      </w:r>
    </w:p>
    <w:p>
      <w:pPr>
        <w:tabs>
          <w:tab w:pos="619" w:val="left" w:leader="none"/>
          <w:tab w:pos="1464" w:val="left" w:leader="none"/>
          <w:tab w:pos="1868" w:val="left" w:leader="none"/>
          <w:tab w:pos="2713" w:val="left" w:leader="none"/>
          <w:tab w:pos="3128" w:val="left" w:leader="none"/>
          <w:tab w:pos="4802" w:val="left" w:leader="none"/>
          <w:tab w:pos="6384" w:val="left" w:leader="none"/>
          <w:tab w:pos="6861" w:val="left" w:leader="none"/>
          <w:tab w:pos="7608" w:val="left" w:leader="none"/>
        </w:tabs>
        <w:spacing w:before="74"/>
        <w:ind w:left="260" w:right="767" w:firstLine="0"/>
        <w:jc w:val="left"/>
        <w:rPr>
          <w:sz w:val="20"/>
        </w:rPr>
      </w:pPr>
      <w:r>
        <w:rPr>
          <w:position w:val="6"/>
          <w:sz w:val="10"/>
        </w:rPr>
        <w:t>242</w:t>
        <w:tab/>
      </w:r>
      <w:r>
        <w:rPr>
          <w:sz w:val="20"/>
        </w:rPr>
        <w:t>Kilborn</w:t>
        <w:tab/>
        <w:t>J.,</w:t>
        <w:tab/>
        <w:t>Walters</w:t>
        <w:tab/>
        <w:t>A.</w:t>
        <w:tab/>
        <w:t>INVOLUNTARY</w:t>
        <w:tab/>
        <w:t>BANKRUPTCY</w:t>
        <w:tab/>
        <w:t>AS</w:t>
        <w:tab/>
        <w:t>DEBT</w:t>
        <w:tab/>
      </w:r>
      <w:r>
        <w:rPr>
          <w:w w:val="95"/>
          <w:sz w:val="20"/>
        </w:rPr>
        <w:t>COLLECTION: </w:t>
      </w:r>
      <w:r>
        <w:rPr>
          <w:sz w:val="20"/>
        </w:rPr>
        <w:t>MULTIJURISDICTIONAL</w:t>
      </w:r>
    </w:p>
    <w:p>
      <w:pPr>
        <w:tabs>
          <w:tab w:pos="1390" w:val="left" w:leader="none"/>
          <w:tab w:pos="1868" w:val="left" w:leader="none"/>
          <w:tab w:pos="3168" w:val="left" w:leader="none"/>
          <w:tab w:pos="3826" w:val="left" w:leader="none"/>
          <w:tab w:pos="4699" w:val="left" w:leader="none"/>
          <w:tab w:pos="5497" w:val="left" w:leader="none"/>
          <w:tab w:pos="6152" w:val="left" w:leader="none"/>
          <w:tab w:pos="6808" w:val="left" w:leader="none"/>
          <w:tab w:pos="7478" w:val="left" w:leader="none"/>
          <w:tab w:pos="8144" w:val="left" w:leader="none"/>
        </w:tabs>
        <w:spacing w:before="1"/>
        <w:ind w:left="260" w:right="0" w:firstLine="0"/>
        <w:jc w:val="left"/>
        <w:rPr>
          <w:sz w:val="20"/>
        </w:rPr>
      </w:pPr>
      <w:r>
        <w:rPr>
          <w:sz w:val="20"/>
        </w:rPr>
        <w:t>LESSONS</w:t>
        <w:tab/>
        <w:t>IN</w:t>
        <w:tab/>
        <w:t>CHOOSING</w:t>
        <w:tab/>
        <w:t>THE</w:t>
        <w:tab/>
        <w:t>RIGHT</w:t>
        <w:tab/>
        <w:t>TOOL</w:t>
        <w:tab/>
        <w:t>FOR</w:t>
        <w:tab/>
        <w:t>THE</w:t>
        <w:tab/>
        <w:t>JOB.</w:t>
        <w:tab/>
        <w:t>p.20.</w:t>
        <w:tab/>
        <w:t>Pieejams:</w:t>
      </w:r>
    </w:p>
    <w:p>
      <w:pPr>
        <w:spacing w:before="1"/>
        <w:ind w:left="260" w:right="0" w:firstLine="0"/>
        <w:jc w:val="left"/>
        <w:rPr>
          <w:sz w:val="20"/>
        </w:rPr>
      </w:pPr>
      <w:r>
        <w:rPr>
          <w:color w:val="0562C1"/>
          <w:sz w:val="20"/>
          <w:u w:val="single" w:color="0562C1"/>
        </w:rPr>
        <w:t>https://</w:t>
      </w:r>
      <w:hyperlink r:id="rId67">
        <w:r>
          <w:rPr>
            <w:color w:val="0562C1"/>
            <w:sz w:val="20"/>
            <w:u w:val="single" w:color="0562C1"/>
          </w:rPr>
          <w:t>www.iiiglobal.org/sites/default/files/19036439v1%20-</w:t>
        </w:r>
      </w:hyperlink>
    </w:p>
    <w:p>
      <w:pPr>
        <w:tabs>
          <w:tab w:pos="8175" w:val="left" w:leader="none"/>
        </w:tabs>
        <w:spacing w:before="0"/>
        <w:ind w:left="260" w:right="767" w:firstLine="0"/>
        <w:jc w:val="left"/>
        <w:rPr>
          <w:sz w:val="20"/>
        </w:rPr>
      </w:pPr>
      <w:r>
        <w:rPr>
          <w:color w:val="0562C1"/>
          <w:sz w:val="20"/>
          <w:u w:val="single" w:color="0562C1"/>
        </w:rPr>
        <w:t>%20Involuntary%20Bankruptcy%20As%20Debt%20Collection%20(Jason%20Kilborn).PDF</w:t>
      </w:r>
      <w:r>
        <w:rPr>
          <w:color w:val="0562C1"/>
          <w:sz w:val="20"/>
        </w:rPr>
        <w:tab/>
      </w:r>
      <w:r>
        <w:rPr>
          <w:w w:val="95"/>
          <w:sz w:val="20"/>
        </w:rPr>
        <w:t>[aplūkots </w:t>
      </w:r>
      <w:r>
        <w:rPr>
          <w:sz w:val="20"/>
        </w:rPr>
        <w:t>2018.gada</w:t>
      </w:r>
      <w:r>
        <w:rPr>
          <w:spacing w:val="-1"/>
          <w:sz w:val="20"/>
        </w:rPr>
        <w:t> </w:t>
      </w:r>
      <w:r>
        <w:rPr>
          <w:sz w:val="20"/>
        </w:rPr>
        <w:t>20.septembrī].</w:t>
      </w:r>
    </w:p>
    <w:p>
      <w:pPr>
        <w:spacing w:line="226" w:lineRule="exact" w:before="0"/>
        <w:ind w:left="260" w:right="0" w:firstLine="0"/>
        <w:jc w:val="left"/>
        <w:rPr>
          <w:sz w:val="20"/>
        </w:rPr>
      </w:pPr>
      <w:r>
        <w:rPr>
          <w:position w:val="7"/>
          <w:sz w:val="13"/>
        </w:rPr>
        <w:t>243  </w:t>
      </w:r>
      <w:r>
        <w:rPr>
          <w:sz w:val="20"/>
        </w:rPr>
        <w:t>Ibid,</w:t>
      </w:r>
      <w:r>
        <w:rPr>
          <w:spacing w:val="-18"/>
          <w:sz w:val="20"/>
        </w:rPr>
        <w:t> </w:t>
      </w:r>
      <w:r>
        <w:rPr>
          <w:sz w:val="20"/>
        </w:rPr>
        <w:t>p.16.</w:t>
      </w:r>
    </w:p>
    <w:p>
      <w:pPr>
        <w:spacing w:line="230" w:lineRule="exact" w:before="0"/>
        <w:ind w:left="260" w:right="0" w:firstLine="0"/>
        <w:jc w:val="left"/>
        <w:rPr>
          <w:sz w:val="20"/>
        </w:rPr>
      </w:pPr>
      <w:r>
        <w:rPr>
          <w:position w:val="7"/>
          <w:sz w:val="13"/>
        </w:rPr>
        <w:t>244  </w:t>
      </w:r>
      <w:r>
        <w:rPr>
          <w:sz w:val="20"/>
        </w:rPr>
        <w:t>Ibid,</w:t>
      </w:r>
      <w:r>
        <w:rPr>
          <w:spacing w:val="-18"/>
          <w:sz w:val="20"/>
        </w:rPr>
        <w:t> </w:t>
      </w:r>
      <w:r>
        <w:rPr>
          <w:sz w:val="20"/>
        </w:rPr>
        <w:t>p.20.</w:t>
      </w:r>
    </w:p>
    <w:p>
      <w:pPr>
        <w:spacing w:line="230" w:lineRule="exact" w:before="0"/>
        <w:ind w:left="260" w:right="0" w:firstLine="0"/>
        <w:jc w:val="left"/>
        <w:rPr>
          <w:sz w:val="20"/>
        </w:rPr>
      </w:pPr>
      <w:r>
        <w:rPr>
          <w:position w:val="7"/>
          <w:sz w:val="13"/>
        </w:rPr>
        <w:t>245  </w:t>
      </w:r>
      <w:r>
        <w:rPr>
          <w:sz w:val="20"/>
        </w:rPr>
        <w:t>Ibid,</w:t>
      </w:r>
      <w:r>
        <w:rPr>
          <w:spacing w:val="-18"/>
          <w:sz w:val="20"/>
        </w:rPr>
        <w:t> </w:t>
      </w:r>
      <w:r>
        <w:rPr>
          <w:sz w:val="20"/>
        </w:rPr>
        <w:t>p.21.</w:t>
      </w:r>
    </w:p>
    <w:p>
      <w:pPr>
        <w:spacing w:line="230" w:lineRule="exact" w:before="0"/>
        <w:ind w:left="260" w:right="0" w:firstLine="0"/>
        <w:jc w:val="left"/>
        <w:rPr>
          <w:sz w:val="20"/>
        </w:rPr>
      </w:pPr>
      <w:r>
        <w:rPr>
          <w:position w:val="7"/>
          <w:sz w:val="13"/>
        </w:rPr>
        <w:t>246  </w:t>
      </w:r>
      <w:r>
        <w:rPr>
          <w:sz w:val="20"/>
        </w:rPr>
        <w:t>Ibid,</w:t>
      </w:r>
      <w:r>
        <w:rPr>
          <w:spacing w:val="-18"/>
          <w:sz w:val="20"/>
        </w:rPr>
        <w:t> </w:t>
      </w:r>
      <w:r>
        <w:rPr>
          <w:sz w:val="20"/>
        </w:rPr>
        <w:t>p.21.</w:t>
      </w:r>
    </w:p>
    <w:p>
      <w:pPr>
        <w:tabs>
          <w:tab w:pos="2039" w:val="left" w:leader="none"/>
          <w:tab w:pos="5372" w:val="left" w:leader="none"/>
          <w:tab w:pos="7582" w:val="left" w:leader="none"/>
        </w:tabs>
        <w:spacing w:line="240" w:lineRule="auto" w:before="0"/>
        <w:ind w:left="260" w:right="764" w:firstLine="0"/>
        <w:jc w:val="left"/>
        <w:rPr>
          <w:sz w:val="20"/>
        </w:rPr>
      </w:pPr>
      <w:r>
        <w:rPr>
          <w:position w:val="7"/>
          <w:sz w:val="13"/>
        </w:rPr>
        <w:t>247     </w:t>
      </w:r>
      <w:r>
        <w:rPr>
          <w:spacing w:val="2"/>
          <w:position w:val="7"/>
          <w:sz w:val="13"/>
        </w:rPr>
        <w:t> </w:t>
      </w:r>
      <w:r>
        <w:rPr>
          <w:sz w:val="20"/>
        </w:rPr>
        <w:t>Sallam  </w:t>
      </w:r>
      <w:r>
        <w:rPr>
          <w:spacing w:val="45"/>
          <w:sz w:val="20"/>
        </w:rPr>
        <w:t> </w:t>
      </w:r>
      <w:r>
        <w:rPr>
          <w:sz w:val="20"/>
        </w:rPr>
        <w:t>W.A.</w:t>
        <w:tab/>
        <w:t>Insolvency    proceedings:  </w:t>
      </w:r>
      <w:r>
        <w:rPr>
          <w:spacing w:val="47"/>
          <w:sz w:val="20"/>
        </w:rPr>
        <w:t> </w:t>
      </w:r>
      <w:r>
        <w:rPr>
          <w:sz w:val="20"/>
        </w:rPr>
        <w:t>a  </w:t>
      </w:r>
      <w:r>
        <w:rPr>
          <w:spacing w:val="48"/>
          <w:sz w:val="20"/>
        </w:rPr>
        <w:t> </w:t>
      </w:r>
      <w:r>
        <w:rPr>
          <w:sz w:val="20"/>
        </w:rPr>
        <w:t>double</w:t>
        <w:tab/>
        <w:t>edged    debt  </w:t>
      </w:r>
      <w:r>
        <w:rPr>
          <w:spacing w:val="47"/>
          <w:sz w:val="20"/>
        </w:rPr>
        <w:t> </w:t>
      </w:r>
      <w:r>
        <w:rPr>
          <w:sz w:val="20"/>
        </w:rPr>
        <w:t>collection</w:t>
        <w:tab/>
        <w:t>tool. Pieejams: </w:t>
      </w:r>
      <w:r>
        <w:rPr>
          <w:color w:val="0562C1"/>
          <w:sz w:val="20"/>
          <w:u w:val="single" w:color="0562C1"/>
        </w:rPr>
        <w:t>https://</w:t>
      </w:r>
      <w:hyperlink r:id="rId68">
        <w:r>
          <w:rPr>
            <w:color w:val="0562C1"/>
            <w:sz w:val="20"/>
            <w:u w:val="single" w:color="0562C1"/>
          </w:rPr>
          <w:t>www.google.lv/url?sa=t&amp;rct=j&amp;q=&amp;esrc=s&amp;source=web&amp;cd=2&amp;ved=2ahUKEwjY_I-</w:t>
        </w:r>
      </w:hyperlink>
      <w:r>
        <w:rPr>
          <w:color w:val="0562C1"/>
          <w:sz w:val="20"/>
        </w:rPr>
        <w:t> </w:t>
      </w:r>
      <w:r>
        <w:rPr>
          <w:color w:val="0562C1"/>
          <w:sz w:val="20"/>
          <w:u w:val="single" w:color="0562C1"/>
        </w:rPr>
        <w:t>3lpffAhUNpYsKHZEAC-0QFjABegQICRAC&amp;url=https%3A%2F%2Fwww.insol-</w:t>
      </w:r>
      <w:r>
        <w:rPr>
          <w:color w:val="0562C1"/>
          <w:sz w:val="20"/>
        </w:rPr>
        <w:t> </w:t>
      </w:r>
      <w:r>
        <w:rPr>
          <w:color w:val="0562C1"/>
          <w:sz w:val="20"/>
          <w:u w:val="single" w:color="0562C1"/>
        </w:rPr>
        <w:t>europe.org%2Fdownload%2Fdocuments%2F885&amp;usg=AOvVaw2eWgKAVdOqggXuoe_Lysnp</w:t>
      </w:r>
      <w:r>
        <w:rPr>
          <w:color w:val="0562C1"/>
          <w:sz w:val="20"/>
        </w:rPr>
        <w:t> </w:t>
      </w:r>
      <w:r>
        <w:rPr>
          <w:sz w:val="20"/>
        </w:rPr>
        <w:t>[aplūkots 2018.gada</w:t>
      </w:r>
      <w:r>
        <w:rPr>
          <w:spacing w:val="-2"/>
          <w:sz w:val="20"/>
        </w:rPr>
        <w:t> </w:t>
      </w:r>
      <w:r>
        <w:rPr>
          <w:sz w:val="20"/>
        </w:rPr>
        <w:t>20.septembrī]</w:t>
      </w:r>
    </w:p>
    <w:p>
      <w:pPr>
        <w:spacing w:line="230" w:lineRule="exact" w:before="0"/>
        <w:ind w:left="260" w:right="0" w:firstLine="0"/>
        <w:jc w:val="left"/>
        <w:rPr>
          <w:sz w:val="20"/>
        </w:rPr>
      </w:pPr>
      <w:r>
        <w:rPr>
          <w:position w:val="7"/>
          <w:sz w:val="13"/>
        </w:rPr>
        <w:t>248 </w:t>
      </w:r>
      <w:r>
        <w:rPr>
          <w:sz w:val="20"/>
        </w:rPr>
        <w:t>Ibid.</w:t>
      </w:r>
    </w:p>
    <w:p>
      <w:pPr>
        <w:spacing w:after="0" w:line="230" w:lineRule="exact"/>
        <w:jc w:val="left"/>
        <w:rPr>
          <w:sz w:val="20"/>
        </w:rPr>
        <w:sectPr>
          <w:pgSz w:w="11910" w:h="16840"/>
          <w:pgMar w:header="0" w:footer="1055" w:top="1320" w:bottom="1240" w:left="1180" w:right="1040"/>
        </w:sectPr>
      </w:pPr>
    </w:p>
    <w:p>
      <w:pPr>
        <w:pStyle w:val="BodyText"/>
        <w:spacing w:line="228" w:lineRule="auto" w:before="84"/>
        <w:ind w:left="620" w:right="406"/>
        <w:rPr>
          <w:sz w:val="16"/>
        </w:rPr>
      </w:pPr>
      <w:r>
        <w:rPr/>
        <w:t>gadījumā ciestu zaudējumus, turpinot piešķirt naudas līdzekļus maksātnespējīgajam parādniekam.</w:t>
      </w:r>
      <w:r>
        <w:rPr>
          <w:position w:val="9"/>
          <w:sz w:val="16"/>
        </w:rPr>
        <w:t>249</w:t>
      </w:r>
    </w:p>
    <w:p>
      <w:pPr>
        <w:pStyle w:val="BodyText"/>
        <w:spacing w:line="237" w:lineRule="auto" w:before="4"/>
        <w:ind w:left="620" w:right="401" w:firstLine="720"/>
        <w:rPr>
          <w:sz w:val="16"/>
        </w:rPr>
      </w:pPr>
      <w:r>
        <w:rPr/>
        <w:t>Atšķirībā no citiem parādu atgūšanas mehānismiem maksātnespējas procesa izmaksas ir zemākas, un maksātnespējas procesa kolektīvais raksturs paredz efektīvākus veidus un līdzekļus, kā palielināt maksājumus kreditoriem un veicināt godīgu maksājumu sadali starp kreditoriem. Maksātnespējas procesa laikā likvidators ir tas, kas izvērtē parādnieka spēju maksāt parādus, turklāt tas tiek veikts visu kreditoru labā, kas ne tikai ietaupa izmaksas, bet arī veicina darbības efektivitāti.</w:t>
      </w:r>
      <w:r>
        <w:rPr>
          <w:position w:val="9"/>
          <w:sz w:val="16"/>
        </w:rPr>
        <w:t>250</w:t>
      </w:r>
    </w:p>
    <w:p>
      <w:pPr>
        <w:pStyle w:val="BodyText"/>
        <w:spacing w:line="237" w:lineRule="auto" w:before="1"/>
        <w:ind w:left="620" w:right="401" w:firstLine="720"/>
        <w:rPr>
          <w:sz w:val="16"/>
        </w:rPr>
      </w:pPr>
      <w:r>
        <w:rPr/>
        <w:t>Ceturtkārt, maksātnespējas process palielina kreditora spēju risināt sarunas un nodrošināt efektīvus kompromisus ar parādnieku, jo atšķirībā no citiem piespiedu mehānismiem, kuros katram kreditoram ir jāīsteno savas intereses, maksātnespējas laikā visi kreditori ir apvienoti un ir likvidatora pārraudzībā, kurš parasti ir profesionālis un ar labākām sarunu prasmēm, lai nodrošinātu labāko rezultātu visiem kreditoriem.</w:t>
      </w:r>
      <w:r>
        <w:rPr>
          <w:position w:val="9"/>
          <w:sz w:val="16"/>
        </w:rPr>
        <w:t>251</w:t>
      </w:r>
    </w:p>
    <w:p>
      <w:pPr>
        <w:pStyle w:val="BodyText"/>
        <w:ind w:left="620" w:right="405" w:firstLine="720"/>
      </w:pPr>
      <w:r>
        <w:rPr/>
        <w:t>Lai</w:t>
      </w:r>
      <w:r>
        <w:rPr>
          <w:spacing w:val="-11"/>
        </w:rPr>
        <w:t> </w:t>
      </w:r>
      <w:r>
        <w:rPr/>
        <w:t>arī</w:t>
      </w:r>
      <w:r>
        <w:rPr>
          <w:spacing w:val="-9"/>
        </w:rPr>
        <w:t> </w:t>
      </w:r>
      <w:r>
        <w:rPr/>
        <w:t>aplūkotie</w:t>
      </w:r>
      <w:r>
        <w:rPr>
          <w:spacing w:val="-16"/>
        </w:rPr>
        <w:t> </w:t>
      </w:r>
      <w:r>
        <w:rPr/>
        <w:t>pozitīvie</w:t>
      </w:r>
      <w:r>
        <w:rPr>
          <w:spacing w:val="-17"/>
        </w:rPr>
        <w:t> </w:t>
      </w:r>
      <w:r>
        <w:rPr/>
        <w:t>un</w:t>
      </w:r>
      <w:r>
        <w:rPr>
          <w:spacing w:val="-13"/>
        </w:rPr>
        <w:t> </w:t>
      </w:r>
      <w:r>
        <w:rPr/>
        <w:t>negatīvie</w:t>
      </w:r>
      <w:r>
        <w:rPr>
          <w:spacing w:val="-13"/>
        </w:rPr>
        <w:t> </w:t>
      </w:r>
      <w:r>
        <w:rPr/>
        <w:t>aspekti</w:t>
      </w:r>
      <w:r>
        <w:rPr>
          <w:spacing w:val="-12"/>
        </w:rPr>
        <w:t> </w:t>
      </w:r>
      <w:r>
        <w:rPr/>
        <w:t>kreditora</w:t>
      </w:r>
      <w:r>
        <w:rPr>
          <w:spacing w:val="-13"/>
        </w:rPr>
        <w:t> </w:t>
      </w:r>
      <w:r>
        <w:rPr/>
        <w:t>iesniegtam</w:t>
      </w:r>
      <w:r>
        <w:rPr>
          <w:spacing w:val="-15"/>
        </w:rPr>
        <w:t> </w:t>
      </w:r>
      <w:r>
        <w:rPr/>
        <w:t>maksātnespējas procesa pieteikumam ir analizēti no Lielbritānijas tiesību viedokļa, tie sevī neietver kādus specifiskus tikai Lielbritānijas tiesību sistēmā pastāvošus apstākļus, uz kā </w:t>
      </w:r>
      <w:r>
        <w:rPr>
          <w:spacing w:val="-3"/>
        </w:rPr>
        <w:t>pamata </w:t>
      </w:r>
      <w:r>
        <w:rPr/>
        <w:t>normatīvajā regulējumā ir paredzētas kreditora tiesības iesniegt maksātnespējas procesa pieteikumu. Tādēļ augstāk norādītie pozitīvie un negatīvie aspekti varētu tikt ņemti vērā, izvērtējot iespēju arī Latvijā paredzēt kreditoriem tiesības iesniegt maksātnespējas</w:t>
      </w:r>
      <w:r>
        <w:rPr>
          <w:spacing w:val="-37"/>
        </w:rPr>
        <w:t> </w:t>
      </w:r>
      <w:r>
        <w:rPr/>
        <w:t>procesa pieteikumu.</w:t>
      </w:r>
    </w:p>
    <w:p>
      <w:pPr>
        <w:pStyle w:val="BodyText"/>
        <w:jc w:val="left"/>
        <w:rPr>
          <w:sz w:val="26"/>
        </w:rPr>
      </w:pPr>
    </w:p>
    <w:p>
      <w:pPr>
        <w:pStyle w:val="BodyText"/>
        <w:spacing w:before="1"/>
        <w:jc w:val="left"/>
        <w:rPr>
          <w:sz w:val="22"/>
        </w:rPr>
      </w:pPr>
    </w:p>
    <w:p>
      <w:pPr>
        <w:pStyle w:val="Heading4"/>
        <w:numPr>
          <w:ilvl w:val="1"/>
          <w:numId w:val="54"/>
        </w:numPr>
        <w:tabs>
          <w:tab w:pos="1342" w:val="left" w:leader="none"/>
        </w:tabs>
        <w:spacing w:line="240" w:lineRule="auto" w:before="1" w:after="0"/>
        <w:ind w:left="1341" w:right="0" w:hanging="362"/>
        <w:jc w:val="left"/>
        <w:rPr>
          <w:i/>
        </w:rPr>
      </w:pPr>
      <w:bookmarkStart w:name="_TOC_250041" w:id="37"/>
      <w:r>
        <w:rPr>
          <w:i/>
        </w:rPr>
        <w:t>Individuālās brīvprātīgās vienošanās ar kreditoriem par parādu</w:t>
      </w:r>
      <w:r>
        <w:rPr>
          <w:i/>
          <w:spacing w:val="-1"/>
        </w:rPr>
        <w:t> </w:t>
      </w:r>
      <w:bookmarkEnd w:id="37"/>
      <w:r>
        <w:rPr>
          <w:i/>
        </w:rPr>
        <w:t>samaksu</w:t>
      </w:r>
    </w:p>
    <w:p>
      <w:pPr>
        <w:pStyle w:val="BodyText"/>
        <w:spacing w:before="6"/>
        <w:jc w:val="left"/>
        <w:rPr>
          <w:b/>
          <w:i/>
          <w:sz w:val="23"/>
        </w:rPr>
      </w:pPr>
    </w:p>
    <w:p>
      <w:pPr>
        <w:pStyle w:val="BodyText"/>
        <w:ind w:left="620" w:right="401" w:firstLine="720"/>
      </w:pPr>
      <w:r>
        <w:rPr/>
        <w:t>Individuālās</w:t>
      </w:r>
      <w:r>
        <w:rPr>
          <w:spacing w:val="-9"/>
        </w:rPr>
        <w:t> </w:t>
      </w:r>
      <w:r>
        <w:rPr/>
        <w:t>brīvprātīgās</w:t>
      </w:r>
      <w:r>
        <w:rPr>
          <w:spacing w:val="-9"/>
        </w:rPr>
        <w:t> </w:t>
      </w:r>
      <w:r>
        <w:rPr/>
        <w:t>vienošanās</w:t>
      </w:r>
      <w:r>
        <w:rPr>
          <w:spacing w:val="-11"/>
        </w:rPr>
        <w:t> </w:t>
      </w:r>
      <w:r>
        <w:rPr/>
        <w:t>ar</w:t>
      </w:r>
      <w:r>
        <w:rPr>
          <w:spacing w:val="-11"/>
        </w:rPr>
        <w:t> </w:t>
      </w:r>
      <w:r>
        <w:rPr/>
        <w:t>kreditoriem</w:t>
      </w:r>
      <w:r>
        <w:rPr>
          <w:spacing w:val="-11"/>
        </w:rPr>
        <w:t> </w:t>
      </w:r>
      <w:r>
        <w:rPr/>
        <w:t>par</w:t>
      </w:r>
      <w:r>
        <w:rPr>
          <w:spacing w:val="-12"/>
        </w:rPr>
        <w:t> </w:t>
      </w:r>
      <w:r>
        <w:rPr/>
        <w:t>parādu</w:t>
      </w:r>
      <w:r>
        <w:rPr>
          <w:spacing w:val="-11"/>
        </w:rPr>
        <w:t> </w:t>
      </w:r>
      <w:r>
        <w:rPr/>
        <w:t>samaksu</w:t>
      </w:r>
      <w:r>
        <w:rPr>
          <w:spacing w:val="-9"/>
        </w:rPr>
        <w:t> </w:t>
      </w:r>
      <w:r>
        <w:rPr/>
        <w:t>(</w:t>
      </w:r>
      <w:r>
        <w:rPr>
          <w:i/>
        </w:rPr>
        <w:t>individual </w:t>
      </w:r>
      <w:r>
        <w:rPr>
          <w:i/>
        </w:rPr>
        <w:t>volantary arrangement </w:t>
      </w:r>
      <w:r>
        <w:rPr/>
        <w:t>– turpmāk arī IVA) pēc savas būtības ir līdzīga tiesiskās aizsardzības procesam, kāds tas ir pazīstams Latvijā attiecībā uz juridisko personu maksātnespējas procesiem. Par līdzību norāda arī tas, ka Lielbritānijas Maksātnespējas likumā analoga procedūra ir pieejama arī juridiskām personām, un tā tiek dēvēta par kompānijas brīvprātīgo vienošanos ar kreditoriem par parādu samaksu jeb angliski “company voluntary</w:t>
      </w:r>
      <w:r>
        <w:rPr>
          <w:spacing w:val="-8"/>
        </w:rPr>
        <w:t> </w:t>
      </w:r>
      <w:r>
        <w:rPr/>
        <w:t>arrangement”.</w:t>
      </w:r>
    </w:p>
    <w:p>
      <w:pPr>
        <w:pStyle w:val="BodyText"/>
        <w:spacing w:line="237" w:lineRule="auto" w:before="3"/>
        <w:ind w:left="620" w:right="401" w:firstLine="720"/>
        <w:rPr>
          <w:sz w:val="16"/>
        </w:rPr>
      </w:pPr>
      <w:r>
        <w:rPr/>
        <w:t>Procedūra tiek uzskatīta par alternatīvu tām personām, kas vēlas izvairīties </w:t>
      </w:r>
      <w:r>
        <w:rPr>
          <w:spacing w:val="-6"/>
        </w:rPr>
        <w:t>no </w:t>
      </w:r>
      <w:r>
        <w:rPr/>
        <w:t>bankrota procedūras. Individuāla brīvprātīga vienošanās ir parādnieka vienošanās ar kreditoriem par kādas parāda daļas vai visa parāda samaksu. Priekšlikumu kreditoriem vienoties par parāda samaksu parādnieks veic caur maksātnespējas speciālistu (insolvency practitioner).</w:t>
      </w:r>
      <w:r>
        <w:rPr>
          <w:spacing w:val="-14"/>
        </w:rPr>
        <w:t> </w:t>
      </w:r>
      <w:r>
        <w:rPr/>
        <w:t>Tā</w:t>
      </w:r>
      <w:r>
        <w:rPr>
          <w:spacing w:val="-13"/>
        </w:rPr>
        <w:t> </w:t>
      </w:r>
      <w:r>
        <w:rPr/>
        <w:t>kā</w:t>
      </w:r>
      <w:r>
        <w:rPr>
          <w:spacing w:val="-16"/>
        </w:rPr>
        <w:t> </w:t>
      </w:r>
      <w:r>
        <w:rPr/>
        <w:t>tā</w:t>
      </w:r>
      <w:r>
        <w:rPr>
          <w:spacing w:val="-12"/>
        </w:rPr>
        <w:t> </w:t>
      </w:r>
      <w:r>
        <w:rPr/>
        <w:t>ir</w:t>
      </w:r>
      <w:r>
        <w:rPr>
          <w:spacing w:val="-13"/>
        </w:rPr>
        <w:t> </w:t>
      </w:r>
      <w:r>
        <w:rPr/>
        <w:t>līgumiska</w:t>
      </w:r>
      <w:r>
        <w:rPr>
          <w:spacing w:val="-13"/>
        </w:rPr>
        <w:t> </w:t>
      </w:r>
      <w:r>
        <w:rPr/>
        <w:t>vienošanās</w:t>
      </w:r>
      <w:r>
        <w:rPr>
          <w:spacing w:val="-16"/>
        </w:rPr>
        <w:t> </w:t>
      </w:r>
      <w:r>
        <w:rPr/>
        <w:t>ar</w:t>
      </w:r>
      <w:r>
        <w:rPr>
          <w:spacing w:val="-13"/>
        </w:rPr>
        <w:t> </w:t>
      </w:r>
      <w:r>
        <w:rPr/>
        <w:t>kreditoriem,</w:t>
      </w:r>
      <w:r>
        <w:rPr>
          <w:spacing w:val="-14"/>
        </w:rPr>
        <w:t> </w:t>
      </w:r>
      <w:r>
        <w:rPr/>
        <w:t>tad</w:t>
      </w:r>
      <w:r>
        <w:rPr>
          <w:spacing w:val="-13"/>
        </w:rPr>
        <w:t> </w:t>
      </w:r>
      <w:r>
        <w:rPr/>
        <w:t>faktiski</w:t>
      </w:r>
      <w:r>
        <w:rPr>
          <w:spacing w:val="-13"/>
        </w:rPr>
        <w:t> </w:t>
      </w:r>
      <w:r>
        <w:rPr/>
        <w:t>IVA</w:t>
      </w:r>
      <w:r>
        <w:rPr>
          <w:spacing w:val="-13"/>
        </w:rPr>
        <w:t> </w:t>
      </w:r>
      <w:r>
        <w:rPr/>
        <w:t>ir</w:t>
      </w:r>
      <w:r>
        <w:rPr>
          <w:spacing w:val="-16"/>
        </w:rPr>
        <w:t> </w:t>
      </w:r>
      <w:r>
        <w:rPr/>
        <w:t>ārpustiesas procedūra, kurā tiesai ir tikai ierobežota lietas uzraudzības</w:t>
      </w:r>
      <w:r>
        <w:rPr>
          <w:spacing w:val="-11"/>
        </w:rPr>
        <w:t> </w:t>
      </w:r>
      <w:r>
        <w:rPr/>
        <w:t>loma.</w:t>
      </w:r>
      <w:r>
        <w:rPr>
          <w:position w:val="9"/>
          <w:sz w:val="16"/>
        </w:rPr>
        <w:t>252</w:t>
      </w:r>
    </w:p>
    <w:p>
      <w:pPr>
        <w:pStyle w:val="BodyText"/>
        <w:ind w:left="620" w:right="401" w:firstLine="720"/>
      </w:pPr>
      <w:r>
        <w:rPr/>
        <w:t>Ņemot vērā, ka IVA ir līgumiska vienošanās ar kreditoriem, tad tā var būt tik elastīga, cik tā ir iespējama atkarībā no parādnieka situācijas: IVA var balstīt uz dažādiem apstākļiem,</w:t>
      </w:r>
      <w:r>
        <w:rPr>
          <w:spacing w:val="-10"/>
        </w:rPr>
        <w:t> </w:t>
      </w:r>
      <w:r>
        <w:rPr/>
        <w:t>piemēram,</w:t>
      </w:r>
      <w:r>
        <w:rPr>
          <w:spacing w:val="-10"/>
        </w:rPr>
        <w:t> </w:t>
      </w:r>
      <w:r>
        <w:rPr/>
        <w:t>kapitālu,</w:t>
      </w:r>
      <w:r>
        <w:rPr>
          <w:spacing w:val="-10"/>
        </w:rPr>
        <w:t> </w:t>
      </w:r>
      <w:r>
        <w:rPr/>
        <w:t>trešo</w:t>
      </w:r>
      <w:r>
        <w:rPr>
          <w:spacing w:val="-10"/>
        </w:rPr>
        <w:t> </w:t>
      </w:r>
      <w:r>
        <w:rPr/>
        <w:t>personu</w:t>
      </w:r>
      <w:r>
        <w:rPr>
          <w:spacing w:val="-10"/>
        </w:rPr>
        <w:t> </w:t>
      </w:r>
      <w:r>
        <w:rPr/>
        <w:t>maksājumiem,</w:t>
      </w:r>
      <w:r>
        <w:rPr>
          <w:spacing w:val="-10"/>
        </w:rPr>
        <w:t> </w:t>
      </w:r>
      <w:r>
        <w:rPr/>
        <w:t>daļēju</w:t>
      </w:r>
      <w:r>
        <w:rPr>
          <w:spacing w:val="-10"/>
        </w:rPr>
        <w:t> </w:t>
      </w:r>
      <w:r>
        <w:rPr/>
        <w:t>vai</w:t>
      </w:r>
      <w:r>
        <w:rPr>
          <w:spacing w:val="-7"/>
        </w:rPr>
        <w:t> </w:t>
      </w:r>
      <w:r>
        <w:rPr/>
        <w:t>pilnīgu</w:t>
      </w:r>
      <w:r>
        <w:rPr>
          <w:spacing w:val="-10"/>
        </w:rPr>
        <w:t> </w:t>
      </w:r>
      <w:r>
        <w:rPr/>
        <w:t>parādnieka īpašuma atsavināšanu, vai visu priekš minēto kombināciju. Tādēļ attiecīgi var secināt, </w:t>
      </w:r>
      <w:r>
        <w:rPr>
          <w:spacing w:val="-5"/>
        </w:rPr>
        <w:t>ka </w:t>
      </w:r>
      <w:r>
        <w:rPr/>
        <w:t>IVA</w:t>
      </w:r>
      <w:r>
        <w:rPr>
          <w:spacing w:val="29"/>
        </w:rPr>
        <w:t> </w:t>
      </w:r>
      <w:r>
        <w:rPr/>
        <w:t>lielākā</w:t>
      </w:r>
      <w:r>
        <w:rPr>
          <w:spacing w:val="27"/>
        </w:rPr>
        <w:t> </w:t>
      </w:r>
      <w:r>
        <w:rPr/>
        <w:t>priekšrocība,</w:t>
      </w:r>
      <w:r>
        <w:rPr>
          <w:spacing w:val="30"/>
        </w:rPr>
        <w:t> </w:t>
      </w:r>
      <w:r>
        <w:rPr/>
        <w:t>salīdzinot</w:t>
      </w:r>
      <w:r>
        <w:rPr>
          <w:spacing w:val="30"/>
        </w:rPr>
        <w:t> </w:t>
      </w:r>
      <w:r>
        <w:rPr/>
        <w:t>ar</w:t>
      </w:r>
      <w:r>
        <w:rPr>
          <w:spacing w:val="27"/>
        </w:rPr>
        <w:t> </w:t>
      </w:r>
      <w:r>
        <w:rPr/>
        <w:t>bankrota</w:t>
      </w:r>
      <w:r>
        <w:rPr>
          <w:spacing w:val="30"/>
        </w:rPr>
        <w:t> </w:t>
      </w:r>
      <w:r>
        <w:rPr/>
        <w:t>procedūru,</w:t>
      </w:r>
      <w:r>
        <w:rPr>
          <w:spacing w:val="30"/>
        </w:rPr>
        <w:t> </w:t>
      </w:r>
      <w:r>
        <w:rPr/>
        <w:t>ir</w:t>
      </w:r>
      <w:r>
        <w:rPr>
          <w:spacing w:val="30"/>
        </w:rPr>
        <w:t> </w:t>
      </w:r>
      <w:r>
        <w:rPr/>
        <w:t>tieši</w:t>
      </w:r>
      <w:r>
        <w:rPr>
          <w:spacing w:val="30"/>
        </w:rPr>
        <w:t> </w:t>
      </w:r>
      <w:r>
        <w:rPr/>
        <w:t>iespēja</w:t>
      </w:r>
      <w:r>
        <w:rPr>
          <w:spacing w:val="30"/>
        </w:rPr>
        <w:t> </w:t>
      </w:r>
      <w:r>
        <w:rPr/>
        <w:t>parādniekam</w:t>
      </w:r>
    </w:p>
    <w:p>
      <w:pPr>
        <w:pStyle w:val="BodyText"/>
        <w:spacing w:before="5"/>
        <w:jc w:val="left"/>
        <w:rPr>
          <w:sz w:val="12"/>
        </w:rPr>
      </w:pPr>
      <w:r>
        <w:rPr/>
        <w:pict>
          <v:shape style="position:absolute;margin-left:90pt;margin-top:9.427333pt;width:144pt;height:.1pt;mso-position-horizontal-relative:page;mso-position-vertical-relative:paragraph;z-index:-251516928;mso-wrap-distance-left:0;mso-wrap-distance-right:0" coordorigin="1800,189" coordsize="2880,0" path="m1800,189l4680,189e" filled="false" stroked="true" strokeweight=".600037pt" strokecolor="#000000">
            <v:path arrowok="t"/>
            <v:stroke dashstyle="solid"/>
            <w10:wrap type="topAndBottom"/>
          </v:shape>
        </w:pict>
      </w:r>
    </w:p>
    <w:p>
      <w:pPr>
        <w:tabs>
          <w:tab w:pos="2399" w:val="left" w:leader="none"/>
          <w:tab w:pos="5732" w:val="left" w:leader="none"/>
          <w:tab w:pos="7942" w:val="left" w:leader="none"/>
        </w:tabs>
        <w:spacing w:before="70"/>
        <w:ind w:left="620" w:right="404" w:firstLine="0"/>
        <w:jc w:val="left"/>
        <w:rPr>
          <w:sz w:val="20"/>
        </w:rPr>
      </w:pPr>
      <w:r>
        <w:rPr>
          <w:position w:val="7"/>
          <w:sz w:val="13"/>
        </w:rPr>
        <w:t>249     </w:t>
      </w:r>
      <w:r>
        <w:rPr>
          <w:spacing w:val="2"/>
          <w:position w:val="7"/>
          <w:sz w:val="13"/>
        </w:rPr>
        <w:t> </w:t>
      </w:r>
      <w:r>
        <w:rPr>
          <w:sz w:val="20"/>
        </w:rPr>
        <w:t>Sallam  </w:t>
      </w:r>
      <w:r>
        <w:rPr>
          <w:spacing w:val="45"/>
          <w:sz w:val="20"/>
        </w:rPr>
        <w:t> </w:t>
      </w:r>
      <w:r>
        <w:rPr>
          <w:sz w:val="20"/>
        </w:rPr>
        <w:t>W.A.</w:t>
        <w:tab/>
        <w:t>Insolvency    proceedings:  </w:t>
      </w:r>
      <w:r>
        <w:rPr>
          <w:spacing w:val="47"/>
          <w:sz w:val="20"/>
        </w:rPr>
        <w:t> </w:t>
      </w:r>
      <w:r>
        <w:rPr>
          <w:sz w:val="20"/>
        </w:rPr>
        <w:t>a  </w:t>
      </w:r>
      <w:r>
        <w:rPr>
          <w:spacing w:val="48"/>
          <w:sz w:val="20"/>
        </w:rPr>
        <w:t> </w:t>
      </w:r>
      <w:r>
        <w:rPr>
          <w:sz w:val="20"/>
        </w:rPr>
        <w:t>double</w:t>
        <w:tab/>
        <w:t>edged    debt  </w:t>
      </w:r>
      <w:r>
        <w:rPr>
          <w:spacing w:val="47"/>
          <w:sz w:val="20"/>
        </w:rPr>
        <w:t> </w:t>
      </w:r>
      <w:r>
        <w:rPr>
          <w:sz w:val="20"/>
        </w:rPr>
        <w:t>collection</w:t>
        <w:tab/>
        <w:t>tool. Pieejams: </w:t>
      </w:r>
      <w:r>
        <w:rPr>
          <w:color w:val="0562C1"/>
          <w:sz w:val="20"/>
          <w:u w:val="single" w:color="0562C1"/>
        </w:rPr>
        <w:t>https://</w:t>
      </w:r>
      <w:hyperlink r:id="rId68">
        <w:r>
          <w:rPr>
            <w:color w:val="0562C1"/>
            <w:sz w:val="20"/>
            <w:u w:val="single" w:color="0562C1"/>
          </w:rPr>
          <w:t>www.google.lv/url?sa=t&amp;rct=j&amp;q=&amp;esrc=s&amp;source=web&amp;cd=2&amp;ved=2ahUKEwjY_I-</w:t>
        </w:r>
      </w:hyperlink>
      <w:r>
        <w:rPr>
          <w:color w:val="0562C1"/>
          <w:sz w:val="20"/>
        </w:rPr>
        <w:t> </w:t>
      </w:r>
      <w:r>
        <w:rPr>
          <w:color w:val="0562C1"/>
          <w:sz w:val="20"/>
          <w:u w:val="single" w:color="0562C1"/>
        </w:rPr>
        <w:t>3lpffAhUNpYsKHZEAC-0QFjABegQICRAC&amp;url=https%3A%2F%2Fwww.insol-</w:t>
      </w:r>
      <w:r>
        <w:rPr>
          <w:color w:val="0562C1"/>
          <w:sz w:val="20"/>
        </w:rPr>
        <w:t> </w:t>
      </w:r>
      <w:r>
        <w:rPr>
          <w:color w:val="0562C1"/>
          <w:sz w:val="20"/>
          <w:u w:val="single" w:color="0562C1"/>
        </w:rPr>
        <w:t>europe.org%2Fdownload%2Fdocuments%2F885&amp;usg=AOvVaw2eWgKAVdOqggXuoe_Lysnp</w:t>
      </w:r>
      <w:r>
        <w:rPr>
          <w:color w:val="0562C1"/>
          <w:sz w:val="20"/>
        </w:rPr>
        <w:t> </w:t>
      </w:r>
      <w:r>
        <w:rPr>
          <w:sz w:val="20"/>
        </w:rPr>
        <w:t>[aplūkots 2018.gada</w:t>
      </w:r>
      <w:r>
        <w:rPr>
          <w:spacing w:val="-2"/>
          <w:sz w:val="20"/>
        </w:rPr>
        <w:t> </w:t>
      </w:r>
      <w:r>
        <w:rPr>
          <w:sz w:val="20"/>
        </w:rPr>
        <w:t>20.septembrī]</w:t>
      </w:r>
    </w:p>
    <w:p>
      <w:pPr>
        <w:spacing w:line="228" w:lineRule="exact" w:before="0"/>
        <w:ind w:left="620" w:right="0" w:firstLine="0"/>
        <w:jc w:val="left"/>
        <w:rPr>
          <w:sz w:val="20"/>
        </w:rPr>
      </w:pPr>
      <w:r>
        <w:rPr>
          <w:position w:val="7"/>
          <w:sz w:val="13"/>
        </w:rPr>
        <w:t>250</w:t>
      </w:r>
      <w:r>
        <w:rPr>
          <w:spacing w:val="17"/>
          <w:position w:val="7"/>
          <w:sz w:val="13"/>
        </w:rPr>
        <w:t> </w:t>
      </w:r>
      <w:r>
        <w:rPr>
          <w:sz w:val="20"/>
        </w:rPr>
        <w:t>Ibid.</w:t>
      </w:r>
    </w:p>
    <w:p>
      <w:pPr>
        <w:spacing w:line="230" w:lineRule="exact" w:before="0"/>
        <w:ind w:left="620" w:right="0" w:firstLine="0"/>
        <w:jc w:val="left"/>
        <w:rPr>
          <w:sz w:val="20"/>
        </w:rPr>
      </w:pPr>
      <w:r>
        <w:rPr>
          <w:position w:val="7"/>
          <w:sz w:val="13"/>
        </w:rPr>
        <w:t>251</w:t>
      </w:r>
      <w:r>
        <w:rPr>
          <w:spacing w:val="17"/>
          <w:position w:val="7"/>
          <w:sz w:val="13"/>
        </w:rPr>
        <w:t> </w:t>
      </w:r>
      <w:r>
        <w:rPr>
          <w:sz w:val="20"/>
        </w:rPr>
        <w:t>Ibid.</w:t>
      </w:r>
    </w:p>
    <w:p>
      <w:pPr>
        <w:spacing w:line="240" w:lineRule="auto" w:before="0"/>
        <w:ind w:left="620" w:right="398" w:firstLine="0"/>
        <w:jc w:val="left"/>
        <w:rPr>
          <w:sz w:val="20"/>
        </w:rPr>
      </w:pPr>
      <w:r>
        <w:rPr>
          <w:position w:val="7"/>
          <w:sz w:val="13"/>
        </w:rPr>
        <w:t>252 </w:t>
      </w:r>
      <w:r>
        <w:rPr>
          <w:sz w:val="20"/>
        </w:rPr>
        <w:t>McKenzie Skene D., Walters A. “Consumer Bankruptcy Law Reform in Great Britain”. American Bankruptcy Law Journal, Great Britain Consumer Bankruptcy Systems, 2006, Vol. 80, p.484.</w:t>
      </w:r>
    </w:p>
    <w:p>
      <w:pPr>
        <w:spacing w:after="0" w:line="240" w:lineRule="auto"/>
        <w:jc w:val="left"/>
        <w:rPr>
          <w:sz w:val="20"/>
        </w:rPr>
        <w:sectPr>
          <w:pgSz w:w="11910" w:h="16840"/>
          <w:pgMar w:header="0" w:footer="1055" w:top="1340" w:bottom="1240" w:left="1180" w:right="1040"/>
        </w:sectPr>
      </w:pPr>
    </w:p>
    <w:p>
      <w:pPr>
        <w:pStyle w:val="BodyText"/>
        <w:spacing w:before="73"/>
        <w:ind w:left="260" w:right="761"/>
      </w:pPr>
      <w:r>
        <w:rPr/>
        <w:t>pašam vairāk kontrolēt savus aktīvus. Maksātnespējas speciālists palīdz parādniekam tikt skaidrībā ar to, ko parādnieks var atļauties samaksāt un kādā termiņā to var izdarīt. Šis termiņš nekur nav noregulēts, jo tā ir individuāla vienošanās ar kreditoriem. Tomēr bieži vien, ja parādniekam ir salīdzinoši lieli parādi, ierastā prakse ir termiņu noteikt līdz 5 gadiem.</w:t>
      </w:r>
    </w:p>
    <w:p>
      <w:pPr>
        <w:pStyle w:val="BodyText"/>
        <w:ind w:left="260" w:right="762" w:firstLine="720"/>
      </w:pPr>
      <w:r>
        <w:rPr/>
        <w:t>Procedūra var tikt uzsākta, ja kreditori, kur pārstāv vismaz 75 % no parādnieka parādiem, atbalsta priekšlikumu un piekrīt īstenot šo procedūru tādā veidolā, kā to</w:t>
      </w:r>
      <w:r>
        <w:rPr>
          <w:spacing w:val="-43"/>
        </w:rPr>
        <w:t> </w:t>
      </w:r>
      <w:r>
        <w:rPr/>
        <w:t>piedāvā parādnieks, lēmumu pieņemot kreditoru sapulcē. IVA var būt ļoti noderīga tiem parādniekiem, kam ir liels aktīvu apjoms, ko tie vēlas pasargāt, piemēram, dārgas automašīnas. Šie aktīvi nav tieši pakļauti riskam IVA procedūrā, bet tie viennozīmīgi ir pakļauti atsavināšanai bankrota procedūras</w:t>
      </w:r>
      <w:r>
        <w:rPr>
          <w:spacing w:val="-1"/>
        </w:rPr>
        <w:t> </w:t>
      </w:r>
      <w:r>
        <w:rPr/>
        <w:t>gadījumā.</w:t>
      </w:r>
    </w:p>
    <w:p>
      <w:pPr>
        <w:pStyle w:val="BodyText"/>
        <w:ind w:left="260" w:right="762" w:firstLine="720"/>
      </w:pPr>
      <w:r>
        <w:rPr/>
        <w:t>Atbilstoši statistikas datiem šī ir vispopulārākā procedūra no Lielbritānijas Maksātnespējas likumā noteiktajām procedūrām Anglijā un Velsā:</w:t>
      </w:r>
    </w:p>
    <w:p>
      <w:pPr>
        <w:pStyle w:val="BodyText"/>
        <w:jc w:val="left"/>
        <w:rPr>
          <w:sz w:val="20"/>
        </w:rPr>
      </w:pPr>
    </w:p>
    <w:p>
      <w:pPr>
        <w:pStyle w:val="BodyText"/>
        <w:spacing w:before="11"/>
        <w:jc w:val="left"/>
        <w:rPr>
          <w:sz w:val="10"/>
        </w:rPr>
      </w:pPr>
      <w:r>
        <w:rPr/>
        <w:drawing>
          <wp:anchor distT="0" distB="0" distL="0" distR="0" allowOverlap="1" layoutInCell="1" locked="0" behindDoc="0" simplePos="0" relativeHeight="139">
            <wp:simplePos x="0" y="0"/>
            <wp:positionH relativeFrom="page">
              <wp:posOffset>1514855</wp:posOffset>
            </wp:positionH>
            <wp:positionV relativeFrom="paragraph">
              <wp:posOffset>104980</wp:posOffset>
            </wp:positionV>
            <wp:extent cx="3901439" cy="3584448"/>
            <wp:effectExtent l="0" t="0" r="0" b="0"/>
            <wp:wrapTopAndBottom/>
            <wp:docPr id="1" name="image19.jpeg"/>
            <wp:cNvGraphicFramePr>
              <a:graphicFrameLocks noChangeAspect="1"/>
            </wp:cNvGraphicFramePr>
            <a:graphic>
              <a:graphicData uri="http://schemas.openxmlformats.org/drawingml/2006/picture">
                <pic:pic>
                  <pic:nvPicPr>
                    <pic:cNvPr id="2" name="image19.jpeg"/>
                    <pic:cNvPicPr/>
                  </pic:nvPicPr>
                  <pic:blipFill>
                    <a:blip r:embed="rId69" cstate="print"/>
                    <a:stretch>
                      <a:fillRect/>
                    </a:stretch>
                  </pic:blipFill>
                  <pic:spPr>
                    <a:xfrm>
                      <a:off x="0" y="0"/>
                      <a:ext cx="3901439" cy="3584448"/>
                    </a:xfrm>
                    <a:prstGeom prst="rect">
                      <a:avLst/>
                    </a:prstGeom>
                  </pic:spPr>
                </pic:pic>
              </a:graphicData>
            </a:graphic>
          </wp:anchor>
        </w:drawing>
      </w:r>
    </w:p>
    <w:p>
      <w:pPr>
        <w:pStyle w:val="BodyText"/>
        <w:spacing w:before="2"/>
        <w:jc w:val="left"/>
        <w:rPr>
          <w:sz w:val="21"/>
        </w:rPr>
      </w:pPr>
    </w:p>
    <w:p>
      <w:pPr>
        <w:spacing w:before="0"/>
        <w:ind w:left="260" w:right="398" w:firstLine="0"/>
        <w:jc w:val="left"/>
        <w:rPr>
          <w:i/>
          <w:sz w:val="24"/>
        </w:rPr>
      </w:pPr>
      <w:r>
        <w:rPr>
          <w:i/>
          <w:sz w:val="24"/>
        </w:rPr>
        <w:t>(Individuālās maksātnespējas Anglijā un Velsā, salīdzinājums starp 2008. – 2018. gada </w:t>
      </w:r>
      <w:r>
        <w:rPr>
          <w:i/>
          <w:sz w:val="24"/>
        </w:rPr>
        <w:t>pirmajiem ceturkšņiem (janvāris- marts). Pieejams:</w:t>
      </w:r>
    </w:p>
    <w:p>
      <w:pPr>
        <w:spacing w:before="0"/>
        <w:ind w:left="260" w:right="0" w:firstLine="0"/>
        <w:jc w:val="left"/>
        <w:rPr>
          <w:i/>
          <w:sz w:val="24"/>
        </w:rPr>
      </w:pPr>
      <w:r>
        <w:rPr>
          <w:i/>
          <w:color w:val="0562C1"/>
          <w:spacing w:val="-120"/>
          <w:sz w:val="24"/>
          <w:u w:val="single" w:color="0562C1"/>
        </w:rPr>
        <w:t>h</w:t>
      </w:r>
      <w:r>
        <w:rPr>
          <w:i/>
          <w:color w:val="0562C1"/>
          <w:spacing w:val="62"/>
          <w:sz w:val="24"/>
        </w:rPr>
        <w:t> </w:t>
      </w:r>
      <w:r>
        <w:rPr>
          <w:i/>
          <w:color w:val="0562C1"/>
          <w:sz w:val="24"/>
          <w:u w:val="single" w:color="0562C1"/>
        </w:rPr>
        <w:t>ttps://assets.publishing.service.gov.uk/government/uploads/system/uploads/attachment_</w:t>
      </w:r>
    </w:p>
    <w:p>
      <w:pPr>
        <w:tabs>
          <w:tab w:pos="8081" w:val="left" w:leader="none"/>
        </w:tabs>
        <w:spacing w:before="0"/>
        <w:ind w:left="260" w:right="762" w:firstLine="0"/>
        <w:jc w:val="left"/>
        <w:rPr>
          <w:i/>
          <w:sz w:val="24"/>
        </w:rPr>
      </w:pPr>
      <w:r>
        <w:rPr>
          <w:i/>
          <w:color w:val="0562C1"/>
          <w:spacing w:val="-120"/>
          <w:sz w:val="24"/>
          <w:u w:val="single" w:color="0562C1"/>
        </w:rPr>
        <w:t>d</w:t>
      </w:r>
      <w:r>
        <w:rPr>
          <w:i/>
          <w:color w:val="0562C1"/>
          <w:spacing w:val="59"/>
          <w:sz w:val="24"/>
        </w:rPr>
        <w:t> </w:t>
      </w:r>
      <w:r>
        <w:rPr>
          <w:i/>
          <w:color w:val="0562C1"/>
          <w:sz w:val="24"/>
          <w:u w:val="single" w:color="0562C1"/>
        </w:rPr>
        <w:t>ata/file/703180/Insolvency_Statistics_Commentary-_Q1_2018_v3.pdf</w:t>
      </w:r>
      <w:r>
        <w:rPr>
          <w:i/>
          <w:sz w:val="24"/>
        </w:rPr>
        <w:t>.</w:t>
        <w:tab/>
      </w:r>
      <w:r>
        <w:rPr>
          <w:i/>
          <w:spacing w:val="-3"/>
          <w:sz w:val="24"/>
        </w:rPr>
        <w:t>Aplūkots </w:t>
      </w:r>
      <w:r>
        <w:rPr>
          <w:i/>
          <w:sz w:val="24"/>
        </w:rPr>
        <w:t>17.10.2018.)</w:t>
      </w:r>
    </w:p>
    <w:p>
      <w:pPr>
        <w:pStyle w:val="BodyText"/>
        <w:spacing w:before="5"/>
        <w:jc w:val="left"/>
        <w:rPr>
          <w:i/>
        </w:rPr>
      </w:pPr>
    </w:p>
    <w:p>
      <w:pPr>
        <w:pStyle w:val="Heading4"/>
        <w:numPr>
          <w:ilvl w:val="1"/>
          <w:numId w:val="54"/>
        </w:numPr>
        <w:tabs>
          <w:tab w:pos="982" w:val="left" w:leader="none"/>
        </w:tabs>
        <w:spacing w:line="240" w:lineRule="auto" w:before="0" w:after="0"/>
        <w:ind w:left="980" w:right="762" w:hanging="360"/>
        <w:jc w:val="left"/>
      </w:pPr>
      <w:r>
        <w:rPr>
          <w:i/>
        </w:rPr>
        <w:t>County Court tiesas administrācijas rīkojums (County Court Administration </w:t>
      </w:r>
      <w:r>
        <w:rPr/>
        <w:t>Order)</w:t>
      </w:r>
    </w:p>
    <w:p>
      <w:pPr>
        <w:pStyle w:val="BodyText"/>
        <w:spacing w:before="6"/>
        <w:jc w:val="left"/>
        <w:rPr>
          <w:b/>
          <w:i/>
          <w:sz w:val="23"/>
        </w:rPr>
      </w:pPr>
    </w:p>
    <w:p>
      <w:pPr>
        <w:pStyle w:val="BodyText"/>
        <w:spacing w:before="1"/>
        <w:ind w:left="260" w:right="762" w:firstLine="720"/>
      </w:pPr>
      <w:r>
        <w:rPr/>
        <w:t>Šī procedūra ir viens no veidiem, kā rīkoties ar savu parādu, ja pret parādnieku ir tiesas </w:t>
      </w:r>
      <w:r>
        <w:rPr>
          <w:i/>
        </w:rPr>
        <w:t>(County court vai High Court) </w:t>
      </w:r>
      <w:r>
        <w:rPr/>
        <w:t>spriedums, un parādnieks nav spējīgs parādu samaksāt. Tomēr parāda apmēram ir ierobežojums, tas nevar pārsniegt 5000 mārciņas, kā arī parādniekam ir jābūt vismaz 2 kreditoriem. Tas liecina par to, ka šī procedūra ir pieejama tikai tiem parādniekiem, kuru parādu apmērs ir ļoti neliels. Procesa būtība</w:t>
      </w:r>
    </w:p>
    <w:p>
      <w:pPr>
        <w:spacing w:after="0"/>
        <w:sectPr>
          <w:pgSz w:w="11910" w:h="16840"/>
          <w:pgMar w:header="0" w:footer="1055" w:top="1340" w:bottom="1240" w:left="1180" w:right="1040"/>
        </w:sectPr>
      </w:pPr>
    </w:p>
    <w:p>
      <w:pPr>
        <w:pStyle w:val="BodyText"/>
        <w:spacing w:before="73"/>
        <w:ind w:left="620" w:right="401"/>
      </w:pPr>
      <w:r>
        <w:rPr/>
        <w:t>izpaužas tajā, ka parādnieks ikmēnesi veic maksājumu tiesai, kura tālāk no šīm līdzekļiem sedz</w:t>
      </w:r>
      <w:r>
        <w:rPr>
          <w:spacing w:val="-6"/>
        </w:rPr>
        <w:t> </w:t>
      </w:r>
      <w:r>
        <w:rPr/>
        <w:t>administrācijas</w:t>
      </w:r>
      <w:r>
        <w:rPr>
          <w:spacing w:val="-9"/>
        </w:rPr>
        <w:t> </w:t>
      </w:r>
      <w:r>
        <w:rPr/>
        <w:t>izmaksas,</w:t>
      </w:r>
      <w:r>
        <w:rPr>
          <w:spacing w:val="-6"/>
        </w:rPr>
        <w:t> </w:t>
      </w:r>
      <w:r>
        <w:rPr/>
        <w:t>bet</w:t>
      </w:r>
      <w:r>
        <w:rPr>
          <w:spacing w:val="-9"/>
        </w:rPr>
        <w:t> </w:t>
      </w:r>
      <w:r>
        <w:rPr/>
        <w:t>pārējo</w:t>
      </w:r>
      <w:r>
        <w:rPr>
          <w:spacing w:val="-7"/>
        </w:rPr>
        <w:t> </w:t>
      </w:r>
      <w:r>
        <w:rPr/>
        <w:t>novirza</w:t>
      </w:r>
      <w:r>
        <w:rPr>
          <w:spacing w:val="-6"/>
        </w:rPr>
        <w:t> </w:t>
      </w:r>
      <w:r>
        <w:rPr/>
        <w:t>kreditoram.</w:t>
      </w:r>
      <w:r>
        <w:rPr>
          <w:spacing w:val="-5"/>
        </w:rPr>
        <w:t> </w:t>
      </w:r>
      <w:r>
        <w:rPr/>
        <w:t>Tiesa</w:t>
      </w:r>
      <w:r>
        <w:rPr>
          <w:spacing w:val="-7"/>
        </w:rPr>
        <w:t> </w:t>
      </w:r>
      <w:r>
        <w:rPr/>
        <w:t>šajā</w:t>
      </w:r>
      <w:r>
        <w:rPr>
          <w:spacing w:val="-7"/>
        </w:rPr>
        <w:t> </w:t>
      </w:r>
      <w:r>
        <w:rPr/>
        <w:t>procesā</w:t>
      </w:r>
      <w:r>
        <w:rPr>
          <w:spacing w:val="-6"/>
        </w:rPr>
        <w:t> </w:t>
      </w:r>
      <w:r>
        <w:rPr/>
        <w:t>ir</w:t>
      </w:r>
      <w:r>
        <w:rPr>
          <w:spacing w:val="-7"/>
        </w:rPr>
        <w:t> </w:t>
      </w:r>
      <w:r>
        <w:rPr/>
        <w:t>galvenā lēmēja attiecībā par to, cik lielu daļu no parāda ir jāsedz (visu vai tikai daļu), cik lielas ir ikmēneša iemaksas, kā arī cik ilgi iemaksas</w:t>
      </w:r>
      <w:r>
        <w:rPr>
          <w:spacing w:val="-4"/>
        </w:rPr>
        <w:t> </w:t>
      </w:r>
      <w:r>
        <w:rPr/>
        <w:t>turpinās.</w:t>
      </w:r>
    </w:p>
    <w:p>
      <w:pPr>
        <w:pStyle w:val="BodyText"/>
        <w:spacing w:before="5"/>
        <w:jc w:val="left"/>
      </w:pPr>
    </w:p>
    <w:p>
      <w:pPr>
        <w:pStyle w:val="Heading4"/>
        <w:numPr>
          <w:ilvl w:val="1"/>
          <w:numId w:val="54"/>
        </w:numPr>
        <w:tabs>
          <w:tab w:pos="1342" w:val="left" w:leader="none"/>
        </w:tabs>
        <w:spacing w:line="240" w:lineRule="auto" w:before="0" w:after="0"/>
        <w:ind w:left="1341" w:right="0" w:hanging="362"/>
        <w:jc w:val="left"/>
        <w:rPr>
          <w:i/>
        </w:rPr>
      </w:pPr>
      <w:r>
        <w:rPr>
          <w:i/>
        </w:rPr>
        <w:t>Parādu pārvaldības plāns (Debt Management</w:t>
      </w:r>
      <w:r>
        <w:rPr>
          <w:i/>
          <w:spacing w:val="3"/>
        </w:rPr>
        <w:t> </w:t>
      </w:r>
      <w:r>
        <w:rPr>
          <w:i/>
        </w:rPr>
        <w:t>Plan)</w:t>
      </w:r>
    </w:p>
    <w:p>
      <w:pPr>
        <w:pStyle w:val="BodyText"/>
        <w:spacing w:before="7"/>
        <w:jc w:val="left"/>
        <w:rPr>
          <w:b/>
          <w:i/>
          <w:sz w:val="23"/>
        </w:rPr>
      </w:pPr>
    </w:p>
    <w:p>
      <w:pPr>
        <w:pStyle w:val="BodyText"/>
        <w:ind w:left="620" w:right="402" w:firstLine="720"/>
      </w:pPr>
      <w:r>
        <w:rPr/>
        <w:t>Parādu pārvaldības plāns ir vienošanās starp parādnieku un kreditoru par visa parāda samaksu. Parādu pārvaldības plānu parasti izmanto, ja persona var atļauties samaksāt kreditoriem tikai nelielu summu katru mēnesi, kā arī ja parādnieka finansiālās grūtības ir īslaicīgas un atmaksu ir iespējams veikt dažu mēnešu laikā. Parādu pārvaldības plānu</w:t>
      </w:r>
      <w:r>
        <w:rPr>
          <w:spacing w:val="-14"/>
        </w:rPr>
        <w:t> </w:t>
      </w:r>
      <w:r>
        <w:rPr/>
        <w:t>var</w:t>
      </w:r>
      <w:r>
        <w:rPr>
          <w:spacing w:val="-17"/>
        </w:rPr>
        <w:t> </w:t>
      </w:r>
      <w:r>
        <w:rPr/>
        <w:t>sastādīt</w:t>
      </w:r>
      <w:r>
        <w:rPr>
          <w:spacing w:val="-11"/>
        </w:rPr>
        <w:t> </w:t>
      </w:r>
      <w:r>
        <w:rPr/>
        <w:t>un</w:t>
      </w:r>
      <w:r>
        <w:rPr>
          <w:spacing w:val="-13"/>
        </w:rPr>
        <w:t> </w:t>
      </w:r>
      <w:r>
        <w:rPr/>
        <w:t>ar</w:t>
      </w:r>
      <w:r>
        <w:rPr>
          <w:spacing w:val="-17"/>
        </w:rPr>
        <w:t> </w:t>
      </w:r>
      <w:r>
        <w:rPr/>
        <w:t>kreditoriem</w:t>
      </w:r>
      <w:r>
        <w:rPr>
          <w:spacing w:val="-13"/>
        </w:rPr>
        <w:t> </w:t>
      </w:r>
      <w:r>
        <w:rPr/>
        <w:t>saskaņot</w:t>
      </w:r>
      <w:r>
        <w:rPr>
          <w:spacing w:val="-13"/>
        </w:rPr>
        <w:t> </w:t>
      </w:r>
      <w:r>
        <w:rPr/>
        <w:t>pats</w:t>
      </w:r>
      <w:r>
        <w:rPr>
          <w:spacing w:val="-13"/>
        </w:rPr>
        <w:t> </w:t>
      </w:r>
      <w:r>
        <w:rPr/>
        <w:t>parādnieks</w:t>
      </w:r>
      <w:r>
        <w:rPr>
          <w:spacing w:val="-13"/>
        </w:rPr>
        <w:t> </w:t>
      </w:r>
      <w:r>
        <w:rPr/>
        <w:t>vai</w:t>
      </w:r>
      <w:r>
        <w:rPr>
          <w:spacing w:val="-13"/>
        </w:rPr>
        <w:t> </w:t>
      </w:r>
      <w:r>
        <w:rPr/>
        <w:t>arī,</w:t>
      </w:r>
      <w:r>
        <w:rPr>
          <w:spacing w:val="-11"/>
        </w:rPr>
        <w:t> </w:t>
      </w:r>
      <w:r>
        <w:rPr/>
        <w:t>par</w:t>
      </w:r>
      <w:r>
        <w:rPr>
          <w:spacing w:val="-17"/>
        </w:rPr>
        <w:t> </w:t>
      </w:r>
      <w:r>
        <w:rPr/>
        <w:t>atsevišķu</w:t>
      </w:r>
      <w:r>
        <w:rPr>
          <w:spacing w:val="-13"/>
        </w:rPr>
        <w:t> </w:t>
      </w:r>
      <w:r>
        <w:rPr/>
        <w:t>samaksu, izmantojot</w:t>
      </w:r>
      <w:r>
        <w:rPr>
          <w:spacing w:val="-11"/>
        </w:rPr>
        <w:t> </w:t>
      </w:r>
      <w:r>
        <w:rPr/>
        <w:t>kādas</w:t>
      </w:r>
      <w:r>
        <w:rPr>
          <w:spacing w:val="-13"/>
        </w:rPr>
        <w:t> </w:t>
      </w:r>
      <w:r>
        <w:rPr/>
        <w:t>parādu</w:t>
      </w:r>
      <w:r>
        <w:rPr>
          <w:spacing w:val="-13"/>
        </w:rPr>
        <w:t> </w:t>
      </w:r>
      <w:r>
        <w:rPr/>
        <w:t>pārvaldības</w:t>
      </w:r>
      <w:r>
        <w:rPr>
          <w:spacing w:val="-13"/>
        </w:rPr>
        <w:t> </w:t>
      </w:r>
      <w:r>
        <w:rPr/>
        <w:t>kompānijas</w:t>
      </w:r>
      <w:r>
        <w:rPr>
          <w:spacing w:val="-13"/>
        </w:rPr>
        <w:t> </w:t>
      </w:r>
      <w:r>
        <w:rPr/>
        <w:t>palīdzību.</w:t>
      </w:r>
      <w:r>
        <w:rPr>
          <w:spacing w:val="-13"/>
        </w:rPr>
        <w:t> </w:t>
      </w:r>
      <w:r>
        <w:rPr/>
        <w:t>Parādu</w:t>
      </w:r>
      <w:r>
        <w:rPr>
          <w:spacing w:val="-13"/>
        </w:rPr>
        <w:t> </w:t>
      </w:r>
      <w:r>
        <w:rPr/>
        <w:t>pārvaldības</w:t>
      </w:r>
      <w:r>
        <w:rPr>
          <w:spacing w:val="-15"/>
        </w:rPr>
        <w:t> </w:t>
      </w:r>
      <w:r>
        <w:rPr/>
        <w:t>plāni</w:t>
      </w:r>
      <w:r>
        <w:rPr>
          <w:spacing w:val="-13"/>
        </w:rPr>
        <w:t> </w:t>
      </w:r>
      <w:r>
        <w:rPr/>
        <w:t>palīdz samazināt nenomaksātos nenodrošinātos parādus laika gaitā, lai palīdzētu parādniekam atgūt kontroli pār</w:t>
      </w:r>
      <w:r>
        <w:rPr>
          <w:spacing w:val="1"/>
        </w:rPr>
        <w:t> </w:t>
      </w:r>
      <w:r>
        <w:rPr/>
        <w:t>finansēm.</w:t>
      </w:r>
    </w:p>
    <w:p>
      <w:pPr>
        <w:pStyle w:val="BodyText"/>
        <w:ind w:left="620" w:right="404" w:firstLine="720"/>
      </w:pPr>
      <w:r>
        <w:rPr/>
        <w:t>Šī procedūra izklausās līdzīga IVA, tomēr starp IVA un parādu pārvaldības plānu ir būtiskas atšķirības:</w:t>
      </w:r>
    </w:p>
    <w:p>
      <w:pPr>
        <w:pStyle w:val="ListParagraph"/>
        <w:numPr>
          <w:ilvl w:val="2"/>
          <w:numId w:val="54"/>
        </w:numPr>
        <w:tabs>
          <w:tab w:pos="1700" w:val="left" w:leader="none"/>
        </w:tabs>
        <w:spacing w:line="240" w:lineRule="auto" w:before="0" w:after="0"/>
        <w:ind w:left="1700" w:right="402" w:hanging="360"/>
        <w:jc w:val="both"/>
        <w:rPr>
          <w:sz w:val="24"/>
        </w:rPr>
      </w:pPr>
      <w:r>
        <w:rPr>
          <w:sz w:val="24"/>
        </w:rPr>
        <w:t>IVA ir formālā kārtība noslēgta vienošanās starp parādnieku un kreditoriem, savukārt parādu pārvaldības plāns ir neformāla</w:t>
      </w:r>
      <w:r>
        <w:rPr>
          <w:spacing w:val="-3"/>
          <w:sz w:val="24"/>
        </w:rPr>
        <w:t> </w:t>
      </w:r>
      <w:r>
        <w:rPr>
          <w:sz w:val="24"/>
        </w:rPr>
        <w:t>vienošanās;</w:t>
      </w:r>
    </w:p>
    <w:p>
      <w:pPr>
        <w:pStyle w:val="ListParagraph"/>
        <w:numPr>
          <w:ilvl w:val="2"/>
          <w:numId w:val="54"/>
        </w:numPr>
        <w:tabs>
          <w:tab w:pos="1700" w:val="left" w:leader="none"/>
        </w:tabs>
        <w:spacing w:line="240" w:lineRule="auto" w:before="0" w:after="0"/>
        <w:ind w:left="1700" w:right="405" w:hanging="360"/>
        <w:jc w:val="both"/>
        <w:rPr>
          <w:sz w:val="24"/>
        </w:rPr>
      </w:pPr>
      <w:r>
        <w:rPr>
          <w:sz w:val="24"/>
        </w:rPr>
        <w:t>IVA</w:t>
      </w:r>
      <w:r>
        <w:rPr>
          <w:spacing w:val="-11"/>
          <w:sz w:val="24"/>
        </w:rPr>
        <w:t> </w:t>
      </w:r>
      <w:r>
        <w:rPr>
          <w:sz w:val="24"/>
        </w:rPr>
        <w:t>pārtrauks</w:t>
      </w:r>
      <w:r>
        <w:rPr>
          <w:spacing w:val="-11"/>
          <w:sz w:val="24"/>
        </w:rPr>
        <w:t> </w:t>
      </w:r>
      <w:r>
        <w:rPr>
          <w:sz w:val="24"/>
        </w:rPr>
        <w:t>visus</w:t>
      </w:r>
      <w:r>
        <w:rPr>
          <w:spacing w:val="-11"/>
          <w:sz w:val="24"/>
        </w:rPr>
        <w:t> </w:t>
      </w:r>
      <w:r>
        <w:rPr>
          <w:sz w:val="24"/>
        </w:rPr>
        <w:t>procentu</w:t>
      </w:r>
      <w:r>
        <w:rPr>
          <w:spacing w:val="-11"/>
          <w:sz w:val="24"/>
        </w:rPr>
        <w:t> </w:t>
      </w:r>
      <w:r>
        <w:rPr>
          <w:sz w:val="24"/>
        </w:rPr>
        <w:t>un</w:t>
      </w:r>
      <w:r>
        <w:rPr>
          <w:spacing w:val="-11"/>
          <w:sz w:val="24"/>
        </w:rPr>
        <w:t> </w:t>
      </w:r>
      <w:r>
        <w:rPr>
          <w:sz w:val="24"/>
        </w:rPr>
        <w:t>sodu</w:t>
      </w:r>
      <w:r>
        <w:rPr>
          <w:spacing w:val="-11"/>
          <w:sz w:val="24"/>
        </w:rPr>
        <w:t> </w:t>
      </w:r>
      <w:r>
        <w:rPr>
          <w:sz w:val="24"/>
        </w:rPr>
        <w:t>pieaugumus,</w:t>
      </w:r>
      <w:r>
        <w:rPr>
          <w:spacing w:val="-11"/>
          <w:sz w:val="24"/>
        </w:rPr>
        <w:t> </w:t>
      </w:r>
      <w:r>
        <w:rPr>
          <w:sz w:val="24"/>
        </w:rPr>
        <w:t>savukārt</w:t>
      </w:r>
      <w:r>
        <w:rPr>
          <w:spacing w:val="-8"/>
          <w:sz w:val="24"/>
        </w:rPr>
        <w:t> </w:t>
      </w:r>
      <w:r>
        <w:rPr>
          <w:sz w:val="24"/>
        </w:rPr>
        <w:t>attiecībā</w:t>
      </w:r>
      <w:r>
        <w:rPr>
          <w:spacing w:val="-11"/>
          <w:sz w:val="24"/>
        </w:rPr>
        <w:t> </w:t>
      </w:r>
      <w:r>
        <w:rPr>
          <w:sz w:val="24"/>
        </w:rPr>
        <w:t>uz</w:t>
      </w:r>
      <w:r>
        <w:rPr>
          <w:spacing w:val="-10"/>
          <w:sz w:val="24"/>
        </w:rPr>
        <w:t> </w:t>
      </w:r>
      <w:r>
        <w:rPr>
          <w:sz w:val="24"/>
        </w:rPr>
        <w:t>parādu pārvaldības plānu to nevar viennozīmīgi tā</w:t>
      </w:r>
      <w:r>
        <w:rPr>
          <w:spacing w:val="-4"/>
          <w:sz w:val="24"/>
        </w:rPr>
        <w:t> </w:t>
      </w:r>
      <w:r>
        <w:rPr>
          <w:sz w:val="24"/>
        </w:rPr>
        <w:t>pateikt;</w:t>
      </w:r>
    </w:p>
    <w:p>
      <w:pPr>
        <w:pStyle w:val="ListParagraph"/>
        <w:numPr>
          <w:ilvl w:val="2"/>
          <w:numId w:val="54"/>
        </w:numPr>
        <w:tabs>
          <w:tab w:pos="1700" w:val="left" w:leader="none"/>
        </w:tabs>
        <w:spacing w:line="240" w:lineRule="auto" w:before="0" w:after="0"/>
        <w:ind w:left="1700" w:right="403" w:hanging="360"/>
        <w:jc w:val="both"/>
        <w:rPr>
          <w:sz w:val="24"/>
        </w:rPr>
      </w:pPr>
      <w:r>
        <w:rPr>
          <w:sz w:val="24"/>
        </w:rPr>
        <w:t>IVA parasti beidzas pēc 5 gadiem, savukārt parādu pārvaldības plānam nav definēta beigu</w:t>
      </w:r>
      <w:r>
        <w:rPr>
          <w:spacing w:val="-1"/>
          <w:sz w:val="24"/>
        </w:rPr>
        <w:t> </w:t>
      </w:r>
      <w:r>
        <w:rPr>
          <w:sz w:val="24"/>
        </w:rPr>
        <w:t>posma;</w:t>
      </w:r>
    </w:p>
    <w:p>
      <w:pPr>
        <w:pStyle w:val="ListParagraph"/>
        <w:numPr>
          <w:ilvl w:val="2"/>
          <w:numId w:val="54"/>
        </w:numPr>
        <w:tabs>
          <w:tab w:pos="1700" w:val="left" w:leader="none"/>
        </w:tabs>
        <w:spacing w:line="240" w:lineRule="auto" w:before="0" w:after="0"/>
        <w:ind w:left="1700" w:right="403" w:hanging="360"/>
        <w:jc w:val="both"/>
        <w:rPr>
          <w:sz w:val="24"/>
        </w:rPr>
      </w:pPr>
      <w:r>
        <w:rPr>
          <w:sz w:val="24"/>
        </w:rPr>
        <w:t>IVA tiek īstenota, ja vismaz 75% kreditoru to atbalsta, savukārt parādu pārvaldības plānu kreditori var neatbalstīt un nepiekrist šādai parādu atdošanas kārtībai;</w:t>
      </w:r>
    </w:p>
    <w:p>
      <w:pPr>
        <w:pStyle w:val="ListParagraph"/>
        <w:numPr>
          <w:ilvl w:val="2"/>
          <w:numId w:val="54"/>
        </w:numPr>
        <w:tabs>
          <w:tab w:pos="1700" w:val="left" w:leader="none"/>
        </w:tabs>
        <w:spacing w:line="240" w:lineRule="auto" w:before="0" w:after="0"/>
        <w:ind w:left="1700" w:right="404" w:hanging="360"/>
        <w:jc w:val="both"/>
        <w:rPr>
          <w:sz w:val="24"/>
        </w:rPr>
      </w:pPr>
      <w:r>
        <w:rPr>
          <w:sz w:val="24"/>
        </w:rPr>
        <w:t>IVA</w:t>
      </w:r>
      <w:r>
        <w:rPr>
          <w:spacing w:val="-6"/>
          <w:sz w:val="24"/>
        </w:rPr>
        <w:t> </w:t>
      </w:r>
      <w:r>
        <w:rPr>
          <w:sz w:val="24"/>
        </w:rPr>
        <w:t>ir</w:t>
      </w:r>
      <w:r>
        <w:rPr>
          <w:spacing w:val="-6"/>
          <w:sz w:val="24"/>
        </w:rPr>
        <w:t> </w:t>
      </w:r>
      <w:r>
        <w:rPr>
          <w:sz w:val="24"/>
        </w:rPr>
        <w:t>viena</w:t>
      </w:r>
      <w:r>
        <w:rPr>
          <w:spacing w:val="-8"/>
          <w:sz w:val="24"/>
        </w:rPr>
        <w:t> </w:t>
      </w:r>
      <w:r>
        <w:rPr>
          <w:sz w:val="24"/>
        </w:rPr>
        <w:t>no</w:t>
      </w:r>
      <w:r>
        <w:rPr>
          <w:spacing w:val="-4"/>
          <w:sz w:val="24"/>
        </w:rPr>
        <w:t> </w:t>
      </w:r>
      <w:r>
        <w:rPr>
          <w:sz w:val="24"/>
        </w:rPr>
        <w:t>Lielbritānijas</w:t>
      </w:r>
      <w:r>
        <w:rPr>
          <w:spacing w:val="-6"/>
          <w:sz w:val="24"/>
        </w:rPr>
        <w:t> </w:t>
      </w:r>
      <w:r>
        <w:rPr>
          <w:sz w:val="24"/>
        </w:rPr>
        <w:t>Maksātnespējas</w:t>
      </w:r>
      <w:r>
        <w:rPr>
          <w:spacing w:val="-7"/>
          <w:sz w:val="24"/>
        </w:rPr>
        <w:t> </w:t>
      </w:r>
      <w:r>
        <w:rPr>
          <w:sz w:val="24"/>
        </w:rPr>
        <w:t>likumā</w:t>
      </w:r>
      <w:r>
        <w:rPr>
          <w:spacing w:val="-9"/>
          <w:sz w:val="24"/>
        </w:rPr>
        <w:t> </w:t>
      </w:r>
      <w:r>
        <w:rPr>
          <w:sz w:val="24"/>
        </w:rPr>
        <w:t>regulētajām</w:t>
      </w:r>
      <w:r>
        <w:rPr>
          <w:spacing w:val="-5"/>
          <w:sz w:val="24"/>
        </w:rPr>
        <w:t> </w:t>
      </w:r>
      <w:r>
        <w:rPr>
          <w:sz w:val="24"/>
        </w:rPr>
        <w:t>procedūrām, un</w:t>
      </w:r>
      <w:r>
        <w:rPr>
          <w:spacing w:val="-15"/>
          <w:sz w:val="24"/>
        </w:rPr>
        <w:t> </w:t>
      </w:r>
      <w:r>
        <w:rPr>
          <w:sz w:val="24"/>
        </w:rPr>
        <w:t>tās</w:t>
      </w:r>
      <w:r>
        <w:rPr>
          <w:spacing w:val="-15"/>
          <w:sz w:val="24"/>
        </w:rPr>
        <w:t> </w:t>
      </w:r>
      <w:r>
        <w:rPr>
          <w:sz w:val="24"/>
        </w:rPr>
        <w:t>beigās</w:t>
      </w:r>
      <w:r>
        <w:rPr>
          <w:spacing w:val="-17"/>
          <w:sz w:val="24"/>
        </w:rPr>
        <w:t> </w:t>
      </w:r>
      <w:r>
        <w:rPr>
          <w:sz w:val="24"/>
        </w:rPr>
        <w:t>daļa</w:t>
      </w:r>
      <w:r>
        <w:rPr>
          <w:spacing w:val="-15"/>
          <w:sz w:val="24"/>
        </w:rPr>
        <w:t> </w:t>
      </w:r>
      <w:r>
        <w:rPr>
          <w:sz w:val="24"/>
        </w:rPr>
        <w:t>no</w:t>
      </w:r>
      <w:r>
        <w:rPr>
          <w:spacing w:val="-15"/>
          <w:sz w:val="24"/>
        </w:rPr>
        <w:t> </w:t>
      </w:r>
      <w:r>
        <w:rPr>
          <w:sz w:val="24"/>
        </w:rPr>
        <w:t>nesamaksātajiem</w:t>
      </w:r>
      <w:r>
        <w:rPr>
          <w:spacing w:val="-15"/>
          <w:sz w:val="24"/>
        </w:rPr>
        <w:t> </w:t>
      </w:r>
      <w:r>
        <w:rPr>
          <w:sz w:val="24"/>
        </w:rPr>
        <w:t>parādiem</w:t>
      </w:r>
      <w:r>
        <w:rPr>
          <w:spacing w:val="-17"/>
          <w:sz w:val="24"/>
        </w:rPr>
        <w:t> </w:t>
      </w:r>
      <w:r>
        <w:rPr>
          <w:sz w:val="24"/>
        </w:rPr>
        <w:t>tiek</w:t>
      </w:r>
      <w:r>
        <w:rPr>
          <w:spacing w:val="-17"/>
          <w:sz w:val="24"/>
        </w:rPr>
        <w:t> </w:t>
      </w:r>
      <w:r>
        <w:rPr>
          <w:sz w:val="24"/>
        </w:rPr>
        <w:t>norakstīta,</w:t>
      </w:r>
      <w:r>
        <w:rPr>
          <w:spacing w:val="-15"/>
          <w:sz w:val="24"/>
        </w:rPr>
        <w:t> </w:t>
      </w:r>
      <w:r>
        <w:rPr>
          <w:sz w:val="24"/>
        </w:rPr>
        <w:t>savukārt</w:t>
      </w:r>
      <w:r>
        <w:rPr>
          <w:spacing w:val="-15"/>
          <w:sz w:val="24"/>
        </w:rPr>
        <w:t> </w:t>
      </w:r>
      <w:r>
        <w:rPr>
          <w:sz w:val="24"/>
        </w:rPr>
        <w:t>parādu pārvaldības plāna gadījumā tiek pilnībā atmaksāts</w:t>
      </w:r>
      <w:r>
        <w:rPr>
          <w:spacing w:val="-8"/>
          <w:sz w:val="24"/>
        </w:rPr>
        <w:t> </w:t>
      </w:r>
      <w:r>
        <w:rPr>
          <w:sz w:val="24"/>
        </w:rPr>
        <w:t>parāds.</w:t>
      </w:r>
    </w:p>
    <w:p>
      <w:pPr>
        <w:pStyle w:val="BodyText"/>
        <w:spacing w:before="5"/>
        <w:jc w:val="left"/>
      </w:pPr>
    </w:p>
    <w:p>
      <w:pPr>
        <w:pStyle w:val="Heading4"/>
        <w:numPr>
          <w:ilvl w:val="1"/>
          <w:numId w:val="54"/>
        </w:numPr>
        <w:tabs>
          <w:tab w:pos="1401" w:val="left" w:leader="none"/>
        </w:tabs>
        <w:spacing w:line="240" w:lineRule="auto" w:before="0" w:after="0"/>
        <w:ind w:left="1400" w:right="0" w:hanging="421"/>
        <w:jc w:val="left"/>
        <w:rPr>
          <w:i/>
        </w:rPr>
      </w:pPr>
      <w:r>
        <w:rPr>
          <w:i/>
        </w:rPr>
        <w:t>Parādu atvieglojuma rīkojums (Debt relief</w:t>
      </w:r>
      <w:r>
        <w:rPr>
          <w:i/>
          <w:spacing w:val="1"/>
        </w:rPr>
        <w:t> </w:t>
      </w:r>
      <w:r>
        <w:rPr>
          <w:i/>
        </w:rPr>
        <w:t>order)</w:t>
      </w:r>
    </w:p>
    <w:p>
      <w:pPr>
        <w:pStyle w:val="BodyText"/>
        <w:jc w:val="left"/>
        <w:rPr>
          <w:b/>
          <w:i/>
        </w:rPr>
      </w:pPr>
    </w:p>
    <w:p>
      <w:pPr>
        <w:pStyle w:val="ListParagraph"/>
        <w:numPr>
          <w:ilvl w:val="0"/>
          <w:numId w:val="56"/>
        </w:numPr>
        <w:tabs>
          <w:tab w:pos="1048" w:val="left" w:leader="none"/>
        </w:tabs>
        <w:spacing w:line="240" w:lineRule="auto" w:before="0" w:after="0"/>
        <w:ind w:left="1047" w:right="0" w:hanging="361"/>
        <w:jc w:val="left"/>
        <w:rPr>
          <w:b/>
          <w:i/>
          <w:sz w:val="24"/>
        </w:rPr>
      </w:pPr>
      <w:r>
        <w:rPr>
          <w:b/>
          <w:i/>
          <w:sz w:val="24"/>
        </w:rPr>
        <w:t>Vispārējs procedūras</w:t>
      </w:r>
      <w:r>
        <w:rPr>
          <w:b/>
          <w:i/>
          <w:spacing w:val="-1"/>
          <w:sz w:val="24"/>
        </w:rPr>
        <w:t> </w:t>
      </w:r>
      <w:r>
        <w:rPr>
          <w:b/>
          <w:i/>
          <w:sz w:val="24"/>
        </w:rPr>
        <w:t>apraksts</w:t>
      </w:r>
    </w:p>
    <w:p>
      <w:pPr>
        <w:pStyle w:val="BodyText"/>
        <w:spacing w:before="7"/>
        <w:jc w:val="left"/>
        <w:rPr>
          <w:b/>
          <w:i/>
          <w:sz w:val="23"/>
        </w:rPr>
      </w:pPr>
    </w:p>
    <w:p>
      <w:pPr>
        <w:pStyle w:val="BodyText"/>
        <w:ind w:left="620" w:right="402" w:firstLine="720"/>
      </w:pPr>
      <w:r>
        <w:rPr/>
        <w:t>Parādu</w:t>
      </w:r>
      <w:r>
        <w:rPr>
          <w:spacing w:val="-10"/>
        </w:rPr>
        <w:t> </w:t>
      </w:r>
      <w:r>
        <w:rPr/>
        <w:t>atvieglojuma</w:t>
      </w:r>
      <w:r>
        <w:rPr>
          <w:spacing w:val="-9"/>
        </w:rPr>
        <w:t> </w:t>
      </w:r>
      <w:r>
        <w:rPr/>
        <w:t>rīkojums</w:t>
      </w:r>
      <w:r>
        <w:rPr>
          <w:spacing w:val="-10"/>
        </w:rPr>
        <w:t> </w:t>
      </w:r>
      <w:r>
        <w:rPr/>
        <w:t>(Debt</w:t>
      </w:r>
      <w:r>
        <w:rPr>
          <w:spacing w:val="-6"/>
        </w:rPr>
        <w:t> </w:t>
      </w:r>
      <w:r>
        <w:rPr/>
        <w:t>relief</w:t>
      </w:r>
      <w:r>
        <w:rPr>
          <w:spacing w:val="-11"/>
        </w:rPr>
        <w:t> </w:t>
      </w:r>
      <w:r>
        <w:rPr/>
        <w:t>order</w:t>
      </w:r>
      <w:r>
        <w:rPr>
          <w:spacing w:val="-12"/>
        </w:rPr>
        <w:t> </w:t>
      </w:r>
      <w:r>
        <w:rPr/>
        <w:t>–</w:t>
      </w:r>
      <w:r>
        <w:rPr>
          <w:spacing w:val="-9"/>
        </w:rPr>
        <w:t> </w:t>
      </w:r>
      <w:r>
        <w:rPr/>
        <w:t>turpmāk</w:t>
      </w:r>
      <w:r>
        <w:rPr>
          <w:spacing w:val="-9"/>
        </w:rPr>
        <w:t> </w:t>
      </w:r>
      <w:r>
        <w:rPr/>
        <w:t>tekstā</w:t>
      </w:r>
      <w:r>
        <w:rPr>
          <w:spacing w:val="-10"/>
        </w:rPr>
        <w:t> </w:t>
      </w:r>
      <w:r>
        <w:rPr/>
        <w:t>arī</w:t>
      </w:r>
      <w:r>
        <w:rPr>
          <w:spacing w:val="-6"/>
        </w:rPr>
        <w:t> </w:t>
      </w:r>
      <w:r>
        <w:rPr/>
        <w:t>DRO)</w:t>
      </w:r>
      <w:r>
        <w:rPr>
          <w:spacing w:val="-10"/>
        </w:rPr>
        <w:t> </w:t>
      </w:r>
      <w:r>
        <w:rPr/>
        <w:t>ir</w:t>
      </w:r>
      <w:r>
        <w:rPr>
          <w:spacing w:val="-9"/>
        </w:rPr>
        <w:t> </w:t>
      </w:r>
      <w:r>
        <w:rPr/>
        <w:t>jauna veida maksātnespējas procedūra, ko ieviesa 2007.gadā ar Tribunals, Courts and Enforcement Act 2007, kurš Lielbritānijas Maksātnespējas likumā ieviesa jaunu 7A daļu ar nosaukumu “Debt relief orders”. Jaunais regulējums stājās spēkā</w:t>
      </w:r>
      <w:r>
        <w:rPr>
          <w:spacing w:val="-12"/>
        </w:rPr>
        <w:t> </w:t>
      </w:r>
      <w:r>
        <w:rPr/>
        <w:t>2009.gadā.</w:t>
      </w:r>
    </w:p>
    <w:p>
      <w:pPr>
        <w:pStyle w:val="BodyText"/>
        <w:ind w:left="620" w:right="404" w:firstLine="720"/>
      </w:pPr>
      <w:r>
        <w:rPr/>
        <w:t>Pirms tika pieņemts jaunais regulējums un parādniekiem kļuva pieejama vēl viena procedūra, kā tikt galā ar saviem parādiem, parādniekiem jau bija pieejamas visas pārējās procedūras:</w:t>
      </w:r>
    </w:p>
    <w:p>
      <w:pPr>
        <w:pStyle w:val="ListParagraph"/>
        <w:numPr>
          <w:ilvl w:val="1"/>
          <w:numId w:val="56"/>
        </w:numPr>
        <w:tabs>
          <w:tab w:pos="2780" w:val="left" w:leader="none"/>
        </w:tabs>
        <w:spacing w:line="240" w:lineRule="auto" w:before="0" w:after="0"/>
        <w:ind w:left="2780" w:right="0" w:hanging="360"/>
        <w:jc w:val="left"/>
        <w:rPr>
          <w:sz w:val="24"/>
        </w:rPr>
      </w:pPr>
      <w:r>
        <w:rPr>
          <w:sz w:val="24"/>
        </w:rPr>
        <w:t>bankrota procedūra;</w:t>
      </w:r>
    </w:p>
    <w:p>
      <w:pPr>
        <w:pStyle w:val="ListParagraph"/>
        <w:numPr>
          <w:ilvl w:val="1"/>
          <w:numId w:val="56"/>
        </w:numPr>
        <w:tabs>
          <w:tab w:pos="2780" w:val="left" w:leader="none"/>
        </w:tabs>
        <w:spacing w:line="240" w:lineRule="auto" w:before="0" w:after="0"/>
        <w:ind w:left="2780" w:right="0" w:hanging="360"/>
        <w:jc w:val="left"/>
        <w:rPr>
          <w:sz w:val="24"/>
        </w:rPr>
      </w:pPr>
      <w:r>
        <w:rPr>
          <w:sz w:val="24"/>
        </w:rPr>
        <w:t>individuālās brīvprātīgās vienošanās</w:t>
      </w:r>
      <w:r>
        <w:rPr>
          <w:spacing w:val="-2"/>
          <w:sz w:val="24"/>
        </w:rPr>
        <w:t> </w:t>
      </w:r>
      <w:r>
        <w:rPr>
          <w:sz w:val="24"/>
        </w:rPr>
        <w:t>(IVA);</w:t>
      </w:r>
    </w:p>
    <w:p>
      <w:pPr>
        <w:pStyle w:val="ListParagraph"/>
        <w:numPr>
          <w:ilvl w:val="1"/>
          <w:numId w:val="56"/>
        </w:numPr>
        <w:tabs>
          <w:tab w:pos="2780" w:val="left" w:leader="none"/>
        </w:tabs>
        <w:spacing w:line="240" w:lineRule="auto" w:before="0" w:after="0"/>
        <w:ind w:left="2780" w:right="0" w:hanging="360"/>
        <w:jc w:val="left"/>
        <w:rPr>
          <w:sz w:val="24"/>
        </w:rPr>
      </w:pPr>
      <w:r>
        <w:rPr>
          <w:sz w:val="24"/>
        </w:rPr>
        <w:t>County Court tiesas administrācijas</w:t>
      </w:r>
      <w:r>
        <w:rPr>
          <w:spacing w:val="-10"/>
          <w:sz w:val="24"/>
        </w:rPr>
        <w:t> </w:t>
      </w:r>
      <w:r>
        <w:rPr>
          <w:sz w:val="24"/>
        </w:rPr>
        <w:t>rīkojums;</w:t>
      </w:r>
    </w:p>
    <w:p>
      <w:pPr>
        <w:pStyle w:val="ListParagraph"/>
        <w:numPr>
          <w:ilvl w:val="1"/>
          <w:numId w:val="56"/>
        </w:numPr>
        <w:tabs>
          <w:tab w:pos="2780" w:val="left" w:leader="none"/>
        </w:tabs>
        <w:spacing w:line="240" w:lineRule="auto" w:before="0" w:after="0"/>
        <w:ind w:left="2780" w:right="0" w:hanging="360"/>
        <w:jc w:val="left"/>
        <w:rPr>
          <w:sz w:val="24"/>
        </w:rPr>
      </w:pPr>
      <w:r>
        <w:rPr>
          <w:sz w:val="24"/>
        </w:rPr>
        <w:t>parādu pārvaldības</w:t>
      </w:r>
      <w:r>
        <w:rPr>
          <w:spacing w:val="-1"/>
          <w:sz w:val="24"/>
        </w:rPr>
        <w:t> </w:t>
      </w:r>
      <w:r>
        <w:rPr>
          <w:sz w:val="24"/>
        </w:rPr>
        <w:t>plāns.</w:t>
      </w:r>
    </w:p>
    <w:p>
      <w:pPr>
        <w:pStyle w:val="BodyText"/>
        <w:ind w:left="620" w:right="401" w:firstLine="720"/>
      </w:pPr>
      <w:r>
        <w:rPr/>
        <w:t>Lai arī teorētiski pastāvēja vairākas procedūras vienlaikus, kas parādniekam ļāva risināt</w:t>
      </w:r>
      <w:r>
        <w:rPr>
          <w:spacing w:val="-8"/>
        </w:rPr>
        <w:t> </w:t>
      </w:r>
      <w:r>
        <w:rPr/>
        <w:t>savas</w:t>
      </w:r>
      <w:r>
        <w:rPr>
          <w:spacing w:val="-10"/>
        </w:rPr>
        <w:t> </w:t>
      </w:r>
      <w:r>
        <w:rPr/>
        <w:t>finansiālās</w:t>
      </w:r>
      <w:r>
        <w:rPr>
          <w:spacing w:val="-7"/>
        </w:rPr>
        <w:t> </w:t>
      </w:r>
      <w:r>
        <w:rPr/>
        <w:t>grūtības,</w:t>
      </w:r>
      <w:r>
        <w:rPr>
          <w:spacing w:val="-8"/>
        </w:rPr>
        <w:t> </w:t>
      </w:r>
      <w:r>
        <w:rPr/>
        <w:t>tomēr</w:t>
      </w:r>
      <w:r>
        <w:rPr>
          <w:spacing w:val="-9"/>
        </w:rPr>
        <w:t> </w:t>
      </w:r>
      <w:r>
        <w:rPr/>
        <w:t>tik</w:t>
      </w:r>
      <w:r>
        <w:rPr>
          <w:spacing w:val="-8"/>
        </w:rPr>
        <w:t> </w:t>
      </w:r>
      <w:r>
        <w:rPr/>
        <w:t>un</w:t>
      </w:r>
      <w:r>
        <w:rPr>
          <w:spacing w:val="-8"/>
        </w:rPr>
        <w:t> </w:t>
      </w:r>
      <w:r>
        <w:rPr/>
        <w:t>tā</w:t>
      </w:r>
      <w:r>
        <w:rPr>
          <w:spacing w:val="-10"/>
        </w:rPr>
        <w:t> </w:t>
      </w:r>
      <w:r>
        <w:rPr/>
        <w:t>bija</w:t>
      </w:r>
      <w:r>
        <w:rPr>
          <w:spacing w:val="-9"/>
        </w:rPr>
        <w:t> </w:t>
      </w:r>
      <w:r>
        <w:rPr/>
        <w:t>personas,</w:t>
      </w:r>
      <w:r>
        <w:rPr>
          <w:spacing w:val="-8"/>
        </w:rPr>
        <w:t> </w:t>
      </w:r>
      <w:r>
        <w:rPr/>
        <w:t>kurām</w:t>
      </w:r>
      <w:r>
        <w:rPr>
          <w:spacing w:val="-10"/>
        </w:rPr>
        <w:t> </w:t>
      </w:r>
      <w:r>
        <w:rPr/>
        <w:t>šīs</w:t>
      </w:r>
      <w:r>
        <w:rPr>
          <w:spacing w:val="-8"/>
        </w:rPr>
        <w:t> </w:t>
      </w:r>
      <w:r>
        <w:rPr/>
        <w:t>procedūras</w:t>
      </w:r>
      <w:r>
        <w:rPr>
          <w:spacing w:val="-8"/>
        </w:rPr>
        <w:t> </w:t>
      </w:r>
      <w:r>
        <w:rPr/>
        <w:t>nebija pieejamas tieši finansiālu apstākļu dēļ, tādēļ bija nepieciešams meklēt alternatīvus risinājumus, kas ļautu dažādām personu grupām vienlīdz labi panākt iespēju iesaistīties maksātnespējas</w:t>
      </w:r>
      <w:r>
        <w:rPr>
          <w:spacing w:val="-1"/>
        </w:rPr>
        <w:t> </w:t>
      </w:r>
      <w:r>
        <w:rPr/>
        <w:t>procesos.</w:t>
      </w:r>
    </w:p>
    <w:p>
      <w:pPr>
        <w:spacing w:after="0"/>
        <w:sectPr>
          <w:pgSz w:w="11910" w:h="16840"/>
          <w:pgMar w:header="0" w:footer="1055" w:top="1340" w:bottom="1240" w:left="1180" w:right="1040"/>
        </w:sectPr>
      </w:pPr>
    </w:p>
    <w:p>
      <w:pPr>
        <w:pStyle w:val="BodyText"/>
        <w:spacing w:line="235" w:lineRule="auto" w:before="78"/>
        <w:ind w:left="260" w:right="762" w:firstLine="720"/>
        <w:rPr>
          <w:sz w:val="16"/>
        </w:rPr>
      </w:pPr>
      <w:r>
        <w:rPr/>
        <w:t>Pēc tam, kad tika veiktas plašas apspriedes, kas analizēja parāda atvieglojumu pieejamību, tika konstatēts, ka pastāv relatīvi liela parādnieku daļa, kas nespēj piekļūt neviena</w:t>
      </w:r>
      <w:r>
        <w:rPr>
          <w:spacing w:val="-12"/>
        </w:rPr>
        <w:t> </w:t>
      </w:r>
      <w:r>
        <w:rPr/>
        <w:t>veida</w:t>
      </w:r>
      <w:r>
        <w:rPr>
          <w:spacing w:val="-11"/>
        </w:rPr>
        <w:t> </w:t>
      </w:r>
      <w:r>
        <w:rPr/>
        <w:t>parādu</w:t>
      </w:r>
      <w:r>
        <w:rPr>
          <w:spacing w:val="-12"/>
        </w:rPr>
        <w:t> </w:t>
      </w:r>
      <w:r>
        <w:rPr/>
        <w:t>atvieglojumu</w:t>
      </w:r>
      <w:r>
        <w:rPr>
          <w:spacing w:val="-11"/>
        </w:rPr>
        <w:t> </w:t>
      </w:r>
      <w:r>
        <w:rPr/>
        <w:t>formām,</w:t>
      </w:r>
      <w:r>
        <w:rPr>
          <w:spacing w:val="-12"/>
        </w:rPr>
        <w:t> </w:t>
      </w:r>
      <w:r>
        <w:rPr/>
        <w:t>par</w:t>
      </w:r>
      <w:r>
        <w:rPr>
          <w:spacing w:val="-11"/>
        </w:rPr>
        <w:t> </w:t>
      </w:r>
      <w:r>
        <w:rPr/>
        <w:t>iemeslu</w:t>
      </w:r>
      <w:r>
        <w:rPr>
          <w:spacing w:val="-11"/>
        </w:rPr>
        <w:t> </w:t>
      </w:r>
      <w:r>
        <w:rPr/>
        <w:t>šai</w:t>
      </w:r>
      <w:r>
        <w:rPr>
          <w:spacing w:val="-12"/>
        </w:rPr>
        <w:t> </w:t>
      </w:r>
      <w:r>
        <w:rPr/>
        <w:t>problēmai</w:t>
      </w:r>
      <w:r>
        <w:rPr>
          <w:spacing w:val="-11"/>
        </w:rPr>
        <w:t> </w:t>
      </w:r>
      <w:r>
        <w:rPr/>
        <w:t>minot</w:t>
      </w:r>
      <w:r>
        <w:rPr>
          <w:spacing w:val="-12"/>
        </w:rPr>
        <w:t> </w:t>
      </w:r>
      <w:r>
        <w:rPr/>
        <w:t>izmaksas,</w:t>
      </w:r>
      <w:r>
        <w:rPr>
          <w:spacing w:val="-11"/>
        </w:rPr>
        <w:t> </w:t>
      </w:r>
      <w:r>
        <w:rPr/>
        <w:t>kas ir saistītas ar bankrota procedūru vai citām</w:t>
      </w:r>
      <w:r>
        <w:rPr>
          <w:spacing w:val="-8"/>
        </w:rPr>
        <w:t> </w:t>
      </w:r>
      <w:r>
        <w:rPr/>
        <w:t>metodēm.</w:t>
      </w:r>
      <w:r>
        <w:rPr>
          <w:position w:val="9"/>
          <w:sz w:val="16"/>
        </w:rPr>
        <w:t>253</w:t>
      </w:r>
    </w:p>
    <w:p>
      <w:pPr>
        <w:pStyle w:val="BodyText"/>
        <w:spacing w:line="235" w:lineRule="auto" w:before="7"/>
        <w:ind w:left="260" w:right="762" w:firstLine="720"/>
        <w:rPr>
          <w:sz w:val="16"/>
        </w:rPr>
      </w:pPr>
      <w:r>
        <w:rPr/>
        <w:t>2004.gadā Konstitucionālo lietu departaments </w:t>
      </w:r>
      <w:r>
        <w:rPr>
          <w:i/>
        </w:rPr>
        <w:t>(the Department for Constitutional </w:t>
      </w:r>
      <w:r>
        <w:rPr>
          <w:i/>
        </w:rPr>
        <w:t>Affairs) </w:t>
      </w:r>
      <w:r>
        <w:rPr/>
        <w:t>sagatavoja konsultatīva rakstura dokumentu, kurā tika izteikti viedokļi par iespējām pārvarēt pārmērīgus parādus. Šis dokuments, nosaukts par “A Choice of Paths: Better Options to Manage Over-Indebtedness and Multiple debts” identificē vairākas problēmas</w:t>
      </w:r>
      <w:r>
        <w:rPr>
          <w:spacing w:val="-16"/>
        </w:rPr>
        <w:t> </w:t>
      </w:r>
      <w:r>
        <w:rPr/>
        <w:t>esošajā</w:t>
      </w:r>
      <w:r>
        <w:rPr>
          <w:spacing w:val="-13"/>
        </w:rPr>
        <w:t> </w:t>
      </w:r>
      <w:r>
        <w:rPr/>
        <w:t>tiesiskajā</w:t>
      </w:r>
      <w:r>
        <w:rPr>
          <w:spacing w:val="-15"/>
        </w:rPr>
        <w:t> </w:t>
      </w:r>
      <w:r>
        <w:rPr/>
        <w:t>sistēmā</w:t>
      </w:r>
      <w:r>
        <w:rPr>
          <w:spacing w:val="-13"/>
        </w:rPr>
        <w:t> </w:t>
      </w:r>
      <w:r>
        <w:rPr/>
        <w:t>un</w:t>
      </w:r>
      <w:r>
        <w:rPr>
          <w:spacing w:val="-12"/>
        </w:rPr>
        <w:t> </w:t>
      </w:r>
      <w:r>
        <w:rPr/>
        <w:t>mudina</w:t>
      </w:r>
      <w:r>
        <w:rPr>
          <w:spacing w:val="-16"/>
        </w:rPr>
        <w:t> </w:t>
      </w:r>
      <w:r>
        <w:rPr/>
        <w:t>domāt</w:t>
      </w:r>
      <w:r>
        <w:rPr>
          <w:spacing w:val="-12"/>
        </w:rPr>
        <w:t> </w:t>
      </w:r>
      <w:r>
        <w:rPr/>
        <w:t>par</w:t>
      </w:r>
      <w:r>
        <w:rPr>
          <w:spacing w:val="-16"/>
        </w:rPr>
        <w:t> </w:t>
      </w:r>
      <w:r>
        <w:rPr/>
        <w:t>vairākām</w:t>
      </w:r>
      <w:r>
        <w:rPr>
          <w:spacing w:val="-15"/>
        </w:rPr>
        <w:t> </w:t>
      </w:r>
      <w:r>
        <w:rPr/>
        <w:t>būtiskām</w:t>
      </w:r>
      <w:r>
        <w:rPr>
          <w:spacing w:val="-14"/>
        </w:rPr>
        <w:t> </w:t>
      </w:r>
      <w:r>
        <w:rPr/>
        <w:t>reformām.</w:t>
      </w:r>
      <w:r>
        <w:rPr>
          <w:position w:val="9"/>
          <w:sz w:val="16"/>
        </w:rPr>
        <w:t>254 </w:t>
      </w:r>
      <w:r>
        <w:rPr/>
        <w:t>Konstitucionālo lietu departaments nodalīja parādniekus starp tiem, kas “varētu</w:t>
      </w:r>
      <w:r>
        <w:rPr>
          <w:spacing w:val="-33"/>
        </w:rPr>
        <w:t> </w:t>
      </w:r>
      <w:r>
        <w:rPr/>
        <w:t>samaksāt” un</w:t>
      </w:r>
      <w:r>
        <w:rPr>
          <w:spacing w:val="-16"/>
        </w:rPr>
        <w:t> </w:t>
      </w:r>
      <w:r>
        <w:rPr/>
        <w:t>tiem,</w:t>
      </w:r>
      <w:r>
        <w:rPr>
          <w:spacing w:val="-16"/>
        </w:rPr>
        <w:t> </w:t>
      </w:r>
      <w:r>
        <w:rPr/>
        <w:t>kas</w:t>
      </w:r>
      <w:r>
        <w:rPr>
          <w:spacing w:val="-15"/>
        </w:rPr>
        <w:t> </w:t>
      </w:r>
      <w:r>
        <w:rPr/>
        <w:t>“nevar</w:t>
      </w:r>
      <w:r>
        <w:rPr>
          <w:spacing w:val="-16"/>
        </w:rPr>
        <w:t> </w:t>
      </w:r>
      <w:r>
        <w:rPr/>
        <w:t>samaksāt”,</w:t>
      </w:r>
      <w:r>
        <w:rPr>
          <w:spacing w:val="-15"/>
        </w:rPr>
        <w:t> </w:t>
      </w:r>
      <w:r>
        <w:rPr/>
        <w:t>kā</w:t>
      </w:r>
      <w:r>
        <w:rPr>
          <w:spacing w:val="-18"/>
        </w:rPr>
        <w:t> </w:t>
      </w:r>
      <w:r>
        <w:rPr/>
        <w:t>arī</w:t>
      </w:r>
      <w:r>
        <w:rPr>
          <w:spacing w:val="-15"/>
        </w:rPr>
        <w:t> </w:t>
      </w:r>
      <w:r>
        <w:rPr/>
        <w:t>norādīja</w:t>
      </w:r>
      <w:r>
        <w:rPr>
          <w:spacing w:val="-18"/>
        </w:rPr>
        <w:t> </w:t>
      </w:r>
      <w:r>
        <w:rPr/>
        <w:t>uz</w:t>
      </w:r>
      <w:r>
        <w:rPr>
          <w:spacing w:val="-13"/>
        </w:rPr>
        <w:t> </w:t>
      </w:r>
      <w:r>
        <w:rPr/>
        <w:t>priekšlikumiem,</w:t>
      </w:r>
      <w:r>
        <w:rPr>
          <w:spacing w:val="-16"/>
        </w:rPr>
        <w:t> </w:t>
      </w:r>
      <w:r>
        <w:rPr/>
        <w:t>kā</w:t>
      </w:r>
      <w:r>
        <w:rPr>
          <w:spacing w:val="-15"/>
        </w:rPr>
        <w:t> </w:t>
      </w:r>
      <w:r>
        <w:rPr/>
        <w:t>varētu</w:t>
      </w:r>
      <w:r>
        <w:rPr>
          <w:spacing w:val="-13"/>
        </w:rPr>
        <w:t> </w:t>
      </w:r>
      <w:r>
        <w:rPr/>
        <w:t>palīdzēt</w:t>
      </w:r>
      <w:r>
        <w:rPr>
          <w:spacing w:val="-15"/>
        </w:rPr>
        <w:t> </w:t>
      </w:r>
      <w:r>
        <w:rPr/>
        <w:t>pēdējai grupai.</w:t>
      </w:r>
      <w:r>
        <w:rPr>
          <w:position w:val="9"/>
          <w:sz w:val="16"/>
        </w:rPr>
        <w:t>255</w:t>
      </w:r>
    </w:p>
    <w:p>
      <w:pPr>
        <w:pStyle w:val="BodyText"/>
        <w:spacing w:before="9"/>
        <w:ind w:left="260" w:right="765" w:firstLine="720"/>
      </w:pPr>
      <w:r>
        <w:rPr/>
        <w:t>Kā</w:t>
      </w:r>
      <w:r>
        <w:rPr>
          <w:spacing w:val="-17"/>
        </w:rPr>
        <w:t> </w:t>
      </w:r>
      <w:r>
        <w:rPr/>
        <w:t>norāda</w:t>
      </w:r>
      <w:r>
        <w:rPr>
          <w:spacing w:val="-10"/>
        </w:rPr>
        <w:t> </w:t>
      </w:r>
      <w:r>
        <w:rPr/>
        <w:t>Lielbritānijas</w:t>
      </w:r>
      <w:r>
        <w:rPr>
          <w:spacing w:val="-12"/>
        </w:rPr>
        <w:t> </w:t>
      </w:r>
      <w:r>
        <w:rPr/>
        <w:t>Maksātnespējas</w:t>
      </w:r>
      <w:r>
        <w:rPr>
          <w:spacing w:val="-11"/>
        </w:rPr>
        <w:t> </w:t>
      </w:r>
      <w:r>
        <w:rPr/>
        <w:t>serviss</w:t>
      </w:r>
      <w:r>
        <w:rPr>
          <w:spacing w:val="-9"/>
        </w:rPr>
        <w:t> </w:t>
      </w:r>
      <w:r>
        <w:rPr/>
        <w:t>(</w:t>
      </w:r>
      <w:r>
        <w:rPr>
          <w:i/>
        </w:rPr>
        <w:t>The</w:t>
      </w:r>
      <w:r>
        <w:rPr>
          <w:i/>
          <w:spacing w:val="-13"/>
        </w:rPr>
        <w:t> </w:t>
      </w:r>
      <w:r>
        <w:rPr>
          <w:i/>
        </w:rPr>
        <w:t>Insolvency</w:t>
      </w:r>
      <w:r>
        <w:rPr>
          <w:i/>
          <w:spacing w:val="-12"/>
        </w:rPr>
        <w:t> </w:t>
      </w:r>
      <w:r>
        <w:rPr>
          <w:i/>
        </w:rPr>
        <w:t>Service</w:t>
      </w:r>
      <w:r>
        <w:rPr/>
        <w:t>),</w:t>
      </w:r>
      <w:r>
        <w:rPr>
          <w:spacing w:val="-12"/>
        </w:rPr>
        <w:t> </w:t>
      </w:r>
      <w:r>
        <w:rPr/>
        <w:t>tad</w:t>
      </w:r>
      <w:r>
        <w:rPr>
          <w:spacing w:val="-13"/>
        </w:rPr>
        <w:t> </w:t>
      </w:r>
      <w:r>
        <w:rPr/>
        <w:t>DRO mērķis</w:t>
      </w:r>
      <w:r>
        <w:rPr>
          <w:spacing w:val="-16"/>
        </w:rPr>
        <w:t> </w:t>
      </w:r>
      <w:r>
        <w:rPr/>
        <w:t>bija</w:t>
      </w:r>
      <w:r>
        <w:rPr>
          <w:spacing w:val="-16"/>
        </w:rPr>
        <w:t> </w:t>
      </w:r>
      <w:r>
        <w:rPr/>
        <w:t>nodrošināt</w:t>
      </w:r>
      <w:r>
        <w:rPr>
          <w:spacing w:val="-17"/>
        </w:rPr>
        <w:t> </w:t>
      </w:r>
      <w:r>
        <w:rPr/>
        <w:t>parāda</w:t>
      </w:r>
      <w:r>
        <w:rPr>
          <w:spacing w:val="-16"/>
        </w:rPr>
        <w:t> </w:t>
      </w:r>
      <w:r>
        <w:rPr/>
        <w:t>atvieglojumus</w:t>
      </w:r>
      <w:r>
        <w:rPr>
          <w:spacing w:val="-15"/>
        </w:rPr>
        <w:t> </w:t>
      </w:r>
      <w:r>
        <w:rPr/>
        <w:t>tiem,</w:t>
      </w:r>
      <w:r>
        <w:rPr>
          <w:spacing w:val="-16"/>
        </w:rPr>
        <w:t> </w:t>
      </w:r>
      <w:r>
        <w:rPr/>
        <w:t>kas</w:t>
      </w:r>
      <w:r>
        <w:rPr>
          <w:spacing w:val="-17"/>
        </w:rPr>
        <w:t> </w:t>
      </w:r>
      <w:r>
        <w:rPr/>
        <w:t>ir</w:t>
      </w:r>
      <w:r>
        <w:rPr>
          <w:spacing w:val="-14"/>
        </w:rPr>
        <w:t> </w:t>
      </w:r>
      <w:r>
        <w:rPr/>
        <w:t>“izņemti</w:t>
      </w:r>
      <w:r>
        <w:rPr>
          <w:spacing w:val="-13"/>
        </w:rPr>
        <w:t> </w:t>
      </w:r>
      <w:r>
        <w:rPr/>
        <w:t>ārā”</w:t>
      </w:r>
      <w:r>
        <w:rPr>
          <w:spacing w:val="-13"/>
        </w:rPr>
        <w:t> </w:t>
      </w:r>
      <w:r>
        <w:rPr/>
        <w:t>no</w:t>
      </w:r>
      <w:r>
        <w:rPr>
          <w:spacing w:val="-16"/>
        </w:rPr>
        <w:t> </w:t>
      </w:r>
      <w:r>
        <w:rPr/>
        <w:t>esošās</w:t>
      </w:r>
      <w:r>
        <w:rPr>
          <w:spacing w:val="-15"/>
        </w:rPr>
        <w:t> </w:t>
      </w:r>
      <w:r>
        <w:rPr/>
        <w:t>procedūras</w:t>
      </w:r>
    </w:p>
    <w:p>
      <w:pPr>
        <w:pStyle w:val="ListParagraph"/>
        <w:numPr>
          <w:ilvl w:val="0"/>
          <w:numId w:val="57"/>
        </w:numPr>
        <w:tabs>
          <w:tab w:pos="440" w:val="left" w:leader="none"/>
        </w:tabs>
        <w:spacing w:line="237" w:lineRule="auto" w:before="2" w:after="0"/>
        <w:ind w:left="260" w:right="763" w:firstLine="0"/>
        <w:jc w:val="both"/>
        <w:rPr>
          <w:sz w:val="24"/>
        </w:rPr>
      </w:pPr>
      <w:r>
        <w:rPr>
          <w:sz w:val="24"/>
        </w:rPr>
        <w:t>tiem, kuriem ir zems parāda līmenis un kuriem nav iespējams maksāt par šiem parādiem zemo ienākumu un aktīvu dēļ. Šī procedūra tika paredzēta arī, lai atbalstītu parādnieku finanšu</w:t>
      </w:r>
      <w:r>
        <w:rPr>
          <w:spacing w:val="-5"/>
          <w:sz w:val="24"/>
        </w:rPr>
        <w:t> </w:t>
      </w:r>
      <w:r>
        <w:rPr>
          <w:sz w:val="24"/>
        </w:rPr>
        <w:t>rehabilitāciju,</w:t>
      </w:r>
      <w:r>
        <w:rPr>
          <w:spacing w:val="-5"/>
          <w:sz w:val="24"/>
        </w:rPr>
        <w:t> </w:t>
      </w:r>
      <w:r>
        <w:rPr>
          <w:sz w:val="24"/>
        </w:rPr>
        <w:t>tā</w:t>
      </w:r>
      <w:r>
        <w:rPr>
          <w:spacing w:val="-5"/>
          <w:sz w:val="24"/>
        </w:rPr>
        <w:t> </w:t>
      </w:r>
      <w:r>
        <w:rPr>
          <w:sz w:val="24"/>
        </w:rPr>
        <w:t>kā</w:t>
      </w:r>
      <w:r>
        <w:rPr>
          <w:spacing w:val="-4"/>
          <w:sz w:val="24"/>
        </w:rPr>
        <w:t> </w:t>
      </w:r>
      <w:r>
        <w:rPr>
          <w:sz w:val="24"/>
        </w:rPr>
        <w:t>tās</w:t>
      </w:r>
      <w:r>
        <w:rPr>
          <w:spacing w:val="-5"/>
          <w:sz w:val="24"/>
        </w:rPr>
        <w:t> </w:t>
      </w:r>
      <w:r>
        <w:rPr>
          <w:sz w:val="24"/>
        </w:rPr>
        <w:t>zemās</w:t>
      </w:r>
      <w:r>
        <w:rPr>
          <w:spacing w:val="-7"/>
          <w:sz w:val="24"/>
        </w:rPr>
        <w:t> </w:t>
      </w:r>
      <w:r>
        <w:rPr>
          <w:sz w:val="24"/>
        </w:rPr>
        <w:t>izmaksas</w:t>
      </w:r>
      <w:r>
        <w:rPr>
          <w:spacing w:val="-5"/>
          <w:sz w:val="24"/>
        </w:rPr>
        <w:t> </w:t>
      </w:r>
      <w:r>
        <w:rPr>
          <w:sz w:val="24"/>
        </w:rPr>
        <w:t>sniedza</w:t>
      </w:r>
      <w:r>
        <w:rPr>
          <w:spacing w:val="-7"/>
          <w:sz w:val="24"/>
        </w:rPr>
        <w:t> </w:t>
      </w:r>
      <w:r>
        <w:rPr>
          <w:sz w:val="24"/>
        </w:rPr>
        <w:t>parādniekiem</w:t>
      </w:r>
      <w:r>
        <w:rPr>
          <w:spacing w:val="-5"/>
          <w:sz w:val="24"/>
        </w:rPr>
        <w:t> </w:t>
      </w:r>
      <w:r>
        <w:rPr>
          <w:sz w:val="24"/>
        </w:rPr>
        <w:t>stimulu</w:t>
      </w:r>
      <w:r>
        <w:rPr>
          <w:spacing w:val="-5"/>
          <w:sz w:val="24"/>
        </w:rPr>
        <w:t> </w:t>
      </w:r>
      <w:r>
        <w:rPr>
          <w:sz w:val="24"/>
        </w:rPr>
        <w:t>risināt</w:t>
      </w:r>
      <w:r>
        <w:rPr>
          <w:spacing w:val="-5"/>
          <w:sz w:val="24"/>
        </w:rPr>
        <w:t> </w:t>
      </w:r>
      <w:r>
        <w:rPr>
          <w:sz w:val="24"/>
        </w:rPr>
        <w:t>savas parāda</w:t>
      </w:r>
      <w:r>
        <w:rPr>
          <w:spacing w:val="-7"/>
          <w:sz w:val="24"/>
        </w:rPr>
        <w:t> </w:t>
      </w:r>
      <w:r>
        <w:rPr>
          <w:sz w:val="24"/>
        </w:rPr>
        <w:t>problēmas</w:t>
      </w:r>
      <w:r>
        <w:rPr>
          <w:spacing w:val="-6"/>
          <w:sz w:val="24"/>
        </w:rPr>
        <w:t> </w:t>
      </w:r>
      <w:r>
        <w:rPr>
          <w:sz w:val="24"/>
        </w:rPr>
        <w:t>ātrāk.</w:t>
      </w:r>
      <w:r>
        <w:rPr>
          <w:position w:val="9"/>
          <w:sz w:val="16"/>
        </w:rPr>
        <w:t>256</w:t>
      </w:r>
      <w:r>
        <w:rPr>
          <w:spacing w:val="13"/>
          <w:position w:val="9"/>
          <w:sz w:val="16"/>
        </w:rPr>
        <w:t> </w:t>
      </w:r>
      <w:r>
        <w:rPr>
          <w:sz w:val="24"/>
        </w:rPr>
        <w:t>Faktiski</w:t>
      </w:r>
      <w:r>
        <w:rPr>
          <w:spacing w:val="-9"/>
          <w:sz w:val="24"/>
        </w:rPr>
        <w:t> </w:t>
      </w:r>
      <w:r>
        <w:rPr>
          <w:sz w:val="24"/>
        </w:rPr>
        <w:t>šī</w:t>
      </w:r>
      <w:r>
        <w:rPr>
          <w:spacing w:val="-6"/>
          <w:sz w:val="24"/>
        </w:rPr>
        <w:t> </w:t>
      </w:r>
      <w:r>
        <w:rPr>
          <w:sz w:val="24"/>
        </w:rPr>
        <w:t>procedūra</w:t>
      </w:r>
      <w:r>
        <w:rPr>
          <w:spacing w:val="-12"/>
          <w:sz w:val="24"/>
        </w:rPr>
        <w:t> </w:t>
      </w:r>
      <w:r>
        <w:rPr>
          <w:sz w:val="24"/>
        </w:rPr>
        <w:t>tika</w:t>
      </w:r>
      <w:r>
        <w:rPr>
          <w:spacing w:val="-7"/>
          <w:sz w:val="24"/>
        </w:rPr>
        <w:t> </w:t>
      </w:r>
      <w:r>
        <w:rPr>
          <w:sz w:val="24"/>
        </w:rPr>
        <w:t>izveidota,</w:t>
      </w:r>
      <w:r>
        <w:rPr>
          <w:spacing w:val="-9"/>
          <w:sz w:val="24"/>
        </w:rPr>
        <w:t> </w:t>
      </w:r>
      <w:r>
        <w:rPr>
          <w:sz w:val="24"/>
        </w:rPr>
        <w:t>lai</w:t>
      </w:r>
      <w:r>
        <w:rPr>
          <w:spacing w:val="-11"/>
          <w:sz w:val="24"/>
        </w:rPr>
        <w:t> </w:t>
      </w:r>
      <w:r>
        <w:rPr>
          <w:sz w:val="24"/>
        </w:rPr>
        <w:t>samazinātu</w:t>
      </w:r>
      <w:r>
        <w:rPr>
          <w:spacing w:val="-9"/>
          <w:sz w:val="24"/>
        </w:rPr>
        <w:t> </w:t>
      </w:r>
      <w:r>
        <w:rPr>
          <w:sz w:val="24"/>
        </w:rPr>
        <w:t>izveidojušos plaisu starp parādniekiem, kuriem atkarībā no viņu finansiālajām spējām, ir lielākas </w:t>
      </w:r>
      <w:r>
        <w:rPr>
          <w:spacing w:val="-4"/>
          <w:sz w:val="24"/>
        </w:rPr>
        <w:t>vai </w:t>
      </w:r>
      <w:r>
        <w:rPr>
          <w:sz w:val="24"/>
        </w:rPr>
        <w:t>mazākas iespējas panākt savu parādu atvieglojumus. Tādēļ izmaksas par pieteikšanos šai procedūrai ir niecīgas – 90 mārciņas. Līdz ar to tieši DRO pēc savas būtības un mērķa </w:t>
      </w:r>
      <w:r>
        <w:rPr>
          <w:spacing w:val="-3"/>
          <w:sz w:val="24"/>
        </w:rPr>
        <w:t>tiek </w:t>
      </w:r>
      <w:r>
        <w:rPr>
          <w:sz w:val="24"/>
        </w:rPr>
        <w:t>uzskatīta par atviegloto maksātnespējas</w:t>
      </w:r>
      <w:r>
        <w:rPr>
          <w:spacing w:val="-7"/>
          <w:sz w:val="24"/>
        </w:rPr>
        <w:t> </w:t>
      </w:r>
      <w:r>
        <w:rPr>
          <w:sz w:val="24"/>
        </w:rPr>
        <w:t>procedūru.</w:t>
      </w:r>
    </w:p>
    <w:p>
      <w:pPr>
        <w:pStyle w:val="BodyText"/>
        <w:spacing w:line="237" w:lineRule="auto" w:before="7"/>
        <w:ind w:left="260" w:right="764" w:firstLine="720"/>
        <w:rPr>
          <w:sz w:val="16"/>
        </w:rPr>
      </w:pPr>
      <w:r>
        <w:rPr/>
        <w:t>Jānorāda, ka DRO ir pieejama gan “tīrajiem” patērētājiem, gan tiem, kas zināmā mērā ir saistīti ar biznesu (</w:t>
      </w:r>
      <w:r>
        <w:rPr>
          <w:i/>
        </w:rPr>
        <w:t>consumers and entrepreneuers</w:t>
      </w:r>
      <w:r>
        <w:rPr/>
        <w:t>). Lielbritānijas Maksātnespējas likuma 7A nodaļa regulē DRO procedūru, savukārt 251X pants attiecībā uz šīs daļas izpratni un interpretāciju neparedz, ka ar jēdzienu “parādnieks” būtu jāsaprot, kāds īpašs subjekts. Šis pants tikai norāda, ka 7A nodaļā ar jēdziens “parādnieks” saistībā ar pieteikšanos DRO procedūrai ir saprotams kā “pieteicējs”, savukārt saistībā ar konkrēto parāda atbrīvošanas rīkojumu kā persona attiecībā pret kuru rīkojums ir veikts.</w:t>
      </w:r>
      <w:r>
        <w:rPr>
          <w:position w:val="9"/>
          <w:sz w:val="16"/>
        </w:rPr>
        <w:t>257</w:t>
      </w:r>
    </w:p>
    <w:p>
      <w:pPr>
        <w:pStyle w:val="BodyText"/>
        <w:spacing w:line="237" w:lineRule="auto" w:before="4"/>
        <w:ind w:left="260" w:right="762" w:firstLine="720"/>
        <w:rPr>
          <w:sz w:val="16"/>
        </w:rPr>
      </w:pPr>
      <w:r>
        <w:rPr/>
        <w:t>Turklāt arī Lielbritānijas Maksātnespējas likuma 251A pants nesniedz specifiskas norādes uz to, kādiem subjektiem DRO ir piemērojama un kādiem nē. Pants paredz vispārēju nosacījumu, ka persona, kura nav spējīga samaksāt savus parādus, šīs nodaļas norādītajā kārtībā var pieteikties rīkojumam, kas tiktu izdarīts attiecībā pret atbilstošajiem parādnieka parādiem.</w:t>
      </w:r>
      <w:r>
        <w:rPr>
          <w:position w:val="9"/>
          <w:sz w:val="16"/>
        </w:rPr>
        <w:t>258</w:t>
      </w:r>
    </w:p>
    <w:p>
      <w:pPr>
        <w:pStyle w:val="BodyText"/>
        <w:ind w:left="260" w:right="765" w:firstLine="720"/>
      </w:pPr>
      <w:r>
        <w:rPr/>
        <w:t>Līdz ar to var secināt, ka DRO tiek piemērots visiem tiem subjektiem, kas atbilst likumā noteiktajiem kritērijiem, kuriem iestājoties, personai var tikt piemērota atvieglotā maksātnespējas procedūra – DRO.</w:t>
      </w:r>
    </w:p>
    <w:p>
      <w:pPr>
        <w:pStyle w:val="BodyText"/>
        <w:jc w:val="left"/>
        <w:rPr>
          <w:sz w:val="20"/>
        </w:rPr>
      </w:pPr>
    </w:p>
    <w:p>
      <w:pPr>
        <w:pStyle w:val="BodyText"/>
        <w:spacing w:before="3"/>
        <w:jc w:val="left"/>
        <w:rPr>
          <w:sz w:val="12"/>
        </w:rPr>
      </w:pPr>
      <w:r>
        <w:rPr/>
        <w:pict>
          <v:shape style="position:absolute;margin-left:72pt;margin-top:9.33206pt;width:144pt;height:.1pt;mso-position-horizontal-relative:page;mso-position-vertical-relative:paragraph;z-index:-251514880;mso-wrap-distance-left:0;mso-wrap-distance-right:0" coordorigin="1440,187" coordsize="2880,0" path="m1440,187l4320,187e" filled="false" stroked="true" strokeweight=".599991pt" strokecolor="#000000">
            <v:path arrowok="t"/>
            <v:stroke dashstyle="solid"/>
            <w10:wrap type="topAndBottom"/>
          </v:shape>
        </w:pict>
      </w:r>
    </w:p>
    <w:p>
      <w:pPr>
        <w:tabs>
          <w:tab w:pos="1018" w:val="left" w:leader="none"/>
          <w:tab w:pos="2141" w:val="left" w:leader="none"/>
          <w:tab w:pos="2995" w:val="left" w:leader="none"/>
          <w:tab w:pos="4278" w:val="left" w:leader="none"/>
          <w:tab w:pos="5297" w:val="left" w:leader="none"/>
          <w:tab w:pos="6071" w:val="left" w:leader="none"/>
          <w:tab w:pos="6893" w:val="left" w:leader="none"/>
          <w:tab w:pos="7594" w:val="left" w:leader="none"/>
          <w:tab w:pos="8144" w:val="left" w:leader="none"/>
        </w:tabs>
        <w:spacing w:before="70"/>
        <w:ind w:left="260" w:right="765" w:firstLine="0"/>
        <w:jc w:val="left"/>
        <w:rPr>
          <w:sz w:val="20"/>
        </w:rPr>
      </w:pPr>
      <w:r>
        <w:rPr>
          <w:position w:val="7"/>
          <w:sz w:val="13"/>
        </w:rPr>
        <w:t>253</w:t>
      </w:r>
      <w:r>
        <w:rPr>
          <w:sz w:val="20"/>
        </w:rPr>
        <w:t>The</w:t>
        <w:tab/>
        <w:t>Insolvency</w:t>
        <w:tab/>
        <w:t>Service</w:t>
        <w:tab/>
        <w:t>Intermediary</w:t>
        <w:tab/>
        <w:t>Guidance</w:t>
        <w:tab/>
        <w:t>Notes:</w:t>
        <w:tab/>
        <w:t>DRO2,</w:t>
        <w:tab/>
        <w:t>2016,</w:t>
        <w:tab/>
        <w:t>p.3.</w:t>
        <w:tab/>
      </w:r>
      <w:r>
        <w:rPr>
          <w:spacing w:val="-3"/>
          <w:sz w:val="20"/>
        </w:rPr>
        <w:t>Pieejams: </w:t>
      </w:r>
      <w:r>
        <w:rPr>
          <w:color w:val="0562C1"/>
          <w:sz w:val="20"/>
          <w:u w:val="single" w:color="0562C1"/>
        </w:rPr>
        <w:t>https://</w:t>
      </w:r>
      <w:hyperlink r:id="rId70">
        <w:r>
          <w:rPr>
            <w:color w:val="0562C1"/>
            <w:sz w:val="20"/>
            <w:u w:val="single" w:color="0562C1"/>
          </w:rPr>
          <w:t>www.gov.uk/government/publications/intermediary-guidance-notes-v15-dro2-guidance-for-</w:t>
        </w:r>
      </w:hyperlink>
      <w:r>
        <w:rPr>
          <w:color w:val="0562C1"/>
          <w:sz w:val="20"/>
        </w:rPr>
        <w:t> </w:t>
      </w:r>
      <w:r>
        <w:rPr>
          <w:color w:val="0562C1"/>
          <w:sz w:val="20"/>
          <w:u w:val="single" w:color="0562C1"/>
        </w:rPr>
        <w:t>approved-intermediaries</w:t>
      </w:r>
      <w:r>
        <w:rPr>
          <w:color w:val="0562C1"/>
          <w:sz w:val="20"/>
        </w:rPr>
        <w:t> </w:t>
      </w:r>
      <w:r>
        <w:rPr>
          <w:sz w:val="20"/>
        </w:rPr>
        <w:t>[aplūkots 2018.gada</w:t>
      </w:r>
      <w:r>
        <w:rPr>
          <w:spacing w:val="-4"/>
          <w:sz w:val="20"/>
        </w:rPr>
        <w:t> </w:t>
      </w:r>
      <w:r>
        <w:rPr>
          <w:sz w:val="20"/>
        </w:rPr>
        <w:t>4.oktobrī].</w:t>
      </w:r>
    </w:p>
    <w:p>
      <w:pPr>
        <w:spacing w:line="228" w:lineRule="exact" w:before="0"/>
        <w:ind w:left="260" w:right="0" w:firstLine="0"/>
        <w:jc w:val="left"/>
        <w:rPr>
          <w:sz w:val="20"/>
        </w:rPr>
      </w:pPr>
      <w:r>
        <w:rPr>
          <w:position w:val="7"/>
          <w:sz w:val="13"/>
        </w:rPr>
        <w:t>254 </w:t>
      </w:r>
      <w:r>
        <w:rPr>
          <w:sz w:val="20"/>
        </w:rPr>
        <w:t>Milman D. Personal Insolvency Law, Regulation and Policy. London: Reutledge, 2017, p.153.</w:t>
      </w:r>
    </w:p>
    <w:p>
      <w:pPr>
        <w:spacing w:line="229" w:lineRule="exact" w:before="0"/>
        <w:ind w:left="260" w:right="0" w:firstLine="0"/>
        <w:jc w:val="left"/>
        <w:rPr>
          <w:sz w:val="20"/>
        </w:rPr>
      </w:pPr>
      <w:r>
        <w:rPr>
          <w:position w:val="7"/>
          <w:sz w:val="13"/>
        </w:rPr>
        <w:t>255 </w:t>
      </w:r>
      <w:r>
        <w:rPr>
          <w:sz w:val="20"/>
        </w:rPr>
        <w:t>Conway L. Debt Relief Orders. / House of Commons Library, Briefing paper, 2016., No. CPB4982, p.4.</w:t>
      </w:r>
    </w:p>
    <w:p>
      <w:pPr>
        <w:spacing w:line="240" w:lineRule="auto" w:before="0"/>
        <w:ind w:left="260" w:right="845" w:firstLine="0"/>
        <w:jc w:val="left"/>
        <w:rPr>
          <w:sz w:val="20"/>
        </w:rPr>
      </w:pPr>
      <w:r>
        <w:rPr/>
        <w:pict>
          <v:line style="position:absolute;mso-position-horizontal-relative:page;mso-position-vertical-relative:paragraph;z-index:-262555648" from="72pt,45.448357pt" to="365.519997pt,45.448357pt" stroked="true" strokeweight=".480011pt" strokecolor="#0562c1">
            <v:stroke dashstyle="solid"/>
            <w10:wrap type="none"/>
          </v:line>
        </w:pict>
      </w:r>
      <w:r>
        <w:rPr>
          <w:position w:val="7"/>
          <w:sz w:val="13"/>
        </w:rPr>
        <w:t>256 </w:t>
      </w:r>
      <w:r>
        <w:rPr>
          <w:sz w:val="20"/>
        </w:rPr>
        <w:t>The Insolvency Service. Insolvency Proceedings: Debt relief orders and the bankruptcy petition limit. Call for evidence, p.3. Pieejams: </w:t>
      </w:r>
      <w:r>
        <w:rPr>
          <w:color w:val="0562C1"/>
          <w:sz w:val="20"/>
          <w:u w:val="single" w:color="0562C1"/>
        </w:rPr>
        <w:t>https://assets.publishing.service.gov.uk/government/uploads/system/uploads/attachment_data/file/341089/I</w:t>
      </w:r>
      <w:r>
        <w:rPr>
          <w:color w:val="0562C1"/>
          <w:sz w:val="20"/>
        </w:rPr>
        <w:t> nsolvency_Proceedings</w:t>
      </w:r>
      <w:r>
        <w:rPr>
          <w:color w:val="0562C1"/>
          <w:sz w:val="20"/>
          <w:u w:val="single" w:color="0461C0"/>
        </w:rPr>
        <w:t>   </w:t>
      </w:r>
      <w:r>
        <w:rPr>
          <w:color w:val="0562C1"/>
          <w:sz w:val="20"/>
        </w:rPr>
        <w:t>Debt_relief_orders_and_petition_limits_v3.pdf </w:t>
      </w:r>
      <w:r>
        <w:rPr>
          <w:sz w:val="20"/>
        </w:rPr>
        <w:t>[aplūkots 2018.gada 4.oktobrī]. </w:t>
      </w:r>
      <w:r>
        <w:rPr>
          <w:position w:val="7"/>
          <w:sz w:val="13"/>
        </w:rPr>
        <w:t>257 </w:t>
      </w:r>
      <w:r>
        <w:rPr>
          <w:sz w:val="20"/>
        </w:rPr>
        <w:t>Lielbritānijas Maksātnespējas likums, 251X pants. “debtor”</w:t>
      </w:r>
      <w:r>
        <w:rPr>
          <w:spacing w:val="-17"/>
          <w:sz w:val="20"/>
        </w:rPr>
        <w:t> </w:t>
      </w:r>
      <w:r>
        <w:rPr>
          <w:sz w:val="20"/>
        </w:rPr>
        <w:t>means—</w:t>
      </w:r>
    </w:p>
    <w:p>
      <w:pPr>
        <w:pStyle w:val="ListParagraph"/>
        <w:numPr>
          <w:ilvl w:val="0"/>
          <w:numId w:val="58"/>
        </w:numPr>
        <w:tabs>
          <w:tab w:pos="534" w:val="left" w:leader="none"/>
        </w:tabs>
        <w:spacing w:line="225" w:lineRule="exact" w:before="0" w:after="0"/>
        <w:ind w:left="533" w:right="0" w:hanging="274"/>
        <w:jc w:val="left"/>
        <w:rPr>
          <w:sz w:val="20"/>
        </w:rPr>
      </w:pPr>
      <w:r>
        <w:rPr>
          <w:sz w:val="20"/>
        </w:rPr>
        <w:t>in relation to an application for a debt relief order, the applicant;</w:t>
      </w:r>
      <w:r>
        <w:rPr>
          <w:spacing w:val="-8"/>
          <w:sz w:val="20"/>
        </w:rPr>
        <w:t> </w:t>
      </w:r>
      <w:r>
        <w:rPr>
          <w:sz w:val="20"/>
        </w:rPr>
        <w:t>and</w:t>
      </w:r>
    </w:p>
    <w:p>
      <w:pPr>
        <w:pStyle w:val="ListParagraph"/>
        <w:numPr>
          <w:ilvl w:val="0"/>
          <w:numId w:val="58"/>
        </w:numPr>
        <w:tabs>
          <w:tab w:pos="545" w:val="left" w:leader="none"/>
        </w:tabs>
        <w:spacing w:line="228" w:lineRule="exact" w:before="0" w:after="0"/>
        <w:ind w:left="544" w:right="0" w:hanging="285"/>
        <w:jc w:val="left"/>
        <w:rPr>
          <w:sz w:val="20"/>
        </w:rPr>
      </w:pPr>
      <w:r>
        <w:rPr>
          <w:sz w:val="20"/>
        </w:rPr>
        <w:t>in relation to a debt relief order, the person in relation to whom the order is</w:t>
      </w:r>
      <w:r>
        <w:rPr>
          <w:spacing w:val="-15"/>
          <w:sz w:val="20"/>
        </w:rPr>
        <w:t> </w:t>
      </w:r>
      <w:r>
        <w:rPr>
          <w:sz w:val="20"/>
        </w:rPr>
        <w:t>made;</w:t>
      </w:r>
    </w:p>
    <w:p>
      <w:pPr>
        <w:spacing w:line="240" w:lineRule="auto" w:before="0"/>
        <w:ind w:left="260" w:right="635" w:firstLine="0"/>
        <w:jc w:val="left"/>
        <w:rPr>
          <w:sz w:val="20"/>
        </w:rPr>
      </w:pPr>
      <w:r>
        <w:rPr>
          <w:position w:val="7"/>
          <w:sz w:val="13"/>
        </w:rPr>
        <w:t>258</w:t>
      </w:r>
      <w:r>
        <w:rPr>
          <w:spacing w:val="6"/>
          <w:position w:val="7"/>
          <w:sz w:val="13"/>
        </w:rPr>
        <w:t> </w:t>
      </w:r>
      <w:r>
        <w:rPr>
          <w:sz w:val="20"/>
        </w:rPr>
        <w:t>Lielbritānijas</w:t>
      </w:r>
      <w:r>
        <w:rPr>
          <w:spacing w:val="-10"/>
          <w:sz w:val="20"/>
        </w:rPr>
        <w:t> </w:t>
      </w:r>
      <w:r>
        <w:rPr>
          <w:sz w:val="20"/>
        </w:rPr>
        <w:t>Maksātnespējas</w:t>
      </w:r>
      <w:r>
        <w:rPr>
          <w:spacing w:val="-12"/>
          <w:sz w:val="20"/>
        </w:rPr>
        <w:t> </w:t>
      </w:r>
      <w:r>
        <w:rPr>
          <w:sz w:val="20"/>
        </w:rPr>
        <w:t>likums,</w:t>
      </w:r>
      <w:r>
        <w:rPr>
          <w:spacing w:val="-9"/>
          <w:sz w:val="20"/>
        </w:rPr>
        <w:t> </w:t>
      </w:r>
      <w:r>
        <w:rPr>
          <w:sz w:val="20"/>
        </w:rPr>
        <w:t>251A</w:t>
      </w:r>
      <w:r>
        <w:rPr>
          <w:spacing w:val="-11"/>
          <w:sz w:val="20"/>
        </w:rPr>
        <w:t> </w:t>
      </w:r>
      <w:r>
        <w:rPr>
          <w:sz w:val="20"/>
        </w:rPr>
        <w:t>pants:</w:t>
      </w:r>
      <w:r>
        <w:rPr>
          <w:spacing w:val="-9"/>
          <w:sz w:val="20"/>
        </w:rPr>
        <w:t> </w:t>
      </w:r>
      <w:r>
        <w:rPr>
          <w:sz w:val="20"/>
        </w:rPr>
        <w:t>An</w:t>
      </w:r>
      <w:r>
        <w:rPr>
          <w:spacing w:val="-11"/>
          <w:sz w:val="20"/>
        </w:rPr>
        <w:t> </w:t>
      </w:r>
      <w:r>
        <w:rPr>
          <w:sz w:val="20"/>
        </w:rPr>
        <w:t>individual</w:t>
      </w:r>
      <w:r>
        <w:rPr>
          <w:spacing w:val="-9"/>
          <w:sz w:val="20"/>
        </w:rPr>
        <w:t> </w:t>
      </w:r>
      <w:r>
        <w:rPr>
          <w:sz w:val="20"/>
        </w:rPr>
        <w:t>who</w:t>
      </w:r>
      <w:r>
        <w:rPr>
          <w:spacing w:val="-7"/>
          <w:sz w:val="20"/>
        </w:rPr>
        <w:t> </w:t>
      </w:r>
      <w:r>
        <w:rPr>
          <w:sz w:val="20"/>
        </w:rPr>
        <w:t>is</w:t>
      </w:r>
      <w:r>
        <w:rPr>
          <w:spacing w:val="-8"/>
          <w:sz w:val="20"/>
        </w:rPr>
        <w:t> </w:t>
      </w:r>
      <w:r>
        <w:rPr>
          <w:sz w:val="20"/>
        </w:rPr>
        <w:t>unable</w:t>
      </w:r>
      <w:r>
        <w:rPr>
          <w:spacing w:val="-10"/>
          <w:sz w:val="20"/>
        </w:rPr>
        <w:t> </w:t>
      </w:r>
      <w:r>
        <w:rPr>
          <w:sz w:val="20"/>
        </w:rPr>
        <w:t>to</w:t>
      </w:r>
      <w:r>
        <w:rPr>
          <w:spacing w:val="-9"/>
          <w:sz w:val="20"/>
        </w:rPr>
        <w:t> </w:t>
      </w:r>
      <w:r>
        <w:rPr>
          <w:sz w:val="20"/>
        </w:rPr>
        <w:t>pay</w:t>
      </w:r>
      <w:r>
        <w:rPr>
          <w:spacing w:val="-12"/>
          <w:sz w:val="20"/>
        </w:rPr>
        <w:t> </w:t>
      </w:r>
      <w:r>
        <w:rPr>
          <w:sz w:val="20"/>
        </w:rPr>
        <w:t>his</w:t>
      </w:r>
      <w:r>
        <w:rPr>
          <w:spacing w:val="-8"/>
          <w:sz w:val="20"/>
        </w:rPr>
        <w:t> </w:t>
      </w:r>
      <w:r>
        <w:rPr>
          <w:sz w:val="20"/>
        </w:rPr>
        <w:t>debts</w:t>
      </w:r>
      <w:r>
        <w:rPr>
          <w:spacing w:val="-7"/>
          <w:sz w:val="20"/>
        </w:rPr>
        <w:t> </w:t>
      </w:r>
      <w:r>
        <w:rPr>
          <w:sz w:val="20"/>
        </w:rPr>
        <w:t>may</w:t>
      </w:r>
      <w:r>
        <w:rPr>
          <w:spacing w:val="-12"/>
          <w:sz w:val="20"/>
        </w:rPr>
        <w:t> </w:t>
      </w:r>
      <w:r>
        <w:rPr>
          <w:sz w:val="20"/>
        </w:rPr>
        <w:t>apply for an order under this Part (“a debt relief order”) to be made in respect of his qualifying</w:t>
      </w:r>
      <w:r>
        <w:rPr>
          <w:spacing w:val="-5"/>
          <w:sz w:val="20"/>
        </w:rPr>
        <w:t> </w:t>
      </w:r>
      <w:r>
        <w:rPr>
          <w:sz w:val="20"/>
        </w:rPr>
        <w:t>debts.</w:t>
      </w:r>
    </w:p>
    <w:p>
      <w:pPr>
        <w:spacing w:after="0" w:line="240" w:lineRule="auto"/>
        <w:jc w:val="left"/>
        <w:rPr>
          <w:sz w:val="20"/>
        </w:rPr>
        <w:sectPr>
          <w:pgSz w:w="11910" w:h="16840"/>
          <w:pgMar w:header="0" w:footer="1055" w:top="1340" w:bottom="1240" w:left="1180" w:right="1040"/>
        </w:sectPr>
      </w:pPr>
    </w:p>
    <w:p>
      <w:pPr>
        <w:pStyle w:val="Heading4"/>
        <w:numPr>
          <w:ilvl w:val="0"/>
          <w:numId w:val="56"/>
        </w:numPr>
        <w:tabs>
          <w:tab w:pos="1048" w:val="left" w:leader="none"/>
        </w:tabs>
        <w:spacing w:line="240" w:lineRule="auto" w:before="114" w:after="0"/>
        <w:ind w:left="1047" w:right="0" w:hanging="361"/>
        <w:jc w:val="left"/>
        <w:rPr>
          <w:i/>
        </w:rPr>
      </w:pPr>
      <w:r>
        <w:rPr>
          <w:i/>
        </w:rPr>
        <w:t>Pieteikšanās DRO procedūrai</w:t>
      </w:r>
    </w:p>
    <w:p>
      <w:pPr>
        <w:pStyle w:val="BodyText"/>
        <w:spacing w:before="2"/>
        <w:jc w:val="left"/>
        <w:rPr>
          <w:b/>
          <w:i/>
        </w:rPr>
      </w:pPr>
    </w:p>
    <w:p>
      <w:pPr>
        <w:pStyle w:val="BodyText"/>
        <w:spacing w:line="232" w:lineRule="auto"/>
        <w:ind w:left="620" w:right="403" w:firstLine="720"/>
        <w:rPr>
          <w:sz w:val="16"/>
        </w:rPr>
      </w:pPr>
      <w:r>
        <w:rPr/>
        <w:t>Lai pieteiktos DRO procedūrai, parādniekam ir jāiesniedz pieteikums oficiālajam pieteikuma saņēmējam (amatpersonai), tomēr šis pieteikums ir jāiesniedz ar apstiprināta starpnieka palīdzību.</w:t>
      </w:r>
      <w:r>
        <w:rPr>
          <w:position w:val="9"/>
          <w:sz w:val="16"/>
        </w:rPr>
        <w:t>259</w:t>
      </w:r>
    </w:p>
    <w:p>
      <w:pPr>
        <w:pStyle w:val="BodyText"/>
        <w:spacing w:line="235" w:lineRule="auto" w:before="7"/>
        <w:ind w:left="620" w:right="401" w:firstLine="720"/>
      </w:pPr>
      <w:r>
        <w:rPr/>
        <w:t>Apstiprinātais starpnieks ir persona, kura atbilstoši likumā noteiktajai kārtībai ir</w:t>
      </w:r>
      <w:r>
        <w:rPr>
          <w:spacing w:val="-18"/>
        </w:rPr>
        <w:t> </w:t>
      </w:r>
      <w:r>
        <w:rPr/>
        <w:t>uz laiku iecelta kā kvalificēts parādnieka padomnieks, kurš darbojas kā starpnieks starp personu, kura vēlas iesniegt pieteikumu par DRO un oficiālo pieteikuma saņēmēju – amatpersonu.</w:t>
      </w:r>
      <w:r>
        <w:rPr>
          <w:position w:val="9"/>
          <w:sz w:val="16"/>
        </w:rPr>
        <w:t>260 </w:t>
      </w:r>
      <w:r>
        <w:rPr/>
        <w:t>Lai arī pieteikšanās DRO ir parādnieka izvēle un lēmums, tomēr ir ieteicams, ka starpnieks veic pieteikuma iesniedzēja sniegtās informācijas un dokumentu pamatpārbaudi, kā arī palīdz parādniekam aizpildīt tiešsaistes pieteikumu, lai pieteiktos DRO procedūrai.</w:t>
      </w:r>
      <w:r>
        <w:rPr>
          <w:position w:val="9"/>
          <w:sz w:val="16"/>
        </w:rPr>
        <w:t>261 </w:t>
      </w:r>
      <w:r>
        <w:rPr/>
        <w:t>Pieteikšanās procedūra savā ziņā parādniekam ir atvieglota, jo visas neskaidrības palīdz novērst starpnieks, turklāt pieteikums ir jāiesniedz</w:t>
      </w:r>
      <w:r>
        <w:rPr>
          <w:spacing w:val="-1"/>
        </w:rPr>
        <w:t> </w:t>
      </w:r>
      <w:r>
        <w:rPr/>
        <w:t>elektroniski.</w:t>
      </w:r>
    </w:p>
    <w:p>
      <w:pPr>
        <w:pStyle w:val="BodyText"/>
        <w:spacing w:before="10"/>
        <w:ind w:left="620" w:right="405" w:firstLine="720"/>
        <w:rPr>
          <w:i/>
        </w:rPr>
      </w:pPr>
      <w:r>
        <w:rPr/>
        <w:t>Pēc pieteikuma iesniegšanas parādnieka pieteikums nonāk pie oficiālā pieteikuma saņēmēja – oficiālās amatpersonas </w:t>
      </w:r>
      <w:r>
        <w:rPr>
          <w:i/>
        </w:rPr>
        <w:t>(the Official Receiver).</w:t>
      </w:r>
    </w:p>
    <w:p>
      <w:pPr>
        <w:pStyle w:val="BodyText"/>
        <w:spacing w:line="237" w:lineRule="auto" w:before="2"/>
        <w:ind w:left="620" w:right="401" w:firstLine="720"/>
        <w:rPr>
          <w:i/>
        </w:rPr>
      </w:pPr>
      <w:r>
        <w:rPr/>
        <w:t>Oficiālais pieteikuma saņēmējs apvieno divas pozīcijas – tas reizē ir gan Maksātnespējas</w:t>
      </w:r>
      <w:r>
        <w:rPr>
          <w:spacing w:val="-8"/>
        </w:rPr>
        <w:t> </w:t>
      </w:r>
      <w:r>
        <w:rPr/>
        <w:t>servisa</w:t>
      </w:r>
      <w:r>
        <w:rPr>
          <w:spacing w:val="-6"/>
        </w:rPr>
        <w:t> </w:t>
      </w:r>
      <w:r>
        <w:rPr/>
        <w:t>ierēdnis,</w:t>
      </w:r>
      <w:r>
        <w:rPr>
          <w:spacing w:val="-9"/>
        </w:rPr>
        <w:t> </w:t>
      </w:r>
      <w:r>
        <w:rPr/>
        <w:t>gan</w:t>
      </w:r>
      <w:r>
        <w:rPr>
          <w:spacing w:val="-10"/>
        </w:rPr>
        <w:t> </w:t>
      </w:r>
      <w:r>
        <w:rPr/>
        <w:t>arī</w:t>
      </w:r>
      <w:r>
        <w:rPr>
          <w:spacing w:val="-12"/>
        </w:rPr>
        <w:t> </w:t>
      </w:r>
      <w:r>
        <w:rPr/>
        <w:t>tās</w:t>
      </w:r>
      <w:r>
        <w:rPr>
          <w:spacing w:val="-8"/>
        </w:rPr>
        <w:t> </w:t>
      </w:r>
      <w:r>
        <w:rPr/>
        <w:t>tiesas</w:t>
      </w:r>
      <w:r>
        <w:rPr>
          <w:spacing w:val="-10"/>
        </w:rPr>
        <w:t> </w:t>
      </w:r>
      <w:r>
        <w:rPr/>
        <w:t>ierēdnis,</w:t>
      </w:r>
      <w:r>
        <w:rPr>
          <w:spacing w:val="-9"/>
        </w:rPr>
        <w:t> </w:t>
      </w:r>
      <w:r>
        <w:rPr/>
        <w:t>kurā</w:t>
      </w:r>
      <w:r>
        <w:rPr>
          <w:spacing w:val="-12"/>
        </w:rPr>
        <w:t> </w:t>
      </w:r>
      <w:r>
        <w:rPr/>
        <w:t>viņš</w:t>
      </w:r>
      <w:r>
        <w:rPr>
          <w:spacing w:val="-10"/>
        </w:rPr>
        <w:t> </w:t>
      </w:r>
      <w:r>
        <w:rPr/>
        <w:t>ir</w:t>
      </w:r>
      <w:r>
        <w:rPr>
          <w:spacing w:val="-7"/>
        </w:rPr>
        <w:t> </w:t>
      </w:r>
      <w:r>
        <w:rPr/>
        <w:t>nozīmēts,</w:t>
      </w:r>
      <w:r>
        <w:rPr>
          <w:spacing w:val="-10"/>
        </w:rPr>
        <w:t> </w:t>
      </w:r>
      <w:r>
        <w:rPr/>
        <w:t>tādēļ</w:t>
      </w:r>
      <w:r>
        <w:rPr>
          <w:spacing w:val="-12"/>
        </w:rPr>
        <w:t> </w:t>
      </w:r>
      <w:r>
        <w:rPr/>
        <w:t>viņš ir atbildīgs par tiesas rīkojumu izpildi un pienākumu izpildi saskaņā ar likumu. DRO process</w:t>
      </w:r>
      <w:r>
        <w:rPr>
          <w:spacing w:val="-9"/>
        </w:rPr>
        <w:t> </w:t>
      </w:r>
      <w:r>
        <w:rPr/>
        <w:t>pamatā</w:t>
      </w:r>
      <w:r>
        <w:rPr>
          <w:spacing w:val="-9"/>
        </w:rPr>
        <w:t> </w:t>
      </w:r>
      <w:r>
        <w:rPr/>
        <w:t>drīzāk</w:t>
      </w:r>
      <w:r>
        <w:rPr>
          <w:spacing w:val="-8"/>
        </w:rPr>
        <w:t> </w:t>
      </w:r>
      <w:r>
        <w:rPr/>
        <w:t>ir</w:t>
      </w:r>
      <w:r>
        <w:rPr>
          <w:spacing w:val="-6"/>
        </w:rPr>
        <w:t> </w:t>
      </w:r>
      <w:r>
        <w:rPr/>
        <w:t>administratīvs</w:t>
      </w:r>
      <w:r>
        <w:rPr>
          <w:spacing w:val="-9"/>
        </w:rPr>
        <w:t> </w:t>
      </w:r>
      <w:r>
        <w:rPr/>
        <w:t>process,</w:t>
      </w:r>
      <w:r>
        <w:rPr>
          <w:spacing w:val="-8"/>
        </w:rPr>
        <w:t> </w:t>
      </w:r>
      <w:r>
        <w:rPr/>
        <w:t>nevis</w:t>
      </w:r>
      <w:r>
        <w:rPr>
          <w:spacing w:val="-9"/>
        </w:rPr>
        <w:t> </w:t>
      </w:r>
      <w:r>
        <w:rPr/>
        <w:t>tiesas</w:t>
      </w:r>
      <w:r>
        <w:rPr>
          <w:spacing w:val="-9"/>
        </w:rPr>
        <w:t> </w:t>
      </w:r>
      <w:r>
        <w:rPr/>
        <w:t>process:</w:t>
      </w:r>
      <w:r>
        <w:rPr>
          <w:spacing w:val="-6"/>
        </w:rPr>
        <w:t> </w:t>
      </w:r>
      <w:r>
        <w:rPr/>
        <w:t>Oficiālais</w:t>
      </w:r>
      <w:r>
        <w:rPr>
          <w:spacing w:val="-8"/>
        </w:rPr>
        <w:t> </w:t>
      </w:r>
      <w:r>
        <w:rPr/>
        <w:t>pieteikuma saņēmējs – amatpersona var izdot DRO administratīvi, bez tiesas iesaistīšanas.</w:t>
      </w:r>
      <w:r>
        <w:rPr>
          <w:position w:val="9"/>
          <w:sz w:val="16"/>
        </w:rPr>
        <w:t>262 </w:t>
      </w:r>
      <w:r>
        <w:rPr/>
        <w:t>Tomēr arī tiesai var būt būtiska nozīme DRO procedūrā, tiesas loma procedūrā ir regulēta ar Lielbritānijas Maksātnespējas likuma 251M un 251N pantiem. Tiesa lemj par oficiālā pieteikuma saņēmēja – amatpersonas rīcību, ja par to tiesā ir saņemta kāda sūdzība, kā arī par atkarībā no parādnieka rīcības var pagarināt ierobežojumu periodu attiecībā uz parādnieku </w:t>
      </w:r>
      <w:r>
        <w:rPr>
          <w:i/>
        </w:rPr>
        <w:t>(par tiesas lomu skatīt tālāk pie parādnieka rīcības</w:t>
      </w:r>
      <w:r>
        <w:rPr>
          <w:i/>
          <w:spacing w:val="-5"/>
        </w:rPr>
        <w:t> </w:t>
      </w:r>
      <w:r>
        <w:rPr>
          <w:i/>
        </w:rPr>
        <w:t>kontroles).</w:t>
      </w:r>
    </w:p>
    <w:p>
      <w:pPr>
        <w:pStyle w:val="BodyText"/>
        <w:spacing w:line="235" w:lineRule="auto" w:before="15"/>
        <w:ind w:left="620" w:right="403" w:firstLine="720"/>
        <w:rPr>
          <w:sz w:val="16"/>
        </w:rPr>
      </w:pPr>
      <w:r>
        <w:rPr/>
        <w:t>Lielbritānijas Maksātnespējas likumā nav noteikts konkrēts laiks, kādā pieteikums ir jāizskata, tieši otrādi, oficiālais pieteikuma saņēmējs - amatpersona var apturēt pieteikuma izskatīšanu, līdz tiks saņemtas visas atbildes, kas ir saistītas ar iesniegto pieteikumu un tur norādīto informāciju.</w:t>
      </w:r>
      <w:r>
        <w:rPr>
          <w:position w:val="9"/>
          <w:sz w:val="16"/>
        </w:rPr>
        <w:t>263</w:t>
      </w:r>
    </w:p>
    <w:p>
      <w:pPr>
        <w:pStyle w:val="BodyText"/>
        <w:spacing w:line="228" w:lineRule="auto" w:before="13"/>
        <w:ind w:left="620" w:right="402" w:firstLine="720"/>
        <w:rPr>
          <w:sz w:val="16"/>
        </w:rPr>
      </w:pPr>
      <w:r>
        <w:rPr/>
        <w:t>Oficiālais pieteikuma saņēmējs - amatpersona var noraidīt pieteikumu DRO procedūrai likumā noteiktajos gadījumos:</w:t>
      </w:r>
      <w:r>
        <w:rPr>
          <w:position w:val="9"/>
          <w:sz w:val="16"/>
        </w:rPr>
        <w:t>264</w:t>
      </w:r>
    </w:p>
    <w:p>
      <w:pPr>
        <w:pStyle w:val="ListParagraph"/>
        <w:numPr>
          <w:ilvl w:val="0"/>
          <w:numId w:val="59"/>
        </w:numPr>
        <w:tabs>
          <w:tab w:pos="1896" w:val="left" w:leader="none"/>
          <w:tab w:pos="1897" w:val="left" w:leader="none"/>
        </w:tabs>
        <w:spacing w:line="240" w:lineRule="auto" w:before="1" w:after="0"/>
        <w:ind w:left="1896" w:right="401" w:hanging="569"/>
        <w:jc w:val="left"/>
        <w:rPr>
          <w:sz w:val="24"/>
        </w:rPr>
      </w:pPr>
      <w:r>
        <w:rPr>
          <w:sz w:val="24"/>
        </w:rPr>
        <w:t>pieteikums neatbilst prasībām, kas noteiktas Lielbritānijas Maksātnespējas likuma 251B</w:t>
      </w:r>
      <w:r>
        <w:rPr>
          <w:spacing w:val="-2"/>
          <w:sz w:val="24"/>
        </w:rPr>
        <w:t> </w:t>
      </w:r>
      <w:r>
        <w:rPr>
          <w:sz w:val="24"/>
        </w:rPr>
        <w:t>pantā;</w:t>
      </w:r>
    </w:p>
    <w:p>
      <w:pPr>
        <w:pStyle w:val="ListParagraph"/>
        <w:numPr>
          <w:ilvl w:val="0"/>
          <w:numId w:val="59"/>
        </w:numPr>
        <w:tabs>
          <w:tab w:pos="1896" w:val="left" w:leader="none"/>
          <w:tab w:pos="1897" w:val="left" w:leader="none"/>
        </w:tabs>
        <w:spacing w:line="240" w:lineRule="auto" w:before="0" w:after="0"/>
        <w:ind w:left="1896" w:right="405" w:hanging="569"/>
        <w:jc w:val="left"/>
        <w:rPr>
          <w:sz w:val="24"/>
        </w:rPr>
      </w:pPr>
      <w:r>
        <w:rPr>
          <w:sz w:val="24"/>
        </w:rPr>
        <w:t>parādnieks nav spējis atbildēt uz visiem jautājumiem, ko uzdevis oficiālais pieteikuma saņēmējs –</w:t>
      </w:r>
      <w:r>
        <w:rPr>
          <w:spacing w:val="-1"/>
          <w:sz w:val="24"/>
        </w:rPr>
        <w:t> </w:t>
      </w:r>
      <w:r>
        <w:rPr>
          <w:sz w:val="24"/>
        </w:rPr>
        <w:t>amatpersona;</w:t>
      </w:r>
    </w:p>
    <w:p>
      <w:pPr>
        <w:pStyle w:val="ListParagraph"/>
        <w:numPr>
          <w:ilvl w:val="0"/>
          <w:numId w:val="59"/>
        </w:numPr>
        <w:tabs>
          <w:tab w:pos="1896" w:val="left" w:leader="none"/>
          <w:tab w:pos="1897" w:val="left" w:leader="none"/>
        </w:tabs>
        <w:spacing w:line="240" w:lineRule="auto" w:before="0" w:after="0"/>
        <w:ind w:left="1896" w:right="402" w:hanging="569"/>
        <w:jc w:val="left"/>
        <w:rPr>
          <w:sz w:val="24"/>
        </w:rPr>
      </w:pPr>
      <w:r>
        <w:rPr>
          <w:sz w:val="24"/>
        </w:rPr>
        <w:t>parādnieks ir sniedzis nepatiesu informāciju vai dokumentus, kas pamato sniegto</w:t>
      </w:r>
      <w:r>
        <w:rPr>
          <w:spacing w:val="-1"/>
          <w:sz w:val="24"/>
        </w:rPr>
        <w:t> </w:t>
      </w:r>
      <w:r>
        <w:rPr>
          <w:sz w:val="24"/>
        </w:rPr>
        <w:t>informāciju.</w:t>
      </w:r>
    </w:p>
    <w:p>
      <w:pPr>
        <w:pStyle w:val="BodyText"/>
        <w:spacing w:line="228" w:lineRule="auto" w:before="12"/>
        <w:ind w:left="620" w:firstLine="720"/>
        <w:jc w:val="left"/>
      </w:pPr>
      <w:r>
        <w:rPr/>
        <w:t>Tāpat likumā ir noteikti gadījumi, kad oficiālajam pieteikuma saņēmējam – amatpersonai ir pienākums noraidīt DRO pieteikumu</w:t>
      </w:r>
      <w:r>
        <w:rPr>
          <w:position w:val="9"/>
          <w:sz w:val="16"/>
        </w:rPr>
        <w:t>265</w:t>
      </w:r>
      <w:r>
        <w:rPr/>
        <w:t>:</w:t>
      </w:r>
    </w:p>
    <w:p>
      <w:pPr>
        <w:pStyle w:val="ListParagraph"/>
        <w:numPr>
          <w:ilvl w:val="0"/>
          <w:numId w:val="60"/>
        </w:numPr>
        <w:tabs>
          <w:tab w:pos="1897" w:val="left" w:leader="none"/>
          <w:tab w:pos="1898" w:val="left" w:leader="none"/>
        </w:tabs>
        <w:spacing w:line="240" w:lineRule="auto" w:before="1" w:after="0"/>
        <w:ind w:left="1896" w:right="401" w:hanging="569"/>
        <w:jc w:val="left"/>
        <w:rPr>
          <w:sz w:val="24"/>
        </w:rPr>
      </w:pPr>
      <w:r>
        <w:rPr>
          <w:sz w:val="24"/>
        </w:rPr>
        <w:t>ja oficiālais pieteikuma saņēmējs – amatpersona nav pārliecināts, ka parādnieks nespēj samaksāt savus</w:t>
      </w:r>
      <w:r>
        <w:rPr>
          <w:spacing w:val="-3"/>
          <w:sz w:val="24"/>
        </w:rPr>
        <w:t> </w:t>
      </w:r>
      <w:r>
        <w:rPr>
          <w:sz w:val="24"/>
        </w:rPr>
        <w:t>parādus;</w:t>
      </w:r>
    </w:p>
    <w:p>
      <w:pPr>
        <w:pStyle w:val="BodyText"/>
        <w:spacing w:before="6"/>
        <w:jc w:val="left"/>
        <w:rPr>
          <w:sz w:val="12"/>
        </w:rPr>
      </w:pPr>
      <w:r>
        <w:rPr/>
        <w:pict>
          <v:shape style="position:absolute;margin-left:90pt;margin-top:9.471912pt;width:144pt;height:.1pt;mso-position-horizontal-relative:page;mso-position-vertical-relative:paragraph;z-index:-251512832;mso-wrap-distance-left:0;mso-wrap-distance-right:0" coordorigin="1800,189" coordsize="2880,0" path="m1800,189l4680,189e" filled="false" stroked="true" strokeweight=".600037pt" strokecolor="#000000">
            <v:path arrowok="t"/>
            <v:stroke dashstyle="solid"/>
            <w10:wrap type="topAndBottom"/>
          </v:shape>
        </w:pict>
      </w:r>
    </w:p>
    <w:p>
      <w:pPr>
        <w:spacing w:line="233" w:lineRule="exact" w:before="70"/>
        <w:ind w:left="620" w:right="0" w:firstLine="0"/>
        <w:jc w:val="left"/>
        <w:rPr>
          <w:sz w:val="20"/>
        </w:rPr>
      </w:pPr>
      <w:r>
        <w:rPr>
          <w:position w:val="7"/>
          <w:sz w:val="13"/>
        </w:rPr>
        <w:t>259 </w:t>
      </w:r>
      <w:r>
        <w:rPr>
          <w:sz w:val="20"/>
        </w:rPr>
        <w:t>Lielbritānijas Maksātnespējas likums, 251B panta pirmā daļa</w:t>
      </w:r>
    </w:p>
    <w:p>
      <w:pPr>
        <w:spacing w:line="230" w:lineRule="exact" w:before="0"/>
        <w:ind w:left="620" w:right="0" w:firstLine="0"/>
        <w:jc w:val="left"/>
        <w:rPr>
          <w:sz w:val="20"/>
        </w:rPr>
      </w:pPr>
      <w:r>
        <w:rPr>
          <w:position w:val="7"/>
          <w:sz w:val="13"/>
        </w:rPr>
        <w:t>260 </w:t>
      </w:r>
      <w:r>
        <w:rPr>
          <w:sz w:val="20"/>
        </w:rPr>
        <w:t>Lielbritānijas Maksātnespējas likums, 251U pants</w:t>
      </w:r>
    </w:p>
    <w:p>
      <w:pPr>
        <w:tabs>
          <w:tab w:pos="1366" w:val="left" w:leader="none"/>
          <w:tab w:pos="2479" w:val="left" w:leader="none"/>
          <w:tab w:pos="3322" w:val="left" w:leader="none"/>
          <w:tab w:pos="4592" w:val="left" w:leader="none"/>
          <w:tab w:pos="5599" w:val="left" w:leader="none"/>
          <w:tab w:pos="6361" w:val="left" w:leader="none"/>
          <w:tab w:pos="7170" w:val="left" w:leader="none"/>
          <w:tab w:pos="7862" w:val="left" w:leader="none"/>
          <w:tab w:pos="8503" w:val="left" w:leader="none"/>
        </w:tabs>
        <w:spacing w:line="240" w:lineRule="auto" w:before="0"/>
        <w:ind w:left="620" w:right="408" w:firstLine="0"/>
        <w:jc w:val="left"/>
        <w:rPr>
          <w:sz w:val="20"/>
        </w:rPr>
      </w:pPr>
      <w:r>
        <w:rPr>
          <w:position w:val="7"/>
          <w:sz w:val="13"/>
        </w:rPr>
        <w:t>261</w:t>
      </w:r>
      <w:r>
        <w:rPr>
          <w:sz w:val="20"/>
        </w:rPr>
        <w:t>The</w:t>
        <w:tab/>
        <w:t>Insolvency</w:t>
        <w:tab/>
        <w:t>Service</w:t>
        <w:tab/>
        <w:t>Intermediary</w:t>
        <w:tab/>
        <w:t>Guidance</w:t>
        <w:tab/>
        <w:t>Notes:</w:t>
        <w:tab/>
        <w:t>DRO2,</w:t>
        <w:tab/>
        <w:t>2016,</w:t>
        <w:tab/>
        <w:t>p.18.</w:t>
        <w:tab/>
      </w:r>
      <w:r>
        <w:rPr>
          <w:spacing w:val="-3"/>
          <w:sz w:val="20"/>
        </w:rPr>
        <w:t>Pieejams: </w:t>
      </w:r>
      <w:r>
        <w:rPr>
          <w:color w:val="0562C1"/>
          <w:sz w:val="20"/>
          <w:u w:val="single" w:color="0562C1"/>
        </w:rPr>
        <w:t>https://</w:t>
      </w:r>
      <w:hyperlink r:id="rId70">
        <w:r>
          <w:rPr>
            <w:color w:val="0562C1"/>
            <w:sz w:val="20"/>
            <w:u w:val="single" w:color="0562C1"/>
          </w:rPr>
          <w:t>www.gov.uk/government/publications/intermediary-guidance-notes-v15-dro2-guidance-for-</w:t>
        </w:r>
      </w:hyperlink>
      <w:r>
        <w:rPr>
          <w:color w:val="0562C1"/>
          <w:sz w:val="20"/>
        </w:rPr>
        <w:t> </w:t>
      </w:r>
      <w:r>
        <w:rPr>
          <w:color w:val="0562C1"/>
          <w:sz w:val="20"/>
          <w:u w:val="single" w:color="0562C1"/>
        </w:rPr>
        <w:t>approved-intermediaries</w:t>
      </w:r>
      <w:r>
        <w:rPr>
          <w:color w:val="0562C1"/>
          <w:sz w:val="20"/>
        </w:rPr>
        <w:t> </w:t>
      </w:r>
      <w:r>
        <w:rPr>
          <w:sz w:val="20"/>
        </w:rPr>
        <w:t>[aplūkots 2018.gada</w:t>
      </w:r>
      <w:r>
        <w:rPr>
          <w:spacing w:val="-4"/>
          <w:sz w:val="20"/>
        </w:rPr>
        <w:t> </w:t>
      </w:r>
      <w:r>
        <w:rPr>
          <w:sz w:val="20"/>
        </w:rPr>
        <w:t>17.oktobrī].</w:t>
      </w:r>
    </w:p>
    <w:p>
      <w:pPr>
        <w:spacing w:line="227" w:lineRule="exact" w:before="0"/>
        <w:ind w:left="620" w:right="0" w:firstLine="0"/>
        <w:jc w:val="left"/>
        <w:rPr>
          <w:sz w:val="20"/>
        </w:rPr>
      </w:pPr>
      <w:r>
        <w:rPr>
          <w:position w:val="7"/>
          <w:sz w:val="13"/>
        </w:rPr>
        <w:t>262 </w:t>
      </w:r>
      <w:r>
        <w:rPr>
          <w:sz w:val="20"/>
        </w:rPr>
        <w:t>Conway L. Debt Relief Orders. / House of Commons Library, Briefing paper, 2016., No. CPB4982, p.5, 7.</w:t>
      </w:r>
    </w:p>
    <w:p>
      <w:pPr>
        <w:spacing w:line="230" w:lineRule="exact" w:before="0"/>
        <w:ind w:left="620" w:right="0" w:firstLine="0"/>
        <w:jc w:val="left"/>
        <w:rPr>
          <w:sz w:val="20"/>
        </w:rPr>
      </w:pPr>
      <w:r>
        <w:rPr>
          <w:position w:val="7"/>
          <w:sz w:val="13"/>
        </w:rPr>
        <w:t>263 </w:t>
      </w:r>
      <w:r>
        <w:rPr>
          <w:sz w:val="20"/>
        </w:rPr>
        <w:t>Lielbritānijas Maksātnespējas likums, 251C panta otrā daļa</w:t>
      </w:r>
    </w:p>
    <w:p>
      <w:pPr>
        <w:spacing w:line="230" w:lineRule="exact" w:before="0"/>
        <w:ind w:left="620" w:right="0" w:firstLine="0"/>
        <w:jc w:val="left"/>
        <w:rPr>
          <w:sz w:val="20"/>
        </w:rPr>
      </w:pPr>
      <w:r>
        <w:rPr>
          <w:position w:val="7"/>
          <w:sz w:val="13"/>
        </w:rPr>
        <w:t>264 </w:t>
      </w:r>
      <w:r>
        <w:rPr>
          <w:sz w:val="20"/>
        </w:rPr>
        <w:t>Lielbritānijas Maksātnespējas likums, 251C panta ceturtā un sestā daļa</w:t>
      </w:r>
    </w:p>
    <w:p>
      <w:pPr>
        <w:spacing w:line="233" w:lineRule="exact" w:before="0"/>
        <w:ind w:left="620" w:right="0" w:firstLine="0"/>
        <w:jc w:val="left"/>
        <w:rPr>
          <w:sz w:val="20"/>
        </w:rPr>
      </w:pPr>
      <w:r>
        <w:rPr>
          <w:position w:val="7"/>
          <w:sz w:val="13"/>
        </w:rPr>
        <w:t>265 </w:t>
      </w:r>
      <w:r>
        <w:rPr>
          <w:sz w:val="20"/>
        </w:rPr>
        <w:t>Lielbritānijas Maksātnespējas likums, 251C panta piektā daļa</w:t>
      </w:r>
    </w:p>
    <w:p>
      <w:pPr>
        <w:spacing w:after="0" w:line="233" w:lineRule="exact"/>
        <w:jc w:val="left"/>
        <w:rPr>
          <w:sz w:val="20"/>
        </w:rPr>
        <w:sectPr>
          <w:pgSz w:w="11910" w:h="16840"/>
          <w:pgMar w:header="0" w:footer="1055" w:top="1580" w:bottom="1240" w:left="1180" w:right="1040"/>
        </w:sectPr>
      </w:pPr>
    </w:p>
    <w:p>
      <w:pPr>
        <w:pStyle w:val="ListParagraph"/>
        <w:numPr>
          <w:ilvl w:val="0"/>
          <w:numId w:val="60"/>
        </w:numPr>
        <w:tabs>
          <w:tab w:pos="1538" w:val="left" w:leader="none"/>
        </w:tabs>
        <w:spacing w:line="240" w:lineRule="auto" w:before="73" w:after="0"/>
        <w:ind w:left="1536" w:right="761" w:hanging="569"/>
        <w:jc w:val="both"/>
        <w:rPr>
          <w:sz w:val="24"/>
        </w:rPr>
      </w:pPr>
      <w:r>
        <w:rPr>
          <w:sz w:val="24"/>
        </w:rPr>
        <w:t>ja oficiālais pieteikuma saņēmējs – amatpersona nav pārliecināts, ka vismaz viens no parādnieka norādītajiem parādiem nav atbilstošs parāds saskaņā ar likuma noteikumiem;</w:t>
      </w:r>
    </w:p>
    <w:p>
      <w:pPr>
        <w:pStyle w:val="ListParagraph"/>
        <w:numPr>
          <w:ilvl w:val="0"/>
          <w:numId w:val="60"/>
        </w:numPr>
        <w:tabs>
          <w:tab w:pos="1538" w:val="left" w:leader="none"/>
        </w:tabs>
        <w:spacing w:line="240" w:lineRule="auto" w:before="0" w:after="0"/>
        <w:ind w:left="1536" w:right="761" w:hanging="569"/>
        <w:jc w:val="both"/>
        <w:rPr>
          <w:sz w:val="24"/>
        </w:rPr>
      </w:pPr>
      <w:r>
        <w:rPr>
          <w:sz w:val="24"/>
        </w:rPr>
        <w:t>ja oficiālais pieteikuma saņēmējs – amatpersona nav pārliecināts, ka izpildās visi</w:t>
      </w:r>
      <w:r>
        <w:rPr>
          <w:spacing w:val="-13"/>
          <w:sz w:val="24"/>
        </w:rPr>
        <w:t> </w:t>
      </w:r>
      <w:r>
        <w:rPr>
          <w:sz w:val="24"/>
        </w:rPr>
        <w:t>nosacījumi,</w:t>
      </w:r>
      <w:r>
        <w:rPr>
          <w:spacing w:val="-16"/>
          <w:sz w:val="24"/>
        </w:rPr>
        <w:t> </w:t>
      </w:r>
      <w:r>
        <w:rPr>
          <w:sz w:val="24"/>
        </w:rPr>
        <w:t>kas</w:t>
      </w:r>
      <w:r>
        <w:rPr>
          <w:spacing w:val="-16"/>
          <w:sz w:val="24"/>
        </w:rPr>
        <w:t> </w:t>
      </w:r>
      <w:r>
        <w:rPr>
          <w:sz w:val="24"/>
        </w:rPr>
        <w:t>noteikti</w:t>
      </w:r>
      <w:r>
        <w:rPr>
          <w:spacing w:val="-15"/>
          <w:sz w:val="24"/>
        </w:rPr>
        <w:t> </w:t>
      </w:r>
      <w:r>
        <w:rPr>
          <w:sz w:val="24"/>
        </w:rPr>
        <w:t>kā</w:t>
      </w:r>
      <w:r>
        <w:rPr>
          <w:spacing w:val="-16"/>
          <w:sz w:val="24"/>
        </w:rPr>
        <w:t> </w:t>
      </w:r>
      <w:r>
        <w:rPr>
          <w:sz w:val="24"/>
        </w:rPr>
        <w:t>kritēriji</w:t>
      </w:r>
      <w:r>
        <w:rPr>
          <w:spacing w:val="-13"/>
          <w:sz w:val="24"/>
        </w:rPr>
        <w:t> </w:t>
      </w:r>
      <w:r>
        <w:rPr>
          <w:sz w:val="24"/>
        </w:rPr>
        <w:t>parādniekam</w:t>
      </w:r>
      <w:r>
        <w:rPr>
          <w:spacing w:val="-16"/>
          <w:sz w:val="24"/>
        </w:rPr>
        <w:t> </w:t>
      </w:r>
      <w:r>
        <w:rPr>
          <w:sz w:val="24"/>
        </w:rPr>
        <w:t>un</w:t>
      </w:r>
      <w:r>
        <w:rPr>
          <w:spacing w:val="-15"/>
          <w:sz w:val="24"/>
        </w:rPr>
        <w:t> </w:t>
      </w:r>
      <w:r>
        <w:rPr>
          <w:sz w:val="24"/>
        </w:rPr>
        <w:t>norādīti</w:t>
      </w:r>
      <w:r>
        <w:rPr>
          <w:spacing w:val="-11"/>
          <w:sz w:val="24"/>
        </w:rPr>
        <w:t> </w:t>
      </w:r>
      <w:r>
        <w:rPr>
          <w:sz w:val="24"/>
        </w:rPr>
        <w:t>Lielbritānijas Maksātnespējas likuma 4ZA tabulā un tā otrajā</w:t>
      </w:r>
      <w:r>
        <w:rPr>
          <w:spacing w:val="-2"/>
          <w:sz w:val="24"/>
        </w:rPr>
        <w:t> </w:t>
      </w:r>
      <w:r>
        <w:rPr>
          <w:sz w:val="24"/>
        </w:rPr>
        <w:t>daļā.</w:t>
      </w:r>
    </w:p>
    <w:p>
      <w:pPr>
        <w:pStyle w:val="BodyText"/>
        <w:spacing w:line="228" w:lineRule="auto" w:before="12"/>
        <w:ind w:left="260" w:right="762" w:firstLine="720"/>
        <w:rPr>
          <w:sz w:val="16"/>
        </w:rPr>
      </w:pPr>
      <w:r>
        <w:rPr/>
        <w:t>Tāpat likumā ir noteikti arī pieņēmumi, kas ir piemērojami, lai noteiktu, vai novērtētu un pieņemtu DRO pieteikumu:</w:t>
      </w:r>
      <w:r>
        <w:rPr>
          <w:position w:val="9"/>
          <w:sz w:val="16"/>
        </w:rPr>
        <w:t>266</w:t>
      </w:r>
    </w:p>
    <w:p>
      <w:pPr>
        <w:pStyle w:val="ListParagraph"/>
        <w:numPr>
          <w:ilvl w:val="0"/>
          <w:numId w:val="61"/>
        </w:numPr>
        <w:tabs>
          <w:tab w:pos="1340" w:val="left" w:leader="none"/>
        </w:tabs>
        <w:spacing w:line="240" w:lineRule="auto" w:before="1" w:after="0"/>
        <w:ind w:left="1340" w:right="764" w:hanging="360"/>
        <w:jc w:val="both"/>
        <w:rPr>
          <w:sz w:val="24"/>
        </w:rPr>
      </w:pPr>
      <w:r>
        <w:rPr>
          <w:sz w:val="24"/>
        </w:rPr>
        <w:t>oficiālajam pieteikuma saņēmējam – amatpersonai ir jāpieņem, ka parādnieks ir uzskatāms par tādu, kurš nespēj nomaksāt savus parādus, ja tas izriet no pieteikumā norādītās informācijas un nav pamata uzskatīt, ka sniegtā informācija ir nepatiesa vai nepilnīga, kā arī ja nav iemesla uzskatīt, ka parādnieka</w:t>
      </w:r>
      <w:r>
        <w:rPr>
          <w:spacing w:val="-9"/>
          <w:sz w:val="24"/>
        </w:rPr>
        <w:t> </w:t>
      </w:r>
      <w:r>
        <w:rPr>
          <w:sz w:val="24"/>
        </w:rPr>
        <w:t>finansiālā</w:t>
      </w:r>
      <w:r>
        <w:rPr>
          <w:spacing w:val="-8"/>
          <w:sz w:val="24"/>
        </w:rPr>
        <w:t> </w:t>
      </w:r>
      <w:r>
        <w:rPr>
          <w:sz w:val="24"/>
        </w:rPr>
        <w:t>situācija</w:t>
      </w:r>
      <w:r>
        <w:rPr>
          <w:spacing w:val="-9"/>
          <w:sz w:val="24"/>
        </w:rPr>
        <w:t> </w:t>
      </w:r>
      <w:r>
        <w:rPr>
          <w:sz w:val="24"/>
        </w:rPr>
        <w:t>pēc</w:t>
      </w:r>
      <w:r>
        <w:rPr>
          <w:spacing w:val="-8"/>
          <w:sz w:val="24"/>
        </w:rPr>
        <w:t> </w:t>
      </w:r>
      <w:r>
        <w:rPr>
          <w:sz w:val="24"/>
        </w:rPr>
        <w:t>pieteikuma</w:t>
      </w:r>
      <w:r>
        <w:rPr>
          <w:spacing w:val="-5"/>
          <w:sz w:val="24"/>
        </w:rPr>
        <w:t> </w:t>
      </w:r>
      <w:r>
        <w:rPr>
          <w:sz w:val="24"/>
        </w:rPr>
        <w:t>iesniegšanas</w:t>
      </w:r>
      <w:r>
        <w:rPr>
          <w:spacing w:val="-5"/>
          <w:sz w:val="24"/>
        </w:rPr>
        <w:t> </w:t>
      </w:r>
      <w:r>
        <w:rPr>
          <w:sz w:val="24"/>
        </w:rPr>
        <w:t>būtu</w:t>
      </w:r>
      <w:r>
        <w:rPr>
          <w:spacing w:val="-6"/>
          <w:sz w:val="24"/>
        </w:rPr>
        <w:t> </w:t>
      </w:r>
      <w:r>
        <w:rPr>
          <w:sz w:val="24"/>
        </w:rPr>
        <w:t>mainījusies</w:t>
      </w:r>
      <w:r>
        <w:rPr>
          <w:spacing w:val="-5"/>
          <w:sz w:val="24"/>
        </w:rPr>
        <w:t> </w:t>
      </w:r>
      <w:r>
        <w:rPr>
          <w:sz w:val="24"/>
        </w:rPr>
        <w:t>un parādnieks var norēķināties ar saviem</w:t>
      </w:r>
      <w:r>
        <w:rPr>
          <w:spacing w:val="-9"/>
          <w:sz w:val="24"/>
        </w:rPr>
        <w:t> </w:t>
      </w:r>
      <w:r>
        <w:rPr>
          <w:sz w:val="24"/>
        </w:rPr>
        <w:t>kreditoriem;</w:t>
      </w:r>
    </w:p>
    <w:p>
      <w:pPr>
        <w:pStyle w:val="ListParagraph"/>
        <w:numPr>
          <w:ilvl w:val="0"/>
          <w:numId w:val="61"/>
        </w:numPr>
        <w:tabs>
          <w:tab w:pos="1340" w:val="left" w:leader="none"/>
        </w:tabs>
        <w:spacing w:line="240" w:lineRule="auto" w:before="0" w:after="0"/>
        <w:ind w:left="1340" w:right="763" w:hanging="360"/>
        <w:jc w:val="both"/>
        <w:rPr>
          <w:sz w:val="24"/>
        </w:rPr>
      </w:pPr>
      <w:r>
        <w:rPr>
          <w:sz w:val="24"/>
        </w:rPr>
        <w:t>oficiālajam pieteikuma saņēmējam – amatpersonai ir jāpieņem, ka likumā noteiktais DRO procedūrā atbilstošais parāds ir uzskatāms par atbilstošu parādu, ja tas izriet no pieteikumā norādītās informācijas un nav pamata uzskatīt, ka sniegtā informācija ir nepatiesa vai</w:t>
      </w:r>
      <w:r>
        <w:rPr>
          <w:spacing w:val="-7"/>
          <w:sz w:val="24"/>
        </w:rPr>
        <w:t> </w:t>
      </w:r>
      <w:r>
        <w:rPr>
          <w:sz w:val="24"/>
        </w:rPr>
        <w:t>nepilnīga;</w:t>
      </w:r>
    </w:p>
    <w:p>
      <w:pPr>
        <w:pStyle w:val="ListParagraph"/>
        <w:numPr>
          <w:ilvl w:val="0"/>
          <w:numId w:val="61"/>
        </w:numPr>
        <w:tabs>
          <w:tab w:pos="1340" w:val="left" w:leader="none"/>
        </w:tabs>
        <w:spacing w:line="240" w:lineRule="auto" w:before="0" w:after="0"/>
        <w:ind w:left="1340" w:right="762" w:hanging="360"/>
        <w:jc w:val="both"/>
        <w:rPr>
          <w:sz w:val="24"/>
        </w:rPr>
      </w:pPr>
      <w:r>
        <w:rPr>
          <w:sz w:val="24"/>
        </w:rPr>
        <w:t>oficiālajam pieteikuma saņēmējam – amatpersonai ir jāpieņem, ka kritēriji, </w:t>
      </w:r>
      <w:r>
        <w:rPr>
          <w:spacing w:val="-4"/>
          <w:sz w:val="24"/>
        </w:rPr>
        <w:t>kas </w:t>
      </w:r>
      <w:r>
        <w:rPr>
          <w:sz w:val="24"/>
        </w:rPr>
        <w:t>parādniekam noteikti Lielbritānijas Maksātnespējas likuma 4ZA tabulā, lai varētu īstenot DRO, ir izpildīti, ja izriet no pieteikumā norādītās informācijas un nav pamata uzskatīt, ka sniegtā informācija ir nepatiesa vai nepilnīga, kā arī ir veiktas visas paredzētās pārbaudes attiecībā uz šāda stāvokļa noskaidrošanu (paredzētās darbības noteiktas Lielbritānijas Maksātnespējas noteikumu </w:t>
      </w:r>
      <w:r>
        <w:rPr>
          <w:spacing w:val="-4"/>
          <w:sz w:val="24"/>
        </w:rPr>
        <w:t>2016</w:t>
      </w:r>
      <w:r>
        <w:rPr>
          <w:spacing w:val="52"/>
          <w:sz w:val="24"/>
        </w:rPr>
        <w:t> </w:t>
      </w:r>
      <w:r>
        <w:rPr>
          <w:sz w:val="24"/>
        </w:rPr>
        <w:t>noteikumos Nr. 9.6 un ietver sevī dažādu reģistru pārbaudi, saziņu ar kredītiestādēm).</w:t>
      </w:r>
    </w:p>
    <w:p>
      <w:pPr>
        <w:pStyle w:val="BodyText"/>
        <w:spacing w:before="5"/>
        <w:jc w:val="left"/>
      </w:pPr>
    </w:p>
    <w:p>
      <w:pPr>
        <w:pStyle w:val="Heading4"/>
        <w:numPr>
          <w:ilvl w:val="0"/>
          <w:numId w:val="56"/>
        </w:numPr>
        <w:tabs>
          <w:tab w:pos="529" w:val="left" w:leader="none"/>
        </w:tabs>
        <w:spacing w:line="240" w:lineRule="auto" w:before="0" w:after="0"/>
        <w:ind w:left="528" w:right="0" w:hanging="269"/>
        <w:jc w:val="left"/>
        <w:rPr>
          <w:i/>
        </w:rPr>
      </w:pPr>
      <w:r>
        <w:rPr>
          <w:i/>
        </w:rPr>
        <w:t>Kritēriji,</w:t>
      </w:r>
      <w:r>
        <w:rPr>
          <w:i/>
          <w:spacing w:val="-13"/>
        </w:rPr>
        <w:t> </w:t>
      </w:r>
      <w:r>
        <w:rPr>
          <w:i/>
        </w:rPr>
        <w:t>kuriem</w:t>
      </w:r>
      <w:r>
        <w:rPr>
          <w:i/>
          <w:spacing w:val="-11"/>
        </w:rPr>
        <w:t> </w:t>
      </w:r>
      <w:r>
        <w:rPr>
          <w:i/>
        </w:rPr>
        <w:t>parādniekam</w:t>
      </w:r>
      <w:r>
        <w:rPr>
          <w:i/>
          <w:spacing w:val="-13"/>
        </w:rPr>
        <w:t> </w:t>
      </w:r>
      <w:r>
        <w:rPr>
          <w:i/>
        </w:rPr>
        <w:t>ir</w:t>
      </w:r>
      <w:r>
        <w:rPr>
          <w:i/>
          <w:spacing w:val="-10"/>
        </w:rPr>
        <w:t> </w:t>
      </w:r>
      <w:r>
        <w:rPr>
          <w:i/>
        </w:rPr>
        <w:t>jāatbilst,</w:t>
      </w:r>
      <w:r>
        <w:rPr>
          <w:i/>
          <w:spacing w:val="-13"/>
        </w:rPr>
        <w:t> </w:t>
      </w:r>
      <w:r>
        <w:rPr>
          <w:i/>
        </w:rPr>
        <w:t>lai</w:t>
      </w:r>
      <w:r>
        <w:rPr>
          <w:i/>
          <w:spacing w:val="-13"/>
        </w:rPr>
        <w:t> </w:t>
      </w:r>
      <w:r>
        <w:rPr>
          <w:i/>
        </w:rPr>
        <w:t>uz</w:t>
      </w:r>
      <w:r>
        <w:rPr>
          <w:i/>
          <w:spacing w:val="-13"/>
        </w:rPr>
        <w:t> </w:t>
      </w:r>
      <w:r>
        <w:rPr>
          <w:i/>
        </w:rPr>
        <w:t>viņu</w:t>
      </w:r>
      <w:r>
        <w:rPr>
          <w:i/>
          <w:spacing w:val="-10"/>
        </w:rPr>
        <w:t> </w:t>
      </w:r>
      <w:r>
        <w:rPr>
          <w:i/>
        </w:rPr>
        <w:t>varētu</w:t>
      </w:r>
      <w:r>
        <w:rPr>
          <w:i/>
          <w:spacing w:val="-11"/>
        </w:rPr>
        <w:t> </w:t>
      </w:r>
      <w:r>
        <w:rPr>
          <w:i/>
        </w:rPr>
        <w:t>attiecināt</w:t>
      </w:r>
      <w:r>
        <w:rPr>
          <w:i/>
          <w:spacing w:val="-13"/>
        </w:rPr>
        <w:t> </w:t>
      </w:r>
      <w:r>
        <w:rPr>
          <w:i/>
        </w:rPr>
        <w:t>DRO</w:t>
      </w:r>
      <w:r>
        <w:rPr>
          <w:i/>
          <w:spacing w:val="-13"/>
        </w:rPr>
        <w:t> </w:t>
      </w:r>
      <w:r>
        <w:rPr>
          <w:i/>
        </w:rPr>
        <w:t>procedūru</w:t>
      </w:r>
    </w:p>
    <w:p>
      <w:pPr>
        <w:pStyle w:val="BodyText"/>
        <w:spacing w:before="9"/>
        <w:jc w:val="left"/>
        <w:rPr>
          <w:b/>
          <w:i/>
          <w:sz w:val="23"/>
        </w:rPr>
      </w:pPr>
    </w:p>
    <w:p>
      <w:pPr>
        <w:pStyle w:val="BodyText"/>
        <w:spacing w:line="237" w:lineRule="auto"/>
        <w:ind w:left="260" w:right="761" w:firstLine="720"/>
      </w:pPr>
      <w:r>
        <w:rPr/>
        <w:t>Pirmais kritērijs iziet no vispārējās sapratnes par to, kāpēc vispār tiesību sistēmā tiek paredzēta iespēja parādniekam vērsties pēc palīdzības parādu atmaksā, tas ir, parādniekam nav iespēju samaksāt par saviem parādiem un norēķināties ar kreditoriem. Tomēr ne visiem parādniekiem, kuriem ir apgrūtināti apstākļi norēķināties ar saviem kreditoriem, ir iespējams izmantot DRO procedūru. Lielbritānijas Maksātnespējas likuma pielikumā</w:t>
      </w:r>
      <w:r>
        <w:rPr>
          <w:spacing w:val="-10"/>
        </w:rPr>
        <w:t> </w:t>
      </w:r>
      <w:r>
        <w:rPr/>
        <w:t>4ZA</w:t>
      </w:r>
      <w:r>
        <w:rPr>
          <w:spacing w:val="-9"/>
        </w:rPr>
        <w:t> </w:t>
      </w:r>
      <w:r>
        <w:rPr/>
        <w:t>(</w:t>
      </w:r>
      <w:r>
        <w:rPr>
          <w:i/>
        </w:rPr>
        <w:t>Schedule</w:t>
      </w:r>
      <w:r>
        <w:rPr>
          <w:i/>
          <w:spacing w:val="-8"/>
        </w:rPr>
        <w:t> </w:t>
      </w:r>
      <w:r>
        <w:rPr>
          <w:i/>
        </w:rPr>
        <w:t>4ZA</w:t>
      </w:r>
      <w:r>
        <w:rPr/>
        <w:t>)</w:t>
      </w:r>
      <w:r>
        <w:rPr>
          <w:spacing w:val="-9"/>
        </w:rPr>
        <w:t> </w:t>
      </w:r>
      <w:r>
        <w:rPr/>
        <w:t>ir</w:t>
      </w:r>
      <w:r>
        <w:rPr>
          <w:spacing w:val="-10"/>
        </w:rPr>
        <w:t> </w:t>
      </w:r>
      <w:r>
        <w:rPr/>
        <w:t>paredzēti</w:t>
      </w:r>
      <w:r>
        <w:rPr>
          <w:spacing w:val="-7"/>
        </w:rPr>
        <w:t> </w:t>
      </w:r>
      <w:r>
        <w:rPr/>
        <w:t>nosacījumi,</w:t>
      </w:r>
      <w:r>
        <w:rPr>
          <w:spacing w:val="-9"/>
        </w:rPr>
        <w:t> </w:t>
      </w:r>
      <w:r>
        <w:rPr/>
        <w:t>kuriem</w:t>
      </w:r>
      <w:r>
        <w:rPr>
          <w:spacing w:val="-10"/>
        </w:rPr>
        <w:t> </w:t>
      </w:r>
      <w:r>
        <w:rPr/>
        <w:t>parādniekam</w:t>
      </w:r>
      <w:r>
        <w:rPr>
          <w:spacing w:val="-11"/>
        </w:rPr>
        <w:t> </w:t>
      </w:r>
      <w:r>
        <w:rPr/>
        <w:t>ir</w:t>
      </w:r>
      <w:r>
        <w:rPr>
          <w:spacing w:val="-9"/>
        </w:rPr>
        <w:t> </w:t>
      </w:r>
      <w:r>
        <w:rPr/>
        <w:t>jāatbilst,</w:t>
      </w:r>
      <w:r>
        <w:rPr>
          <w:spacing w:val="-12"/>
        </w:rPr>
        <w:t> </w:t>
      </w:r>
      <w:r>
        <w:rPr/>
        <w:t>lai viņš varētu pretendēt uz DRO</w:t>
      </w:r>
      <w:r>
        <w:rPr>
          <w:spacing w:val="1"/>
        </w:rPr>
        <w:t> </w:t>
      </w:r>
      <w:r>
        <w:rPr/>
        <w:t>procedūru</w:t>
      </w:r>
      <w:r>
        <w:rPr>
          <w:position w:val="9"/>
          <w:sz w:val="16"/>
        </w:rPr>
        <w:t>267</w:t>
      </w:r>
      <w:r>
        <w:rPr/>
        <w:t>:</w:t>
      </w:r>
    </w:p>
    <w:p>
      <w:pPr>
        <w:pStyle w:val="BodyText"/>
        <w:spacing w:before="2"/>
        <w:jc w:val="left"/>
      </w:pPr>
    </w:p>
    <w:p>
      <w:pPr>
        <w:pStyle w:val="ListParagraph"/>
        <w:numPr>
          <w:ilvl w:val="1"/>
          <w:numId w:val="56"/>
        </w:numPr>
        <w:tabs>
          <w:tab w:pos="980" w:val="left" w:leader="none"/>
        </w:tabs>
        <w:spacing w:line="240" w:lineRule="auto" w:before="0" w:after="0"/>
        <w:ind w:left="980" w:right="0" w:hanging="360"/>
        <w:jc w:val="left"/>
        <w:rPr>
          <w:sz w:val="24"/>
        </w:rPr>
      </w:pPr>
      <w:r>
        <w:rPr>
          <w:sz w:val="24"/>
          <w:u w:val="single"/>
        </w:rPr>
        <w:t>Saistība ar Angliju un</w:t>
      </w:r>
      <w:r>
        <w:rPr>
          <w:spacing w:val="-6"/>
          <w:sz w:val="24"/>
          <w:u w:val="single"/>
        </w:rPr>
        <w:t> </w:t>
      </w:r>
      <w:r>
        <w:rPr>
          <w:sz w:val="24"/>
          <w:u w:val="single"/>
        </w:rPr>
        <w:t>Velsu</w:t>
      </w:r>
    </w:p>
    <w:p>
      <w:pPr>
        <w:pStyle w:val="BodyText"/>
        <w:ind w:left="260" w:right="635" w:firstLine="720"/>
        <w:jc w:val="left"/>
      </w:pPr>
      <w:r>
        <w:rPr/>
        <w:t>Atbilstoši noteiktajam kritērijam par saistību ar Angliju un Velsu liecina šādi apstākļi:</w:t>
      </w:r>
    </w:p>
    <w:p>
      <w:pPr>
        <w:pStyle w:val="ListParagraph"/>
        <w:numPr>
          <w:ilvl w:val="2"/>
          <w:numId w:val="56"/>
        </w:numPr>
        <w:tabs>
          <w:tab w:pos="1340" w:val="left" w:leader="none"/>
        </w:tabs>
        <w:spacing w:line="240" w:lineRule="auto" w:before="0" w:after="0"/>
        <w:ind w:left="1340" w:right="766" w:hanging="360"/>
        <w:jc w:val="left"/>
        <w:rPr>
          <w:sz w:val="24"/>
        </w:rPr>
      </w:pPr>
      <w:r>
        <w:rPr>
          <w:sz w:val="24"/>
        </w:rPr>
        <w:t>parādnieka dzīvesvieta (domicils) pieteikuma iesniegšanas brīdī ir Anglija </w:t>
      </w:r>
      <w:r>
        <w:rPr>
          <w:spacing w:val="-6"/>
          <w:sz w:val="24"/>
        </w:rPr>
        <w:t>un </w:t>
      </w:r>
      <w:r>
        <w:rPr>
          <w:sz w:val="24"/>
        </w:rPr>
        <w:t>Velsa;</w:t>
      </w:r>
    </w:p>
    <w:p>
      <w:pPr>
        <w:pStyle w:val="ListParagraph"/>
        <w:numPr>
          <w:ilvl w:val="2"/>
          <w:numId w:val="56"/>
        </w:numPr>
        <w:tabs>
          <w:tab w:pos="1340" w:val="left" w:leader="none"/>
        </w:tabs>
        <w:spacing w:line="240" w:lineRule="auto" w:before="0" w:after="0"/>
        <w:ind w:left="1340" w:right="0" w:hanging="360"/>
        <w:jc w:val="left"/>
        <w:rPr>
          <w:sz w:val="24"/>
        </w:rPr>
      </w:pPr>
      <w:r>
        <w:rPr>
          <w:sz w:val="24"/>
        </w:rPr>
        <w:t>vai jebkurā laikā trīs gadu periodā, kas beidzas ar minēto datumu,</w:t>
      </w:r>
      <w:r>
        <w:rPr>
          <w:spacing w:val="-6"/>
          <w:sz w:val="24"/>
        </w:rPr>
        <w:t> </w:t>
      </w:r>
      <w:r>
        <w:rPr>
          <w:sz w:val="24"/>
        </w:rPr>
        <w:t>parādnieks:</w:t>
      </w:r>
    </w:p>
    <w:p>
      <w:pPr>
        <w:pStyle w:val="ListParagraph"/>
        <w:numPr>
          <w:ilvl w:val="3"/>
          <w:numId w:val="56"/>
        </w:numPr>
        <w:tabs>
          <w:tab w:pos="1819" w:val="left" w:leader="none"/>
          <w:tab w:pos="1820" w:val="left" w:leader="none"/>
        </w:tabs>
        <w:spacing w:line="240" w:lineRule="auto" w:before="0" w:after="0"/>
        <w:ind w:left="1820" w:right="762" w:hanging="428"/>
        <w:jc w:val="left"/>
        <w:rPr>
          <w:sz w:val="24"/>
        </w:rPr>
      </w:pPr>
      <w:r>
        <w:rPr>
          <w:sz w:val="24"/>
        </w:rPr>
        <w:t>ir bijis Anglijas un Velsas patstāvīgais iedzīvotājs vai viņam ir bijusi dzīvesvieta Anglijā un</w:t>
      </w:r>
      <w:r>
        <w:rPr>
          <w:spacing w:val="-4"/>
          <w:sz w:val="24"/>
        </w:rPr>
        <w:t> </w:t>
      </w:r>
      <w:r>
        <w:rPr>
          <w:sz w:val="24"/>
        </w:rPr>
        <w:t>Velsā;</w:t>
      </w:r>
    </w:p>
    <w:p>
      <w:pPr>
        <w:pStyle w:val="ListParagraph"/>
        <w:numPr>
          <w:ilvl w:val="3"/>
          <w:numId w:val="56"/>
        </w:numPr>
        <w:tabs>
          <w:tab w:pos="1819" w:val="left" w:leader="none"/>
          <w:tab w:pos="1820" w:val="left" w:leader="none"/>
        </w:tabs>
        <w:spacing w:line="240" w:lineRule="auto" w:before="0" w:after="0"/>
        <w:ind w:left="1820" w:right="0" w:hanging="428"/>
        <w:jc w:val="left"/>
        <w:rPr>
          <w:sz w:val="24"/>
        </w:rPr>
      </w:pPr>
      <w:r>
        <w:rPr>
          <w:sz w:val="24"/>
        </w:rPr>
        <w:t>veica uzņēmējdarbību Anglijā un</w:t>
      </w:r>
      <w:r>
        <w:rPr>
          <w:spacing w:val="-5"/>
          <w:sz w:val="24"/>
        </w:rPr>
        <w:t> </w:t>
      </w:r>
      <w:r>
        <w:rPr>
          <w:sz w:val="24"/>
        </w:rPr>
        <w:t>Velsā.</w:t>
      </w:r>
    </w:p>
    <w:p>
      <w:pPr>
        <w:pStyle w:val="BodyText"/>
        <w:jc w:val="left"/>
        <w:rPr>
          <w:sz w:val="20"/>
        </w:rPr>
      </w:pPr>
    </w:p>
    <w:p>
      <w:pPr>
        <w:pStyle w:val="BodyText"/>
        <w:jc w:val="left"/>
        <w:rPr>
          <w:sz w:val="20"/>
        </w:rPr>
      </w:pPr>
    </w:p>
    <w:p>
      <w:pPr>
        <w:pStyle w:val="BodyText"/>
        <w:spacing w:before="7"/>
        <w:jc w:val="left"/>
        <w:rPr>
          <w:sz w:val="16"/>
        </w:rPr>
      </w:pPr>
      <w:r>
        <w:rPr/>
        <w:pict>
          <v:shape style="position:absolute;margin-left:72pt;margin-top:11.805355pt;width:144pt;height:.1pt;mso-position-horizontal-relative:page;mso-position-vertical-relative:paragraph;z-index:-251511808;mso-wrap-distance-left:0;mso-wrap-distance-right:0" coordorigin="1440,236" coordsize="2880,0" path="m1440,236l4320,236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266 </w:t>
      </w:r>
      <w:r>
        <w:rPr>
          <w:sz w:val="20"/>
        </w:rPr>
        <w:t>Lielbritānijas Maksātnespējas likums, 251D pants</w:t>
      </w:r>
    </w:p>
    <w:p>
      <w:pPr>
        <w:spacing w:line="233" w:lineRule="exact" w:before="0"/>
        <w:ind w:left="260" w:right="0" w:firstLine="0"/>
        <w:jc w:val="left"/>
        <w:rPr>
          <w:sz w:val="20"/>
        </w:rPr>
      </w:pPr>
      <w:r>
        <w:rPr>
          <w:position w:val="7"/>
          <w:sz w:val="13"/>
        </w:rPr>
        <w:t>267 </w:t>
      </w:r>
      <w:r>
        <w:rPr>
          <w:sz w:val="20"/>
        </w:rPr>
        <w:t>Lielbritānijas Maksātnespējas likums, pielikums 4ZA (</w:t>
      </w:r>
      <w:r>
        <w:rPr>
          <w:i/>
          <w:sz w:val="20"/>
        </w:rPr>
        <w:t>Schedule 4ZA</w:t>
      </w:r>
      <w:r>
        <w:rPr>
          <w:sz w:val="20"/>
        </w:rPr>
        <w:t>)</w:t>
      </w:r>
    </w:p>
    <w:p>
      <w:pPr>
        <w:spacing w:after="0" w:line="233" w:lineRule="exact"/>
        <w:jc w:val="left"/>
        <w:rPr>
          <w:sz w:val="20"/>
        </w:rPr>
        <w:sectPr>
          <w:pgSz w:w="11910" w:h="16840"/>
          <w:pgMar w:header="0" w:footer="1055" w:top="1340" w:bottom="1240" w:left="1180" w:right="1040"/>
        </w:sectPr>
      </w:pPr>
    </w:p>
    <w:p>
      <w:pPr>
        <w:pStyle w:val="ListParagraph"/>
        <w:numPr>
          <w:ilvl w:val="1"/>
          <w:numId w:val="56"/>
        </w:numPr>
        <w:tabs>
          <w:tab w:pos="1340" w:val="left" w:leader="none"/>
        </w:tabs>
        <w:spacing w:line="240" w:lineRule="auto" w:before="73" w:after="0"/>
        <w:ind w:left="1340" w:right="0" w:hanging="360"/>
        <w:jc w:val="both"/>
        <w:rPr>
          <w:sz w:val="24"/>
        </w:rPr>
      </w:pPr>
      <w:r>
        <w:rPr>
          <w:sz w:val="24"/>
          <w:u w:val="single"/>
        </w:rPr>
        <w:t>Parādnieka iepriekšējā maksātnespējas</w:t>
      </w:r>
      <w:r>
        <w:rPr>
          <w:spacing w:val="-4"/>
          <w:sz w:val="24"/>
          <w:u w:val="single"/>
        </w:rPr>
        <w:t> </w:t>
      </w:r>
      <w:r>
        <w:rPr>
          <w:sz w:val="24"/>
          <w:u w:val="single"/>
        </w:rPr>
        <w:t>vēsture</w:t>
      </w:r>
    </w:p>
    <w:p>
      <w:pPr>
        <w:pStyle w:val="BodyText"/>
        <w:ind w:left="620" w:right="404" w:firstLine="720"/>
      </w:pPr>
      <w:r>
        <w:rPr/>
        <w:t>Lai parādniekam varētu īstenot DRO procedūru, parādniekam nedrīkst būt izmantojis šo procedūru pēdējo 6 gadu laikā.</w:t>
      </w:r>
    </w:p>
    <w:p>
      <w:pPr>
        <w:pStyle w:val="BodyText"/>
        <w:ind w:left="620" w:right="399" w:firstLine="720"/>
      </w:pPr>
      <w:r>
        <w:rPr/>
        <w:t>Parādnieks nedrīkst arī būt saistītas ar citu maksātnespējas procedūru – viņš nevar būt uz lēmuma brīdi neatbrīvots no bankrota procedūras, būt pagaidu rīkojuma vai brīvprātīgās individuālās vienošanās subjekts, kā arī subjekts, kam ir noteikts rīkojums</w:t>
      </w:r>
      <w:r>
        <w:rPr>
          <w:spacing w:val="-29"/>
        </w:rPr>
        <w:t> </w:t>
      </w:r>
      <w:r>
        <w:rPr/>
        <w:t>par bankrota procedūras ierobežojumu vai DRO ierobežojumu.</w:t>
      </w:r>
    </w:p>
    <w:p>
      <w:pPr>
        <w:pStyle w:val="BodyText"/>
        <w:jc w:val="left"/>
        <w:rPr>
          <w:sz w:val="26"/>
        </w:rPr>
      </w:pPr>
    </w:p>
    <w:p>
      <w:pPr>
        <w:pStyle w:val="BodyText"/>
        <w:jc w:val="left"/>
        <w:rPr>
          <w:sz w:val="22"/>
        </w:rPr>
      </w:pPr>
    </w:p>
    <w:p>
      <w:pPr>
        <w:pStyle w:val="ListParagraph"/>
        <w:numPr>
          <w:ilvl w:val="1"/>
          <w:numId w:val="56"/>
        </w:numPr>
        <w:tabs>
          <w:tab w:pos="1340" w:val="left" w:leader="none"/>
        </w:tabs>
        <w:spacing w:line="240" w:lineRule="auto" w:before="0" w:after="0"/>
        <w:ind w:left="1340" w:right="0" w:hanging="360"/>
        <w:jc w:val="both"/>
        <w:rPr>
          <w:sz w:val="24"/>
        </w:rPr>
      </w:pPr>
      <w:r>
        <w:rPr>
          <w:sz w:val="24"/>
          <w:u w:val="single"/>
        </w:rPr>
        <w:t>Parādnieka vispārējais parāda</w:t>
      </w:r>
      <w:r>
        <w:rPr>
          <w:spacing w:val="-4"/>
          <w:sz w:val="24"/>
          <w:u w:val="single"/>
        </w:rPr>
        <w:t> </w:t>
      </w:r>
      <w:r>
        <w:rPr>
          <w:sz w:val="24"/>
          <w:u w:val="single"/>
        </w:rPr>
        <w:t>limits</w:t>
      </w:r>
    </w:p>
    <w:p>
      <w:pPr>
        <w:pStyle w:val="BodyText"/>
        <w:spacing w:line="237" w:lineRule="auto" w:before="3"/>
        <w:ind w:left="620" w:right="401" w:firstLine="720"/>
        <w:rPr>
          <w:sz w:val="16"/>
        </w:rPr>
      </w:pPr>
      <w:r>
        <w:rPr/>
        <w:t>Kopējais parādnieka parāds nedrīkst pārsniegt noteikto apmēru (izslēdzot tos parādus,</w:t>
      </w:r>
      <w:r>
        <w:rPr>
          <w:spacing w:val="-13"/>
        </w:rPr>
        <w:t> </w:t>
      </w:r>
      <w:r>
        <w:rPr/>
        <w:t>kas</w:t>
      </w:r>
      <w:r>
        <w:rPr>
          <w:spacing w:val="-13"/>
        </w:rPr>
        <w:t> </w:t>
      </w:r>
      <w:r>
        <w:rPr/>
        <w:t>nav</w:t>
      </w:r>
      <w:r>
        <w:rPr>
          <w:spacing w:val="-12"/>
        </w:rPr>
        <w:t> </w:t>
      </w:r>
      <w:r>
        <w:rPr/>
        <w:t>iekļaujami</w:t>
      </w:r>
      <w:r>
        <w:rPr>
          <w:spacing w:val="-13"/>
        </w:rPr>
        <w:t> </w:t>
      </w:r>
      <w:r>
        <w:rPr/>
        <w:t>DRO</w:t>
      </w:r>
      <w:r>
        <w:rPr>
          <w:spacing w:val="-12"/>
        </w:rPr>
        <w:t> </w:t>
      </w:r>
      <w:r>
        <w:rPr/>
        <w:t>procedūrā),</w:t>
      </w:r>
      <w:r>
        <w:rPr>
          <w:spacing w:val="-13"/>
        </w:rPr>
        <w:t> </w:t>
      </w:r>
      <w:r>
        <w:rPr/>
        <w:t>tomēr</w:t>
      </w:r>
      <w:r>
        <w:rPr>
          <w:spacing w:val="-16"/>
        </w:rPr>
        <w:t> </w:t>
      </w:r>
      <w:r>
        <w:rPr/>
        <w:t>šis</w:t>
      </w:r>
      <w:r>
        <w:rPr>
          <w:spacing w:val="-11"/>
        </w:rPr>
        <w:t> </w:t>
      </w:r>
      <w:r>
        <w:rPr/>
        <w:t>apmērs</w:t>
      </w:r>
      <w:r>
        <w:rPr>
          <w:spacing w:val="-12"/>
        </w:rPr>
        <w:t> </w:t>
      </w:r>
      <w:r>
        <w:rPr/>
        <w:t>nav</w:t>
      </w:r>
      <w:r>
        <w:rPr>
          <w:spacing w:val="-16"/>
        </w:rPr>
        <w:t> </w:t>
      </w:r>
      <w:r>
        <w:rPr/>
        <w:t>paredzēts</w:t>
      </w:r>
      <w:r>
        <w:rPr>
          <w:spacing w:val="-10"/>
        </w:rPr>
        <w:t> </w:t>
      </w:r>
      <w:r>
        <w:rPr/>
        <w:t>Lielbritānijas Maksātnespējas likumā. Atbilstoši Lielbritānijas Maksātnespējas likuma 418.pantā piešķirtajām</w:t>
      </w:r>
      <w:r>
        <w:rPr>
          <w:spacing w:val="-17"/>
        </w:rPr>
        <w:t> </w:t>
      </w:r>
      <w:r>
        <w:rPr/>
        <w:t>pilnvarām</w:t>
      </w:r>
      <w:r>
        <w:rPr>
          <w:spacing w:val="-15"/>
        </w:rPr>
        <w:t> </w:t>
      </w:r>
      <w:r>
        <w:rPr/>
        <w:t>Valsts</w:t>
      </w:r>
      <w:r>
        <w:rPr>
          <w:spacing w:val="-15"/>
        </w:rPr>
        <w:t> </w:t>
      </w:r>
      <w:r>
        <w:rPr/>
        <w:t>sekretārs</w:t>
      </w:r>
      <w:r>
        <w:rPr>
          <w:spacing w:val="-15"/>
        </w:rPr>
        <w:t> </w:t>
      </w:r>
      <w:r>
        <w:rPr/>
        <w:t>var</w:t>
      </w:r>
      <w:r>
        <w:rPr>
          <w:spacing w:val="-18"/>
        </w:rPr>
        <w:t> </w:t>
      </w:r>
      <w:r>
        <w:rPr/>
        <w:t>ar</w:t>
      </w:r>
      <w:r>
        <w:rPr>
          <w:spacing w:val="-14"/>
        </w:rPr>
        <w:t> </w:t>
      </w:r>
      <w:r>
        <w:rPr/>
        <w:t>rīkojumu</w:t>
      </w:r>
      <w:r>
        <w:rPr>
          <w:spacing w:val="-15"/>
        </w:rPr>
        <w:t> </w:t>
      </w:r>
      <w:r>
        <w:rPr/>
        <w:t>noteikt</w:t>
      </w:r>
      <w:r>
        <w:rPr>
          <w:spacing w:val="-15"/>
        </w:rPr>
        <w:t> </w:t>
      </w:r>
      <w:r>
        <w:rPr/>
        <w:t>summas,</w:t>
      </w:r>
      <w:r>
        <w:rPr>
          <w:spacing w:val="-15"/>
        </w:rPr>
        <w:t> </w:t>
      </w:r>
      <w:r>
        <w:rPr/>
        <w:t>kas</w:t>
      </w:r>
      <w:r>
        <w:rPr>
          <w:spacing w:val="-17"/>
        </w:rPr>
        <w:t> </w:t>
      </w:r>
      <w:r>
        <w:rPr/>
        <w:t>nepieciešamas Lielbritānijas Maksātnespējas likuma otrās daļas grupu noteikumu izpildes </w:t>
      </w:r>
      <w:r>
        <w:rPr>
          <w:spacing w:val="-3"/>
        </w:rPr>
        <w:t>nolūkā </w:t>
      </w:r>
      <w:r>
        <w:rPr>
          <w:i/>
        </w:rPr>
        <w:t>(Insolvency of Individuals;</w:t>
      </w:r>
      <w:r>
        <w:rPr>
          <w:i/>
          <w:spacing w:val="-1"/>
        </w:rPr>
        <w:t> </w:t>
      </w:r>
      <w:r>
        <w:rPr>
          <w:i/>
        </w:rPr>
        <w:t>Bankruptcy)</w:t>
      </w:r>
      <w:r>
        <w:rPr/>
        <w:t>.</w:t>
      </w:r>
      <w:r>
        <w:rPr>
          <w:position w:val="9"/>
          <w:sz w:val="16"/>
        </w:rPr>
        <w:t>268</w:t>
      </w:r>
    </w:p>
    <w:p>
      <w:pPr>
        <w:pStyle w:val="BodyText"/>
        <w:spacing w:line="228" w:lineRule="auto"/>
        <w:ind w:left="620" w:right="402" w:firstLine="780"/>
        <w:rPr>
          <w:sz w:val="16"/>
        </w:rPr>
      </w:pPr>
      <w:r>
        <w:rPr/>
        <w:t>Atbilstoši</w:t>
      </w:r>
      <w:r>
        <w:rPr>
          <w:spacing w:val="-12"/>
        </w:rPr>
        <w:t> </w:t>
      </w:r>
      <w:r>
        <w:rPr/>
        <w:t>minētajam</w:t>
      </w:r>
      <w:r>
        <w:rPr>
          <w:spacing w:val="-11"/>
        </w:rPr>
        <w:t> </w:t>
      </w:r>
      <w:r>
        <w:rPr/>
        <w:t>sākotnējais</w:t>
      </w:r>
      <w:r>
        <w:rPr>
          <w:spacing w:val="-11"/>
        </w:rPr>
        <w:t> </w:t>
      </w:r>
      <w:r>
        <w:rPr/>
        <w:t>regulējums</w:t>
      </w:r>
      <w:r>
        <w:rPr>
          <w:spacing w:val="-11"/>
        </w:rPr>
        <w:t> </w:t>
      </w:r>
      <w:r>
        <w:rPr/>
        <w:t>paredzēja,</w:t>
      </w:r>
      <w:r>
        <w:rPr>
          <w:spacing w:val="-11"/>
        </w:rPr>
        <w:t> </w:t>
      </w:r>
      <w:r>
        <w:rPr/>
        <w:t>ka</w:t>
      </w:r>
      <w:r>
        <w:rPr>
          <w:spacing w:val="-12"/>
        </w:rPr>
        <w:t> </w:t>
      </w:r>
      <w:r>
        <w:rPr/>
        <w:t>kopējā</w:t>
      </w:r>
      <w:r>
        <w:rPr>
          <w:spacing w:val="-11"/>
        </w:rPr>
        <w:t> </w:t>
      </w:r>
      <w:r>
        <w:rPr/>
        <w:t>nenodrošināto</w:t>
      </w:r>
      <w:r>
        <w:rPr>
          <w:position w:val="9"/>
          <w:sz w:val="16"/>
        </w:rPr>
        <w:t>269 </w:t>
      </w:r>
      <w:r>
        <w:rPr/>
        <w:t>saistību</w:t>
      </w:r>
      <w:r>
        <w:rPr>
          <w:spacing w:val="-10"/>
        </w:rPr>
        <w:t> </w:t>
      </w:r>
      <w:r>
        <w:rPr/>
        <w:t>summa</w:t>
      </w:r>
      <w:r>
        <w:rPr>
          <w:spacing w:val="-10"/>
        </w:rPr>
        <w:t> </w:t>
      </w:r>
      <w:r>
        <w:rPr/>
        <w:t>nepārsniedz</w:t>
      </w:r>
      <w:r>
        <w:rPr>
          <w:spacing w:val="-9"/>
        </w:rPr>
        <w:t> </w:t>
      </w:r>
      <w:r>
        <w:rPr/>
        <w:t>15</w:t>
      </w:r>
      <w:r>
        <w:rPr>
          <w:spacing w:val="-10"/>
        </w:rPr>
        <w:t> </w:t>
      </w:r>
      <w:r>
        <w:rPr/>
        <w:t>000</w:t>
      </w:r>
      <w:r>
        <w:rPr>
          <w:spacing w:val="-11"/>
        </w:rPr>
        <w:t> </w:t>
      </w:r>
      <w:r>
        <w:rPr/>
        <w:t>mārciņas.</w:t>
      </w:r>
      <w:r>
        <w:rPr>
          <w:position w:val="9"/>
          <w:sz w:val="16"/>
        </w:rPr>
        <w:t>270</w:t>
      </w:r>
      <w:r>
        <w:rPr>
          <w:spacing w:val="13"/>
          <w:position w:val="9"/>
          <w:sz w:val="16"/>
        </w:rPr>
        <w:t> </w:t>
      </w:r>
      <w:r>
        <w:rPr/>
        <w:t>Tomēr</w:t>
      </w:r>
      <w:r>
        <w:rPr>
          <w:spacing w:val="-12"/>
        </w:rPr>
        <w:t> </w:t>
      </w:r>
      <w:r>
        <w:rPr/>
        <w:t>tika</w:t>
      </w:r>
      <w:r>
        <w:rPr>
          <w:spacing w:val="-12"/>
        </w:rPr>
        <w:t> </w:t>
      </w:r>
      <w:r>
        <w:rPr/>
        <w:t>veikti</w:t>
      </w:r>
      <w:r>
        <w:rPr>
          <w:spacing w:val="-8"/>
        </w:rPr>
        <w:t> </w:t>
      </w:r>
      <w:r>
        <w:rPr/>
        <w:t>grozījumi</w:t>
      </w:r>
      <w:r>
        <w:rPr>
          <w:spacing w:val="-10"/>
        </w:rPr>
        <w:t> </w:t>
      </w:r>
      <w:r>
        <w:rPr/>
        <w:t>un</w:t>
      </w:r>
      <w:r>
        <w:rPr>
          <w:spacing w:val="-9"/>
        </w:rPr>
        <w:t> </w:t>
      </w:r>
      <w:r>
        <w:rPr/>
        <w:t>maksimālā personas parādu summa no 15 000 mārciņām tika nomainīta uz 20 000</w:t>
      </w:r>
      <w:r>
        <w:rPr>
          <w:spacing w:val="-2"/>
        </w:rPr>
        <w:t> </w:t>
      </w:r>
      <w:r>
        <w:rPr/>
        <w:t>mārciņām.</w:t>
      </w:r>
      <w:r>
        <w:rPr>
          <w:position w:val="9"/>
          <w:sz w:val="16"/>
        </w:rPr>
        <w:t>271</w:t>
      </w:r>
    </w:p>
    <w:p>
      <w:pPr>
        <w:pStyle w:val="BodyText"/>
        <w:ind w:left="620" w:right="402" w:firstLine="720"/>
      </w:pPr>
      <w:r>
        <w:rPr/>
        <w:t>Anglijas un Velsas likumdevējs tos parādus, kas var tikt iekļauti DRO apzīmē kā “atbilstošie parādi” </w:t>
      </w:r>
      <w:r>
        <w:rPr>
          <w:i/>
        </w:rPr>
        <w:t>(qualifying debts), </w:t>
      </w:r>
      <w:r>
        <w:rPr/>
        <w:t>un tie ietver šādu parādu grupas:</w:t>
      </w:r>
    </w:p>
    <w:p>
      <w:pPr>
        <w:pStyle w:val="ListParagraph"/>
        <w:numPr>
          <w:ilvl w:val="2"/>
          <w:numId w:val="56"/>
        </w:numPr>
        <w:tabs>
          <w:tab w:pos="1753" w:val="left" w:leader="none"/>
          <w:tab w:pos="1754" w:val="left" w:leader="none"/>
        </w:tabs>
        <w:spacing w:line="240" w:lineRule="auto" w:before="0" w:after="0"/>
        <w:ind w:left="1753" w:right="0" w:hanging="427"/>
        <w:jc w:val="left"/>
        <w:rPr>
          <w:sz w:val="24"/>
        </w:rPr>
      </w:pPr>
      <w:r>
        <w:rPr>
          <w:sz w:val="24"/>
        </w:rPr>
        <w:t>kredītkartes, overdrafti,</w:t>
      </w:r>
      <w:r>
        <w:rPr>
          <w:spacing w:val="-1"/>
          <w:sz w:val="24"/>
        </w:rPr>
        <w:t> </w:t>
      </w:r>
      <w:r>
        <w:rPr>
          <w:sz w:val="24"/>
        </w:rPr>
        <w:t>aizņēmumi;</w:t>
      </w:r>
    </w:p>
    <w:p>
      <w:pPr>
        <w:pStyle w:val="ListParagraph"/>
        <w:numPr>
          <w:ilvl w:val="2"/>
          <w:numId w:val="56"/>
        </w:numPr>
        <w:tabs>
          <w:tab w:pos="1813" w:val="left" w:leader="none"/>
          <w:tab w:pos="1814" w:val="left" w:leader="none"/>
        </w:tabs>
        <w:spacing w:line="240" w:lineRule="auto" w:before="0" w:after="0"/>
        <w:ind w:left="1813" w:right="0" w:hanging="487"/>
        <w:jc w:val="left"/>
        <w:rPr>
          <w:sz w:val="24"/>
        </w:rPr>
      </w:pPr>
      <w:r>
        <w:rPr>
          <w:sz w:val="24"/>
        </w:rPr>
        <w:t>īre, komunālie pakalpojumi, telefons,</w:t>
      </w:r>
      <w:r>
        <w:rPr>
          <w:spacing w:val="-3"/>
          <w:sz w:val="24"/>
        </w:rPr>
        <w:t> </w:t>
      </w:r>
      <w:r>
        <w:rPr>
          <w:sz w:val="24"/>
        </w:rPr>
        <w:t>nodokļi;</w:t>
      </w:r>
    </w:p>
    <w:p>
      <w:pPr>
        <w:pStyle w:val="ListParagraph"/>
        <w:numPr>
          <w:ilvl w:val="2"/>
          <w:numId w:val="56"/>
        </w:numPr>
        <w:tabs>
          <w:tab w:pos="1813" w:val="left" w:leader="none"/>
          <w:tab w:pos="1814" w:val="left" w:leader="none"/>
        </w:tabs>
        <w:spacing w:line="268" w:lineRule="exact" w:before="0" w:after="0"/>
        <w:ind w:left="1813" w:right="0" w:hanging="487"/>
        <w:jc w:val="left"/>
        <w:rPr>
          <w:sz w:val="24"/>
        </w:rPr>
      </w:pPr>
      <w:r>
        <w:rPr>
          <w:sz w:val="24"/>
        </w:rPr>
        <w:t>pirkuma līgumi ar</w:t>
      </w:r>
      <w:r>
        <w:rPr>
          <w:spacing w:val="-6"/>
          <w:sz w:val="24"/>
        </w:rPr>
        <w:t> </w:t>
      </w:r>
      <w:r>
        <w:rPr>
          <w:sz w:val="24"/>
        </w:rPr>
        <w:t>nosacījumiem;</w:t>
      </w:r>
    </w:p>
    <w:p>
      <w:pPr>
        <w:pStyle w:val="ListParagraph"/>
        <w:numPr>
          <w:ilvl w:val="2"/>
          <w:numId w:val="56"/>
        </w:numPr>
        <w:tabs>
          <w:tab w:pos="1753" w:val="left" w:leader="none"/>
          <w:tab w:pos="1754" w:val="left" w:leader="none"/>
        </w:tabs>
        <w:spacing w:line="284" w:lineRule="exact" w:before="0" w:after="0"/>
        <w:ind w:left="1753" w:right="0" w:hanging="427"/>
        <w:jc w:val="left"/>
        <w:rPr>
          <w:sz w:val="16"/>
        </w:rPr>
      </w:pPr>
      <w:r>
        <w:rPr>
          <w:sz w:val="24"/>
        </w:rPr>
        <w:t>“pērciet tagad, maksājiet vēlāk”</w:t>
      </w:r>
      <w:r>
        <w:rPr>
          <w:spacing w:val="1"/>
          <w:sz w:val="24"/>
        </w:rPr>
        <w:t> </w:t>
      </w:r>
      <w:r>
        <w:rPr>
          <w:sz w:val="24"/>
        </w:rPr>
        <w:t>līgumi.</w:t>
      </w:r>
      <w:r>
        <w:rPr>
          <w:position w:val="9"/>
          <w:sz w:val="16"/>
        </w:rPr>
        <w:t>272</w:t>
      </w:r>
    </w:p>
    <w:p>
      <w:pPr>
        <w:pStyle w:val="BodyText"/>
        <w:spacing w:line="237" w:lineRule="auto"/>
        <w:ind w:left="620" w:right="403" w:firstLine="708"/>
      </w:pPr>
      <w:r>
        <w:rPr/>
        <w:t>Atbilstoši Lielbritānijas Maksātnespējas likuma 251A panta trešajai daļai, par atbilstošo parādu nav atzīstams parāds tādā apjomā, ciktāl tas ir nodrošināts. Turklāt nodrošinātie parādi nav vienīgā grupa, kas netiek iekļauta DRO procedūrā. Atbilstoši Anglijas un Velsas Maksātnespējas noteikumu (2016) 9.2. pantam</w:t>
      </w:r>
      <w:r>
        <w:rPr>
          <w:position w:val="9"/>
          <w:sz w:val="16"/>
        </w:rPr>
        <w:t>273 </w:t>
      </w:r>
      <w:r>
        <w:rPr/>
        <w:t>no DRO tiek izslēgti arī vairāki citi parādu veidi, kuri atbilst noteikumos norādītajiem kritērijiem:</w:t>
      </w:r>
    </w:p>
    <w:p>
      <w:pPr>
        <w:pStyle w:val="ListParagraph"/>
        <w:numPr>
          <w:ilvl w:val="0"/>
          <w:numId w:val="62"/>
        </w:numPr>
        <w:tabs>
          <w:tab w:pos="1700" w:val="left" w:leader="none"/>
        </w:tabs>
        <w:spacing w:line="240" w:lineRule="auto" w:before="0" w:after="0"/>
        <w:ind w:left="1700" w:right="404" w:hanging="360"/>
        <w:jc w:val="both"/>
        <w:rPr>
          <w:sz w:val="24"/>
        </w:rPr>
      </w:pPr>
      <w:r>
        <w:rPr>
          <w:sz w:val="24"/>
        </w:rPr>
        <w:t>maksājumi, kas izriet no rīkojumiem, kas pieņemti ģimenes lietās, piemēram, maksājumi bērnu atbalstam un</w:t>
      </w:r>
      <w:r>
        <w:rPr>
          <w:spacing w:val="1"/>
          <w:sz w:val="24"/>
        </w:rPr>
        <w:t> </w:t>
      </w:r>
      <w:r>
        <w:rPr>
          <w:sz w:val="24"/>
        </w:rPr>
        <w:t>uzturēšanai;</w:t>
      </w:r>
    </w:p>
    <w:p>
      <w:pPr>
        <w:pStyle w:val="ListParagraph"/>
        <w:numPr>
          <w:ilvl w:val="0"/>
          <w:numId w:val="62"/>
        </w:numPr>
        <w:tabs>
          <w:tab w:pos="1700" w:val="left" w:leader="none"/>
        </w:tabs>
        <w:spacing w:line="240" w:lineRule="auto" w:before="0" w:after="0"/>
        <w:ind w:left="1700" w:right="403" w:hanging="360"/>
        <w:jc w:val="both"/>
        <w:rPr>
          <w:sz w:val="24"/>
        </w:rPr>
      </w:pPr>
      <w:r>
        <w:rPr>
          <w:sz w:val="24"/>
        </w:rPr>
        <w:t>parādi vai saistības, ar kurām parādniekam tika vai tiek izmaksātas un </w:t>
      </w:r>
      <w:r>
        <w:rPr>
          <w:spacing w:val="-6"/>
          <w:sz w:val="24"/>
        </w:rPr>
        <w:t>ir </w:t>
      </w:r>
      <w:r>
        <w:rPr>
          <w:sz w:val="24"/>
        </w:rPr>
        <w:t>izsniegtas kā studentam aizdevuma veidā, respektīvi, DRO procedūrā parādnieks netiek atbrīvots no studiju</w:t>
      </w:r>
      <w:r>
        <w:rPr>
          <w:spacing w:val="-1"/>
          <w:sz w:val="24"/>
        </w:rPr>
        <w:t> </w:t>
      </w:r>
      <w:r>
        <w:rPr>
          <w:sz w:val="24"/>
        </w:rPr>
        <w:t>kredītiem;</w:t>
      </w:r>
    </w:p>
    <w:p>
      <w:pPr>
        <w:pStyle w:val="ListParagraph"/>
        <w:numPr>
          <w:ilvl w:val="0"/>
          <w:numId w:val="62"/>
        </w:numPr>
        <w:tabs>
          <w:tab w:pos="1700" w:val="left" w:leader="none"/>
        </w:tabs>
        <w:spacing w:line="240" w:lineRule="auto" w:before="0" w:after="0"/>
        <w:ind w:left="1700" w:right="403" w:hanging="360"/>
        <w:jc w:val="both"/>
        <w:rPr>
          <w:sz w:val="24"/>
        </w:rPr>
      </w:pPr>
      <w:r>
        <w:rPr>
          <w:sz w:val="24"/>
        </w:rPr>
        <w:t>jebkāds pienākums, kas izriet no rīkojuma par konfiskāciju, kas pieņemts saskaņā ar Lielbritānijas Maksātnespējas likumā noteiktajiem tiesību aktiem (piemēram, 1986. gada Likuma par narkotisko vielu nelikumīgu izmantošanu apkarošanu 1.</w:t>
      </w:r>
      <w:r>
        <w:rPr>
          <w:spacing w:val="-1"/>
          <w:sz w:val="24"/>
        </w:rPr>
        <w:t> </w:t>
      </w:r>
      <w:r>
        <w:rPr>
          <w:sz w:val="24"/>
        </w:rPr>
        <w:t>nodaļu);</w:t>
      </w:r>
    </w:p>
    <w:p>
      <w:pPr>
        <w:pStyle w:val="ListParagraph"/>
        <w:numPr>
          <w:ilvl w:val="0"/>
          <w:numId w:val="62"/>
        </w:numPr>
        <w:tabs>
          <w:tab w:pos="1700" w:val="left" w:leader="none"/>
        </w:tabs>
        <w:spacing w:line="240" w:lineRule="auto" w:before="0" w:after="0"/>
        <w:ind w:left="1700" w:right="402" w:hanging="360"/>
        <w:jc w:val="both"/>
        <w:rPr>
          <w:sz w:val="24"/>
        </w:rPr>
      </w:pPr>
      <w:r>
        <w:rPr>
          <w:sz w:val="24"/>
        </w:rPr>
        <w:t>parādu, kas saistīts ar pienākumu atlīdzināt zaudējumus, kas radušies aiz nolaidības</w:t>
      </w:r>
      <w:r>
        <w:rPr>
          <w:spacing w:val="-11"/>
          <w:sz w:val="24"/>
        </w:rPr>
        <w:t> </w:t>
      </w:r>
      <w:r>
        <w:rPr>
          <w:sz w:val="24"/>
        </w:rPr>
        <w:t>vai</w:t>
      </w:r>
      <w:r>
        <w:rPr>
          <w:spacing w:val="-11"/>
          <w:sz w:val="24"/>
        </w:rPr>
        <w:t> </w:t>
      </w:r>
      <w:r>
        <w:rPr>
          <w:sz w:val="24"/>
        </w:rPr>
        <w:t>likumā</w:t>
      </w:r>
      <w:r>
        <w:rPr>
          <w:spacing w:val="-11"/>
          <w:sz w:val="24"/>
        </w:rPr>
        <w:t> </w:t>
      </w:r>
      <w:r>
        <w:rPr>
          <w:sz w:val="24"/>
        </w:rPr>
        <w:t>vai</w:t>
      </w:r>
      <w:r>
        <w:rPr>
          <w:spacing w:val="-9"/>
          <w:sz w:val="24"/>
        </w:rPr>
        <w:t> </w:t>
      </w:r>
      <w:r>
        <w:rPr>
          <w:sz w:val="24"/>
        </w:rPr>
        <w:t>līgumā</w:t>
      </w:r>
      <w:r>
        <w:rPr>
          <w:spacing w:val="-9"/>
          <w:sz w:val="24"/>
        </w:rPr>
        <w:t> </w:t>
      </w:r>
      <w:r>
        <w:rPr>
          <w:sz w:val="24"/>
        </w:rPr>
        <w:t>noteikto</w:t>
      </w:r>
      <w:r>
        <w:rPr>
          <w:spacing w:val="-9"/>
          <w:sz w:val="24"/>
        </w:rPr>
        <w:t> </w:t>
      </w:r>
      <w:r>
        <w:rPr>
          <w:sz w:val="24"/>
        </w:rPr>
        <w:t>tiesību</w:t>
      </w:r>
      <w:r>
        <w:rPr>
          <w:spacing w:val="-11"/>
          <w:sz w:val="24"/>
        </w:rPr>
        <w:t> </w:t>
      </w:r>
      <w:r>
        <w:rPr>
          <w:sz w:val="24"/>
        </w:rPr>
        <w:t>un</w:t>
      </w:r>
      <w:r>
        <w:rPr>
          <w:spacing w:val="-11"/>
          <w:sz w:val="24"/>
        </w:rPr>
        <w:t> </w:t>
      </w:r>
      <w:r>
        <w:rPr>
          <w:sz w:val="24"/>
        </w:rPr>
        <w:t>pienākumu</w:t>
      </w:r>
      <w:r>
        <w:rPr>
          <w:spacing w:val="-8"/>
          <w:sz w:val="24"/>
        </w:rPr>
        <w:t> </w:t>
      </w:r>
      <w:r>
        <w:rPr>
          <w:sz w:val="24"/>
        </w:rPr>
        <w:t>pārkāpumu,</w:t>
      </w:r>
      <w:r>
        <w:rPr>
          <w:spacing w:val="-9"/>
          <w:sz w:val="24"/>
        </w:rPr>
        <w:t> </w:t>
      </w:r>
      <w:r>
        <w:rPr>
          <w:sz w:val="24"/>
        </w:rPr>
        <w:t>vai atlīdzināt</w:t>
      </w:r>
      <w:r>
        <w:rPr>
          <w:spacing w:val="-6"/>
          <w:sz w:val="24"/>
        </w:rPr>
        <w:t> </w:t>
      </w:r>
      <w:r>
        <w:rPr>
          <w:sz w:val="24"/>
        </w:rPr>
        <w:t>zaudējumus</w:t>
      </w:r>
      <w:r>
        <w:rPr>
          <w:spacing w:val="-5"/>
          <w:sz w:val="24"/>
        </w:rPr>
        <w:t> </w:t>
      </w:r>
      <w:r>
        <w:rPr>
          <w:sz w:val="24"/>
        </w:rPr>
        <w:t>par</w:t>
      </w:r>
      <w:r>
        <w:rPr>
          <w:spacing w:val="-9"/>
          <w:sz w:val="24"/>
        </w:rPr>
        <w:t> </w:t>
      </w:r>
      <w:r>
        <w:rPr>
          <w:sz w:val="24"/>
        </w:rPr>
        <w:t>personas</w:t>
      </w:r>
      <w:r>
        <w:rPr>
          <w:spacing w:val="-7"/>
          <w:sz w:val="24"/>
        </w:rPr>
        <w:t> </w:t>
      </w:r>
      <w:r>
        <w:rPr>
          <w:sz w:val="24"/>
        </w:rPr>
        <w:t>nāvi,</w:t>
      </w:r>
      <w:r>
        <w:rPr>
          <w:spacing w:val="-4"/>
          <w:sz w:val="24"/>
        </w:rPr>
        <w:t> </w:t>
      </w:r>
      <w:r>
        <w:rPr>
          <w:sz w:val="24"/>
        </w:rPr>
        <w:t>sakropļojumu</w:t>
      </w:r>
      <w:r>
        <w:rPr>
          <w:spacing w:val="-5"/>
          <w:sz w:val="24"/>
        </w:rPr>
        <w:t> </w:t>
      </w:r>
      <w:r>
        <w:rPr>
          <w:sz w:val="24"/>
        </w:rPr>
        <w:t>vai</w:t>
      </w:r>
      <w:r>
        <w:rPr>
          <w:spacing w:val="-6"/>
          <w:sz w:val="24"/>
        </w:rPr>
        <w:t> </w:t>
      </w:r>
      <w:r>
        <w:rPr>
          <w:sz w:val="24"/>
        </w:rPr>
        <w:t>miesas</w:t>
      </w:r>
      <w:r>
        <w:rPr>
          <w:spacing w:val="-5"/>
          <w:sz w:val="24"/>
        </w:rPr>
        <w:t> </w:t>
      </w:r>
      <w:r>
        <w:rPr>
          <w:sz w:val="24"/>
        </w:rPr>
        <w:t>bojājumiem,</w:t>
      </w:r>
    </w:p>
    <w:p>
      <w:pPr>
        <w:pStyle w:val="BodyText"/>
        <w:spacing w:before="10"/>
        <w:jc w:val="left"/>
        <w:rPr>
          <w:sz w:val="16"/>
        </w:rPr>
      </w:pPr>
    </w:p>
    <w:p>
      <w:pPr>
        <w:spacing w:line="233" w:lineRule="exact" w:before="94"/>
        <w:ind w:left="620" w:right="0" w:firstLine="0"/>
        <w:jc w:val="left"/>
        <w:rPr>
          <w:sz w:val="20"/>
        </w:rPr>
      </w:pPr>
      <w:r>
        <w:rPr>
          <w:position w:val="7"/>
          <w:sz w:val="13"/>
        </w:rPr>
        <w:t>268 </w:t>
      </w:r>
      <w:r>
        <w:rPr>
          <w:sz w:val="20"/>
        </w:rPr>
        <w:t>Lielbritānijas Maksātnespējas likums, 418.pants</w:t>
      </w:r>
    </w:p>
    <w:p>
      <w:pPr>
        <w:spacing w:line="240" w:lineRule="auto" w:before="0"/>
        <w:ind w:left="620" w:right="398" w:firstLine="0"/>
        <w:jc w:val="left"/>
        <w:rPr>
          <w:sz w:val="20"/>
        </w:rPr>
      </w:pPr>
      <w:r>
        <w:rPr>
          <w:position w:val="7"/>
          <w:sz w:val="13"/>
        </w:rPr>
        <w:t>269 </w:t>
      </w:r>
      <w:r>
        <w:rPr>
          <w:sz w:val="20"/>
        </w:rPr>
        <w:t>Atbilstoši 251A trešajai daļai DRO atbilstošajiem parādiem ir atzīstami tādi parādi, ciktāl tie nav nodrošināti.</w:t>
      </w:r>
    </w:p>
    <w:p>
      <w:pPr>
        <w:spacing w:line="231" w:lineRule="exact" w:before="0"/>
        <w:ind w:left="620" w:right="0" w:firstLine="0"/>
        <w:jc w:val="left"/>
        <w:rPr>
          <w:sz w:val="20"/>
        </w:rPr>
      </w:pPr>
      <w:r>
        <w:rPr>
          <w:position w:val="7"/>
          <w:sz w:val="13"/>
        </w:rPr>
        <w:t>270 </w:t>
      </w:r>
      <w:r>
        <w:rPr>
          <w:sz w:val="20"/>
        </w:rPr>
        <w:t>Order on Amendment No. 465, 2009, INSOLVENCY INDIVIDUALS, ENGLAND AND WALES The</w:t>
      </w:r>
    </w:p>
    <w:p>
      <w:pPr>
        <w:spacing w:line="227" w:lineRule="exact" w:before="0"/>
        <w:ind w:left="620" w:right="0" w:firstLine="0"/>
        <w:jc w:val="left"/>
        <w:rPr>
          <w:sz w:val="20"/>
        </w:rPr>
      </w:pPr>
      <w:r>
        <w:rPr>
          <w:sz w:val="20"/>
        </w:rPr>
        <w:t>Insolvency Proceedings (Monetary Limits), 3.panta b) apakšpunkts.</w:t>
      </w:r>
    </w:p>
    <w:p>
      <w:pPr>
        <w:spacing w:line="240" w:lineRule="auto" w:before="0"/>
        <w:ind w:left="620" w:right="398" w:firstLine="0"/>
        <w:jc w:val="left"/>
        <w:rPr>
          <w:sz w:val="20"/>
        </w:rPr>
      </w:pPr>
      <w:r>
        <w:rPr>
          <w:position w:val="7"/>
          <w:sz w:val="13"/>
        </w:rPr>
        <w:t>271 </w:t>
      </w:r>
      <w:r>
        <w:rPr>
          <w:sz w:val="20"/>
        </w:rPr>
        <w:t>Order on Amendment No. 26, 2015, INSOLVENCY, ENGLAND AND WALES The Insolvency Proceedings (Monetary Limits), 2. panta a) apakšpunkts</w:t>
      </w:r>
    </w:p>
    <w:p>
      <w:pPr>
        <w:spacing w:line="229" w:lineRule="exact" w:before="0"/>
        <w:ind w:left="620" w:right="0" w:firstLine="0"/>
        <w:jc w:val="left"/>
        <w:rPr>
          <w:sz w:val="20"/>
        </w:rPr>
      </w:pPr>
      <w:r>
        <w:rPr>
          <w:position w:val="7"/>
          <w:sz w:val="13"/>
        </w:rPr>
        <w:t>272 </w:t>
      </w:r>
      <w:r>
        <w:rPr>
          <w:sz w:val="20"/>
        </w:rPr>
        <w:t>Conway L. Debt Relief Orders. / House of Commons Library, Briefing paper, 2016., No. CPB4982, p.6.</w:t>
      </w:r>
    </w:p>
    <w:p>
      <w:pPr>
        <w:spacing w:line="233" w:lineRule="exact" w:before="0"/>
        <w:ind w:left="620" w:right="0" w:firstLine="0"/>
        <w:jc w:val="left"/>
        <w:rPr>
          <w:sz w:val="20"/>
        </w:rPr>
      </w:pPr>
      <w:r>
        <w:rPr>
          <w:position w:val="7"/>
          <w:sz w:val="13"/>
        </w:rPr>
        <w:t>273 </w:t>
      </w:r>
      <w:r>
        <w:rPr>
          <w:sz w:val="20"/>
        </w:rPr>
        <w:t>The Insolvency (England and Wales) Rules 2016. Rule Nr. 9.2</w:t>
      </w:r>
    </w:p>
    <w:p>
      <w:pPr>
        <w:spacing w:after="0" w:line="233" w:lineRule="exact"/>
        <w:jc w:val="left"/>
        <w:rPr>
          <w:sz w:val="20"/>
        </w:rPr>
        <w:sectPr>
          <w:footerReference w:type="default" r:id="rId71"/>
          <w:footerReference w:type="even" r:id="rId72"/>
          <w:pgSz w:w="11910" w:h="16840"/>
          <w:pgMar w:footer="1165" w:header="0" w:top="1340" w:bottom="1360" w:left="1180" w:right="1040"/>
        </w:sectPr>
      </w:pPr>
    </w:p>
    <w:p>
      <w:pPr>
        <w:pStyle w:val="BodyText"/>
        <w:spacing w:before="73"/>
        <w:ind w:left="1340" w:right="763"/>
      </w:pPr>
      <w:r>
        <w:rPr/>
        <w:t>respektīvi, DRO netiek pakļautas soda naudas par administratīviem vai krimināliem pārkāpumiem un tiesāšanās izdevumi;</w:t>
      </w:r>
    </w:p>
    <w:p>
      <w:pPr>
        <w:pStyle w:val="ListParagraph"/>
        <w:numPr>
          <w:ilvl w:val="0"/>
          <w:numId w:val="62"/>
        </w:numPr>
        <w:tabs>
          <w:tab w:pos="1340" w:val="left" w:leader="none"/>
        </w:tabs>
        <w:spacing w:line="240" w:lineRule="auto" w:before="0" w:after="0"/>
        <w:ind w:left="1340" w:right="0" w:hanging="360"/>
        <w:jc w:val="both"/>
        <w:rPr>
          <w:sz w:val="24"/>
        </w:rPr>
      </w:pPr>
      <w:r>
        <w:rPr>
          <w:sz w:val="24"/>
        </w:rPr>
        <w:t>maksājumi no sociālā fonda, kas izmantoti kā krīzes vai budžeta</w:t>
      </w:r>
      <w:r>
        <w:rPr>
          <w:spacing w:val="-5"/>
          <w:sz w:val="24"/>
        </w:rPr>
        <w:t> </w:t>
      </w:r>
      <w:r>
        <w:rPr>
          <w:sz w:val="24"/>
        </w:rPr>
        <w:t>aizdevums.</w:t>
      </w:r>
    </w:p>
    <w:p>
      <w:pPr>
        <w:pStyle w:val="BodyText"/>
        <w:spacing w:line="237" w:lineRule="auto" w:before="3"/>
        <w:ind w:left="260" w:right="761" w:firstLine="720"/>
      </w:pPr>
      <w:r>
        <w:rPr/>
        <w:t>Būtiski</w:t>
      </w:r>
      <w:r>
        <w:rPr>
          <w:spacing w:val="-12"/>
        </w:rPr>
        <w:t> </w:t>
      </w:r>
      <w:r>
        <w:rPr/>
        <w:t>norādīt,</w:t>
      </w:r>
      <w:r>
        <w:rPr>
          <w:spacing w:val="-12"/>
        </w:rPr>
        <w:t> </w:t>
      </w:r>
      <w:r>
        <w:rPr/>
        <w:t>ka,</w:t>
      </w:r>
      <w:r>
        <w:rPr>
          <w:spacing w:val="-15"/>
        </w:rPr>
        <w:t> </w:t>
      </w:r>
      <w:r>
        <w:rPr/>
        <w:t>atšķirībā</w:t>
      </w:r>
      <w:r>
        <w:rPr>
          <w:spacing w:val="-15"/>
        </w:rPr>
        <w:t> </w:t>
      </w:r>
      <w:r>
        <w:rPr/>
        <w:t>no</w:t>
      </w:r>
      <w:r>
        <w:rPr>
          <w:spacing w:val="-12"/>
        </w:rPr>
        <w:t> </w:t>
      </w:r>
      <w:r>
        <w:rPr/>
        <w:t>bankrota</w:t>
      </w:r>
      <w:r>
        <w:rPr>
          <w:spacing w:val="-15"/>
        </w:rPr>
        <w:t> </w:t>
      </w:r>
      <w:r>
        <w:rPr/>
        <w:t>procedūras,</w:t>
      </w:r>
      <w:r>
        <w:rPr>
          <w:spacing w:val="-12"/>
        </w:rPr>
        <w:t> </w:t>
      </w:r>
      <w:r>
        <w:rPr/>
        <w:t>tikai</w:t>
      </w:r>
      <w:r>
        <w:rPr>
          <w:spacing w:val="-12"/>
        </w:rPr>
        <w:t> </w:t>
      </w:r>
      <w:r>
        <w:rPr/>
        <w:t>DRO</w:t>
      </w:r>
      <w:r>
        <w:rPr>
          <w:spacing w:val="-12"/>
        </w:rPr>
        <w:t> </w:t>
      </w:r>
      <w:r>
        <w:rPr/>
        <w:t>procedūrā</w:t>
      </w:r>
      <w:r>
        <w:rPr>
          <w:spacing w:val="-12"/>
        </w:rPr>
        <w:t> </w:t>
      </w:r>
      <w:r>
        <w:rPr/>
        <w:t>iekļautie (norādītie) parādi tiek pakļauti aizsardzībai no turpmākas kreditoru rīcības attiecībā pret parādnieku DRO procedūras laikā, kā arī parādnieks tiek atbrīvots tikai no šiem parādiem pēc DRO procedūras pabeigšanas pēc 12 mēnešiem.</w:t>
      </w:r>
      <w:r>
        <w:rPr>
          <w:position w:val="9"/>
          <w:sz w:val="16"/>
        </w:rPr>
        <w:t>274 </w:t>
      </w:r>
      <w:r>
        <w:rPr/>
        <w:t>Tas nozīmē, ka parādniekam ir pienākums rūpīgi apzināt visus savus parādus un norādīt tos, uzsākot DRO procedūru, vienlaikus šis varētu būt pamats spriest par parādnieka negodprātīgu rīcību, ja parādnieks nenorāda visus savus kreditorus ar mērķi “pakļūt” zem kritērija par kopējo parāda</w:t>
      </w:r>
      <w:r>
        <w:rPr>
          <w:spacing w:val="-33"/>
        </w:rPr>
        <w:t> </w:t>
      </w:r>
      <w:r>
        <w:rPr/>
        <w:t>summu, lai varētu īstenot DRO procedūru. Šo vērtē oficiālais pieteikuma saņēmējs - amatpersona brīdī, kad lemj par to, vai parādnieks atbilst likumā noteiktajiem kritērijiem, lai varētu īstenot DRO</w:t>
      </w:r>
      <w:r>
        <w:rPr>
          <w:spacing w:val="-1"/>
        </w:rPr>
        <w:t> </w:t>
      </w:r>
      <w:r>
        <w:rPr/>
        <w:t>procedūru.</w:t>
      </w:r>
    </w:p>
    <w:p>
      <w:pPr>
        <w:pStyle w:val="BodyText"/>
        <w:spacing w:before="10"/>
        <w:jc w:val="left"/>
      </w:pPr>
    </w:p>
    <w:p>
      <w:pPr>
        <w:pStyle w:val="ListParagraph"/>
        <w:numPr>
          <w:ilvl w:val="1"/>
          <w:numId w:val="56"/>
        </w:numPr>
        <w:tabs>
          <w:tab w:pos="980" w:val="left" w:leader="none"/>
        </w:tabs>
        <w:spacing w:line="240" w:lineRule="auto" w:before="0" w:after="0"/>
        <w:ind w:left="980" w:right="765" w:hanging="360"/>
        <w:jc w:val="both"/>
        <w:rPr>
          <w:sz w:val="24"/>
        </w:rPr>
      </w:pPr>
      <w:r>
        <w:rPr>
          <w:sz w:val="24"/>
          <w:u w:val="single"/>
        </w:rPr>
        <w:t>Parādnieka ikmēneša ienākumi, kas paliek pāri pēc ierasto mājsaimniecības izdevumu atskaitīšanas</w:t>
      </w:r>
    </w:p>
    <w:p>
      <w:pPr>
        <w:pStyle w:val="BodyText"/>
        <w:spacing w:line="235" w:lineRule="auto" w:before="4"/>
        <w:ind w:left="260" w:right="760" w:firstLine="720"/>
      </w:pPr>
      <w:r>
        <w:rPr/>
        <w:t>Atbilstoši izdotajam rīkojumam par naudas līdzekļu limitu parādnieka tā sauktie “pārpalikuma ienākumi” </w:t>
      </w:r>
      <w:r>
        <w:rPr>
          <w:i/>
        </w:rPr>
        <w:t>(surplus income) </w:t>
      </w:r>
      <w:r>
        <w:rPr/>
        <w:t>nedrīkst pārsniegt 50 mārciņas mēnesī.</w:t>
      </w:r>
      <w:r>
        <w:rPr>
          <w:position w:val="9"/>
          <w:sz w:val="16"/>
        </w:rPr>
        <w:t>275 </w:t>
      </w:r>
      <w:r>
        <w:rPr/>
        <w:t>Ar “pārpalikuma ienākumiem” ir jāsaprot tie ienākumi, kas paliek parādnieka rīcībā pēc saprātīga ikdienas mājsaimniecības izdevumu atskaitīšanas.</w:t>
      </w:r>
    </w:p>
    <w:p>
      <w:pPr>
        <w:pStyle w:val="BodyText"/>
        <w:ind w:left="260" w:right="761" w:firstLine="720"/>
      </w:pPr>
      <w:r>
        <w:rPr/>
        <w:t>Atbilstoši Lielbritānijas Maksātnespējas noteikumu 2016 noteikumam Nr. 9.7.</w:t>
      </w:r>
      <w:r>
        <w:rPr>
          <w:position w:val="9"/>
          <w:sz w:val="16"/>
        </w:rPr>
        <w:t>276 </w:t>
      </w:r>
      <w:r>
        <w:rPr/>
        <w:t>oficiālajai amatpersonai, nosakot parādnieka ikmēneša pārpalikuma ienākumus, jāņem vērā jebkurš parādnieka ģimenes locekļa ieguldījums kopējā summā, kas ir nepieciešama parādnieka un viņa ģimenes locekļu saprātīgā līmenī ikdienas maksājumu veikšanā. Tas nozīmē to, ka tiek vērtēts, vai parādnieks nav vienīgais, no kura ienākumiem tiek veikti maksājumi ikdienas vajadzībām, tādēļ nepamatoti daudz samazinot parādnieka pārpalikuma ienākumus, lai tikai uz parādnieku varētu attiecināt kritēriju par maksimālo atļauto pārpalikuma ienākumu un viņš spētu īstenot DRO procedūru.</w:t>
      </w:r>
    </w:p>
    <w:p>
      <w:pPr>
        <w:pStyle w:val="BodyText"/>
        <w:ind w:left="260" w:right="764" w:firstLine="720"/>
      </w:pPr>
      <w:r>
        <w:rPr/>
        <w:t>Faktiski</w:t>
      </w:r>
      <w:r>
        <w:rPr>
          <w:spacing w:val="-6"/>
        </w:rPr>
        <w:t> </w:t>
      </w:r>
      <w:r>
        <w:rPr/>
        <w:t>personai,</w:t>
      </w:r>
      <w:r>
        <w:rPr>
          <w:spacing w:val="-6"/>
        </w:rPr>
        <w:t> </w:t>
      </w:r>
      <w:r>
        <w:rPr/>
        <w:t>kas</w:t>
      </w:r>
      <w:r>
        <w:rPr>
          <w:spacing w:val="-6"/>
        </w:rPr>
        <w:t> </w:t>
      </w:r>
      <w:r>
        <w:rPr/>
        <w:t>piesakās</w:t>
      </w:r>
      <w:r>
        <w:rPr>
          <w:spacing w:val="-8"/>
        </w:rPr>
        <w:t> </w:t>
      </w:r>
      <w:r>
        <w:rPr/>
        <w:t>DRO</w:t>
      </w:r>
      <w:r>
        <w:rPr>
          <w:spacing w:val="-6"/>
        </w:rPr>
        <w:t> </w:t>
      </w:r>
      <w:r>
        <w:rPr/>
        <w:t>ir</w:t>
      </w:r>
      <w:r>
        <w:rPr>
          <w:spacing w:val="-6"/>
        </w:rPr>
        <w:t> </w:t>
      </w:r>
      <w:r>
        <w:rPr/>
        <w:t>jāpierāda,</w:t>
      </w:r>
      <w:r>
        <w:rPr>
          <w:spacing w:val="-6"/>
        </w:rPr>
        <w:t> </w:t>
      </w:r>
      <w:r>
        <w:rPr/>
        <w:t>ka</w:t>
      </w:r>
      <w:r>
        <w:rPr>
          <w:spacing w:val="-6"/>
        </w:rPr>
        <w:t> </w:t>
      </w:r>
      <w:r>
        <w:rPr/>
        <w:t>tā</w:t>
      </w:r>
      <w:r>
        <w:rPr>
          <w:spacing w:val="-9"/>
        </w:rPr>
        <w:t> </w:t>
      </w:r>
      <w:r>
        <w:rPr/>
        <w:t>no</w:t>
      </w:r>
      <w:r>
        <w:rPr>
          <w:spacing w:val="-6"/>
        </w:rPr>
        <w:t> </w:t>
      </w:r>
      <w:r>
        <w:rPr/>
        <w:t>saviem</w:t>
      </w:r>
      <w:r>
        <w:rPr>
          <w:spacing w:val="-6"/>
        </w:rPr>
        <w:t> </w:t>
      </w:r>
      <w:r>
        <w:rPr/>
        <w:t>ienākumiem</w:t>
      </w:r>
      <w:r>
        <w:rPr>
          <w:spacing w:val="-6"/>
        </w:rPr>
        <w:t> </w:t>
      </w:r>
      <w:r>
        <w:rPr>
          <w:spacing w:val="-3"/>
        </w:rPr>
        <w:t>spēs </w:t>
      </w:r>
      <w:r>
        <w:rPr/>
        <w:t>nosegt dzīvošanas izmaksas, tas nozīmē, ka personām bez jebkādiem ienākumiem, tai skaitā bezpajumtniekiem, šī procedūra nevar tikt</w:t>
      </w:r>
      <w:r>
        <w:rPr>
          <w:spacing w:val="3"/>
        </w:rPr>
        <w:t> </w:t>
      </w:r>
      <w:r>
        <w:rPr/>
        <w:t>piemērota.</w:t>
      </w:r>
    </w:p>
    <w:p>
      <w:pPr>
        <w:pStyle w:val="BodyText"/>
        <w:spacing w:before="11"/>
        <w:jc w:val="left"/>
        <w:rPr>
          <w:sz w:val="22"/>
        </w:rPr>
      </w:pPr>
    </w:p>
    <w:p>
      <w:pPr>
        <w:pStyle w:val="ListParagraph"/>
        <w:numPr>
          <w:ilvl w:val="1"/>
          <w:numId w:val="56"/>
        </w:numPr>
        <w:tabs>
          <w:tab w:pos="980" w:val="left" w:leader="none"/>
        </w:tabs>
        <w:spacing w:line="240" w:lineRule="auto" w:before="0" w:after="0"/>
        <w:ind w:left="980" w:right="0" w:hanging="360"/>
        <w:jc w:val="both"/>
        <w:rPr>
          <w:sz w:val="24"/>
        </w:rPr>
      </w:pPr>
      <w:r>
        <w:rPr>
          <w:sz w:val="24"/>
          <w:u w:val="single"/>
        </w:rPr>
        <w:t>Parādnieka īpašuma vērtības</w:t>
      </w:r>
      <w:r>
        <w:rPr>
          <w:spacing w:val="-3"/>
          <w:sz w:val="24"/>
          <w:u w:val="single"/>
        </w:rPr>
        <w:t> </w:t>
      </w:r>
      <w:r>
        <w:rPr>
          <w:sz w:val="24"/>
          <w:u w:val="single"/>
        </w:rPr>
        <w:t>limits</w:t>
      </w:r>
    </w:p>
    <w:p>
      <w:pPr>
        <w:pStyle w:val="BodyText"/>
        <w:spacing w:line="235" w:lineRule="auto" w:before="4"/>
        <w:ind w:left="260" w:right="762" w:firstLine="720"/>
      </w:pPr>
      <w:r>
        <w:rPr/>
        <w:t>Anglijas un Velsas regulējumā tika veikti grozījumi un maksimālā kopējā īpašuma vērtība no 300 mārciņām tika nomainīta uz 1000 mārciņām.</w:t>
      </w:r>
      <w:r>
        <w:rPr>
          <w:position w:val="9"/>
          <w:sz w:val="16"/>
        </w:rPr>
        <w:t>277 </w:t>
      </w:r>
      <w:r>
        <w:rPr/>
        <w:t>Atbilstoši Lielbritānijas Maksātnespējas</w:t>
      </w:r>
      <w:r>
        <w:rPr>
          <w:spacing w:val="-13"/>
        </w:rPr>
        <w:t> </w:t>
      </w:r>
      <w:r>
        <w:rPr/>
        <w:t>noteikumu</w:t>
      </w:r>
      <w:r>
        <w:rPr>
          <w:spacing w:val="-10"/>
        </w:rPr>
        <w:t> </w:t>
      </w:r>
      <w:r>
        <w:rPr/>
        <w:t>2016</w:t>
      </w:r>
      <w:r>
        <w:rPr>
          <w:spacing w:val="-12"/>
        </w:rPr>
        <w:t> </w:t>
      </w:r>
      <w:r>
        <w:rPr/>
        <w:t>noteikumam</w:t>
      </w:r>
      <w:r>
        <w:rPr>
          <w:spacing w:val="-13"/>
        </w:rPr>
        <w:t> </w:t>
      </w:r>
      <w:r>
        <w:rPr/>
        <w:t>Nr.</w:t>
      </w:r>
      <w:r>
        <w:rPr>
          <w:spacing w:val="-12"/>
        </w:rPr>
        <w:t> </w:t>
      </w:r>
      <w:r>
        <w:rPr/>
        <w:t>9.9.</w:t>
      </w:r>
      <w:r>
        <w:rPr>
          <w:spacing w:val="-12"/>
        </w:rPr>
        <w:t> </w:t>
      </w:r>
      <w:r>
        <w:rPr/>
        <w:t>no</w:t>
      </w:r>
      <w:r>
        <w:rPr>
          <w:spacing w:val="-13"/>
        </w:rPr>
        <w:t> </w:t>
      </w:r>
      <w:r>
        <w:rPr/>
        <w:t>parādnieka</w:t>
      </w:r>
      <w:r>
        <w:rPr>
          <w:spacing w:val="-15"/>
        </w:rPr>
        <w:t> </w:t>
      </w:r>
      <w:r>
        <w:rPr/>
        <w:t>īpašuma</w:t>
      </w:r>
      <w:r>
        <w:rPr>
          <w:spacing w:val="-12"/>
        </w:rPr>
        <w:t> </w:t>
      </w:r>
      <w:r>
        <w:rPr/>
        <w:t>tiek</w:t>
      </w:r>
      <w:r>
        <w:rPr>
          <w:spacing w:val="-12"/>
        </w:rPr>
        <w:t> </w:t>
      </w:r>
      <w:r>
        <w:rPr/>
        <w:t>izslēgtas vairākas</w:t>
      </w:r>
      <w:r>
        <w:rPr>
          <w:spacing w:val="-1"/>
        </w:rPr>
        <w:t> </w:t>
      </w:r>
      <w:r>
        <w:rPr/>
        <w:t>kategorijas:</w:t>
      </w:r>
    </w:p>
    <w:p>
      <w:pPr>
        <w:pStyle w:val="ListParagraph"/>
        <w:numPr>
          <w:ilvl w:val="2"/>
          <w:numId w:val="56"/>
        </w:numPr>
        <w:tabs>
          <w:tab w:pos="1340" w:val="left" w:leader="none"/>
        </w:tabs>
        <w:spacing w:line="240" w:lineRule="auto" w:before="3" w:after="0"/>
        <w:ind w:left="1340" w:right="0" w:hanging="360"/>
        <w:jc w:val="both"/>
        <w:rPr>
          <w:sz w:val="24"/>
        </w:rPr>
      </w:pPr>
      <w:r>
        <w:rPr>
          <w:sz w:val="24"/>
        </w:rPr>
        <w:t>transportlīdzeklis, ja:</w:t>
      </w:r>
    </w:p>
    <w:p>
      <w:pPr>
        <w:pStyle w:val="ListParagraph"/>
        <w:numPr>
          <w:ilvl w:val="0"/>
          <w:numId w:val="63"/>
        </w:numPr>
        <w:tabs>
          <w:tab w:pos="2060" w:val="left" w:leader="none"/>
        </w:tabs>
        <w:spacing w:line="240" w:lineRule="auto" w:before="0" w:after="0"/>
        <w:ind w:left="2060" w:right="765" w:hanging="360"/>
        <w:jc w:val="both"/>
        <w:rPr>
          <w:sz w:val="24"/>
        </w:rPr>
      </w:pPr>
      <w:r>
        <w:rPr>
          <w:sz w:val="24"/>
        </w:rPr>
        <w:t>tas</w:t>
      </w:r>
      <w:r>
        <w:rPr>
          <w:spacing w:val="-16"/>
          <w:sz w:val="24"/>
        </w:rPr>
        <w:t> </w:t>
      </w:r>
      <w:r>
        <w:rPr>
          <w:sz w:val="24"/>
        </w:rPr>
        <w:t>ir</w:t>
      </w:r>
      <w:r>
        <w:rPr>
          <w:spacing w:val="-16"/>
          <w:sz w:val="24"/>
        </w:rPr>
        <w:t> </w:t>
      </w:r>
      <w:r>
        <w:rPr>
          <w:sz w:val="24"/>
        </w:rPr>
        <w:t>īpaši</w:t>
      </w:r>
      <w:r>
        <w:rPr>
          <w:spacing w:val="-15"/>
          <w:sz w:val="24"/>
        </w:rPr>
        <w:t> </w:t>
      </w:r>
      <w:r>
        <w:rPr>
          <w:sz w:val="24"/>
        </w:rPr>
        <w:t>pielāgots</w:t>
      </w:r>
      <w:r>
        <w:rPr>
          <w:spacing w:val="-16"/>
          <w:sz w:val="24"/>
        </w:rPr>
        <w:t> </w:t>
      </w:r>
      <w:r>
        <w:rPr>
          <w:sz w:val="24"/>
        </w:rPr>
        <w:t>parādniekam,</w:t>
      </w:r>
      <w:r>
        <w:rPr>
          <w:spacing w:val="-16"/>
          <w:sz w:val="24"/>
        </w:rPr>
        <w:t> </w:t>
      </w:r>
      <w:r>
        <w:rPr>
          <w:sz w:val="24"/>
        </w:rPr>
        <w:t>kuram</w:t>
      </w:r>
      <w:r>
        <w:rPr>
          <w:spacing w:val="-17"/>
          <w:sz w:val="24"/>
        </w:rPr>
        <w:t> </w:t>
      </w:r>
      <w:r>
        <w:rPr>
          <w:sz w:val="24"/>
        </w:rPr>
        <w:t>ir</w:t>
      </w:r>
      <w:r>
        <w:rPr>
          <w:spacing w:val="-16"/>
          <w:sz w:val="24"/>
        </w:rPr>
        <w:t> </w:t>
      </w:r>
      <w:r>
        <w:rPr>
          <w:sz w:val="24"/>
        </w:rPr>
        <w:t>kustību</w:t>
      </w:r>
      <w:r>
        <w:rPr>
          <w:spacing w:val="-17"/>
          <w:sz w:val="24"/>
        </w:rPr>
        <w:t> </w:t>
      </w:r>
      <w:r>
        <w:rPr>
          <w:sz w:val="24"/>
        </w:rPr>
        <w:t>traucējumi</w:t>
      </w:r>
      <w:r>
        <w:rPr>
          <w:spacing w:val="-13"/>
          <w:sz w:val="24"/>
        </w:rPr>
        <w:t> </w:t>
      </w:r>
      <w:r>
        <w:rPr>
          <w:sz w:val="24"/>
        </w:rPr>
        <w:t>un</w:t>
      </w:r>
      <w:r>
        <w:rPr>
          <w:spacing w:val="-16"/>
          <w:sz w:val="24"/>
        </w:rPr>
        <w:t> </w:t>
      </w:r>
      <w:r>
        <w:rPr>
          <w:sz w:val="24"/>
        </w:rPr>
        <w:t>ja</w:t>
      </w:r>
      <w:r>
        <w:rPr>
          <w:spacing w:val="-17"/>
          <w:sz w:val="24"/>
        </w:rPr>
        <w:t> </w:t>
      </w:r>
      <w:r>
        <w:rPr>
          <w:sz w:val="24"/>
        </w:rPr>
        <w:t>šāda transportlīdzekļa parādniekam nebūtu, tad tiktu būtiski un </w:t>
      </w:r>
      <w:r>
        <w:rPr>
          <w:spacing w:val="-3"/>
          <w:sz w:val="24"/>
        </w:rPr>
        <w:t>ilgtermiņā </w:t>
      </w:r>
      <w:r>
        <w:rPr>
          <w:sz w:val="24"/>
        </w:rPr>
        <w:t>apgrūtinātas parādnieka spējas veikt parastās ikdienas</w:t>
      </w:r>
      <w:r>
        <w:rPr>
          <w:spacing w:val="-7"/>
          <w:sz w:val="24"/>
        </w:rPr>
        <w:t> </w:t>
      </w:r>
      <w:r>
        <w:rPr>
          <w:sz w:val="24"/>
        </w:rPr>
        <w:t>darbības</w:t>
      </w:r>
    </w:p>
    <w:p>
      <w:pPr>
        <w:pStyle w:val="BodyText"/>
        <w:jc w:val="left"/>
        <w:rPr>
          <w:sz w:val="20"/>
        </w:rPr>
      </w:pPr>
    </w:p>
    <w:p>
      <w:pPr>
        <w:pStyle w:val="BodyText"/>
        <w:spacing w:before="8"/>
        <w:jc w:val="left"/>
        <w:rPr>
          <w:sz w:val="10"/>
        </w:rPr>
      </w:pPr>
      <w:r>
        <w:rPr/>
        <w:pict>
          <v:shape style="position:absolute;margin-left:72pt;margin-top:8.404092pt;width:144pt;height:.1pt;mso-position-horizontal-relative:page;mso-position-vertical-relative:paragraph;z-index:-251510784;mso-wrap-distance-left:0;mso-wrap-distance-right:0" coordorigin="1440,168" coordsize="2880,0" path="m1440,168l4320,168e" filled="false" stroked="true" strokeweight=".599991pt" strokecolor="#000000">
            <v:path arrowok="t"/>
            <v:stroke dashstyle="solid"/>
            <w10:wrap type="topAndBottom"/>
          </v:shape>
        </w:pict>
      </w:r>
    </w:p>
    <w:p>
      <w:pPr>
        <w:spacing w:before="67"/>
        <w:ind w:left="260" w:right="787" w:firstLine="0"/>
        <w:jc w:val="left"/>
        <w:rPr>
          <w:sz w:val="20"/>
        </w:rPr>
      </w:pPr>
      <w:r>
        <w:rPr>
          <w:position w:val="7"/>
          <w:sz w:val="13"/>
        </w:rPr>
        <w:t>274 </w:t>
      </w:r>
      <w:r>
        <w:rPr>
          <w:sz w:val="20"/>
        </w:rPr>
        <w:t>The Insolvency Service. Insolvency Proceedings: Debt relief orders and the bankruptcy petition limit. Call for evidence, p.4. Pieejams: </w:t>
      </w:r>
      <w:r>
        <w:rPr>
          <w:color w:val="0562C1"/>
          <w:sz w:val="20"/>
          <w:u w:val="single" w:color="0562C1"/>
        </w:rPr>
        <w:t>https://assets.publishing.service.gov.uk/government/uploads/system/uploads/attachment_data/file/341089/I</w:t>
      </w:r>
      <w:r>
        <w:rPr>
          <w:color w:val="0562C1"/>
          <w:sz w:val="20"/>
        </w:rPr>
        <w:t> nsolvency_Proceedings</w:t>
      </w:r>
      <w:r>
        <w:rPr>
          <w:color w:val="0562C1"/>
          <w:sz w:val="20"/>
          <w:u w:val="single" w:color="0461C0"/>
        </w:rPr>
        <w:t>    </w:t>
      </w:r>
      <w:r>
        <w:rPr>
          <w:color w:val="0562C1"/>
          <w:sz w:val="20"/>
        </w:rPr>
        <w:t>Debt_relief_orders_and_petition_limits_v3.pdf </w:t>
      </w:r>
      <w:r>
        <w:rPr>
          <w:sz w:val="20"/>
        </w:rPr>
        <w:t>[aplūkots 2018.gada 4.oktobrī]. </w:t>
      </w:r>
      <w:r>
        <w:rPr>
          <w:position w:val="7"/>
          <w:sz w:val="13"/>
        </w:rPr>
        <w:t>275 </w:t>
      </w:r>
      <w:r>
        <w:rPr>
          <w:sz w:val="20"/>
        </w:rPr>
        <w:t>Order on Amendment No. 465, 2009, INSOLVENCY INDIVIDUALS, ENGLAND AND WALES</w:t>
      </w:r>
      <w:r>
        <w:rPr>
          <w:spacing w:val="48"/>
          <w:sz w:val="20"/>
        </w:rPr>
        <w:t> </w:t>
      </w:r>
      <w:r>
        <w:rPr>
          <w:sz w:val="20"/>
        </w:rPr>
        <w:t>The</w:t>
      </w:r>
    </w:p>
    <w:p>
      <w:pPr>
        <w:spacing w:before="34"/>
        <w:ind w:left="260" w:right="0" w:firstLine="0"/>
        <w:jc w:val="left"/>
        <w:rPr>
          <w:sz w:val="20"/>
        </w:rPr>
      </w:pPr>
      <w:r>
        <w:rPr/>
        <w:pict>
          <v:line style="position:absolute;mso-position-horizontal-relative:page;mso-position-vertical-relative:paragraph;z-index:-262551552" from="72pt,-12.484054pt" to="365.519997pt,-12.484054pt" stroked="true" strokeweight=".479965pt" strokecolor="#0562c1">
            <v:stroke dashstyle="solid"/>
            <w10:wrap type="none"/>
          </v:line>
        </w:pict>
      </w:r>
      <w:r>
        <w:rPr>
          <w:sz w:val="20"/>
        </w:rPr>
        <w:t>Insolvency Proceedings (Monetary Limits), 3.panta b) apakšpunkts.</w:t>
      </w:r>
    </w:p>
    <w:p>
      <w:pPr>
        <w:spacing w:line="233" w:lineRule="exact" w:before="27"/>
        <w:ind w:left="260" w:right="0" w:firstLine="0"/>
        <w:jc w:val="left"/>
        <w:rPr>
          <w:sz w:val="20"/>
        </w:rPr>
      </w:pPr>
      <w:r>
        <w:rPr>
          <w:position w:val="7"/>
          <w:sz w:val="13"/>
        </w:rPr>
        <w:t>276 </w:t>
      </w:r>
      <w:r>
        <w:rPr>
          <w:sz w:val="20"/>
        </w:rPr>
        <w:t>The Insolvency (England and Wales) Rules 2016. Rule Nr. 9.7</w:t>
      </w:r>
    </w:p>
    <w:p>
      <w:pPr>
        <w:spacing w:line="240" w:lineRule="auto" w:before="0"/>
        <w:ind w:left="260" w:right="635" w:firstLine="0"/>
        <w:jc w:val="left"/>
        <w:rPr>
          <w:sz w:val="20"/>
        </w:rPr>
      </w:pPr>
      <w:r>
        <w:rPr>
          <w:position w:val="7"/>
          <w:sz w:val="13"/>
        </w:rPr>
        <w:t>277 </w:t>
      </w:r>
      <w:r>
        <w:rPr>
          <w:sz w:val="20"/>
        </w:rPr>
        <w:t>Order on Amendment No. 26, 2015, INSOLVENCY, ENGLAND AND WALES The Insolvency Proceedings (Monetary Limits), 2. panta b) apakšpunkts</w:t>
      </w:r>
    </w:p>
    <w:p>
      <w:pPr>
        <w:spacing w:after="0" w:line="240" w:lineRule="auto"/>
        <w:jc w:val="left"/>
        <w:rPr>
          <w:sz w:val="20"/>
        </w:rPr>
        <w:sectPr>
          <w:pgSz w:w="11910" w:h="16840"/>
          <w:pgMar w:header="0" w:footer="1055" w:top="1340" w:bottom="1240" w:left="1180" w:right="1040"/>
        </w:sectPr>
      </w:pPr>
    </w:p>
    <w:p>
      <w:pPr>
        <w:pStyle w:val="ListParagraph"/>
        <w:numPr>
          <w:ilvl w:val="0"/>
          <w:numId w:val="63"/>
        </w:numPr>
        <w:tabs>
          <w:tab w:pos="2420" w:val="left" w:leader="none"/>
        </w:tabs>
        <w:spacing w:line="240" w:lineRule="auto" w:before="73" w:after="0"/>
        <w:ind w:left="2420" w:right="405" w:hanging="360"/>
        <w:jc w:val="both"/>
        <w:rPr>
          <w:sz w:val="24"/>
        </w:rPr>
      </w:pPr>
      <w:r>
        <w:rPr>
          <w:sz w:val="24"/>
        </w:rPr>
        <w:t>tā maksimālā iespējamā realizācijas vērība ir mazāka par 1000 mārciņām;</w:t>
      </w:r>
    </w:p>
    <w:p>
      <w:pPr>
        <w:pStyle w:val="ListParagraph"/>
        <w:numPr>
          <w:ilvl w:val="2"/>
          <w:numId w:val="56"/>
        </w:numPr>
        <w:tabs>
          <w:tab w:pos="1700" w:val="left" w:leader="none"/>
        </w:tabs>
        <w:spacing w:line="240" w:lineRule="auto" w:before="0" w:after="0"/>
        <w:ind w:left="1700" w:right="402" w:hanging="360"/>
        <w:jc w:val="both"/>
        <w:rPr>
          <w:sz w:val="24"/>
        </w:rPr>
      </w:pPr>
      <w:r>
        <w:rPr>
          <w:sz w:val="24"/>
        </w:rPr>
        <w:t>tādi instrumenti, grāmatas un citas aprīkojuma vienības, kas parādniekam ir nepieciešamas personīgai lietošanai parādnieka darbā, uzņēmējdarbībā vai profesijā;</w:t>
      </w:r>
    </w:p>
    <w:p>
      <w:pPr>
        <w:pStyle w:val="ListParagraph"/>
        <w:numPr>
          <w:ilvl w:val="2"/>
          <w:numId w:val="56"/>
        </w:numPr>
        <w:tabs>
          <w:tab w:pos="1700" w:val="left" w:leader="none"/>
        </w:tabs>
        <w:spacing w:line="240" w:lineRule="auto" w:before="0" w:after="0"/>
        <w:ind w:left="1700" w:right="401" w:hanging="360"/>
        <w:jc w:val="both"/>
        <w:rPr>
          <w:sz w:val="24"/>
        </w:rPr>
      </w:pPr>
      <w:r>
        <w:rPr>
          <w:sz w:val="24"/>
        </w:rPr>
        <w:t>apģērbs, gultas piederumi, mēbeles, sadzīves tehnika un aprīkojums, kas vajadzīgi, lai apmierinātu parādnieka un debitora ģimenes</w:t>
      </w:r>
      <w:r>
        <w:rPr>
          <w:spacing w:val="-7"/>
          <w:sz w:val="24"/>
        </w:rPr>
        <w:t> </w:t>
      </w:r>
      <w:r>
        <w:rPr>
          <w:sz w:val="24"/>
        </w:rPr>
        <w:t>pamatvajadzības;</w:t>
      </w:r>
    </w:p>
    <w:p>
      <w:pPr>
        <w:pStyle w:val="ListParagraph"/>
        <w:numPr>
          <w:ilvl w:val="2"/>
          <w:numId w:val="56"/>
        </w:numPr>
        <w:tabs>
          <w:tab w:pos="1700" w:val="left" w:leader="none"/>
        </w:tabs>
        <w:spacing w:line="240" w:lineRule="auto" w:before="0" w:after="0"/>
        <w:ind w:left="1700" w:right="0" w:hanging="360"/>
        <w:jc w:val="both"/>
        <w:rPr>
          <w:sz w:val="24"/>
        </w:rPr>
      </w:pPr>
      <w:r>
        <w:rPr>
          <w:sz w:val="24"/>
        </w:rPr>
        <w:t>parādnieka turējumā esošs citai personai piederošs</w:t>
      </w:r>
      <w:r>
        <w:rPr>
          <w:spacing w:val="-4"/>
          <w:sz w:val="24"/>
        </w:rPr>
        <w:t> </w:t>
      </w:r>
      <w:r>
        <w:rPr>
          <w:sz w:val="24"/>
        </w:rPr>
        <w:t>īpašums;</w:t>
      </w:r>
    </w:p>
    <w:p>
      <w:pPr>
        <w:pStyle w:val="ListParagraph"/>
        <w:numPr>
          <w:ilvl w:val="2"/>
          <w:numId w:val="56"/>
        </w:numPr>
        <w:tabs>
          <w:tab w:pos="1700" w:val="left" w:leader="none"/>
        </w:tabs>
        <w:spacing w:line="240" w:lineRule="auto" w:before="0" w:after="0"/>
        <w:ind w:left="1700" w:right="0" w:hanging="360"/>
        <w:jc w:val="both"/>
        <w:rPr>
          <w:sz w:val="24"/>
        </w:rPr>
      </w:pPr>
      <w:r>
        <w:rPr>
          <w:sz w:val="24"/>
        </w:rPr>
        <w:t>u.c.</w:t>
      </w:r>
    </w:p>
    <w:p>
      <w:pPr>
        <w:pStyle w:val="BodyText"/>
        <w:spacing w:line="235" w:lineRule="auto" w:before="5"/>
        <w:ind w:left="620" w:right="402" w:firstLine="720"/>
        <w:jc w:val="right"/>
      </w:pPr>
      <w:r>
        <w:rPr/>
        <w:t>Kad DRO procedūrā parādījās kā viens no veidiem parādnieka parādu</w:t>
      </w:r>
      <w:r>
        <w:rPr>
          <w:spacing w:val="31"/>
        </w:rPr>
        <w:t> </w:t>
      </w:r>
      <w:r>
        <w:rPr/>
        <w:t>dzēšanai,</w:t>
      </w:r>
      <w:r>
        <w:rPr>
          <w:spacing w:val="4"/>
        </w:rPr>
        <w:t> </w:t>
      </w:r>
      <w:r>
        <w:rPr/>
        <w:t>šī sistēma</w:t>
      </w:r>
      <w:r>
        <w:rPr>
          <w:spacing w:val="9"/>
        </w:rPr>
        <w:t> </w:t>
      </w:r>
      <w:r>
        <w:rPr/>
        <w:t>tika</w:t>
      </w:r>
      <w:r>
        <w:rPr>
          <w:spacing w:val="9"/>
        </w:rPr>
        <w:t> </w:t>
      </w:r>
      <w:r>
        <w:rPr/>
        <w:t>kritizēta</w:t>
      </w:r>
      <w:r>
        <w:rPr>
          <w:spacing w:val="13"/>
        </w:rPr>
        <w:t> </w:t>
      </w:r>
      <w:r>
        <w:rPr/>
        <w:t>par</w:t>
      </w:r>
      <w:r>
        <w:rPr>
          <w:spacing w:val="13"/>
        </w:rPr>
        <w:t> </w:t>
      </w:r>
      <w:r>
        <w:rPr/>
        <w:t>to,</w:t>
      </w:r>
      <w:r>
        <w:rPr>
          <w:spacing w:val="12"/>
        </w:rPr>
        <w:t> </w:t>
      </w:r>
      <w:r>
        <w:rPr/>
        <w:t>ka</w:t>
      </w:r>
      <w:r>
        <w:rPr>
          <w:spacing w:val="13"/>
        </w:rPr>
        <w:t> </w:t>
      </w:r>
      <w:r>
        <w:rPr/>
        <w:t>pensijas</w:t>
      </w:r>
      <w:r>
        <w:rPr>
          <w:spacing w:val="9"/>
        </w:rPr>
        <w:t> </w:t>
      </w:r>
      <w:r>
        <w:rPr/>
        <w:t>tika</w:t>
      </w:r>
      <w:r>
        <w:rPr>
          <w:spacing w:val="13"/>
        </w:rPr>
        <w:t> </w:t>
      </w:r>
      <w:r>
        <w:rPr/>
        <w:t>uztvertas</w:t>
      </w:r>
      <w:r>
        <w:rPr>
          <w:spacing w:val="13"/>
        </w:rPr>
        <w:t> </w:t>
      </w:r>
      <w:r>
        <w:rPr/>
        <w:t>par</w:t>
      </w:r>
      <w:r>
        <w:rPr>
          <w:spacing w:val="8"/>
        </w:rPr>
        <w:t> </w:t>
      </w:r>
      <w:r>
        <w:rPr/>
        <w:t>parādnieka</w:t>
      </w:r>
      <w:r>
        <w:rPr>
          <w:spacing w:val="14"/>
        </w:rPr>
        <w:t> </w:t>
      </w:r>
      <w:r>
        <w:rPr/>
        <w:t>aktīviem.</w:t>
      </w:r>
      <w:r>
        <w:rPr>
          <w:position w:val="9"/>
          <w:sz w:val="16"/>
        </w:rPr>
        <w:t>278</w:t>
      </w:r>
      <w:r>
        <w:rPr>
          <w:spacing w:val="34"/>
          <w:position w:val="9"/>
          <w:sz w:val="16"/>
        </w:rPr>
        <w:t> </w:t>
      </w:r>
      <w:r>
        <w:rPr/>
        <w:t>Tomēr laika</w:t>
      </w:r>
      <w:r>
        <w:rPr>
          <w:spacing w:val="-15"/>
        </w:rPr>
        <w:t> </w:t>
      </w:r>
      <w:r>
        <w:rPr/>
        <w:t>gaitā</w:t>
      </w:r>
      <w:r>
        <w:rPr>
          <w:spacing w:val="-15"/>
        </w:rPr>
        <w:t> </w:t>
      </w:r>
      <w:r>
        <w:rPr/>
        <w:t>šīs</w:t>
      </w:r>
      <w:r>
        <w:rPr>
          <w:spacing w:val="-15"/>
        </w:rPr>
        <w:t> </w:t>
      </w:r>
      <w:r>
        <w:rPr/>
        <w:t>izpratne</w:t>
      </w:r>
      <w:r>
        <w:rPr>
          <w:spacing w:val="-17"/>
        </w:rPr>
        <w:t> </w:t>
      </w:r>
      <w:r>
        <w:rPr/>
        <w:t>tika</w:t>
      </w:r>
      <w:r>
        <w:rPr>
          <w:spacing w:val="-17"/>
        </w:rPr>
        <w:t> </w:t>
      </w:r>
      <w:r>
        <w:rPr/>
        <w:t>mainīta</w:t>
      </w:r>
      <w:r>
        <w:rPr>
          <w:spacing w:val="-17"/>
        </w:rPr>
        <w:t> </w:t>
      </w:r>
      <w:r>
        <w:rPr/>
        <w:t>un</w:t>
      </w:r>
      <w:r>
        <w:rPr>
          <w:spacing w:val="-15"/>
        </w:rPr>
        <w:t> </w:t>
      </w:r>
      <w:r>
        <w:rPr/>
        <w:t>šobrīd</w:t>
      </w:r>
      <w:r>
        <w:rPr>
          <w:spacing w:val="-14"/>
        </w:rPr>
        <w:t> </w:t>
      </w:r>
      <w:r>
        <w:rPr/>
        <w:t>praksē</w:t>
      </w:r>
      <w:r>
        <w:rPr>
          <w:spacing w:val="-15"/>
        </w:rPr>
        <w:t> </w:t>
      </w:r>
      <w:r>
        <w:rPr/>
        <w:t>ir</w:t>
      </w:r>
      <w:r>
        <w:rPr>
          <w:spacing w:val="-15"/>
        </w:rPr>
        <w:t> </w:t>
      </w:r>
      <w:r>
        <w:rPr/>
        <w:t>tā,</w:t>
      </w:r>
      <w:r>
        <w:rPr>
          <w:spacing w:val="-15"/>
        </w:rPr>
        <w:t> </w:t>
      </w:r>
      <w:r>
        <w:rPr/>
        <w:t>ka,</w:t>
      </w:r>
      <w:r>
        <w:rPr>
          <w:spacing w:val="-17"/>
        </w:rPr>
        <w:t> </w:t>
      </w:r>
      <w:r>
        <w:rPr/>
        <w:t>ja</w:t>
      </w:r>
      <w:r>
        <w:rPr>
          <w:spacing w:val="-13"/>
        </w:rPr>
        <w:t> </w:t>
      </w:r>
      <w:r>
        <w:rPr/>
        <w:t>parādnieks</w:t>
      </w:r>
      <w:r>
        <w:rPr>
          <w:spacing w:val="-15"/>
        </w:rPr>
        <w:t> </w:t>
      </w:r>
      <w:r>
        <w:rPr/>
        <w:t>nav</w:t>
      </w:r>
      <w:r>
        <w:rPr>
          <w:spacing w:val="-16"/>
        </w:rPr>
        <w:t> </w:t>
      </w:r>
      <w:r>
        <w:rPr/>
        <w:t>pensionējies, bet</w:t>
      </w:r>
      <w:r>
        <w:rPr>
          <w:spacing w:val="23"/>
        </w:rPr>
        <w:t> </w:t>
      </w:r>
      <w:r>
        <w:rPr/>
        <w:t>viņam</w:t>
      </w:r>
      <w:r>
        <w:rPr>
          <w:spacing w:val="24"/>
        </w:rPr>
        <w:t> </w:t>
      </w:r>
      <w:r>
        <w:rPr/>
        <w:t>ir</w:t>
      </w:r>
      <w:r>
        <w:rPr>
          <w:spacing w:val="24"/>
        </w:rPr>
        <w:t> </w:t>
      </w:r>
      <w:r>
        <w:rPr/>
        <w:t>privāts</w:t>
      </w:r>
      <w:r>
        <w:rPr>
          <w:spacing w:val="23"/>
        </w:rPr>
        <w:t> </w:t>
      </w:r>
      <w:r>
        <w:rPr/>
        <w:t>vai</w:t>
      </w:r>
      <w:r>
        <w:rPr>
          <w:spacing w:val="24"/>
        </w:rPr>
        <w:t> </w:t>
      </w:r>
      <w:r>
        <w:rPr/>
        <w:t>profesionālais</w:t>
      </w:r>
      <w:r>
        <w:rPr>
          <w:spacing w:val="24"/>
        </w:rPr>
        <w:t> </w:t>
      </w:r>
      <w:r>
        <w:rPr/>
        <w:t>pensiju</w:t>
      </w:r>
      <w:r>
        <w:rPr>
          <w:spacing w:val="23"/>
        </w:rPr>
        <w:t> </w:t>
      </w:r>
      <w:r>
        <w:rPr/>
        <w:t>fonds,</w:t>
      </w:r>
      <w:r>
        <w:rPr>
          <w:spacing w:val="24"/>
        </w:rPr>
        <w:t> </w:t>
      </w:r>
      <w:r>
        <w:rPr/>
        <w:t>tad</w:t>
      </w:r>
      <w:r>
        <w:rPr>
          <w:spacing w:val="24"/>
        </w:rPr>
        <w:t> </w:t>
      </w:r>
      <w:r>
        <w:rPr/>
        <w:t>lielākoties</w:t>
      </w:r>
      <w:r>
        <w:rPr>
          <w:spacing w:val="23"/>
        </w:rPr>
        <w:t> </w:t>
      </w:r>
      <w:r>
        <w:rPr/>
        <w:t>šie</w:t>
      </w:r>
      <w:r>
        <w:rPr>
          <w:spacing w:val="24"/>
        </w:rPr>
        <w:t> </w:t>
      </w:r>
      <w:r>
        <w:rPr/>
        <w:t>ir</w:t>
      </w:r>
      <w:r>
        <w:rPr>
          <w:spacing w:val="24"/>
        </w:rPr>
        <w:t> </w:t>
      </w:r>
      <w:r>
        <w:rPr/>
        <w:t>gadījumi,</w:t>
      </w:r>
      <w:r>
        <w:rPr>
          <w:spacing w:val="23"/>
        </w:rPr>
        <w:t> </w:t>
      </w:r>
      <w:r>
        <w:rPr>
          <w:spacing w:val="-5"/>
        </w:rPr>
        <w:t>kad</w:t>
      </w:r>
      <w:r>
        <w:rPr/>
        <w:t> pensiju</w:t>
      </w:r>
      <w:r>
        <w:rPr>
          <w:spacing w:val="-9"/>
        </w:rPr>
        <w:t> </w:t>
      </w:r>
      <w:r>
        <w:rPr/>
        <w:t>fons</w:t>
      </w:r>
      <w:r>
        <w:rPr>
          <w:spacing w:val="-9"/>
        </w:rPr>
        <w:t> </w:t>
      </w:r>
      <w:r>
        <w:rPr/>
        <w:t>netiks</w:t>
      </w:r>
      <w:r>
        <w:rPr>
          <w:spacing w:val="-9"/>
        </w:rPr>
        <w:t> </w:t>
      </w:r>
      <w:r>
        <w:rPr/>
        <w:t>ņemts</w:t>
      </w:r>
      <w:r>
        <w:rPr>
          <w:spacing w:val="-11"/>
        </w:rPr>
        <w:t> </w:t>
      </w:r>
      <w:r>
        <w:rPr/>
        <w:t>vērā</w:t>
      </w:r>
      <w:r>
        <w:rPr>
          <w:spacing w:val="-12"/>
        </w:rPr>
        <w:t> </w:t>
      </w:r>
      <w:r>
        <w:rPr/>
        <w:t>pie</w:t>
      </w:r>
      <w:r>
        <w:rPr>
          <w:spacing w:val="-7"/>
        </w:rPr>
        <w:t> </w:t>
      </w:r>
      <w:r>
        <w:rPr/>
        <w:t>īpašuma</w:t>
      </w:r>
      <w:r>
        <w:rPr>
          <w:spacing w:val="-7"/>
        </w:rPr>
        <w:t> </w:t>
      </w:r>
      <w:r>
        <w:rPr/>
        <w:t>vērtības</w:t>
      </w:r>
      <w:r>
        <w:rPr>
          <w:spacing w:val="-9"/>
        </w:rPr>
        <w:t> </w:t>
      </w:r>
      <w:r>
        <w:rPr/>
        <w:t>limita</w:t>
      </w:r>
      <w:r>
        <w:rPr>
          <w:spacing w:val="-10"/>
        </w:rPr>
        <w:t> </w:t>
      </w:r>
      <w:r>
        <w:rPr/>
        <w:t>noteikšanas</w:t>
      </w:r>
      <w:r>
        <w:rPr>
          <w:spacing w:val="-9"/>
        </w:rPr>
        <w:t> </w:t>
      </w:r>
      <w:r>
        <w:rPr/>
        <w:t>un</w:t>
      </w:r>
      <w:r>
        <w:rPr>
          <w:spacing w:val="-9"/>
        </w:rPr>
        <w:t> </w:t>
      </w:r>
      <w:r>
        <w:rPr/>
        <w:t>aprēķināšanas.</w:t>
      </w:r>
      <w:r>
        <w:rPr>
          <w:position w:val="9"/>
          <w:sz w:val="16"/>
        </w:rPr>
        <w:t>279</w:t>
      </w:r>
      <w:r>
        <w:rPr>
          <w:w w:val="100"/>
          <w:position w:val="9"/>
          <w:sz w:val="16"/>
        </w:rPr>
        <w:t> </w:t>
      </w:r>
      <w:r>
        <w:rPr/>
        <w:t>Iepriekš</w:t>
      </w:r>
      <w:r>
        <w:rPr>
          <w:spacing w:val="25"/>
        </w:rPr>
        <w:t> </w:t>
      </w:r>
      <w:r>
        <w:rPr/>
        <w:t>minētais</w:t>
      </w:r>
      <w:r>
        <w:rPr>
          <w:spacing w:val="28"/>
        </w:rPr>
        <w:t> </w:t>
      </w:r>
      <w:r>
        <w:rPr/>
        <w:t>liecina,</w:t>
      </w:r>
      <w:r>
        <w:rPr>
          <w:spacing w:val="26"/>
        </w:rPr>
        <w:t> </w:t>
      </w:r>
      <w:r>
        <w:rPr/>
        <w:t>ka</w:t>
      </w:r>
      <w:r>
        <w:rPr>
          <w:spacing w:val="24"/>
        </w:rPr>
        <w:t> </w:t>
      </w:r>
      <w:r>
        <w:rPr/>
        <w:t>tiem</w:t>
      </w:r>
      <w:r>
        <w:rPr>
          <w:spacing w:val="24"/>
        </w:rPr>
        <w:t> </w:t>
      </w:r>
      <w:r>
        <w:rPr/>
        <w:t>parādniekiem,</w:t>
      </w:r>
      <w:r>
        <w:rPr>
          <w:spacing w:val="26"/>
        </w:rPr>
        <w:t> </w:t>
      </w:r>
      <w:r>
        <w:rPr/>
        <w:t>kuriem</w:t>
      </w:r>
      <w:r>
        <w:rPr>
          <w:spacing w:val="26"/>
        </w:rPr>
        <w:t> </w:t>
      </w:r>
      <w:r>
        <w:rPr/>
        <w:t>pieder</w:t>
      </w:r>
      <w:r>
        <w:rPr>
          <w:spacing w:val="23"/>
        </w:rPr>
        <w:t> </w:t>
      </w:r>
      <w:r>
        <w:rPr/>
        <w:t>nekustamais īpašums,</w:t>
      </w:r>
      <w:r>
        <w:rPr>
          <w:spacing w:val="8"/>
        </w:rPr>
        <w:t> </w:t>
      </w:r>
      <w:r>
        <w:rPr/>
        <w:t>šī</w:t>
      </w:r>
      <w:r>
        <w:rPr>
          <w:spacing w:val="11"/>
        </w:rPr>
        <w:t> </w:t>
      </w:r>
      <w:r>
        <w:rPr/>
        <w:t>procedūra</w:t>
      </w:r>
      <w:r>
        <w:rPr>
          <w:spacing w:val="8"/>
        </w:rPr>
        <w:t> </w:t>
      </w:r>
      <w:r>
        <w:rPr/>
        <w:t>nevar</w:t>
      </w:r>
      <w:r>
        <w:rPr>
          <w:spacing w:val="6"/>
        </w:rPr>
        <w:t> </w:t>
      </w:r>
      <w:r>
        <w:rPr/>
        <w:t>tikt</w:t>
      </w:r>
      <w:r>
        <w:rPr>
          <w:spacing w:val="8"/>
        </w:rPr>
        <w:t> </w:t>
      </w:r>
      <w:r>
        <w:rPr/>
        <w:t>piemērota.</w:t>
      </w:r>
      <w:r>
        <w:rPr>
          <w:spacing w:val="11"/>
        </w:rPr>
        <w:t> </w:t>
      </w:r>
      <w:r>
        <w:rPr/>
        <w:t>Tas</w:t>
      </w:r>
      <w:r>
        <w:rPr>
          <w:spacing w:val="7"/>
        </w:rPr>
        <w:t> </w:t>
      </w:r>
      <w:r>
        <w:rPr/>
        <w:t>sasaucas</w:t>
      </w:r>
      <w:r>
        <w:rPr>
          <w:spacing w:val="11"/>
        </w:rPr>
        <w:t> </w:t>
      </w:r>
      <w:r>
        <w:rPr/>
        <w:t>ar</w:t>
      </w:r>
      <w:r>
        <w:rPr>
          <w:spacing w:val="6"/>
        </w:rPr>
        <w:t> </w:t>
      </w:r>
      <w:r>
        <w:rPr/>
        <w:t>to,</w:t>
      </w:r>
      <w:r>
        <w:rPr>
          <w:spacing w:val="8"/>
        </w:rPr>
        <w:t> </w:t>
      </w:r>
      <w:r>
        <w:rPr/>
        <w:t>kāpēc</w:t>
      </w:r>
      <w:r>
        <w:rPr>
          <w:spacing w:val="8"/>
        </w:rPr>
        <w:t> </w:t>
      </w:r>
      <w:r>
        <w:rPr/>
        <w:t>arī</w:t>
      </w:r>
      <w:r>
        <w:rPr>
          <w:spacing w:val="11"/>
        </w:rPr>
        <w:t> </w:t>
      </w:r>
      <w:r>
        <w:rPr/>
        <w:t>parādniekiem</w:t>
      </w:r>
      <w:r>
        <w:rPr>
          <w:spacing w:val="12"/>
        </w:rPr>
        <w:t> </w:t>
      </w:r>
      <w:r>
        <w:rPr/>
        <w:t>ar</w:t>
      </w:r>
    </w:p>
    <w:p>
      <w:pPr>
        <w:pStyle w:val="BodyText"/>
        <w:spacing w:before="4"/>
        <w:ind w:left="620"/>
        <w:jc w:val="left"/>
      </w:pPr>
      <w:r>
        <w:rPr/>
        <w:t>nodrošinātajiem kreditoriem šī procedūra nav piemērojama.</w:t>
      </w:r>
    </w:p>
    <w:p>
      <w:pPr>
        <w:pStyle w:val="BodyText"/>
        <w:spacing w:before="11"/>
        <w:jc w:val="left"/>
        <w:rPr>
          <w:sz w:val="23"/>
        </w:rPr>
      </w:pPr>
    </w:p>
    <w:p>
      <w:pPr>
        <w:pStyle w:val="ListParagraph"/>
        <w:numPr>
          <w:ilvl w:val="1"/>
          <w:numId w:val="56"/>
        </w:numPr>
        <w:tabs>
          <w:tab w:pos="1340" w:val="left" w:leader="none"/>
        </w:tabs>
        <w:spacing w:line="240" w:lineRule="auto" w:before="0" w:after="0"/>
        <w:ind w:left="1340" w:right="0" w:hanging="360"/>
        <w:jc w:val="both"/>
        <w:rPr>
          <w:sz w:val="24"/>
        </w:rPr>
      </w:pPr>
      <w:r>
        <w:rPr>
          <w:sz w:val="24"/>
          <w:u w:val="single"/>
        </w:rPr>
        <w:t>Citi nosacījumi</w:t>
      </w:r>
    </w:p>
    <w:p>
      <w:pPr>
        <w:pStyle w:val="BodyText"/>
        <w:ind w:left="620" w:right="403" w:firstLine="720"/>
      </w:pPr>
      <w:r>
        <w:rPr/>
        <w:t>Papildus 4ZA pielikumā esošajiem nosacījumiem, kam ir obligāti jāiestājas, lai persona varētu pretendēt uz DRO, ir jāievēro, lai uz personu nebūtu attiecināmi citi nosacījumi, kas papildus ir paredzēti 4ZA tabulas otrajā daļā. Šos nosacījumus var dēvēt par dažiem no parādnieka godprātības izvērtēšanas kritērijiem, pirms DRO procedūras atļaušanas.</w:t>
      </w:r>
    </w:p>
    <w:p>
      <w:pPr>
        <w:pStyle w:val="BodyText"/>
        <w:spacing w:line="232" w:lineRule="auto" w:before="7"/>
        <w:ind w:left="620" w:right="401" w:firstLine="720"/>
      </w:pPr>
      <w:r>
        <w:rPr/>
        <w:t>Pirmais kritērijs – parādnieks pēdējo divu gadu laikā nav veicis darījumus ar nepietiekamu mantas vērtību, tas ir, nesamērojami zemu darījuma summu.</w:t>
      </w:r>
      <w:r>
        <w:rPr>
          <w:position w:val="9"/>
          <w:sz w:val="16"/>
        </w:rPr>
        <w:t>280 </w:t>
      </w:r>
      <w:r>
        <w:rPr/>
        <w:t>Ar nepietiekamu vērtību būtu jāsaprot gadījumi, kad parādnieks:</w:t>
      </w:r>
    </w:p>
    <w:p>
      <w:pPr>
        <w:pStyle w:val="ListParagraph"/>
        <w:numPr>
          <w:ilvl w:val="2"/>
          <w:numId w:val="56"/>
        </w:numPr>
        <w:tabs>
          <w:tab w:pos="1700" w:val="left" w:leader="none"/>
        </w:tabs>
        <w:spacing w:line="240" w:lineRule="auto" w:before="3" w:after="0"/>
        <w:ind w:left="1700" w:right="404" w:hanging="360"/>
        <w:jc w:val="both"/>
        <w:rPr>
          <w:sz w:val="24"/>
        </w:rPr>
      </w:pPr>
      <w:r>
        <w:rPr>
          <w:sz w:val="24"/>
        </w:rPr>
        <w:t>veic dāvinājumu vai iesaistās tādās saistībās, kurās noteikumi paredz, ka viņš par mantu neko</w:t>
      </w:r>
      <w:r>
        <w:rPr>
          <w:spacing w:val="-3"/>
          <w:sz w:val="24"/>
        </w:rPr>
        <w:t> </w:t>
      </w:r>
      <w:r>
        <w:rPr>
          <w:sz w:val="24"/>
        </w:rPr>
        <w:t>nesaņem;</w:t>
      </w:r>
    </w:p>
    <w:p>
      <w:pPr>
        <w:pStyle w:val="ListParagraph"/>
        <w:numPr>
          <w:ilvl w:val="2"/>
          <w:numId w:val="56"/>
        </w:numPr>
        <w:tabs>
          <w:tab w:pos="1700" w:val="left" w:leader="none"/>
        </w:tabs>
        <w:spacing w:line="240" w:lineRule="auto" w:before="0" w:after="0"/>
        <w:ind w:left="1700" w:right="405" w:hanging="360"/>
        <w:jc w:val="both"/>
        <w:rPr>
          <w:sz w:val="24"/>
        </w:rPr>
      </w:pPr>
      <w:r>
        <w:rPr>
          <w:sz w:val="24"/>
        </w:rPr>
        <w:t>veic darījumus ar citu personu, ņemot vērā laulības veidošanu vai </w:t>
      </w:r>
      <w:r>
        <w:rPr>
          <w:spacing w:val="-3"/>
          <w:sz w:val="24"/>
        </w:rPr>
        <w:t>kopdzīves </w:t>
      </w:r>
      <w:r>
        <w:rPr>
          <w:sz w:val="24"/>
        </w:rPr>
        <w:t>uzsākšanu;</w:t>
      </w:r>
    </w:p>
    <w:p>
      <w:pPr>
        <w:pStyle w:val="ListParagraph"/>
        <w:numPr>
          <w:ilvl w:val="2"/>
          <w:numId w:val="56"/>
        </w:numPr>
        <w:tabs>
          <w:tab w:pos="1700" w:val="left" w:leader="none"/>
        </w:tabs>
        <w:spacing w:line="240" w:lineRule="auto" w:before="0" w:after="0"/>
        <w:ind w:left="1700" w:right="402" w:hanging="360"/>
        <w:jc w:val="both"/>
        <w:rPr>
          <w:sz w:val="24"/>
        </w:rPr>
      </w:pPr>
      <w:r>
        <w:rPr>
          <w:sz w:val="24"/>
        </w:rPr>
        <w:t>iesaistās darījumā ar personu par atlīdzību, kuras vērtība naudas izteiksmē ir ievērojami mazāka par mantas vērtību, piemēram, par neatbilstošu un negodprātīgu tiks uzskatīts tāds parādnieks, kurš pēdējo divu gadu laikā </w:t>
      </w:r>
      <w:r>
        <w:rPr>
          <w:spacing w:val="-3"/>
          <w:sz w:val="24"/>
        </w:rPr>
        <w:t>pirms </w:t>
      </w:r>
      <w:r>
        <w:rPr>
          <w:sz w:val="24"/>
        </w:rPr>
        <w:t>DRO procedūras ir pārdevis savu transportlīdzekli, kura vērtība ir 1000 mārciņas, savam draugam par 500</w:t>
      </w:r>
      <w:r>
        <w:rPr>
          <w:spacing w:val="-4"/>
          <w:sz w:val="24"/>
        </w:rPr>
        <w:t> </w:t>
      </w:r>
      <w:r>
        <w:rPr>
          <w:sz w:val="24"/>
        </w:rPr>
        <w:t>mārciņām.</w:t>
      </w:r>
    </w:p>
    <w:p>
      <w:pPr>
        <w:pStyle w:val="BodyText"/>
        <w:spacing w:line="237" w:lineRule="auto" w:before="2"/>
        <w:ind w:left="620" w:right="402" w:firstLine="720"/>
      </w:pPr>
      <w:r>
        <w:rPr/>
        <w:t>Otrs parādnieka godprātības izvērtēšanas kritērijs ir, vai parādnieks nav devis priekšrocību kādam no saviem kreditoriem tā, ka ir nostādījis tos labākā stāvoklī.</w:t>
      </w:r>
      <w:r>
        <w:rPr>
          <w:position w:val="9"/>
          <w:sz w:val="16"/>
        </w:rPr>
        <w:t>281 </w:t>
      </w:r>
      <w:r>
        <w:rPr/>
        <w:t>Par priekšrocības došanu uzskatāms gadījums, kad parādnieks attiecībā pret kādu no saviem kreditoriem rīkojas tādā veidā, ka DRO īstenošanas procedūrā, kreditors faktiski tiek nostādīts labvēlīgākā stāvoklī, nekā būtu bijis, ja šāda parādnieka rīcība nebūtu notikusi.</w:t>
      </w:r>
    </w:p>
    <w:p>
      <w:pPr>
        <w:pStyle w:val="BodyText"/>
        <w:ind w:left="620" w:right="403" w:firstLine="720"/>
      </w:pPr>
      <w:r>
        <w:rPr/>
        <w:t>Minētais var liecināt par to, ka gadījumā, ja parādniekam ir bijuši vairāki kreditori un minimālas iespējas veikt ar tiem norēķinus, tad norēķini būtu jāveic proporcionāli</w:t>
      </w:r>
      <w:r>
        <w:rPr>
          <w:spacing w:val="-18"/>
        </w:rPr>
        <w:t> </w:t>
      </w:r>
      <w:r>
        <w:rPr/>
        <w:t>starp</w:t>
      </w:r>
    </w:p>
    <w:p>
      <w:pPr>
        <w:pStyle w:val="BodyText"/>
        <w:spacing w:before="4"/>
        <w:jc w:val="left"/>
        <w:rPr>
          <w:sz w:val="28"/>
        </w:rPr>
      </w:pPr>
      <w:r>
        <w:rPr/>
        <w:pict>
          <v:shape style="position:absolute;margin-left:90pt;margin-top:18.556494pt;width:144pt;height:.1pt;mso-position-horizontal-relative:page;mso-position-vertical-relative:paragraph;z-index:-251508736;mso-wrap-distance-left:0;mso-wrap-distance-right:0" coordorigin="1800,371" coordsize="2880,0" path="m1800,371l4680,371e" filled="false" stroked="true" strokeweight=".599991pt" strokecolor="#000000">
            <v:path arrowok="t"/>
            <v:stroke dashstyle="solid"/>
            <w10:wrap type="topAndBottom"/>
          </v:shape>
        </w:pict>
      </w:r>
    </w:p>
    <w:p>
      <w:pPr>
        <w:spacing w:line="237" w:lineRule="auto" w:before="72"/>
        <w:ind w:left="620" w:right="485" w:firstLine="0"/>
        <w:jc w:val="left"/>
        <w:rPr>
          <w:sz w:val="20"/>
        </w:rPr>
      </w:pPr>
      <w:r>
        <w:rPr>
          <w:position w:val="7"/>
          <w:sz w:val="13"/>
        </w:rPr>
        <w:t>278 </w:t>
      </w:r>
      <w:r>
        <w:rPr>
          <w:sz w:val="20"/>
        </w:rPr>
        <w:t>The Insolvency Service. Insolvency Proceedings: Debt relief orders and the bankruptcy petition limit. Call for evidence, p.7. Pieejams: </w:t>
      </w:r>
      <w:r>
        <w:rPr>
          <w:color w:val="0562C1"/>
          <w:sz w:val="20"/>
          <w:u w:val="single" w:color="0562C1"/>
        </w:rPr>
        <w:t>https://assets.publishing.service.gov.uk/government/uploads/system/uploads/attachment_data/file/341089/I</w:t>
      </w:r>
      <w:r>
        <w:rPr>
          <w:color w:val="0562C1"/>
          <w:sz w:val="20"/>
        </w:rPr>
        <w:t> nsolvency_Proceedings</w:t>
      </w:r>
      <w:r>
        <w:rPr>
          <w:color w:val="0562C1"/>
          <w:sz w:val="20"/>
          <w:u w:val="single" w:color="0461C0"/>
        </w:rPr>
        <w:t>   </w:t>
      </w:r>
      <w:r>
        <w:rPr>
          <w:color w:val="0562C1"/>
          <w:sz w:val="20"/>
        </w:rPr>
        <w:t>Debt_relief_orders_and_petition_limits_v3.pdf </w:t>
      </w:r>
      <w:r>
        <w:rPr>
          <w:sz w:val="20"/>
        </w:rPr>
        <w:t>[aplūkots 2018.gada 8.oktobrī]. </w:t>
      </w:r>
      <w:r>
        <w:rPr>
          <w:position w:val="7"/>
          <w:sz w:val="13"/>
        </w:rPr>
        <w:t>279 </w:t>
      </w:r>
      <w:r>
        <w:rPr>
          <w:sz w:val="20"/>
        </w:rPr>
        <w:t>Ibid,</w:t>
      </w:r>
      <w:r>
        <w:rPr>
          <w:spacing w:val="-19"/>
          <w:sz w:val="20"/>
        </w:rPr>
        <w:t> </w:t>
      </w:r>
      <w:r>
        <w:rPr>
          <w:sz w:val="20"/>
        </w:rPr>
        <w:t>p.7.</w:t>
      </w:r>
    </w:p>
    <w:p>
      <w:pPr>
        <w:spacing w:line="233" w:lineRule="exact" w:before="0"/>
        <w:ind w:left="620" w:right="0" w:firstLine="0"/>
        <w:jc w:val="left"/>
        <w:rPr>
          <w:sz w:val="20"/>
        </w:rPr>
      </w:pPr>
      <w:r>
        <w:rPr/>
        <w:pict>
          <v:line style="position:absolute;mso-position-horizontal-relative:page;mso-position-vertical-relative:paragraph;z-index:-262549504" from="90pt,-12.151635pt" to="383.519997pt,-12.151635pt" stroked="true" strokeweight=".480011pt" strokecolor="#0562c1">
            <v:stroke dashstyle="solid"/>
            <w10:wrap type="none"/>
          </v:line>
        </w:pict>
      </w:r>
      <w:r>
        <w:rPr>
          <w:position w:val="7"/>
          <w:sz w:val="13"/>
        </w:rPr>
        <w:t>280 </w:t>
      </w:r>
      <w:r>
        <w:rPr>
          <w:sz w:val="20"/>
        </w:rPr>
        <w:t>Lielbritānijas Maksātnespējas likums, pielikumā 4ZA (</w:t>
      </w:r>
      <w:r>
        <w:rPr>
          <w:i/>
          <w:sz w:val="20"/>
        </w:rPr>
        <w:t>Schedule 4ZA</w:t>
      </w:r>
      <w:r>
        <w:rPr>
          <w:sz w:val="20"/>
        </w:rPr>
        <w:t>) 9.panta pirmā daļa</w:t>
      </w:r>
    </w:p>
    <w:p>
      <w:pPr>
        <w:spacing w:line="233" w:lineRule="exact" w:before="0"/>
        <w:ind w:left="620" w:right="0" w:firstLine="0"/>
        <w:jc w:val="left"/>
        <w:rPr>
          <w:sz w:val="20"/>
        </w:rPr>
      </w:pPr>
      <w:r>
        <w:rPr>
          <w:position w:val="7"/>
          <w:sz w:val="13"/>
        </w:rPr>
        <w:t>281 </w:t>
      </w:r>
      <w:r>
        <w:rPr>
          <w:sz w:val="20"/>
        </w:rPr>
        <w:t>Lielbritānijas Maksātnespējas likums, pielikumā 4ZA (</w:t>
      </w:r>
      <w:r>
        <w:rPr>
          <w:i/>
          <w:sz w:val="20"/>
        </w:rPr>
        <w:t>Schedule 4ZA</w:t>
      </w:r>
      <w:r>
        <w:rPr>
          <w:sz w:val="20"/>
        </w:rPr>
        <w:t>) 9.panta trešā daļa</w:t>
      </w:r>
    </w:p>
    <w:p>
      <w:pPr>
        <w:spacing w:after="0" w:line="233" w:lineRule="exact"/>
        <w:jc w:val="left"/>
        <w:rPr>
          <w:sz w:val="20"/>
        </w:rPr>
        <w:sectPr>
          <w:footerReference w:type="default" r:id="rId73"/>
          <w:footerReference w:type="even" r:id="rId74"/>
          <w:pgSz w:w="11910" w:h="16840"/>
          <w:pgMar w:footer="1055" w:header="0" w:top="1340" w:bottom="1240" w:left="1180" w:right="1040"/>
          <w:pgNumType w:start="111"/>
        </w:sectPr>
      </w:pPr>
    </w:p>
    <w:p>
      <w:pPr>
        <w:pStyle w:val="BodyText"/>
        <w:spacing w:before="73"/>
        <w:ind w:left="260" w:right="763"/>
      </w:pPr>
      <w:r>
        <w:rPr/>
        <w:t>kreditoriem, nevis pilnā apmērā tikai vienam no tiem. Citādi šāda prioritāra norēķināšanās ar vienu no kreditoriem var to nostādīt labvēlīgākā situācijā attiecībā pret citiem kreditoriem DRO izdošanas gadījumā, jo liela daļa no šī viena kreditora parādiem jau būs segta, savukārt citu kreditoru parāds netiks segts necik, ja DRO tiks īstenota pilnībā un parādnieks tiks atbrīvots no savām saistībām.</w:t>
      </w:r>
    </w:p>
    <w:p>
      <w:pPr>
        <w:pStyle w:val="BodyText"/>
        <w:spacing w:line="237" w:lineRule="auto" w:before="3"/>
        <w:ind w:left="260" w:right="761" w:firstLine="720"/>
      </w:pPr>
      <w:r>
        <w:rPr/>
        <w:t>Lielākā atbildība uz šo kritēriju konstatēšanu gultas uz pieteikuma oficiālo saņēmēju – tiesas amatpersonu, kurš pieņems lēmumu par to, vai DRO procedūra tiks piemērota. Tomēr tā kā aizpildīt pieteikšanās formu var tikai ar konsultanta (apstiprinātā starpnieka</w:t>
      </w:r>
      <w:r>
        <w:rPr>
          <w:position w:val="9"/>
          <w:sz w:val="16"/>
        </w:rPr>
        <w:t>282</w:t>
      </w:r>
      <w:r>
        <w:rPr/>
        <w:t>) palīdzību, tad būtiska loma ir arī konsultantam, kuram arī ir jāvērtē, vai parādnieks atbilst likumā noteiktajiem kritērijiem.</w:t>
      </w:r>
    </w:p>
    <w:p>
      <w:pPr>
        <w:pStyle w:val="BodyText"/>
        <w:spacing w:before="1"/>
        <w:jc w:val="left"/>
      </w:pPr>
    </w:p>
    <w:p>
      <w:pPr>
        <w:pStyle w:val="Heading4"/>
        <w:numPr>
          <w:ilvl w:val="0"/>
          <w:numId w:val="56"/>
        </w:numPr>
        <w:tabs>
          <w:tab w:pos="554" w:val="left" w:leader="none"/>
        </w:tabs>
        <w:spacing w:line="240" w:lineRule="auto" w:before="0" w:after="0"/>
        <w:ind w:left="553" w:right="0" w:hanging="294"/>
        <w:jc w:val="left"/>
        <w:rPr>
          <w:i/>
        </w:rPr>
      </w:pPr>
      <w:r>
        <w:rPr>
          <w:i/>
        </w:rPr>
        <w:t>DRO īstenošana un tā</w:t>
      </w:r>
      <w:r>
        <w:rPr>
          <w:i/>
          <w:spacing w:val="-2"/>
        </w:rPr>
        <w:t> </w:t>
      </w:r>
      <w:r>
        <w:rPr>
          <w:i/>
        </w:rPr>
        <w:t>sekas</w:t>
      </w:r>
    </w:p>
    <w:p>
      <w:pPr>
        <w:pStyle w:val="BodyText"/>
        <w:spacing w:before="6"/>
        <w:jc w:val="left"/>
        <w:rPr>
          <w:b/>
          <w:i/>
          <w:sz w:val="23"/>
        </w:rPr>
      </w:pPr>
    </w:p>
    <w:p>
      <w:pPr>
        <w:pStyle w:val="BodyText"/>
        <w:spacing w:before="1"/>
        <w:ind w:left="260" w:right="764" w:firstLine="720"/>
      </w:pPr>
      <w:r>
        <w:rPr/>
        <w:t>Ja oficiālajam pieteikuma saņēmējam – amatpersonai nav radušās šaubas par DRO procedūras piemērošanu parādniekam, tad tiek izdots rīkojums par parādu atvieglošanu – </w:t>
      </w:r>
      <w:r>
        <w:rPr>
          <w:i/>
        </w:rPr>
        <w:t>debt relief order</w:t>
      </w:r>
      <w:r>
        <w:rPr/>
        <w:t>.</w:t>
      </w:r>
    </w:p>
    <w:p>
      <w:pPr>
        <w:pStyle w:val="BodyText"/>
        <w:spacing w:line="237" w:lineRule="auto" w:before="2"/>
        <w:ind w:left="260" w:right="763" w:firstLine="720"/>
        <w:rPr>
          <w:sz w:val="16"/>
        </w:rPr>
      </w:pPr>
      <w:r>
        <w:rPr/>
        <w:t>Pēc rīkojuma izdošanas oficiālais pieteikuma saņēmējs – amatpersona izsniedz rīkojuma kopiju parādniekam un paziņo par to starpniekam, kas iesniedza parādnieka pieteikumu,</w:t>
      </w:r>
      <w:r>
        <w:rPr>
          <w:spacing w:val="-14"/>
        </w:rPr>
        <w:t> </w:t>
      </w:r>
      <w:r>
        <w:rPr/>
        <w:t>reģistrē</w:t>
      </w:r>
      <w:r>
        <w:rPr>
          <w:spacing w:val="-16"/>
        </w:rPr>
        <w:t> </w:t>
      </w:r>
      <w:r>
        <w:rPr/>
        <w:t>parādnieku</w:t>
      </w:r>
      <w:r>
        <w:rPr>
          <w:spacing w:val="-13"/>
        </w:rPr>
        <w:t> </w:t>
      </w:r>
      <w:r>
        <w:rPr/>
        <w:t>attiecīgā</w:t>
      </w:r>
      <w:r>
        <w:rPr>
          <w:spacing w:val="-13"/>
        </w:rPr>
        <w:t> </w:t>
      </w:r>
      <w:r>
        <w:rPr/>
        <w:t>maksātnespējas</w:t>
      </w:r>
      <w:r>
        <w:rPr>
          <w:spacing w:val="-13"/>
        </w:rPr>
        <w:t> </w:t>
      </w:r>
      <w:r>
        <w:rPr/>
        <w:t>reģistrā,</w:t>
      </w:r>
      <w:r>
        <w:rPr>
          <w:spacing w:val="-14"/>
        </w:rPr>
        <w:t> </w:t>
      </w:r>
      <w:r>
        <w:rPr/>
        <w:t>kā</w:t>
      </w:r>
      <w:r>
        <w:rPr>
          <w:spacing w:val="-16"/>
        </w:rPr>
        <w:t> </w:t>
      </w:r>
      <w:r>
        <w:rPr/>
        <w:t>arī</w:t>
      </w:r>
      <w:r>
        <w:rPr>
          <w:spacing w:val="-13"/>
        </w:rPr>
        <w:t> </w:t>
      </w:r>
      <w:r>
        <w:rPr/>
        <w:t>sniedz</w:t>
      </w:r>
      <w:r>
        <w:rPr>
          <w:spacing w:val="-12"/>
        </w:rPr>
        <w:t> </w:t>
      </w:r>
      <w:r>
        <w:rPr/>
        <w:t>paziņojumu par DRO izdošanu katram DRO rīkojumā norādītajam kreditoram, norādot kreditoru tiesības iesniegt iebildumus atbilstoši Lielbritānijas Maksātnespējas likuma </w:t>
      </w:r>
      <w:r>
        <w:rPr>
          <w:spacing w:val="-4"/>
        </w:rPr>
        <w:t>251K </w:t>
      </w:r>
      <w:r>
        <w:rPr/>
        <w:t>pantam.</w:t>
      </w:r>
      <w:r>
        <w:rPr>
          <w:position w:val="9"/>
          <w:sz w:val="16"/>
        </w:rPr>
        <w:t>283</w:t>
      </w:r>
    </w:p>
    <w:p>
      <w:pPr>
        <w:pStyle w:val="BodyText"/>
        <w:spacing w:line="235" w:lineRule="auto" w:before="3"/>
        <w:ind w:left="260" w:right="763" w:firstLine="720"/>
        <w:rPr>
          <w:sz w:val="16"/>
        </w:rPr>
      </w:pPr>
      <w:r>
        <w:rPr/>
        <w:t>Pēc rīkojuma izdošanas iestājas 12 mēnešu moratorija periods, kura laikā parādniekam nav nekādu citu pienākumu vai saistību attiecībā pret DRO rīkojumā norādītajiem kreditoriem, tas ir, parādniekam nav šiem kreditoriem nekas jāmaksā, savukārt kreditori nevar pieprasīt, lai parādnieks veiktu jelkādus maksājumus.</w:t>
      </w:r>
      <w:r>
        <w:rPr>
          <w:position w:val="9"/>
          <w:sz w:val="16"/>
        </w:rPr>
        <w:t>284</w:t>
      </w:r>
    </w:p>
    <w:p>
      <w:pPr>
        <w:pStyle w:val="BodyText"/>
        <w:spacing w:line="235" w:lineRule="auto" w:before="7"/>
        <w:ind w:left="260" w:right="762" w:firstLine="720"/>
      </w:pPr>
      <w:r>
        <w:rPr/>
        <w:t>DRO tiek attiecināts uz noteiktiem (atbilstošajiem) parādiem, tāpēc atšķirībā no bankrota procedūras tikai tie parādi, kas ir iekļauti un atspoguļojas DRO, tiek pakļauti aizsardzībai no kreditoriem procedūras laikā un pēc 12 mēnešiem parādnieks no šiem parādiem tiek atbrīvots.</w:t>
      </w:r>
      <w:r>
        <w:rPr>
          <w:position w:val="9"/>
          <w:sz w:val="16"/>
        </w:rPr>
        <w:t>285 </w:t>
      </w:r>
      <w:r>
        <w:rPr/>
        <w:t>Pēc 12 mēnešu moratorija perioda parādnieks tiek atbrīvots no parādiem, kas tika iekļauti DRO rīkojumā. Tomēr moratorija periodu var pagarināt uz 3 mēnešiem</w:t>
      </w:r>
      <w:r>
        <w:rPr>
          <w:position w:val="9"/>
          <w:sz w:val="16"/>
        </w:rPr>
        <w:t>286 </w:t>
      </w:r>
      <w:r>
        <w:rPr/>
        <w:t>atkarībā no apstākļiem, piemēram, ja tiek turpināta izmeklēšana atbilstoši likuma 251K pantam.</w:t>
      </w:r>
    </w:p>
    <w:p>
      <w:pPr>
        <w:pStyle w:val="BodyText"/>
        <w:spacing w:before="4"/>
        <w:ind w:left="260" w:right="764" w:firstLine="720"/>
      </w:pPr>
      <w:r>
        <w:rPr/>
        <w:t>Attiecībā uz turpmākajām parādnieka finanšu darbībām jānorāda, ka ieraksts par DRO izmantošanu parādnieka kredītvēsturē saglabāsies 6 gadus, kas ir saistītas arī ar to, ka turpmākos 6 gadus parādnieks nevarēs izmantot šo procedūru.</w:t>
      </w:r>
    </w:p>
    <w:p>
      <w:pPr>
        <w:pStyle w:val="BodyText"/>
        <w:spacing w:before="5"/>
        <w:jc w:val="left"/>
      </w:pPr>
    </w:p>
    <w:p>
      <w:pPr>
        <w:pStyle w:val="Heading4"/>
        <w:numPr>
          <w:ilvl w:val="0"/>
          <w:numId w:val="56"/>
        </w:numPr>
        <w:tabs>
          <w:tab w:pos="541" w:val="left" w:leader="none"/>
        </w:tabs>
        <w:spacing w:line="240" w:lineRule="auto" w:before="0" w:after="0"/>
        <w:ind w:left="540" w:right="0" w:hanging="281"/>
        <w:jc w:val="left"/>
        <w:rPr>
          <w:i/>
        </w:rPr>
      </w:pPr>
      <w:r>
        <w:rPr>
          <w:i/>
        </w:rPr>
        <w:t>Parādnieka pienākumi</w:t>
      </w:r>
    </w:p>
    <w:p>
      <w:pPr>
        <w:pStyle w:val="BodyText"/>
        <w:spacing w:before="2"/>
        <w:jc w:val="left"/>
        <w:rPr>
          <w:b/>
          <w:i/>
        </w:rPr>
      </w:pPr>
    </w:p>
    <w:p>
      <w:pPr>
        <w:pStyle w:val="BodyText"/>
        <w:spacing w:line="232" w:lineRule="auto"/>
        <w:ind w:left="260" w:right="761" w:firstLine="720"/>
      </w:pPr>
      <w:r>
        <w:rPr/>
        <w:t>Parādnieka galvenais pienākums ir sniegt visu nepieciešamo informāciju oficiālajam pieteikuma saņēmējam – amatpersonai visu procedūras laiku.</w:t>
      </w:r>
      <w:r>
        <w:rPr>
          <w:position w:val="9"/>
          <w:sz w:val="16"/>
        </w:rPr>
        <w:t>287 </w:t>
      </w:r>
      <w:r>
        <w:rPr/>
        <w:t>Pie šāda pienākuma ietilpst gan informācijas sniegšana, gan arī tikšanās ar oficiālo pieteikuma</w:t>
      </w:r>
    </w:p>
    <w:p>
      <w:pPr>
        <w:pStyle w:val="BodyText"/>
        <w:spacing w:before="9"/>
        <w:jc w:val="left"/>
        <w:rPr>
          <w:sz w:val="12"/>
        </w:rPr>
      </w:pPr>
      <w:r>
        <w:rPr/>
        <w:pict>
          <v:shape style="position:absolute;margin-left:72pt;margin-top:9.615907pt;width:144pt;height:.1pt;mso-position-horizontal-relative:page;mso-position-vertical-relative:paragraph;z-index:-251506688;mso-wrap-distance-left:0;mso-wrap-distance-right:0" coordorigin="1440,192" coordsize="2880,0" path="m1440,192l4320,192e" filled="false" stroked="true" strokeweight=".600037pt" strokecolor="#000000">
            <v:path arrowok="t"/>
            <v:stroke dashstyle="solid"/>
            <w10:wrap type="topAndBottom"/>
          </v:shape>
        </w:pict>
      </w:r>
    </w:p>
    <w:p>
      <w:pPr>
        <w:spacing w:line="233" w:lineRule="exact" w:before="70"/>
        <w:ind w:left="260" w:right="0" w:firstLine="0"/>
        <w:jc w:val="left"/>
        <w:rPr>
          <w:sz w:val="20"/>
        </w:rPr>
      </w:pPr>
      <w:r>
        <w:rPr>
          <w:position w:val="7"/>
          <w:sz w:val="13"/>
        </w:rPr>
        <w:t>282 </w:t>
      </w:r>
      <w:r>
        <w:rPr>
          <w:sz w:val="20"/>
        </w:rPr>
        <w:t>Lielbritānijas Maksātnespējas likums, 251B panta pirmā daļa</w:t>
      </w:r>
    </w:p>
    <w:p>
      <w:pPr>
        <w:spacing w:line="230" w:lineRule="exact" w:before="0"/>
        <w:ind w:left="260" w:right="0" w:firstLine="0"/>
        <w:jc w:val="left"/>
        <w:rPr>
          <w:sz w:val="20"/>
        </w:rPr>
      </w:pPr>
      <w:r>
        <w:rPr>
          <w:position w:val="7"/>
          <w:sz w:val="13"/>
        </w:rPr>
        <w:t>283 </w:t>
      </w:r>
      <w:r>
        <w:rPr>
          <w:sz w:val="20"/>
        </w:rPr>
        <w:t>The Insolvency (England and Wales) Rules 2016, 9.11. un 9.12. punkti</w:t>
      </w:r>
    </w:p>
    <w:p>
      <w:pPr>
        <w:spacing w:line="230" w:lineRule="exact" w:before="0"/>
        <w:ind w:left="260" w:right="0" w:firstLine="0"/>
        <w:jc w:val="left"/>
        <w:rPr>
          <w:sz w:val="20"/>
        </w:rPr>
      </w:pPr>
      <w:r>
        <w:rPr>
          <w:position w:val="7"/>
          <w:sz w:val="13"/>
        </w:rPr>
        <w:t>284 </w:t>
      </w:r>
      <w:r>
        <w:rPr>
          <w:sz w:val="20"/>
        </w:rPr>
        <w:t>Lielbritānijas Maksātnespējas likums, 251G panta otrā daļa</w:t>
      </w:r>
    </w:p>
    <w:p>
      <w:pPr>
        <w:spacing w:line="237" w:lineRule="auto" w:before="0"/>
        <w:ind w:left="260" w:right="845" w:firstLine="0"/>
        <w:jc w:val="left"/>
        <w:rPr>
          <w:sz w:val="20"/>
        </w:rPr>
      </w:pPr>
      <w:r>
        <w:rPr/>
        <w:pict>
          <v:line style="position:absolute;mso-position-horizontal-relative:page;mso-position-vertical-relative:paragraph;z-index:-262547456" from="72pt,45.235039pt" to="365.519997pt,45.235039pt" stroked="true" strokeweight=".479966pt" strokecolor="#0562c1">
            <v:stroke dashstyle="solid"/>
            <w10:wrap type="none"/>
          </v:line>
        </w:pict>
      </w:r>
      <w:r>
        <w:rPr>
          <w:position w:val="7"/>
          <w:sz w:val="13"/>
        </w:rPr>
        <w:t>285 </w:t>
      </w:r>
      <w:r>
        <w:rPr>
          <w:sz w:val="20"/>
        </w:rPr>
        <w:t>The Insolvency Service. Insolvency Proceedings: Debt relief orders and the bankruptcy petition limit. Call for evidence, p.4. Pieejams: </w:t>
      </w:r>
      <w:r>
        <w:rPr>
          <w:color w:val="0562C1"/>
          <w:sz w:val="20"/>
          <w:u w:val="single" w:color="0562C1"/>
        </w:rPr>
        <w:t>https://assets.publishing.service.gov.uk/government/uploads/system/uploads/attachment_data/file/341089/I</w:t>
      </w:r>
      <w:r>
        <w:rPr>
          <w:color w:val="0562C1"/>
          <w:sz w:val="20"/>
        </w:rPr>
        <w:t> nsolvency_Proceedings</w:t>
      </w:r>
      <w:r>
        <w:rPr>
          <w:color w:val="0562C1"/>
          <w:sz w:val="20"/>
          <w:u w:val="single" w:color="0461C0"/>
        </w:rPr>
        <w:t>   </w:t>
      </w:r>
      <w:r>
        <w:rPr>
          <w:color w:val="0562C1"/>
          <w:sz w:val="20"/>
        </w:rPr>
        <w:t>Debt_relief_orders_and_petition_limits_v3.pdf </w:t>
      </w:r>
      <w:r>
        <w:rPr>
          <w:sz w:val="20"/>
        </w:rPr>
        <w:t>[aplūkots 2018.gada 4.oktobrī]. </w:t>
      </w:r>
      <w:r>
        <w:rPr>
          <w:position w:val="7"/>
          <w:sz w:val="13"/>
        </w:rPr>
        <w:t>286 </w:t>
      </w:r>
      <w:r>
        <w:rPr>
          <w:sz w:val="20"/>
        </w:rPr>
        <w:t>Lielbritānijas Maksātnespējas likums, 251H panta ceturtā</w:t>
      </w:r>
      <w:r>
        <w:rPr>
          <w:spacing w:val="-16"/>
          <w:sz w:val="20"/>
        </w:rPr>
        <w:t> </w:t>
      </w:r>
      <w:r>
        <w:rPr>
          <w:sz w:val="20"/>
        </w:rPr>
        <w:t>daļa</w:t>
      </w:r>
    </w:p>
    <w:p>
      <w:pPr>
        <w:spacing w:before="0"/>
        <w:ind w:left="260" w:right="0" w:firstLine="0"/>
        <w:jc w:val="left"/>
        <w:rPr>
          <w:sz w:val="20"/>
        </w:rPr>
      </w:pPr>
      <w:r>
        <w:rPr>
          <w:position w:val="7"/>
          <w:sz w:val="13"/>
        </w:rPr>
        <w:t>287 </w:t>
      </w:r>
      <w:r>
        <w:rPr>
          <w:sz w:val="20"/>
        </w:rPr>
        <w:t>Lielbritānijas Maksātnespējas likums, 251J panta pirmā daļa</w:t>
      </w:r>
    </w:p>
    <w:p>
      <w:pPr>
        <w:spacing w:after="0"/>
        <w:jc w:val="left"/>
        <w:rPr>
          <w:sz w:val="20"/>
        </w:rPr>
        <w:sectPr>
          <w:pgSz w:w="11910" w:h="16840"/>
          <w:pgMar w:header="0" w:footer="1055" w:top="1340" w:bottom="1240" w:left="1180" w:right="1040"/>
        </w:sectPr>
      </w:pPr>
    </w:p>
    <w:p>
      <w:pPr>
        <w:pStyle w:val="BodyText"/>
        <w:spacing w:before="73"/>
        <w:ind w:left="620" w:right="403"/>
      </w:pPr>
      <w:r>
        <w:rPr/>
        <w:t>saņēmēju – amatpersonu, kā arī visu citu darbību veikšana, ko oficiālajam pieteikuma saņēmējs – amatpersona var saprātīgi pieprasīt, lai spētu veikt savus amata pienākumu procedūras laikā. Sniegtā informācija ir jo īpaši svarīga attiecībā uz iespējamajām nepilnībām,</w:t>
      </w:r>
      <w:r>
        <w:rPr>
          <w:spacing w:val="-12"/>
        </w:rPr>
        <w:t> </w:t>
      </w:r>
      <w:r>
        <w:rPr/>
        <w:t>kas</w:t>
      </w:r>
      <w:r>
        <w:rPr>
          <w:spacing w:val="-11"/>
        </w:rPr>
        <w:t> </w:t>
      </w:r>
      <w:r>
        <w:rPr/>
        <w:t>ir</w:t>
      </w:r>
      <w:r>
        <w:rPr>
          <w:spacing w:val="-11"/>
        </w:rPr>
        <w:t> </w:t>
      </w:r>
      <w:r>
        <w:rPr/>
        <w:t>norādītas</w:t>
      </w:r>
      <w:r>
        <w:rPr>
          <w:spacing w:val="-13"/>
        </w:rPr>
        <w:t> </w:t>
      </w:r>
      <w:r>
        <w:rPr/>
        <w:t>pieteikumā</w:t>
      </w:r>
      <w:r>
        <w:rPr>
          <w:spacing w:val="-12"/>
        </w:rPr>
        <w:t> </w:t>
      </w:r>
      <w:r>
        <w:rPr/>
        <w:t>un</w:t>
      </w:r>
      <w:r>
        <w:rPr>
          <w:spacing w:val="-11"/>
        </w:rPr>
        <w:t> </w:t>
      </w:r>
      <w:r>
        <w:rPr/>
        <w:t>jebkādām</w:t>
      </w:r>
      <w:r>
        <w:rPr>
          <w:spacing w:val="-9"/>
        </w:rPr>
        <w:t> </w:t>
      </w:r>
      <w:r>
        <w:rPr/>
        <w:t>izmaiņām</w:t>
      </w:r>
      <w:r>
        <w:rPr>
          <w:spacing w:val="-12"/>
        </w:rPr>
        <w:t> </w:t>
      </w:r>
      <w:r>
        <w:rPr/>
        <w:t>personas</w:t>
      </w:r>
      <w:r>
        <w:rPr>
          <w:spacing w:val="-11"/>
        </w:rPr>
        <w:t> </w:t>
      </w:r>
      <w:r>
        <w:rPr/>
        <w:t>faktiskajos</w:t>
      </w:r>
      <w:r>
        <w:rPr>
          <w:spacing w:val="-11"/>
        </w:rPr>
        <w:t> </w:t>
      </w:r>
      <w:r>
        <w:rPr/>
        <w:t>dzīves apstākļos. Kā galvenais apstāklis ir minamas izmaiņas parādnieka ienākumu</w:t>
      </w:r>
      <w:r>
        <w:rPr>
          <w:spacing w:val="-6"/>
        </w:rPr>
        <w:t> </w:t>
      </w:r>
      <w:r>
        <w:rPr/>
        <w:t>apmērā.</w:t>
      </w:r>
    </w:p>
    <w:p>
      <w:pPr>
        <w:pStyle w:val="BodyText"/>
        <w:ind w:left="620" w:right="405" w:firstLine="720"/>
      </w:pPr>
      <w:r>
        <w:rPr/>
        <w:t>Līdz ar to informācijas sniegšana par apstākļiem, kas ietekmē DRO piemērošanu pēc</w:t>
      </w:r>
      <w:r>
        <w:rPr>
          <w:spacing w:val="-12"/>
        </w:rPr>
        <w:t> </w:t>
      </w:r>
      <w:r>
        <w:rPr/>
        <w:t>būtības,</w:t>
      </w:r>
      <w:r>
        <w:rPr>
          <w:spacing w:val="-8"/>
        </w:rPr>
        <w:t> </w:t>
      </w:r>
      <w:r>
        <w:rPr/>
        <w:t>ir</w:t>
      </w:r>
      <w:r>
        <w:rPr>
          <w:spacing w:val="-10"/>
        </w:rPr>
        <w:t> </w:t>
      </w:r>
      <w:r>
        <w:rPr/>
        <w:t>būtisks</w:t>
      </w:r>
      <w:r>
        <w:rPr>
          <w:spacing w:val="-10"/>
        </w:rPr>
        <w:t> </w:t>
      </w:r>
      <w:r>
        <w:rPr/>
        <w:t>parādnieka</w:t>
      </w:r>
      <w:r>
        <w:rPr>
          <w:spacing w:val="-12"/>
        </w:rPr>
        <w:t> </w:t>
      </w:r>
      <w:r>
        <w:rPr/>
        <w:t>pienākums</w:t>
      </w:r>
      <w:r>
        <w:rPr>
          <w:spacing w:val="-7"/>
        </w:rPr>
        <w:t> </w:t>
      </w:r>
      <w:r>
        <w:rPr/>
        <w:t>moratorija</w:t>
      </w:r>
      <w:r>
        <w:rPr>
          <w:spacing w:val="-9"/>
        </w:rPr>
        <w:t> </w:t>
      </w:r>
      <w:r>
        <w:rPr/>
        <w:t>laikā.</w:t>
      </w:r>
      <w:r>
        <w:rPr>
          <w:spacing w:val="-8"/>
        </w:rPr>
        <w:t> </w:t>
      </w:r>
      <w:r>
        <w:rPr/>
        <w:t>Gluži</w:t>
      </w:r>
      <w:r>
        <w:rPr>
          <w:spacing w:val="-10"/>
        </w:rPr>
        <w:t> </w:t>
      </w:r>
      <w:r>
        <w:rPr/>
        <w:t>tāpat,</w:t>
      </w:r>
      <w:r>
        <w:rPr>
          <w:spacing w:val="-10"/>
        </w:rPr>
        <w:t> </w:t>
      </w:r>
      <w:r>
        <w:rPr/>
        <w:t>kā</w:t>
      </w:r>
      <w:r>
        <w:rPr>
          <w:spacing w:val="-12"/>
        </w:rPr>
        <w:t> </w:t>
      </w:r>
      <w:r>
        <w:rPr/>
        <w:t>tas</w:t>
      </w:r>
      <w:r>
        <w:rPr>
          <w:spacing w:val="-10"/>
        </w:rPr>
        <w:t> </w:t>
      </w:r>
      <w:r>
        <w:rPr/>
        <w:t>ir</w:t>
      </w:r>
      <w:r>
        <w:rPr>
          <w:spacing w:val="-8"/>
        </w:rPr>
        <w:t> </w:t>
      </w:r>
      <w:r>
        <w:rPr/>
        <w:t>noteikts bankrota procedūrā, arī DRO procedūras laikā parādnieks nedrīkst iegūt jaunu kredītu (darījumu), kas ir lielāks par 500 mārciņām, vai nu atsevišķi, vai kopā ar citām personām, neizpaužot aizdevējam, ka viņam tiek piemērots</w:t>
      </w:r>
      <w:r>
        <w:rPr>
          <w:spacing w:val="3"/>
        </w:rPr>
        <w:t> </w:t>
      </w:r>
      <w:r>
        <w:rPr/>
        <w:t>DRO.</w:t>
      </w:r>
    </w:p>
    <w:p>
      <w:pPr>
        <w:pStyle w:val="BodyText"/>
        <w:ind w:left="620" w:right="403" w:firstLine="720"/>
      </w:pPr>
      <w:r>
        <w:rPr/>
        <w:t>Procedūras laikā parādnieks tiek pakļauts arī citiem ierobežojumiem attiecībā uz ieņemamo amatu – persona nevar veidot vai vadīt jebkādu uzņēmumu, kā arī nevar</w:t>
      </w:r>
      <w:r>
        <w:rPr>
          <w:spacing w:val="-41"/>
        </w:rPr>
        <w:t> </w:t>
      </w:r>
      <w:r>
        <w:rPr/>
        <w:t>ieņemt uzņēmuma direktora amatu bez tiesas</w:t>
      </w:r>
      <w:r>
        <w:rPr>
          <w:spacing w:val="1"/>
        </w:rPr>
        <w:t> </w:t>
      </w:r>
      <w:r>
        <w:rPr/>
        <w:t>atļaujas.</w:t>
      </w:r>
    </w:p>
    <w:p>
      <w:pPr>
        <w:pStyle w:val="BodyText"/>
        <w:spacing w:before="5"/>
        <w:jc w:val="left"/>
      </w:pPr>
    </w:p>
    <w:p>
      <w:pPr>
        <w:pStyle w:val="Heading4"/>
        <w:numPr>
          <w:ilvl w:val="0"/>
          <w:numId w:val="56"/>
        </w:numPr>
        <w:tabs>
          <w:tab w:pos="901" w:val="left" w:leader="none"/>
        </w:tabs>
        <w:spacing w:line="240" w:lineRule="auto" w:before="0" w:after="0"/>
        <w:ind w:left="900" w:right="0" w:hanging="281"/>
        <w:jc w:val="left"/>
        <w:rPr>
          <w:i/>
        </w:rPr>
      </w:pPr>
      <w:r>
        <w:rPr>
          <w:i/>
        </w:rPr>
        <w:t>Parādnieka kontrole procedūras</w:t>
      </w:r>
      <w:r>
        <w:rPr>
          <w:i/>
          <w:spacing w:val="-4"/>
        </w:rPr>
        <w:t> </w:t>
      </w:r>
      <w:r>
        <w:rPr>
          <w:i/>
        </w:rPr>
        <w:t>laikā</w:t>
      </w:r>
    </w:p>
    <w:p>
      <w:pPr>
        <w:pStyle w:val="BodyText"/>
        <w:spacing w:before="9"/>
        <w:jc w:val="left"/>
        <w:rPr>
          <w:b/>
          <w:i/>
          <w:sz w:val="23"/>
        </w:rPr>
      </w:pPr>
    </w:p>
    <w:p>
      <w:pPr>
        <w:pStyle w:val="BodyText"/>
        <w:spacing w:line="237" w:lineRule="auto"/>
        <w:ind w:left="620" w:right="402" w:firstLine="720"/>
        <w:rPr>
          <w:sz w:val="16"/>
        </w:rPr>
      </w:pPr>
      <w:r>
        <w:rPr/>
        <w:t>Parādnieka rīcības kontroli veic oficiālā amatpersona, ko tā var veikt vai nu pēc kreditora izteiktajiem iebildumiem, vai arī pēc savas iniciatīvas uzsākt izmeklēšanu par jebkuru</w:t>
      </w:r>
      <w:r>
        <w:rPr>
          <w:spacing w:val="-5"/>
        </w:rPr>
        <w:t> </w:t>
      </w:r>
      <w:r>
        <w:rPr/>
        <w:t>jautājumu,</w:t>
      </w:r>
      <w:r>
        <w:rPr>
          <w:spacing w:val="-5"/>
        </w:rPr>
        <w:t> </w:t>
      </w:r>
      <w:r>
        <w:rPr/>
        <w:t>kas</w:t>
      </w:r>
      <w:r>
        <w:rPr>
          <w:spacing w:val="-4"/>
        </w:rPr>
        <w:t> </w:t>
      </w:r>
      <w:r>
        <w:rPr/>
        <w:t>viņam</w:t>
      </w:r>
      <w:r>
        <w:rPr>
          <w:spacing w:val="-7"/>
        </w:rPr>
        <w:t> </w:t>
      </w:r>
      <w:r>
        <w:rPr/>
        <w:t>šķiet</w:t>
      </w:r>
      <w:r>
        <w:rPr>
          <w:spacing w:val="-4"/>
        </w:rPr>
        <w:t> </w:t>
      </w:r>
      <w:r>
        <w:rPr/>
        <w:t>nozīmīgs,</w:t>
      </w:r>
      <w:r>
        <w:rPr>
          <w:spacing w:val="-3"/>
        </w:rPr>
        <w:t> </w:t>
      </w:r>
      <w:r>
        <w:rPr/>
        <w:t>lai</w:t>
      </w:r>
      <w:r>
        <w:rPr>
          <w:spacing w:val="-6"/>
        </w:rPr>
        <w:t> </w:t>
      </w:r>
      <w:r>
        <w:rPr/>
        <w:t>lemtu</w:t>
      </w:r>
      <w:r>
        <w:rPr>
          <w:spacing w:val="-5"/>
        </w:rPr>
        <w:t> </w:t>
      </w:r>
      <w:r>
        <w:rPr/>
        <w:t>par</w:t>
      </w:r>
      <w:r>
        <w:rPr>
          <w:spacing w:val="-7"/>
        </w:rPr>
        <w:t> </w:t>
      </w:r>
      <w:r>
        <w:rPr/>
        <w:t>iespējamo</w:t>
      </w:r>
      <w:r>
        <w:rPr>
          <w:spacing w:val="-5"/>
        </w:rPr>
        <w:t> </w:t>
      </w:r>
      <w:r>
        <w:rPr/>
        <w:t>DRO atsaukšanu</w:t>
      </w:r>
      <w:r>
        <w:rPr>
          <w:spacing w:val="-5"/>
        </w:rPr>
        <w:t> </w:t>
      </w:r>
      <w:r>
        <w:rPr/>
        <w:t>vai grozīšanu, pieteikuma tiesai iesniegšanu vai pieņemtu kādu citu jautājumu attiecībā pret parādnieku.</w:t>
      </w:r>
      <w:r>
        <w:rPr>
          <w:position w:val="9"/>
          <w:sz w:val="16"/>
        </w:rPr>
        <w:t>288</w:t>
      </w:r>
    </w:p>
    <w:p>
      <w:pPr>
        <w:pStyle w:val="BodyText"/>
        <w:spacing w:line="232" w:lineRule="auto" w:before="3"/>
        <w:ind w:left="620" w:right="401" w:firstLine="720"/>
      </w:pPr>
      <w:r>
        <w:rPr/>
        <w:t>Oficiālajam pieteikuma saņēmējam - amatpersonai, pamatojoties uz izmeklēšanā iegūto informāciju, ir pilnvaras atsaukt vai grozīt parāda atvieglojumu rīkojumu.</w:t>
      </w:r>
      <w:r>
        <w:rPr>
          <w:position w:val="9"/>
          <w:sz w:val="16"/>
        </w:rPr>
        <w:t>289 </w:t>
      </w:r>
      <w:r>
        <w:rPr/>
        <w:t>DRO rīkojumu var atcelt, ja:</w:t>
      </w:r>
    </w:p>
    <w:p>
      <w:pPr>
        <w:pStyle w:val="ListParagraph"/>
        <w:numPr>
          <w:ilvl w:val="0"/>
          <w:numId w:val="64"/>
        </w:numPr>
        <w:tabs>
          <w:tab w:pos="1472" w:val="left" w:leader="none"/>
        </w:tabs>
        <w:spacing w:line="240" w:lineRule="auto" w:before="3" w:after="0"/>
        <w:ind w:left="1472" w:right="402" w:hanging="360"/>
        <w:jc w:val="left"/>
        <w:rPr>
          <w:sz w:val="24"/>
        </w:rPr>
      </w:pPr>
      <w:r>
        <w:rPr>
          <w:sz w:val="24"/>
        </w:rPr>
        <w:t>jebkura informācija, ko iesniedza parādnieks, izrādījās nepilnīga, neprecīza vai nepatiesa;</w:t>
      </w:r>
    </w:p>
    <w:p>
      <w:pPr>
        <w:pStyle w:val="ListParagraph"/>
        <w:numPr>
          <w:ilvl w:val="0"/>
          <w:numId w:val="64"/>
        </w:numPr>
        <w:tabs>
          <w:tab w:pos="1472" w:val="left" w:leader="none"/>
        </w:tabs>
        <w:spacing w:line="240" w:lineRule="auto" w:before="0" w:after="0"/>
        <w:ind w:left="1472" w:right="0" w:hanging="360"/>
        <w:jc w:val="left"/>
        <w:rPr>
          <w:sz w:val="24"/>
        </w:rPr>
      </w:pPr>
      <w:r>
        <w:rPr>
          <w:sz w:val="24"/>
        </w:rPr>
        <w:t>parādnieks nav izpildījis savu pienākumu saskaņā ar 251J</w:t>
      </w:r>
      <w:r>
        <w:rPr>
          <w:spacing w:val="-6"/>
          <w:sz w:val="24"/>
        </w:rPr>
        <w:t> </w:t>
      </w:r>
      <w:r>
        <w:rPr>
          <w:sz w:val="24"/>
        </w:rPr>
        <w:t>pantu;</w:t>
      </w:r>
    </w:p>
    <w:p>
      <w:pPr>
        <w:pStyle w:val="ListParagraph"/>
        <w:numPr>
          <w:ilvl w:val="0"/>
          <w:numId w:val="64"/>
        </w:numPr>
        <w:tabs>
          <w:tab w:pos="1472" w:val="left" w:leader="none"/>
        </w:tabs>
        <w:spacing w:line="240" w:lineRule="auto" w:before="0" w:after="0"/>
        <w:ind w:left="1472" w:right="0" w:hanging="360"/>
        <w:jc w:val="left"/>
        <w:rPr>
          <w:sz w:val="24"/>
        </w:rPr>
      </w:pPr>
      <w:r>
        <w:rPr>
          <w:sz w:val="24"/>
        </w:rPr>
        <w:t>attiecībā uz parādnieku ir izdots rīkojums par bankrotu</w:t>
      </w:r>
      <w:r>
        <w:rPr>
          <w:spacing w:val="-1"/>
          <w:sz w:val="24"/>
        </w:rPr>
        <w:t> </w:t>
      </w:r>
      <w:r>
        <w:rPr>
          <w:sz w:val="24"/>
        </w:rPr>
        <w:t>vai</w:t>
      </w:r>
    </w:p>
    <w:p>
      <w:pPr>
        <w:pStyle w:val="ListParagraph"/>
        <w:numPr>
          <w:ilvl w:val="0"/>
          <w:numId w:val="64"/>
        </w:numPr>
        <w:tabs>
          <w:tab w:pos="1472" w:val="left" w:leader="none"/>
        </w:tabs>
        <w:spacing w:line="240" w:lineRule="auto" w:before="0" w:after="0"/>
        <w:ind w:left="1472" w:right="0" w:hanging="360"/>
        <w:jc w:val="left"/>
        <w:rPr>
          <w:sz w:val="24"/>
        </w:rPr>
      </w:pPr>
      <w:r>
        <w:rPr>
          <w:sz w:val="24"/>
        </w:rPr>
        <w:t>parādnieks ir informējis par savu nodomu iesniegt</w:t>
      </w:r>
      <w:r>
        <w:rPr>
          <w:spacing w:val="-1"/>
          <w:sz w:val="24"/>
        </w:rPr>
        <w:t> </w:t>
      </w:r>
      <w:r>
        <w:rPr>
          <w:sz w:val="24"/>
        </w:rPr>
        <w:t>bankrotu.</w:t>
      </w:r>
    </w:p>
    <w:p>
      <w:pPr>
        <w:pStyle w:val="BodyText"/>
        <w:ind w:left="620" w:right="401" w:firstLine="720"/>
      </w:pPr>
      <w:r>
        <w:rPr/>
        <w:t>Tāpat rīkojumu var atsaukt, ja oficiālais pieteikuma saņēmējs – amatpersona</w:t>
      </w:r>
      <w:r>
        <w:rPr>
          <w:spacing w:val="-38"/>
        </w:rPr>
        <w:t> </w:t>
      </w:r>
      <w:r>
        <w:rPr/>
        <w:t>atzīst, ka šāds rīkojums nebija jāizdod, jo attiecībā uz parādnieku neizpildījās visi</w:t>
      </w:r>
      <w:r>
        <w:rPr>
          <w:spacing w:val="-6"/>
        </w:rPr>
        <w:t> </w:t>
      </w:r>
      <w:r>
        <w:rPr/>
        <w:t>kritēriji.</w:t>
      </w:r>
    </w:p>
    <w:p>
      <w:pPr>
        <w:pStyle w:val="BodyText"/>
        <w:ind w:left="620" w:right="402" w:firstLine="720"/>
      </w:pPr>
      <w:r>
        <w:rPr/>
        <w:t>Savukārt grozīt DRO rīkojumu var, lai labotu kādu kļūdu, kas tur ir ieviesusies, tomēr šādā gadījumā DRO rīkojumā nevar iekļaut jaunus parādus, kas nebija noteikti sākotnējā pieteikumā.</w:t>
      </w:r>
    </w:p>
    <w:p>
      <w:pPr>
        <w:pStyle w:val="BodyText"/>
        <w:spacing w:line="237" w:lineRule="auto" w:before="3"/>
        <w:ind w:left="620" w:right="400" w:firstLine="720"/>
        <w:rPr>
          <w:sz w:val="16"/>
        </w:rPr>
      </w:pPr>
      <w:r>
        <w:rPr/>
        <w:t>Lai arī varētu šķist, ka galvenais noteicējs parādnieka rīcības kontrolē ir tieši oficiālā amatpersona, tomēr nozīmīga loma ir arī tiesai. Atbilstoši Lielbritānijas Maksātnespējas likuma 251M pirmajai daļai jebkura persona var vērsties tiesā, ja tā ir neapmierināta ar jebkādu oficiālās amatpersonas darbību, bezdarbību vai lēmumu saistībā ar DRO vai pieteikumu par šādu DRO rīkojumu.</w:t>
      </w:r>
      <w:r>
        <w:rPr>
          <w:position w:val="9"/>
          <w:sz w:val="16"/>
        </w:rPr>
        <w:t>290</w:t>
      </w:r>
    </w:p>
    <w:p>
      <w:pPr>
        <w:pStyle w:val="BodyText"/>
        <w:spacing w:line="235" w:lineRule="auto" w:before="1"/>
        <w:ind w:left="620" w:right="402" w:firstLine="720"/>
      </w:pPr>
      <w:r>
        <w:rPr/>
        <w:t>Tai pat laikā arī pati oficiālā amatpersona var vērsties tiesā saistībā ar apstākļiem, kas attiecas uz parādnieka pienākumu izpildi atbilstoši likuma 251J prasībām.</w:t>
      </w:r>
      <w:r>
        <w:rPr>
          <w:position w:val="9"/>
          <w:sz w:val="16"/>
        </w:rPr>
        <w:t>291 </w:t>
      </w:r>
      <w:r>
        <w:rPr/>
        <w:t>Tas nozīmē, ka oficiālā amatpersona un tiesa faktiski strādā tandēmā attiecībā uz parādnieka rīcības kontroli DRO procedūras laikā.</w:t>
      </w:r>
    </w:p>
    <w:p>
      <w:pPr>
        <w:pStyle w:val="BodyText"/>
        <w:spacing w:line="278" w:lineRule="exact"/>
        <w:ind w:left="1340"/>
      </w:pPr>
      <w:r>
        <w:rPr/>
        <w:t>Tiesas kompetence</w:t>
      </w:r>
      <w:r>
        <w:rPr>
          <w:position w:val="9"/>
          <w:sz w:val="16"/>
        </w:rPr>
        <w:t>292</w:t>
      </w:r>
      <w:r>
        <w:rPr/>
        <w:t>:</w:t>
      </w:r>
    </w:p>
    <w:p>
      <w:pPr>
        <w:pStyle w:val="ListParagraph"/>
        <w:numPr>
          <w:ilvl w:val="1"/>
          <w:numId w:val="64"/>
        </w:numPr>
        <w:tabs>
          <w:tab w:pos="2039" w:val="left" w:leader="none"/>
        </w:tabs>
        <w:spacing w:line="240" w:lineRule="auto" w:before="0" w:after="0"/>
        <w:ind w:left="2038" w:right="0" w:hanging="361"/>
        <w:jc w:val="both"/>
        <w:rPr>
          <w:sz w:val="24"/>
        </w:rPr>
      </w:pPr>
      <w:r>
        <w:rPr>
          <w:sz w:val="24"/>
        </w:rPr>
        <w:t>atcelt visu oficiālā saņēmēja tiesību aktu vai lēmumu vai tā daļu;</w:t>
      </w:r>
    </w:p>
    <w:p>
      <w:pPr>
        <w:pStyle w:val="BodyText"/>
        <w:spacing w:before="7"/>
        <w:jc w:val="left"/>
        <w:rPr>
          <w:sz w:val="20"/>
        </w:rPr>
      </w:pPr>
      <w:r>
        <w:rPr/>
        <w:pict>
          <v:shape style="position:absolute;margin-left:90pt;margin-top:14.141941pt;width:144pt;height:.1pt;mso-position-horizontal-relative:page;mso-position-vertical-relative:paragraph;z-index:-251504640;mso-wrap-distance-left:0;mso-wrap-distance-right:0" coordorigin="1800,283" coordsize="2880,0" path="m1800,283l4680,283e" filled="false" stroked="true" strokeweight=".599991pt" strokecolor="#000000">
            <v:path arrowok="t"/>
            <v:stroke dashstyle="solid"/>
            <w10:wrap type="topAndBottom"/>
          </v:shape>
        </w:pict>
      </w:r>
    </w:p>
    <w:p>
      <w:pPr>
        <w:spacing w:line="231" w:lineRule="exact" w:before="70"/>
        <w:ind w:left="620" w:right="0" w:firstLine="0"/>
        <w:jc w:val="left"/>
        <w:rPr>
          <w:sz w:val="20"/>
        </w:rPr>
      </w:pPr>
      <w:r>
        <w:rPr>
          <w:position w:val="7"/>
          <w:sz w:val="13"/>
        </w:rPr>
        <w:t>288 </w:t>
      </w:r>
      <w:r>
        <w:rPr>
          <w:sz w:val="20"/>
        </w:rPr>
        <w:t>Lielbritānijas Maksātnespējas likums, 251K panta ceturtā – piektā daļa</w:t>
      </w:r>
    </w:p>
    <w:p>
      <w:pPr>
        <w:spacing w:line="229" w:lineRule="exact" w:before="0"/>
        <w:ind w:left="620" w:right="0" w:firstLine="0"/>
        <w:jc w:val="left"/>
        <w:rPr>
          <w:sz w:val="20"/>
        </w:rPr>
      </w:pPr>
      <w:r>
        <w:rPr>
          <w:position w:val="7"/>
          <w:sz w:val="13"/>
        </w:rPr>
        <w:t>289 </w:t>
      </w:r>
      <w:r>
        <w:rPr>
          <w:sz w:val="20"/>
        </w:rPr>
        <w:t>Lielbritānijas Maksātnespējas likums, 251L pants</w:t>
      </w:r>
    </w:p>
    <w:p>
      <w:pPr>
        <w:spacing w:line="235" w:lineRule="auto" w:before="1"/>
        <w:ind w:left="620" w:right="3806" w:firstLine="0"/>
        <w:jc w:val="left"/>
        <w:rPr>
          <w:sz w:val="20"/>
        </w:rPr>
      </w:pPr>
      <w:r>
        <w:rPr>
          <w:position w:val="7"/>
          <w:sz w:val="13"/>
        </w:rPr>
        <w:t>290 </w:t>
      </w:r>
      <w:r>
        <w:rPr>
          <w:sz w:val="20"/>
        </w:rPr>
        <w:t>Lielbritānijas Maksātnespējas likums, 251M pantsa pirmā daļa </w:t>
      </w:r>
      <w:r>
        <w:rPr>
          <w:position w:val="7"/>
          <w:sz w:val="13"/>
        </w:rPr>
        <w:t>291  </w:t>
      </w:r>
      <w:r>
        <w:rPr>
          <w:sz w:val="20"/>
        </w:rPr>
        <w:t>Lielbritānijas Maksātnespējas likums, 251M panta otrā daļa</w:t>
      </w:r>
      <w:r>
        <w:rPr>
          <w:position w:val="7"/>
          <w:sz w:val="20"/>
        </w:rPr>
        <w:t> </w:t>
      </w:r>
      <w:r>
        <w:rPr>
          <w:position w:val="7"/>
          <w:sz w:val="13"/>
        </w:rPr>
        <w:t>292 </w:t>
      </w:r>
      <w:r>
        <w:rPr>
          <w:sz w:val="20"/>
        </w:rPr>
        <w:t>Lielbritānijas Maksātnespējas likums, 251M panta sestā</w:t>
      </w:r>
      <w:r>
        <w:rPr>
          <w:spacing w:val="-22"/>
          <w:sz w:val="20"/>
        </w:rPr>
        <w:t> </w:t>
      </w:r>
      <w:r>
        <w:rPr>
          <w:sz w:val="20"/>
        </w:rPr>
        <w:t>daļa</w:t>
      </w:r>
    </w:p>
    <w:p>
      <w:pPr>
        <w:spacing w:after="0" w:line="235" w:lineRule="auto"/>
        <w:jc w:val="left"/>
        <w:rPr>
          <w:sz w:val="20"/>
        </w:rPr>
        <w:sectPr>
          <w:pgSz w:w="11910" w:h="16840"/>
          <w:pgMar w:header="0" w:footer="1055" w:top="1340" w:bottom="1240" w:left="1180" w:right="1040"/>
        </w:sectPr>
      </w:pPr>
    </w:p>
    <w:p>
      <w:pPr>
        <w:pStyle w:val="ListParagraph"/>
        <w:numPr>
          <w:ilvl w:val="1"/>
          <w:numId w:val="64"/>
        </w:numPr>
        <w:tabs>
          <w:tab w:pos="1679" w:val="left" w:leader="none"/>
        </w:tabs>
        <w:spacing w:line="240" w:lineRule="auto" w:before="73" w:after="0"/>
        <w:ind w:left="1678" w:right="765" w:hanging="360"/>
        <w:jc w:val="both"/>
        <w:rPr>
          <w:sz w:val="24"/>
        </w:rPr>
      </w:pPr>
      <w:r>
        <w:rPr>
          <w:sz w:val="24"/>
        </w:rPr>
        <w:t>sniegt oficiālajai amatpersonai norādījumus (tostarp norādījumu, ka viņš pārskata jebkuru jautājumu, saistībā ar kuru viņa darbība vai lēmums ir atcelts saskaņā ar</w:t>
      </w:r>
      <w:r>
        <w:rPr>
          <w:spacing w:val="-3"/>
          <w:sz w:val="24"/>
        </w:rPr>
        <w:t> </w:t>
      </w:r>
      <w:r>
        <w:rPr>
          <w:sz w:val="24"/>
        </w:rPr>
        <w:t>1.apakšpunktu);</w:t>
      </w:r>
    </w:p>
    <w:p>
      <w:pPr>
        <w:pStyle w:val="ListParagraph"/>
        <w:numPr>
          <w:ilvl w:val="1"/>
          <w:numId w:val="64"/>
        </w:numPr>
        <w:tabs>
          <w:tab w:pos="1679" w:val="left" w:leader="none"/>
        </w:tabs>
        <w:spacing w:line="240" w:lineRule="auto" w:before="0" w:after="0"/>
        <w:ind w:left="1678" w:right="765" w:hanging="360"/>
        <w:jc w:val="both"/>
        <w:rPr>
          <w:sz w:val="24"/>
        </w:rPr>
      </w:pPr>
      <w:r>
        <w:rPr>
          <w:sz w:val="24"/>
        </w:rPr>
        <w:t>izdod rīkojumu, lai izpildītu jebkuru parādnieka pienākumu, kas izriet </w:t>
      </w:r>
      <w:r>
        <w:rPr>
          <w:spacing w:val="-6"/>
          <w:sz w:val="24"/>
        </w:rPr>
        <w:t>no </w:t>
      </w:r>
      <w:r>
        <w:rPr>
          <w:sz w:val="24"/>
        </w:rPr>
        <w:t>251J pantā noteiktā</w:t>
      </w:r>
      <w:r>
        <w:rPr>
          <w:spacing w:val="-2"/>
          <w:sz w:val="24"/>
        </w:rPr>
        <w:t> </w:t>
      </w:r>
      <w:r>
        <w:rPr>
          <w:sz w:val="24"/>
        </w:rPr>
        <w:t>pienākuma;</w:t>
      </w:r>
    </w:p>
    <w:p>
      <w:pPr>
        <w:pStyle w:val="ListParagraph"/>
        <w:numPr>
          <w:ilvl w:val="1"/>
          <w:numId w:val="64"/>
        </w:numPr>
        <w:tabs>
          <w:tab w:pos="1679" w:val="left" w:leader="none"/>
        </w:tabs>
        <w:spacing w:line="240" w:lineRule="auto" w:before="0" w:after="0"/>
        <w:ind w:left="1678" w:right="0" w:hanging="361"/>
        <w:jc w:val="both"/>
        <w:rPr>
          <w:sz w:val="24"/>
        </w:rPr>
      </w:pPr>
      <w:r>
        <w:rPr>
          <w:sz w:val="24"/>
        </w:rPr>
        <w:t>pagarināt moratorija periodu, kas piemērojams DRO</w:t>
      </w:r>
      <w:r>
        <w:rPr>
          <w:spacing w:val="-3"/>
          <w:sz w:val="24"/>
        </w:rPr>
        <w:t> </w:t>
      </w:r>
      <w:r>
        <w:rPr>
          <w:sz w:val="24"/>
        </w:rPr>
        <w:t>rīkojumam;</w:t>
      </w:r>
    </w:p>
    <w:p>
      <w:pPr>
        <w:pStyle w:val="ListParagraph"/>
        <w:numPr>
          <w:ilvl w:val="1"/>
          <w:numId w:val="64"/>
        </w:numPr>
        <w:tabs>
          <w:tab w:pos="1679" w:val="left" w:leader="none"/>
        </w:tabs>
        <w:spacing w:line="240" w:lineRule="auto" w:before="0" w:after="0"/>
        <w:ind w:left="1678" w:right="0" w:hanging="361"/>
        <w:jc w:val="both"/>
        <w:rPr>
          <w:sz w:val="24"/>
        </w:rPr>
      </w:pPr>
      <w:r>
        <w:rPr>
          <w:sz w:val="24"/>
        </w:rPr>
        <w:t>izdot rīkojumu atsaukt vai grozīt DRO</w:t>
      </w:r>
      <w:r>
        <w:rPr>
          <w:spacing w:val="3"/>
          <w:sz w:val="24"/>
        </w:rPr>
        <w:t> </w:t>
      </w:r>
      <w:r>
        <w:rPr>
          <w:sz w:val="24"/>
        </w:rPr>
        <w:t>rīkojumu;</w:t>
      </w:r>
    </w:p>
    <w:p>
      <w:pPr>
        <w:pStyle w:val="ListParagraph"/>
        <w:numPr>
          <w:ilvl w:val="1"/>
          <w:numId w:val="64"/>
        </w:numPr>
        <w:tabs>
          <w:tab w:pos="1679" w:val="left" w:leader="none"/>
        </w:tabs>
        <w:spacing w:line="240" w:lineRule="auto" w:before="0" w:after="0"/>
        <w:ind w:left="1678" w:right="763" w:hanging="360"/>
        <w:jc w:val="both"/>
        <w:rPr>
          <w:sz w:val="24"/>
        </w:rPr>
      </w:pPr>
      <w:r>
        <w:rPr>
          <w:sz w:val="24"/>
        </w:rPr>
        <w:t>izdot rīkojumu saskaņā ar 251N pantu (izmeklēšana par parādnieka darījumiem un īpašumu);</w:t>
      </w:r>
    </w:p>
    <w:p>
      <w:pPr>
        <w:pStyle w:val="ListParagraph"/>
        <w:numPr>
          <w:ilvl w:val="1"/>
          <w:numId w:val="64"/>
        </w:numPr>
        <w:tabs>
          <w:tab w:pos="1679" w:val="left" w:leader="none"/>
        </w:tabs>
        <w:spacing w:line="240" w:lineRule="auto" w:before="0" w:after="0"/>
        <w:ind w:left="1678" w:right="0" w:hanging="361"/>
        <w:jc w:val="both"/>
        <w:rPr>
          <w:sz w:val="24"/>
        </w:rPr>
      </w:pPr>
      <w:r>
        <w:rPr>
          <w:sz w:val="24"/>
        </w:rPr>
        <w:t>veikt citas darbības, kuras tiesa uzskata par</w:t>
      </w:r>
      <w:r>
        <w:rPr>
          <w:spacing w:val="-4"/>
          <w:sz w:val="24"/>
        </w:rPr>
        <w:t> </w:t>
      </w:r>
      <w:r>
        <w:rPr>
          <w:sz w:val="24"/>
        </w:rPr>
        <w:t>atbilstošām.</w:t>
      </w:r>
    </w:p>
    <w:p>
      <w:pPr>
        <w:pStyle w:val="BodyText"/>
        <w:spacing w:line="237" w:lineRule="auto" w:before="3"/>
        <w:ind w:left="260" w:right="761" w:firstLine="720"/>
      </w:pPr>
      <w:r>
        <w:rPr/>
        <w:t>Papildus minētajam, tiesai ir īpašas pilnvaras izdot parāda atvieglojuma ierobežojumu </w:t>
      </w:r>
      <w:r>
        <w:rPr>
          <w:i/>
        </w:rPr>
        <w:t>(debt relief restriction order)</w:t>
      </w:r>
      <w:r>
        <w:rPr/>
        <w:t>, ja tiesa uzskata, ka to darīt būtu lietderīgi, ņemot vērā parādnieka rīcību (gan pirms, gan pēc DRO pieņemšanas).</w:t>
      </w:r>
      <w:r>
        <w:rPr>
          <w:position w:val="9"/>
          <w:sz w:val="16"/>
        </w:rPr>
        <w:t>293 </w:t>
      </w:r>
      <w:r>
        <w:rPr/>
        <w:t>Parāda atvieglojuma ierobežojumu tiesa var pieņemt pat līdz 15 gadiem.</w:t>
      </w:r>
      <w:r>
        <w:rPr>
          <w:position w:val="9"/>
          <w:sz w:val="16"/>
        </w:rPr>
        <w:t>294 </w:t>
      </w:r>
      <w:r>
        <w:rPr/>
        <w:t>Tas nozīmē to, ka tie ierobežojumi,</w:t>
      </w:r>
      <w:r>
        <w:rPr>
          <w:spacing w:val="-13"/>
        </w:rPr>
        <w:t> </w:t>
      </w:r>
      <w:r>
        <w:rPr/>
        <w:t>kas</w:t>
      </w:r>
      <w:r>
        <w:rPr>
          <w:spacing w:val="-12"/>
        </w:rPr>
        <w:t> </w:t>
      </w:r>
      <w:r>
        <w:rPr/>
        <w:t>parādniekam</w:t>
      </w:r>
      <w:r>
        <w:rPr>
          <w:spacing w:val="-14"/>
        </w:rPr>
        <w:t> </w:t>
      </w:r>
      <w:r>
        <w:rPr/>
        <w:t>bija</w:t>
      </w:r>
      <w:r>
        <w:rPr>
          <w:spacing w:val="-11"/>
        </w:rPr>
        <w:t> </w:t>
      </w:r>
      <w:r>
        <w:rPr/>
        <w:t>jāievēro</w:t>
      </w:r>
      <w:r>
        <w:rPr>
          <w:spacing w:val="-16"/>
        </w:rPr>
        <w:t> </w:t>
      </w:r>
      <w:r>
        <w:rPr/>
        <w:t>DRO</w:t>
      </w:r>
      <w:r>
        <w:rPr>
          <w:spacing w:val="-8"/>
        </w:rPr>
        <w:t> </w:t>
      </w:r>
      <w:r>
        <w:rPr/>
        <w:t>laikā,</w:t>
      </w:r>
      <w:r>
        <w:rPr>
          <w:spacing w:val="-15"/>
        </w:rPr>
        <w:t> </w:t>
      </w:r>
      <w:r>
        <w:rPr/>
        <w:t>būs</w:t>
      </w:r>
      <w:r>
        <w:rPr>
          <w:spacing w:val="-10"/>
        </w:rPr>
        <w:t> </w:t>
      </w:r>
      <w:r>
        <w:rPr/>
        <w:t>spēkā</w:t>
      </w:r>
      <w:r>
        <w:rPr>
          <w:spacing w:val="-12"/>
        </w:rPr>
        <w:t> </w:t>
      </w:r>
      <w:r>
        <w:rPr/>
        <w:t>arī</w:t>
      </w:r>
      <w:r>
        <w:rPr>
          <w:spacing w:val="-12"/>
        </w:rPr>
        <w:t> </w:t>
      </w:r>
      <w:r>
        <w:rPr/>
        <w:t>pēc</w:t>
      </w:r>
      <w:r>
        <w:rPr>
          <w:spacing w:val="-13"/>
        </w:rPr>
        <w:t> </w:t>
      </w:r>
      <w:r>
        <w:rPr/>
        <w:t>DRO</w:t>
      </w:r>
      <w:r>
        <w:rPr>
          <w:spacing w:val="-11"/>
        </w:rPr>
        <w:t> </w:t>
      </w:r>
      <w:r>
        <w:rPr/>
        <w:t>procedūras izbeigšanas. Šo ierobežojumu parasti izdod gadījumos, kad pats parādnieks ir vainojams pie tā, ka ir nonācis šādā parādu stāvoklī un nespēj ar to tikt galā.</w:t>
      </w:r>
      <w:r>
        <w:rPr>
          <w:position w:val="9"/>
          <w:sz w:val="16"/>
        </w:rPr>
        <w:t>295 </w:t>
      </w:r>
      <w:r>
        <w:rPr/>
        <w:t>Līdz ar to faktiski</w:t>
      </w:r>
      <w:r>
        <w:rPr>
          <w:spacing w:val="-25"/>
        </w:rPr>
        <w:t> </w:t>
      </w:r>
      <w:r>
        <w:rPr/>
        <w:t>tiek veikts godprātības tests attiecībā uz to, vai parādnieka maksātnespējas cēloņi ir objektīvi pamatoti vai arī parādnieks pats ir sevi novedis līdz šādam stāvoklim. Tā var būt jebkāda parādnieka negodīga vai vainojama rīcība, ietverot gan pienākumu nepildīšanu</w:t>
      </w:r>
      <w:r>
        <w:rPr>
          <w:spacing w:val="-28"/>
        </w:rPr>
        <w:t> </w:t>
      </w:r>
      <w:r>
        <w:rPr/>
        <w:t>procedūras laikā, gan arī rīcību pirms DRO procedūras, piemēram, tiesa jo īpaši ņems vērā, ja parādnieks ir aizrāvies ar azartspēlēm.</w:t>
      </w:r>
      <w:r>
        <w:rPr>
          <w:position w:val="9"/>
          <w:sz w:val="16"/>
        </w:rPr>
        <w:t>296 </w:t>
      </w:r>
      <w:r>
        <w:rPr/>
        <w:t>Šie ierobežojumi tomēr neietekmē to, ka pēc 12 mēnešiem tiks dzēsti parādnieka parādi DRO procedūras ietvaros, un parādniekam nebūs nekas jāatmaksā kreditoriem. Var secināt, ka šie ierobežojumi faktiski ir vērsti uz nākotni ar mērķi audzināt parādnieku un ļaut tam tikt galā ar savu finansiālo situāciju, pirms viņš uzņemas jaunas</w:t>
      </w:r>
      <w:r>
        <w:rPr>
          <w:spacing w:val="-6"/>
        </w:rPr>
        <w:t> </w:t>
      </w:r>
      <w:r>
        <w:rPr/>
        <w:t>saistības.</w:t>
      </w:r>
    </w:p>
    <w:p>
      <w:pPr>
        <w:pStyle w:val="BodyText"/>
        <w:spacing w:line="257" w:lineRule="exact"/>
        <w:ind w:left="980"/>
      </w:pPr>
      <w:r>
        <w:rPr/>
        <w:t>Pēc procedūras ierobežojumi tika ieviesti, par paraugu izmantojot bankrota</w:t>
      </w:r>
    </w:p>
    <w:p>
      <w:pPr>
        <w:pStyle w:val="BodyText"/>
        <w:spacing w:line="232" w:lineRule="auto" w:before="6"/>
        <w:ind w:left="260" w:right="762"/>
        <w:rPr>
          <w:sz w:val="16"/>
        </w:rPr>
      </w:pPr>
      <w:r>
        <w:rPr/>
        <w:t>procedūras regulējuma modeli. Vērtējot ierobežojumus bankrota procedūras laikā, jānorāda, ka tie ir paredzēti, lai nošķirtu procedūru starp godprātīgiem un negodprātīgiem parādniekiem.</w:t>
      </w:r>
      <w:r>
        <w:rPr>
          <w:position w:val="9"/>
          <w:sz w:val="16"/>
        </w:rPr>
        <w:t>297 </w:t>
      </w:r>
      <w:r>
        <w:rPr/>
        <w:t>Reformu (uz nākotni vērsto, pēc procedūras ierobežojumu) galvenais mērķis bija nodrošināt godīgiem un neveiksmīgiem debitoriem jaunu sākumu, atbrīvojot tos no parādu sloga, vienlaicīgi sodot negodīgu un nolaidīgu parādnieku.</w:t>
      </w:r>
      <w:r>
        <w:rPr>
          <w:position w:val="9"/>
          <w:sz w:val="16"/>
        </w:rPr>
        <w:t>298</w:t>
      </w:r>
    </w:p>
    <w:p>
      <w:pPr>
        <w:pStyle w:val="BodyText"/>
        <w:spacing w:before="5"/>
        <w:ind w:left="260" w:right="762" w:firstLine="720"/>
      </w:pPr>
      <w:r>
        <w:rPr/>
        <w:t>Izvēlētie līdzekļi, lai nošķirtu “labo un godīgo, bet neveiksmīgo parādnieku” no “sliktā, negodīgā un nolaidīgā” parādnieka, ir pēc procedūras ierobežojumi, kas attiecībā uz bankrota procedūru noteikti Lielbritānijas Maksātnespējas likuma 281A pantā un 4A tabulā,</w:t>
      </w:r>
      <w:r>
        <w:rPr>
          <w:spacing w:val="-13"/>
        </w:rPr>
        <w:t> </w:t>
      </w:r>
      <w:r>
        <w:rPr/>
        <w:t>savukārt</w:t>
      </w:r>
      <w:r>
        <w:rPr>
          <w:spacing w:val="-12"/>
        </w:rPr>
        <w:t> </w:t>
      </w:r>
      <w:r>
        <w:rPr/>
        <w:t>attiecībā</w:t>
      </w:r>
      <w:r>
        <w:rPr>
          <w:spacing w:val="-10"/>
        </w:rPr>
        <w:t> </w:t>
      </w:r>
      <w:r>
        <w:rPr/>
        <w:t>uz</w:t>
      </w:r>
      <w:r>
        <w:rPr>
          <w:spacing w:val="-11"/>
        </w:rPr>
        <w:t> </w:t>
      </w:r>
      <w:r>
        <w:rPr/>
        <w:t>DRO</w:t>
      </w:r>
      <w:r>
        <w:rPr>
          <w:spacing w:val="-12"/>
        </w:rPr>
        <w:t> </w:t>
      </w:r>
      <w:r>
        <w:rPr/>
        <w:t>tie</w:t>
      </w:r>
      <w:r>
        <w:rPr>
          <w:spacing w:val="-13"/>
        </w:rPr>
        <w:t> </w:t>
      </w:r>
      <w:r>
        <w:rPr/>
        <w:t>ir</w:t>
      </w:r>
      <w:r>
        <w:rPr>
          <w:spacing w:val="-12"/>
        </w:rPr>
        <w:t> </w:t>
      </w:r>
      <w:r>
        <w:rPr/>
        <w:t>noteikti</w:t>
      </w:r>
      <w:r>
        <w:rPr>
          <w:spacing w:val="-10"/>
        </w:rPr>
        <w:t> </w:t>
      </w:r>
      <w:r>
        <w:rPr/>
        <w:t>Lielbritānijas</w:t>
      </w:r>
      <w:r>
        <w:rPr>
          <w:spacing w:val="-13"/>
        </w:rPr>
        <w:t> </w:t>
      </w:r>
      <w:r>
        <w:rPr/>
        <w:t>Maksātnespējas</w:t>
      </w:r>
      <w:r>
        <w:rPr>
          <w:spacing w:val="-12"/>
        </w:rPr>
        <w:t> </w:t>
      </w:r>
      <w:r>
        <w:rPr/>
        <w:t>likuma</w:t>
      </w:r>
      <w:r>
        <w:rPr>
          <w:spacing w:val="-12"/>
        </w:rPr>
        <w:t> </w:t>
      </w:r>
      <w:r>
        <w:rPr/>
        <w:t>251V pantā un 4ZB tabulā likuma</w:t>
      </w:r>
      <w:r>
        <w:rPr>
          <w:spacing w:val="-4"/>
        </w:rPr>
        <w:t> </w:t>
      </w:r>
      <w:r>
        <w:rPr/>
        <w:t>pielikumā.</w:t>
      </w:r>
    </w:p>
    <w:p>
      <w:pPr>
        <w:pStyle w:val="BodyText"/>
        <w:ind w:left="260" w:right="764" w:firstLine="720"/>
      </w:pPr>
      <w:r>
        <w:rPr/>
        <w:t>Izveidotā mehānisma mērķis bija noteikt ierobežojumus un noteiktus aizliegumus tiem, kuru rīcība to prasa, lai tādā veidā aizsargātu sabiedrību nākotnē no tādiem bankrotētājiem,</w:t>
      </w:r>
      <w:r>
        <w:rPr>
          <w:spacing w:val="-6"/>
        </w:rPr>
        <w:t> </w:t>
      </w:r>
      <w:r>
        <w:rPr/>
        <w:t>kuri</w:t>
      </w:r>
      <w:r>
        <w:rPr>
          <w:spacing w:val="-8"/>
        </w:rPr>
        <w:t> </w:t>
      </w:r>
      <w:r>
        <w:rPr/>
        <w:t>ir</w:t>
      </w:r>
      <w:r>
        <w:rPr>
          <w:spacing w:val="-2"/>
        </w:rPr>
        <w:t> </w:t>
      </w:r>
      <w:r>
        <w:rPr/>
        <w:t>rīkojušies</w:t>
      </w:r>
      <w:r>
        <w:rPr>
          <w:spacing w:val="-6"/>
        </w:rPr>
        <w:t> </w:t>
      </w:r>
      <w:r>
        <w:rPr/>
        <w:t>neapdomīgi,</w:t>
      </w:r>
      <w:r>
        <w:rPr>
          <w:spacing w:val="-6"/>
        </w:rPr>
        <w:t> </w:t>
      </w:r>
      <w:r>
        <w:rPr/>
        <w:t>bezatbildīgi</w:t>
      </w:r>
      <w:r>
        <w:rPr>
          <w:spacing w:val="-6"/>
        </w:rPr>
        <w:t> </w:t>
      </w:r>
      <w:r>
        <w:rPr/>
        <w:t>un</w:t>
      </w:r>
      <w:r>
        <w:rPr>
          <w:spacing w:val="-6"/>
        </w:rPr>
        <w:t> </w:t>
      </w:r>
      <w:r>
        <w:rPr/>
        <w:t>negodprātīgi.</w:t>
      </w:r>
      <w:r>
        <w:rPr>
          <w:spacing w:val="-4"/>
        </w:rPr>
        <w:t> </w:t>
      </w:r>
      <w:r>
        <w:rPr/>
        <w:t>Teorija</w:t>
      </w:r>
      <w:r>
        <w:rPr>
          <w:spacing w:val="-5"/>
        </w:rPr>
        <w:t> </w:t>
      </w:r>
      <w:r>
        <w:rPr/>
        <w:t>ir</w:t>
      </w:r>
      <w:r>
        <w:rPr>
          <w:spacing w:val="-6"/>
        </w:rPr>
        <w:t> </w:t>
      </w:r>
      <w:r>
        <w:rPr/>
        <w:t>tāda, ka,</w:t>
      </w:r>
      <w:r>
        <w:rPr>
          <w:spacing w:val="6"/>
        </w:rPr>
        <w:t> </w:t>
      </w:r>
      <w:r>
        <w:rPr/>
        <w:t>lai</w:t>
      </w:r>
      <w:r>
        <w:rPr>
          <w:spacing w:val="7"/>
        </w:rPr>
        <w:t> </w:t>
      </w:r>
      <w:r>
        <w:rPr/>
        <w:t>arī</w:t>
      </w:r>
      <w:r>
        <w:rPr>
          <w:spacing w:val="7"/>
        </w:rPr>
        <w:t> </w:t>
      </w:r>
      <w:r>
        <w:rPr/>
        <w:t>šīs</w:t>
      </w:r>
      <w:r>
        <w:rPr>
          <w:spacing w:val="7"/>
        </w:rPr>
        <w:t> </w:t>
      </w:r>
      <w:r>
        <w:rPr/>
        <w:t>personas</w:t>
      </w:r>
      <w:r>
        <w:rPr>
          <w:spacing w:val="6"/>
        </w:rPr>
        <w:t> </w:t>
      </w:r>
      <w:r>
        <w:rPr/>
        <w:t>tiks</w:t>
      </w:r>
      <w:r>
        <w:rPr>
          <w:spacing w:val="7"/>
        </w:rPr>
        <w:t> </w:t>
      </w:r>
      <w:r>
        <w:rPr/>
        <w:t>atbrīvotas</w:t>
      </w:r>
      <w:r>
        <w:rPr>
          <w:spacing w:val="7"/>
        </w:rPr>
        <w:t> </w:t>
      </w:r>
      <w:r>
        <w:rPr/>
        <w:t>no</w:t>
      </w:r>
      <w:r>
        <w:rPr>
          <w:spacing w:val="9"/>
        </w:rPr>
        <w:t> </w:t>
      </w:r>
      <w:r>
        <w:rPr/>
        <w:t>saviem</w:t>
      </w:r>
      <w:r>
        <w:rPr>
          <w:spacing w:val="11"/>
        </w:rPr>
        <w:t> </w:t>
      </w:r>
      <w:r>
        <w:rPr/>
        <w:t>parādiem,</w:t>
      </w:r>
      <w:r>
        <w:rPr>
          <w:spacing w:val="9"/>
        </w:rPr>
        <w:t> </w:t>
      </w:r>
      <w:r>
        <w:rPr/>
        <w:t>tiem</w:t>
      </w:r>
      <w:r>
        <w:rPr>
          <w:spacing w:val="7"/>
        </w:rPr>
        <w:t> </w:t>
      </w:r>
      <w:r>
        <w:rPr/>
        <w:t>vajadzētu</w:t>
      </w:r>
      <w:r>
        <w:rPr>
          <w:spacing w:val="9"/>
        </w:rPr>
        <w:t> </w:t>
      </w:r>
      <w:r>
        <w:rPr/>
        <w:t>tikt</w:t>
      </w:r>
      <w:r>
        <w:rPr>
          <w:spacing w:val="7"/>
        </w:rPr>
        <w:t> </w:t>
      </w:r>
      <w:r>
        <w:rPr/>
        <w:t>pakļautiem</w:t>
      </w:r>
    </w:p>
    <w:p>
      <w:pPr>
        <w:pStyle w:val="BodyText"/>
        <w:jc w:val="left"/>
        <w:rPr>
          <w:sz w:val="20"/>
        </w:rPr>
      </w:pPr>
    </w:p>
    <w:p>
      <w:pPr>
        <w:pStyle w:val="BodyText"/>
        <w:spacing w:before="6"/>
        <w:jc w:val="left"/>
        <w:rPr>
          <w:sz w:val="16"/>
        </w:rPr>
      </w:pPr>
      <w:r>
        <w:rPr/>
        <w:pict>
          <v:shape style="position:absolute;margin-left:72pt;margin-top:11.77084pt;width:144pt;height:.1pt;mso-position-horizontal-relative:page;mso-position-vertical-relative:paragraph;z-index:-251503616;mso-wrap-distance-left:0;mso-wrap-distance-right:0" coordorigin="1440,235" coordsize="2880,0" path="m1440,235l4320,235e" filled="false" stroked="true" strokeweight=".600037pt" strokecolor="#000000">
            <v:path arrowok="t"/>
            <v:stroke dashstyle="solid"/>
            <w10:wrap type="topAndBottom"/>
          </v:shape>
        </w:pict>
      </w:r>
    </w:p>
    <w:p>
      <w:pPr>
        <w:spacing w:line="233" w:lineRule="exact" w:before="70"/>
        <w:ind w:left="260" w:right="0" w:firstLine="0"/>
        <w:jc w:val="left"/>
        <w:rPr>
          <w:sz w:val="20"/>
        </w:rPr>
      </w:pPr>
      <w:r>
        <w:rPr>
          <w:position w:val="7"/>
          <w:sz w:val="13"/>
        </w:rPr>
        <w:t>293  </w:t>
      </w:r>
      <w:r>
        <w:rPr>
          <w:sz w:val="20"/>
        </w:rPr>
        <w:t>Lielbritānijas Maksātnespējas likums, 4ZB schedule,</w:t>
      </w:r>
      <w:r>
        <w:rPr>
          <w:spacing w:val="-27"/>
          <w:sz w:val="20"/>
        </w:rPr>
        <w:t> </w:t>
      </w:r>
      <w:r>
        <w:rPr>
          <w:sz w:val="20"/>
        </w:rPr>
        <w:t>1.punkts</w:t>
      </w:r>
    </w:p>
    <w:p>
      <w:pPr>
        <w:spacing w:line="230" w:lineRule="exact" w:before="0"/>
        <w:ind w:left="260" w:right="0" w:firstLine="0"/>
        <w:jc w:val="left"/>
        <w:rPr>
          <w:sz w:val="20"/>
        </w:rPr>
      </w:pPr>
      <w:r>
        <w:rPr>
          <w:position w:val="7"/>
          <w:sz w:val="13"/>
        </w:rPr>
        <w:t>294  </w:t>
      </w:r>
      <w:r>
        <w:rPr>
          <w:sz w:val="20"/>
        </w:rPr>
        <w:t>Lielbritānijas Maksātnespējas likums, 4ZB schedule,</w:t>
      </w:r>
      <w:r>
        <w:rPr>
          <w:spacing w:val="-27"/>
          <w:sz w:val="20"/>
        </w:rPr>
        <w:t> </w:t>
      </w:r>
      <w:r>
        <w:rPr>
          <w:sz w:val="20"/>
        </w:rPr>
        <w:t>4.punkts</w:t>
      </w:r>
    </w:p>
    <w:p>
      <w:pPr>
        <w:spacing w:line="240" w:lineRule="auto" w:before="0"/>
        <w:ind w:left="260" w:right="768" w:firstLine="0"/>
        <w:jc w:val="left"/>
        <w:rPr>
          <w:sz w:val="20"/>
        </w:rPr>
      </w:pPr>
      <w:r>
        <w:rPr>
          <w:position w:val="7"/>
          <w:sz w:val="13"/>
        </w:rPr>
        <w:t>295 </w:t>
      </w:r>
      <w:r>
        <w:rPr>
          <w:sz w:val="20"/>
        </w:rPr>
        <w:t>The Insolvency Service. Guidance on Debt relief restrictions orders and undertakings, 2017. Pieejams: </w:t>
      </w:r>
      <w:r>
        <w:rPr>
          <w:color w:val="0562C1"/>
          <w:sz w:val="20"/>
          <w:u w:val="single" w:color="0562C1"/>
        </w:rPr>
        <w:t>https://</w:t>
      </w:r>
      <w:hyperlink r:id="rId75">
        <w:r>
          <w:rPr>
            <w:color w:val="0562C1"/>
            <w:sz w:val="20"/>
            <w:u w:val="single" w:color="0562C1"/>
          </w:rPr>
          <w:t>www.gov.uk/government/publications/debt-relief-restrictions-orders-and-undertakings/debt-relief-</w:t>
        </w:r>
      </w:hyperlink>
      <w:r>
        <w:rPr>
          <w:color w:val="0562C1"/>
          <w:sz w:val="20"/>
        </w:rPr>
        <w:t> </w:t>
      </w:r>
      <w:r>
        <w:rPr>
          <w:color w:val="0562C1"/>
          <w:sz w:val="20"/>
          <w:u w:val="single" w:color="0562C1"/>
        </w:rPr>
        <w:t>restrictions-orders-and-undertakings</w:t>
      </w:r>
      <w:r>
        <w:rPr>
          <w:sz w:val="20"/>
        </w:rPr>
        <w:t>. [aplūkots 2018.gada 18.oktobrī].</w:t>
      </w:r>
    </w:p>
    <w:p>
      <w:pPr>
        <w:spacing w:line="240" w:lineRule="auto" w:before="0"/>
        <w:ind w:left="260" w:right="695" w:firstLine="0"/>
        <w:jc w:val="left"/>
        <w:rPr>
          <w:sz w:val="20"/>
        </w:rPr>
      </w:pPr>
      <w:r>
        <w:rPr>
          <w:position w:val="7"/>
          <w:sz w:val="13"/>
        </w:rPr>
        <w:t>296 </w:t>
      </w:r>
      <w:r>
        <w:rPr>
          <w:sz w:val="20"/>
        </w:rPr>
        <w:t>Maksātnespējas likuma 4ZB tabulā ir detalizēts uzskaitījums ar apstākļiem, ko tiesa īpaši vērtē, lemjot par ierobežojumu pieņemšanu.</w:t>
      </w:r>
    </w:p>
    <w:p>
      <w:pPr>
        <w:spacing w:line="229" w:lineRule="exact" w:before="0"/>
        <w:ind w:left="260" w:right="0" w:firstLine="0"/>
        <w:jc w:val="left"/>
        <w:rPr>
          <w:sz w:val="20"/>
        </w:rPr>
      </w:pPr>
      <w:r>
        <w:rPr>
          <w:position w:val="7"/>
          <w:sz w:val="13"/>
        </w:rPr>
        <w:t>297 </w:t>
      </w:r>
      <w:r>
        <w:rPr>
          <w:sz w:val="20"/>
        </w:rPr>
        <w:t>Walters A. Personal Insolvency Law After the Enterprise Act: An Appraisal. 2004, p.17.</w:t>
      </w:r>
    </w:p>
    <w:p>
      <w:pPr>
        <w:spacing w:line="233" w:lineRule="exact" w:before="0"/>
        <w:ind w:left="260" w:right="0" w:firstLine="0"/>
        <w:jc w:val="left"/>
        <w:rPr>
          <w:sz w:val="20"/>
        </w:rPr>
      </w:pPr>
      <w:r>
        <w:rPr>
          <w:position w:val="7"/>
          <w:sz w:val="13"/>
        </w:rPr>
        <w:t>298 </w:t>
      </w:r>
      <w:r>
        <w:rPr>
          <w:sz w:val="20"/>
        </w:rPr>
        <w:t>Ibid, p.26.</w:t>
      </w:r>
    </w:p>
    <w:p>
      <w:pPr>
        <w:spacing w:after="0" w:line="233" w:lineRule="exact"/>
        <w:jc w:val="left"/>
        <w:rPr>
          <w:sz w:val="20"/>
        </w:rPr>
        <w:sectPr>
          <w:pgSz w:w="11910" w:h="16840"/>
          <w:pgMar w:header="0" w:footer="1055" w:top="1340" w:bottom="1240" w:left="1180" w:right="1040"/>
        </w:sectPr>
      </w:pPr>
    </w:p>
    <w:p>
      <w:pPr>
        <w:pStyle w:val="BodyText"/>
        <w:spacing w:line="228" w:lineRule="auto" w:before="84"/>
        <w:ind w:left="620" w:right="406"/>
        <w:rPr>
          <w:sz w:val="16"/>
        </w:rPr>
      </w:pPr>
      <w:r>
        <w:rPr/>
        <w:t>patstāvīgiem ierobežojumiem pēc parādu atbrīvošanas, lai pasargātu sabiedrību no šādas parādnieka rīcības atkārtošanās.</w:t>
      </w:r>
      <w:r>
        <w:rPr>
          <w:position w:val="9"/>
          <w:sz w:val="16"/>
        </w:rPr>
        <w:t>299</w:t>
      </w:r>
    </w:p>
    <w:p>
      <w:pPr>
        <w:pStyle w:val="BodyText"/>
        <w:spacing w:before="2"/>
        <w:ind w:left="620" w:right="405" w:firstLine="720"/>
      </w:pPr>
      <w:r>
        <w:rPr/>
        <w:t>Parāda atvieglošanas ierobežojumu laikā pēc DRO procedūras uz parādnieku tiks attiecināti visi tie paši ierobežojumi, kas parādniekam bija jāievēro DRO procedūras laikā attiecībā uz iespējām iegūt jaunu kredītu un ieņemt noteiktus amatus.</w:t>
      </w:r>
    </w:p>
    <w:p>
      <w:pPr>
        <w:pStyle w:val="BodyText"/>
        <w:spacing w:line="237" w:lineRule="auto" w:before="2"/>
        <w:ind w:left="620" w:right="401" w:firstLine="720"/>
      </w:pPr>
      <w:r>
        <w:rPr/>
        <w:t>Lielbritānijas Maksātnespējas serviss 2014.gadā veica pētījumu, kas balstīts uz dažādu organizāciju pieredzi maksātnespējas lietās saistībā ar DRO un bankrota procedūrām: </w:t>
      </w:r>
      <w:r>
        <w:rPr>
          <w:i/>
        </w:rPr>
        <w:t>“Insolvency Proceedings: Debt relief orders and the bankruptcy petition </w:t>
      </w:r>
      <w:r>
        <w:rPr>
          <w:i/>
        </w:rPr>
        <w:t>limit. Call for evidence.” </w:t>
      </w:r>
      <w:r>
        <w:rPr/>
        <w:t>Pētījumā viens no svarīgiem jautājumiem bija saistīts ar to, vai parāda atvieglojumu ierobežojumu sistēma strādā pietiekami efektīvi, lai atturētu parādniekus no negodprātīgas un neapdomīgas rīcības. Atsevišķi aptaujātie norādīja, ka ir salīdzinoši ļoti neliels skaits gadījumu, kad tiek īstenota šī turpmāko ierobežojumu procedūra.</w:t>
      </w:r>
      <w:r>
        <w:rPr>
          <w:position w:val="9"/>
          <w:sz w:val="16"/>
        </w:rPr>
        <w:t>300 </w:t>
      </w:r>
      <w:r>
        <w:rPr/>
        <w:t>Arī pētījuma ietvaros atspoguļotā statistika rāda, ka ierobežojumi tika reti pielietoti, salīdzinot ar kopējo DRO procedūru skaitu</w:t>
      </w:r>
      <w:r>
        <w:rPr>
          <w:position w:val="9"/>
          <w:sz w:val="16"/>
        </w:rPr>
        <w:t>301</w:t>
      </w:r>
      <w:r>
        <w:rPr/>
        <w:t>:</w:t>
      </w:r>
    </w:p>
    <w:p>
      <w:pPr>
        <w:pStyle w:val="BodyText"/>
        <w:jc w:val="left"/>
        <w:rPr>
          <w:sz w:val="20"/>
        </w:rPr>
      </w:pPr>
    </w:p>
    <w:p>
      <w:pPr>
        <w:pStyle w:val="BodyText"/>
        <w:spacing w:before="10"/>
        <w:jc w:val="left"/>
        <w:rPr>
          <w:sz w:val="18"/>
        </w:rPr>
      </w:pPr>
      <w:r>
        <w:rPr/>
        <w:drawing>
          <wp:anchor distT="0" distB="0" distL="0" distR="0" allowOverlap="1" layoutInCell="1" locked="0" behindDoc="0" simplePos="0" relativeHeight="152">
            <wp:simplePos x="0" y="0"/>
            <wp:positionH relativeFrom="page">
              <wp:posOffset>1933609</wp:posOffset>
            </wp:positionH>
            <wp:positionV relativeFrom="paragraph">
              <wp:posOffset>162791</wp:posOffset>
            </wp:positionV>
            <wp:extent cx="4178545" cy="1789938"/>
            <wp:effectExtent l="0" t="0" r="0" b="0"/>
            <wp:wrapTopAndBottom/>
            <wp:docPr id="3" name="image20.jpeg"/>
            <wp:cNvGraphicFramePr>
              <a:graphicFrameLocks noChangeAspect="1"/>
            </wp:cNvGraphicFramePr>
            <a:graphic>
              <a:graphicData uri="http://schemas.openxmlformats.org/drawingml/2006/picture">
                <pic:pic>
                  <pic:nvPicPr>
                    <pic:cNvPr id="4" name="image20.jpeg"/>
                    <pic:cNvPicPr/>
                  </pic:nvPicPr>
                  <pic:blipFill>
                    <a:blip r:embed="rId76" cstate="print"/>
                    <a:stretch>
                      <a:fillRect/>
                    </a:stretch>
                  </pic:blipFill>
                  <pic:spPr>
                    <a:xfrm>
                      <a:off x="0" y="0"/>
                      <a:ext cx="4178545" cy="1789938"/>
                    </a:xfrm>
                    <a:prstGeom prst="rect">
                      <a:avLst/>
                    </a:prstGeom>
                  </pic:spPr>
                </pic:pic>
              </a:graphicData>
            </a:graphic>
          </wp:anchor>
        </w:drawing>
      </w:r>
    </w:p>
    <w:p>
      <w:pPr>
        <w:spacing w:before="83"/>
        <w:ind w:left="1172" w:right="0" w:firstLine="0"/>
        <w:jc w:val="left"/>
        <w:rPr>
          <w:i/>
          <w:sz w:val="24"/>
        </w:rPr>
      </w:pPr>
      <w:r>
        <w:rPr>
          <w:i/>
          <w:sz w:val="24"/>
        </w:rPr>
        <w:t>(Tabula: Parāda atvieglojumu izdošanas ierobežojumi pa gadiem skaita ziņā.)</w:t>
      </w:r>
    </w:p>
    <w:p>
      <w:pPr>
        <w:pStyle w:val="BodyText"/>
        <w:spacing w:before="2"/>
        <w:jc w:val="left"/>
        <w:rPr>
          <w:i/>
        </w:rPr>
      </w:pPr>
    </w:p>
    <w:p>
      <w:pPr>
        <w:pStyle w:val="BodyText"/>
        <w:spacing w:line="237" w:lineRule="auto"/>
        <w:ind w:left="558" w:right="403" w:firstLine="720"/>
        <w:jc w:val="right"/>
      </w:pPr>
      <w:r>
        <w:rPr/>
        <w:t>Maksātnespējas servisa aptaujātie norāda, ka lietas parasti netiek ierosinātas, līdz kamēr rodas kāda problēma, uz kuru norāda kreditors vai kāda cita persona signalizē par iespējamiem pārkāpumiem. Izmeklējumi šajā procesā ir diezgan ilgstoši un priekš Maksātnespējas servisa arī diezgan dārgi, tāpēc tas ir skaidrojams ar to, kāpēc tik maz ierobežojumi tiek uzlikti. Citi respondenti ierosināja,</w:t>
      </w:r>
      <w:r>
        <w:rPr>
          <w:spacing w:val="56"/>
        </w:rPr>
        <w:t> </w:t>
      </w:r>
      <w:r>
        <w:rPr/>
        <w:t>ka būtu nepieciešama pastiprināta kontroles jau pie pieteikuma izskatīšanas, piemēram, lūdzot parādniekam iesniegt papildus informāciju un noteikt starpniekiem izskatīt vairāk jautājumus, lai pastiprinātu kontroli.</w:t>
      </w:r>
      <w:r>
        <w:rPr>
          <w:position w:val="9"/>
          <w:sz w:val="16"/>
        </w:rPr>
        <w:t>302</w:t>
      </w:r>
      <w:r>
        <w:rPr>
          <w:w w:val="100"/>
          <w:position w:val="9"/>
          <w:sz w:val="16"/>
        </w:rPr>
        <w:t> </w:t>
      </w:r>
      <w:r>
        <w:rPr/>
        <w:t>Parādnieks var izvairīties no nepatīkamā tiesas procesa un labprātīgi piekrist pagarināt</w:t>
      </w:r>
      <w:r>
        <w:rPr>
          <w:spacing w:val="-8"/>
        </w:rPr>
        <w:t> </w:t>
      </w:r>
      <w:r>
        <w:rPr/>
        <w:t>parādu atvieglojuma ierobežojumu periodu, piekrītot parakstīt apņemšanos </w:t>
      </w:r>
      <w:r>
        <w:rPr>
          <w:i/>
        </w:rPr>
        <w:t>(debt</w:t>
      </w:r>
      <w:r>
        <w:rPr>
          <w:i/>
        </w:rPr>
        <w:t> relief</w:t>
      </w:r>
      <w:r>
        <w:rPr>
          <w:i/>
          <w:spacing w:val="9"/>
        </w:rPr>
        <w:t> </w:t>
      </w:r>
      <w:r>
        <w:rPr>
          <w:i/>
        </w:rPr>
        <w:t>restrictions undertaking), </w:t>
      </w:r>
      <w:r>
        <w:rPr/>
        <w:t>kam ir tieši tāds pats efekts un nozīme, kā tiesas izdotam</w:t>
      </w:r>
    </w:p>
    <w:p>
      <w:pPr>
        <w:pStyle w:val="BodyText"/>
        <w:spacing w:before="10"/>
        <w:ind w:left="620"/>
        <w:jc w:val="left"/>
      </w:pPr>
      <w:r>
        <w:rPr/>
        <w:t>ierobežojumam.</w:t>
      </w:r>
    </w:p>
    <w:p>
      <w:pPr>
        <w:pStyle w:val="BodyText"/>
        <w:spacing w:before="10"/>
        <w:jc w:val="left"/>
        <w:rPr>
          <w:sz w:val="14"/>
        </w:rPr>
      </w:pPr>
      <w:r>
        <w:rPr/>
        <w:pict>
          <v:shape style="position:absolute;margin-left:90pt;margin-top:10.813495pt;width:144pt;height:.1pt;mso-position-horizontal-relative:page;mso-position-vertical-relative:paragraph;z-index:-251501568;mso-wrap-distance-left:0;mso-wrap-distance-right:0" coordorigin="1800,216" coordsize="2880,0" path="m1800,216l4680,216e" filled="false" stroked="true" strokeweight=".59999pt" strokecolor="#000000">
            <v:path arrowok="t"/>
            <v:stroke dashstyle="solid"/>
            <w10:wrap type="topAndBottom"/>
          </v:shape>
        </w:pict>
      </w:r>
    </w:p>
    <w:p>
      <w:pPr>
        <w:spacing w:line="233" w:lineRule="exact" w:before="70"/>
        <w:ind w:left="620" w:right="0" w:firstLine="0"/>
        <w:jc w:val="left"/>
        <w:rPr>
          <w:sz w:val="20"/>
        </w:rPr>
      </w:pPr>
      <w:r>
        <w:rPr>
          <w:position w:val="7"/>
          <w:sz w:val="13"/>
        </w:rPr>
        <w:t>299 </w:t>
      </w:r>
      <w:r>
        <w:rPr>
          <w:sz w:val="20"/>
        </w:rPr>
        <w:t>Walters A. Personal Insolvency Law After the Enterprise Act: An Appraisal. 2004, p.26.</w:t>
      </w:r>
    </w:p>
    <w:p>
      <w:pPr>
        <w:spacing w:line="240" w:lineRule="auto" w:before="0"/>
        <w:ind w:left="620" w:right="398" w:firstLine="0"/>
        <w:jc w:val="left"/>
        <w:rPr>
          <w:i/>
          <w:sz w:val="20"/>
        </w:rPr>
      </w:pPr>
      <w:r>
        <w:rPr>
          <w:position w:val="7"/>
          <w:sz w:val="13"/>
        </w:rPr>
        <w:t>300 </w:t>
      </w:r>
      <w:r>
        <w:rPr>
          <w:sz w:val="20"/>
        </w:rPr>
        <w:t>Response by the Money Advice Trust, 2014., p.17. Pieejams: </w:t>
      </w:r>
      <w:hyperlink r:id="rId77">
        <w:r>
          <w:rPr>
            <w:color w:val="0562C1"/>
            <w:sz w:val="20"/>
            <w:u w:val="single" w:color="0562C1"/>
          </w:rPr>
          <w:t>http://www.moneyadvicetrust.org/SiteCollectionDocuments/Policy%20consultation%20responses/Unilater</w:t>
        </w:r>
      </w:hyperlink>
      <w:r>
        <w:rPr>
          <w:color w:val="0562C1"/>
          <w:sz w:val="20"/>
        </w:rPr>
        <w:t> </w:t>
      </w:r>
      <w:r>
        <w:rPr>
          <w:color w:val="0562C1"/>
          <w:sz w:val="20"/>
          <w:u w:val="single" w:color="0562C1"/>
        </w:rPr>
        <w:t>al%20responses/Money%20Advice%20Trust%20response%20to%20the%20Insolvency%20Service%20D</w:t>
      </w:r>
      <w:r>
        <w:rPr>
          <w:color w:val="0562C1"/>
          <w:sz w:val="20"/>
        </w:rPr>
        <w:t> </w:t>
      </w:r>
      <w:r>
        <w:rPr>
          <w:color w:val="0562C1"/>
          <w:sz w:val="20"/>
          <w:u w:val="single" w:color="0562C1"/>
        </w:rPr>
        <w:t>ROs%20and%20bankruptcy%20petitions%20call%20for%20evidence.pdf</w:t>
      </w:r>
      <w:r>
        <w:rPr>
          <w:color w:val="0562C1"/>
          <w:sz w:val="20"/>
        </w:rPr>
        <w:t> </w:t>
      </w:r>
      <w:r>
        <w:rPr>
          <w:sz w:val="20"/>
        </w:rPr>
        <w:t>[aplūkots 2018.gada 29.oktobrī]. </w:t>
      </w:r>
      <w:r>
        <w:rPr>
          <w:position w:val="7"/>
          <w:sz w:val="13"/>
        </w:rPr>
        <w:t>301 </w:t>
      </w:r>
      <w:r>
        <w:rPr>
          <w:sz w:val="20"/>
        </w:rPr>
        <w:t>Tabula iegūta no </w:t>
      </w:r>
      <w:r>
        <w:rPr>
          <w:i/>
          <w:sz w:val="20"/>
        </w:rPr>
        <w:t>The Insolvency Service. Insolvency Proceedings: Debt relief orders and the bankruptcy </w:t>
      </w:r>
      <w:r>
        <w:rPr>
          <w:i/>
          <w:sz w:val="20"/>
        </w:rPr>
        <w:t>petition limit. Call for evidence, p.22.</w:t>
      </w:r>
    </w:p>
    <w:p>
      <w:pPr>
        <w:spacing w:line="237" w:lineRule="auto" w:before="0"/>
        <w:ind w:left="620" w:right="635" w:firstLine="0"/>
        <w:jc w:val="left"/>
        <w:rPr>
          <w:sz w:val="20"/>
        </w:rPr>
      </w:pPr>
      <w:r>
        <w:rPr>
          <w:position w:val="7"/>
          <w:sz w:val="13"/>
        </w:rPr>
        <w:t>302 </w:t>
      </w:r>
      <w:r>
        <w:rPr>
          <w:sz w:val="20"/>
        </w:rPr>
        <w:t>Insolvency Proceedings: Debt relief orders and the bankruptcy petition limit – Call for evidence Analysis of responses, 2015, p.9.Pieejams:</w:t>
      </w:r>
    </w:p>
    <w:p>
      <w:pPr>
        <w:spacing w:before="0"/>
        <w:ind w:left="620" w:right="405" w:firstLine="0"/>
        <w:jc w:val="left"/>
        <w:rPr>
          <w:sz w:val="20"/>
        </w:rPr>
      </w:pPr>
      <w:r>
        <w:rPr>
          <w:color w:val="0562C1"/>
          <w:sz w:val="20"/>
          <w:u w:val="single" w:color="0562C1"/>
        </w:rPr>
        <w:t>https://assets.publishing.service.gov.uk/government/uploads/system/uploads/attachment_data/file/398279/A</w:t>
      </w:r>
      <w:r>
        <w:rPr>
          <w:color w:val="0562C1"/>
          <w:sz w:val="20"/>
        </w:rPr>
        <w:t> </w:t>
      </w:r>
      <w:r>
        <w:rPr>
          <w:color w:val="0562C1"/>
          <w:sz w:val="20"/>
          <w:u w:val="single" w:color="0562C1"/>
        </w:rPr>
        <w:t>nalysis_of_responses_for_internet_-_revised_version_-_23_January_2015.pdf</w:t>
      </w:r>
      <w:r>
        <w:rPr>
          <w:color w:val="0562C1"/>
          <w:sz w:val="20"/>
        </w:rPr>
        <w:t> </w:t>
      </w:r>
      <w:r>
        <w:rPr>
          <w:sz w:val="20"/>
        </w:rPr>
        <w:t>[aplūkots 2018.gada 19.oktobrī].</w:t>
      </w:r>
    </w:p>
    <w:p>
      <w:pPr>
        <w:spacing w:after="0"/>
        <w:jc w:val="left"/>
        <w:rPr>
          <w:sz w:val="20"/>
        </w:rPr>
        <w:sectPr>
          <w:pgSz w:w="11910" w:h="16840"/>
          <w:pgMar w:header="0" w:footer="1055" w:top="1340" w:bottom="1240" w:left="1180" w:right="1040"/>
        </w:sectPr>
      </w:pPr>
    </w:p>
    <w:p>
      <w:pPr>
        <w:pStyle w:val="BodyText"/>
        <w:spacing w:line="237" w:lineRule="auto" w:before="75"/>
        <w:ind w:left="260" w:right="761" w:firstLine="720"/>
      </w:pPr>
      <w:r>
        <w:rPr/>
        <w:t>Pēc procedūras ierobežojumi tiek noteikti baltoties gan uz parādnieka uzvedību un rīcību pirms procedūras, gan arī vērtējot parādnieka rīcību un tam uzliktos pienākumus procedūras laikā. Savukārt</w:t>
      </w:r>
      <w:r>
        <w:rPr>
          <w:spacing w:val="-44"/>
        </w:rPr>
        <w:t> </w:t>
      </w:r>
      <w:r>
        <w:rPr/>
        <w:t>pavisam nopietnos pārkāpuma gadījumos, parādniekam var tikt noteikts naudas sods vai pat cietumsods, vai abi.</w:t>
      </w:r>
      <w:r>
        <w:rPr>
          <w:position w:val="9"/>
          <w:sz w:val="16"/>
        </w:rPr>
        <w:t>303 </w:t>
      </w:r>
      <w:r>
        <w:rPr/>
        <w:t>Tomēr parādnieks netiks atzīts par vainīgu nodarījumā, ja spēs pierādīt, ka neplānoja nevienu krāpt vai slēpt</w:t>
      </w:r>
      <w:r>
        <w:rPr>
          <w:spacing w:val="-3"/>
        </w:rPr>
        <w:t> </w:t>
      </w:r>
      <w:r>
        <w:rPr/>
        <w:t>informāciju.</w:t>
      </w:r>
    </w:p>
    <w:p>
      <w:pPr>
        <w:pStyle w:val="BodyText"/>
        <w:spacing w:line="237" w:lineRule="auto"/>
        <w:ind w:left="260" w:right="762" w:firstLine="720"/>
      </w:pPr>
      <w:r>
        <w:rPr/>
        <w:t>Atgriežoties pie tiesas lomas DRO procedūras laikā, jānorāda, ka Lielbritānijas Maksātnespējas likumā ir regulēta tiesas loma, lemjot par to, vai uzsākt izmeklēšanu attiecībā uz parādnieka darījumiem vai īpašumiem.</w:t>
      </w:r>
      <w:r>
        <w:rPr>
          <w:position w:val="9"/>
          <w:sz w:val="16"/>
        </w:rPr>
        <w:t>304 </w:t>
      </w:r>
      <w:r>
        <w:rPr/>
        <w:t>Par šo jautājumu tiesa lemj pēc oficiālās amatpersonas pieteikuma. Šādā gadījumā uz tiesu var uzaicināt parādnieku un visus parādnieka ģimenes locekļus, kā arī citas personas, kas varētu sniegt informāciju vai palīdzību attiecībā uz parādnieku vai viņa darījumiem, lietām un īpašumu.</w:t>
      </w:r>
    </w:p>
    <w:p>
      <w:pPr>
        <w:pStyle w:val="BodyText"/>
        <w:ind w:left="260" w:right="761" w:firstLine="720"/>
      </w:pPr>
      <w:r>
        <w:rPr/>
        <w:t>Ņemot</w:t>
      </w:r>
      <w:r>
        <w:rPr>
          <w:spacing w:val="-6"/>
        </w:rPr>
        <w:t> </w:t>
      </w:r>
      <w:r>
        <w:rPr/>
        <w:t>vērā</w:t>
      </w:r>
      <w:r>
        <w:rPr>
          <w:spacing w:val="-9"/>
        </w:rPr>
        <w:t> </w:t>
      </w:r>
      <w:r>
        <w:rPr/>
        <w:t>visu</w:t>
      </w:r>
      <w:r>
        <w:rPr>
          <w:spacing w:val="-9"/>
        </w:rPr>
        <w:t> </w:t>
      </w:r>
      <w:r>
        <w:rPr/>
        <w:t>iepriekš</w:t>
      </w:r>
      <w:r>
        <w:rPr>
          <w:spacing w:val="-4"/>
        </w:rPr>
        <w:t> </w:t>
      </w:r>
      <w:r>
        <w:rPr/>
        <w:t>norādīto,</w:t>
      </w:r>
      <w:r>
        <w:rPr>
          <w:spacing w:val="-9"/>
        </w:rPr>
        <w:t> </w:t>
      </w:r>
      <w:r>
        <w:rPr/>
        <w:t>var</w:t>
      </w:r>
      <w:r>
        <w:rPr>
          <w:spacing w:val="-11"/>
        </w:rPr>
        <w:t> </w:t>
      </w:r>
      <w:r>
        <w:rPr/>
        <w:t>secināt,</w:t>
      </w:r>
      <w:r>
        <w:rPr>
          <w:spacing w:val="-9"/>
        </w:rPr>
        <w:t> </w:t>
      </w:r>
      <w:r>
        <w:rPr/>
        <w:t>ka</w:t>
      </w:r>
      <w:r>
        <w:rPr>
          <w:spacing w:val="-6"/>
        </w:rPr>
        <w:t> </w:t>
      </w:r>
      <w:r>
        <w:rPr/>
        <w:t>fiziskās</w:t>
      </w:r>
      <w:r>
        <w:rPr>
          <w:spacing w:val="-9"/>
        </w:rPr>
        <w:t> </w:t>
      </w:r>
      <w:r>
        <w:rPr/>
        <w:t>personas</w:t>
      </w:r>
      <w:r>
        <w:rPr>
          <w:spacing w:val="-8"/>
        </w:rPr>
        <w:t> </w:t>
      </w:r>
      <w:r>
        <w:rPr/>
        <w:t>rīcības</w:t>
      </w:r>
      <w:r>
        <w:rPr>
          <w:spacing w:val="-9"/>
        </w:rPr>
        <w:t> </w:t>
      </w:r>
      <w:r>
        <w:rPr/>
        <w:t>kontrole DRO procedūrā notiek caur komunikāciju ar pašu parādnieku un kreditoriem, kas iebilst pret DRO rīkojumā norādīto, kā arī pēc oficiālā pieteikuma saņēmēja iniciatīvas, ja tas uzskata, ka objektīvi ir nepieciešams</w:t>
      </w:r>
      <w:r>
        <w:rPr>
          <w:spacing w:val="-2"/>
        </w:rPr>
        <w:t> </w:t>
      </w:r>
      <w:r>
        <w:rPr/>
        <w:t>rīkoties.</w:t>
      </w:r>
    </w:p>
    <w:p>
      <w:pPr>
        <w:pStyle w:val="BodyText"/>
        <w:spacing w:before="3"/>
        <w:jc w:val="left"/>
      </w:pPr>
    </w:p>
    <w:p>
      <w:pPr>
        <w:pStyle w:val="Heading4"/>
        <w:numPr>
          <w:ilvl w:val="0"/>
          <w:numId w:val="56"/>
        </w:numPr>
        <w:tabs>
          <w:tab w:pos="688" w:val="left" w:leader="none"/>
        </w:tabs>
        <w:spacing w:line="240" w:lineRule="auto" w:before="0" w:after="0"/>
        <w:ind w:left="687" w:right="0" w:hanging="361"/>
        <w:jc w:val="left"/>
        <w:rPr>
          <w:i/>
        </w:rPr>
      </w:pPr>
      <w:r>
        <w:rPr>
          <w:i/>
        </w:rPr>
        <w:t>Pārkāpumi DRO</w:t>
      </w:r>
      <w:r>
        <w:rPr>
          <w:i/>
          <w:spacing w:val="-1"/>
        </w:rPr>
        <w:t> </w:t>
      </w:r>
      <w:r>
        <w:rPr>
          <w:i/>
        </w:rPr>
        <w:t>procedūrā</w:t>
      </w:r>
    </w:p>
    <w:p>
      <w:pPr>
        <w:pStyle w:val="BodyText"/>
        <w:spacing w:before="7"/>
        <w:jc w:val="left"/>
        <w:rPr>
          <w:b/>
          <w:i/>
          <w:sz w:val="23"/>
        </w:rPr>
      </w:pPr>
    </w:p>
    <w:p>
      <w:pPr>
        <w:pStyle w:val="BodyText"/>
        <w:ind w:left="260" w:right="761" w:firstLine="720"/>
      </w:pPr>
      <w:r>
        <w:rPr/>
        <w:t>Lielbritānijas Maksātnespējas likumā paredzētie noziedzīgie nodarījumi/pārkāpumi, par kuriem var tikt paredzēts naudas sods, brīvības atņemšana vai abi kopā:</w:t>
      </w:r>
    </w:p>
    <w:p>
      <w:pPr>
        <w:pStyle w:val="ListParagraph"/>
        <w:numPr>
          <w:ilvl w:val="0"/>
          <w:numId w:val="65"/>
        </w:numPr>
        <w:tabs>
          <w:tab w:pos="1679" w:val="left" w:leader="none"/>
        </w:tabs>
        <w:spacing w:line="276" w:lineRule="exact" w:before="0" w:after="0"/>
        <w:ind w:left="1678" w:right="0" w:hanging="361"/>
        <w:jc w:val="both"/>
        <w:rPr>
          <w:sz w:val="16"/>
        </w:rPr>
      </w:pPr>
      <w:r>
        <w:rPr>
          <w:sz w:val="24"/>
          <w:u w:val="single"/>
        </w:rPr>
        <w:t>Nepatiesi apgalvojumi un nenorādīta</w:t>
      </w:r>
      <w:r>
        <w:rPr>
          <w:spacing w:val="-4"/>
          <w:sz w:val="24"/>
          <w:u w:val="single"/>
        </w:rPr>
        <w:t> </w:t>
      </w:r>
      <w:r>
        <w:rPr>
          <w:sz w:val="24"/>
          <w:u w:val="single"/>
        </w:rPr>
        <w:t>informācija</w:t>
      </w:r>
      <w:r>
        <w:rPr>
          <w:position w:val="9"/>
          <w:sz w:val="16"/>
        </w:rPr>
        <w:t>305</w:t>
      </w:r>
    </w:p>
    <w:p>
      <w:pPr>
        <w:pStyle w:val="BodyText"/>
        <w:ind w:left="260" w:right="764" w:firstLine="720"/>
      </w:pPr>
      <w:r>
        <w:rPr/>
        <w:t>Persona, kas iesniedz pieteikumu parādu atvieglojuma rīkojumam, ir vainīga pārkāpumā, ja tā apzināti iesniedza nepatiesu informāciju savā pieteikumā vai apzināti izlaida un nenorādīja tajā visu nepieciešamo informāciju.</w:t>
      </w:r>
    </w:p>
    <w:p>
      <w:pPr>
        <w:pStyle w:val="BodyText"/>
        <w:ind w:left="260" w:right="762" w:firstLine="720"/>
      </w:pPr>
      <w:r>
        <w:rPr/>
        <w:t>Persona ir atzīstama par vainīgu nodarījumā, ja tā apzināti nepilda savus pienākumus saskaņā ar 251J panta trešo daļu (nenorāda uz trūkumiem pieteikumā, kad</w:t>
      </w:r>
      <w:r>
        <w:rPr>
          <w:spacing w:val="-36"/>
        </w:rPr>
        <w:t> </w:t>
      </w:r>
      <w:r>
        <w:rPr/>
        <w:t>par tiem uzzina, kā arī par izmaiņām apstākļos), kā arī tad, ja apzināti nesniedz oficiālā pieteikuma saņēmēja – amatpersonas pieprasīto</w:t>
      </w:r>
      <w:r>
        <w:rPr>
          <w:spacing w:val="1"/>
        </w:rPr>
        <w:t> </w:t>
      </w:r>
      <w:r>
        <w:rPr/>
        <w:t>informāciju.</w:t>
      </w:r>
    </w:p>
    <w:p>
      <w:pPr>
        <w:pStyle w:val="BodyText"/>
        <w:ind w:left="260" w:right="762" w:firstLine="720"/>
      </w:pPr>
      <w:r>
        <w:rPr/>
        <w:t>Savukārt,</w:t>
      </w:r>
      <w:r>
        <w:rPr>
          <w:spacing w:val="-6"/>
        </w:rPr>
        <w:t> </w:t>
      </w:r>
      <w:r>
        <w:rPr/>
        <w:t>ja</w:t>
      </w:r>
      <w:r>
        <w:rPr>
          <w:spacing w:val="-5"/>
        </w:rPr>
        <w:t> </w:t>
      </w:r>
      <w:r>
        <w:rPr/>
        <w:t>attiecībā</w:t>
      </w:r>
      <w:r>
        <w:rPr>
          <w:spacing w:val="-6"/>
        </w:rPr>
        <w:t> </w:t>
      </w:r>
      <w:r>
        <w:rPr/>
        <w:t>uz</w:t>
      </w:r>
      <w:r>
        <w:rPr>
          <w:spacing w:val="-4"/>
        </w:rPr>
        <w:t> </w:t>
      </w:r>
      <w:r>
        <w:rPr/>
        <w:t>personu</w:t>
      </w:r>
      <w:r>
        <w:rPr>
          <w:spacing w:val="-6"/>
        </w:rPr>
        <w:t> </w:t>
      </w:r>
      <w:r>
        <w:rPr/>
        <w:t>jau</w:t>
      </w:r>
      <w:r>
        <w:rPr>
          <w:spacing w:val="-6"/>
        </w:rPr>
        <w:t> </w:t>
      </w:r>
      <w:r>
        <w:rPr/>
        <w:t>ir</w:t>
      </w:r>
      <w:r>
        <w:rPr>
          <w:spacing w:val="-5"/>
        </w:rPr>
        <w:t> </w:t>
      </w:r>
      <w:r>
        <w:rPr/>
        <w:t>pieņemts</w:t>
      </w:r>
      <w:r>
        <w:rPr>
          <w:spacing w:val="-4"/>
        </w:rPr>
        <w:t> </w:t>
      </w:r>
      <w:r>
        <w:rPr/>
        <w:t>rīkojums</w:t>
      </w:r>
      <w:r>
        <w:rPr>
          <w:spacing w:val="-4"/>
        </w:rPr>
        <w:t> </w:t>
      </w:r>
      <w:r>
        <w:rPr/>
        <w:t>par</w:t>
      </w:r>
      <w:r>
        <w:rPr>
          <w:spacing w:val="-9"/>
        </w:rPr>
        <w:t> </w:t>
      </w:r>
      <w:r>
        <w:rPr/>
        <w:t>parādu</w:t>
      </w:r>
      <w:r>
        <w:rPr>
          <w:spacing w:val="-3"/>
        </w:rPr>
        <w:t> </w:t>
      </w:r>
      <w:r>
        <w:rPr/>
        <w:t>atvieglojumu, persona ir vainīga nodarījumā, ja tā tīši neievēro savus pienākumus saskaņā ar 251J panta piekto daļu (nesniedz informāciju par izmaiņām savā finansiālajā situācijā), kā arī tīši nesniedz vai sniedz nepatiesu informāciju par šiem apstākļiem oficiālajai</w:t>
      </w:r>
      <w:r>
        <w:rPr>
          <w:spacing w:val="-8"/>
        </w:rPr>
        <w:t> </w:t>
      </w:r>
      <w:r>
        <w:rPr/>
        <w:t>amatpersonai.</w:t>
      </w:r>
    </w:p>
    <w:p>
      <w:pPr>
        <w:pStyle w:val="BodyText"/>
        <w:spacing w:before="8"/>
        <w:jc w:val="left"/>
        <w:rPr>
          <w:sz w:val="22"/>
        </w:rPr>
      </w:pPr>
    </w:p>
    <w:p>
      <w:pPr>
        <w:pStyle w:val="ListParagraph"/>
        <w:numPr>
          <w:ilvl w:val="0"/>
          <w:numId w:val="65"/>
        </w:numPr>
        <w:tabs>
          <w:tab w:pos="1679" w:val="left" w:leader="none"/>
        </w:tabs>
        <w:spacing w:line="240" w:lineRule="auto" w:before="0" w:after="0"/>
        <w:ind w:left="1678" w:right="0" w:hanging="361"/>
        <w:jc w:val="both"/>
        <w:rPr>
          <w:sz w:val="16"/>
        </w:rPr>
      </w:pPr>
      <w:r>
        <w:rPr>
          <w:sz w:val="24"/>
          <w:u w:val="single"/>
        </w:rPr>
        <w:t>Dokumentu slēpšana vai</w:t>
      </w:r>
      <w:r>
        <w:rPr>
          <w:spacing w:val="1"/>
          <w:sz w:val="24"/>
          <w:u w:val="single"/>
        </w:rPr>
        <w:t> </w:t>
      </w:r>
      <w:r>
        <w:rPr>
          <w:sz w:val="24"/>
          <w:u w:val="single"/>
        </w:rPr>
        <w:t>viltošana</w:t>
      </w:r>
      <w:r>
        <w:rPr>
          <w:position w:val="9"/>
          <w:sz w:val="16"/>
        </w:rPr>
        <w:t>306</w:t>
      </w:r>
    </w:p>
    <w:p>
      <w:pPr>
        <w:pStyle w:val="BodyText"/>
        <w:ind w:left="260" w:right="762" w:firstLine="720"/>
      </w:pPr>
      <w:r>
        <w:rPr/>
        <w:t>Persona,</w:t>
      </w:r>
      <w:r>
        <w:rPr>
          <w:spacing w:val="-18"/>
        </w:rPr>
        <w:t> </w:t>
      </w:r>
      <w:r>
        <w:rPr/>
        <w:t>attiecībā</w:t>
      </w:r>
      <w:r>
        <w:rPr>
          <w:spacing w:val="-14"/>
        </w:rPr>
        <w:t> </w:t>
      </w:r>
      <w:r>
        <w:rPr/>
        <w:t>uz</w:t>
      </w:r>
      <w:r>
        <w:rPr>
          <w:spacing w:val="-13"/>
        </w:rPr>
        <w:t> </w:t>
      </w:r>
      <w:r>
        <w:rPr/>
        <w:t>kuru</w:t>
      </w:r>
      <w:r>
        <w:rPr>
          <w:spacing w:val="-14"/>
        </w:rPr>
        <w:t> </w:t>
      </w:r>
      <w:r>
        <w:rPr/>
        <w:t>tiek</w:t>
      </w:r>
      <w:r>
        <w:rPr>
          <w:spacing w:val="-15"/>
        </w:rPr>
        <w:t> </w:t>
      </w:r>
      <w:r>
        <w:rPr/>
        <w:t>pieņemts</w:t>
      </w:r>
      <w:r>
        <w:rPr>
          <w:spacing w:val="-12"/>
        </w:rPr>
        <w:t> </w:t>
      </w:r>
      <w:r>
        <w:rPr/>
        <w:t>parāda</w:t>
      </w:r>
      <w:r>
        <w:rPr>
          <w:spacing w:val="-17"/>
        </w:rPr>
        <w:t> </w:t>
      </w:r>
      <w:r>
        <w:rPr/>
        <w:t>atvieglojums,</w:t>
      </w:r>
      <w:r>
        <w:rPr>
          <w:spacing w:val="-14"/>
        </w:rPr>
        <w:t> </w:t>
      </w:r>
      <w:r>
        <w:rPr/>
        <w:t>ir</w:t>
      </w:r>
      <w:r>
        <w:rPr>
          <w:spacing w:val="-14"/>
        </w:rPr>
        <w:t> </w:t>
      </w:r>
      <w:r>
        <w:rPr/>
        <w:t>vainīga</w:t>
      </w:r>
      <w:r>
        <w:rPr>
          <w:spacing w:val="-15"/>
        </w:rPr>
        <w:t> </w:t>
      </w:r>
      <w:r>
        <w:rPr/>
        <w:t>nodarījumā, ja moratorija laikā saistībā ar šo parāda atvieglojuma rīkojumu, ja</w:t>
      </w:r>
      <w:r>
        <w:rPr>
          <w:spacing w:val="-5"/>
        </w:rPr>
        <w:t> </w:t>
      </w:r>
      <w:r>
        <w:rPr/>
        <w:t>viņš:</w:t>
      </w:r>
    </w:p>
    <w:p>
      <w:pPr>
        <w:pStyle w:val="ListParagraph"/>
        <w:numPr>
          <w:ilvl w:val="0"/>
          <w:numId w:val="66"/>
        </w:numPr>
        <w:tabs>
          <w:tab w:pos="1700" w:val="left" w:leader="none"/>
        </w:tabs>
        <w:spacing w:line="240" w:lineRule="auto" w:before="0" w:after="0"/>
        <w:ind w:left="1700" w:right="760" w:hanging="360"/>
        <w:jc w:val="both"/>
        <w:rPr>
          <w:sz w:val="24"/>
        </w:rPr>
      </w:pPr>
      <w:r>
        <w:rPr>
          <w:sz w:val="24"/>
        </w:rPr>
        <w:t>pēc oficiālā saņēmēja pieprasījuma neiesniedz visus viņa reģistrus, dokumentus</w:t>
      </w:r>
      <w:r>
        <w:rPr>
          <w:spacing w:val="-9"/>
          <w:sz w:val="24"/>
        </w:rPr>
        <w:t> </w:t>
      </w:r>
      <w:r>
        <w:rPr>
          <w:sz w:val="24"/>
        </w:rPr>
        <w:t>un</w:t>
      </w:r>
      <w:r>
        <w:rPr>
          <w:spacing w:val="-8"/>
          <w:sz w:val="24"/>
        </w:rPr>
        <w:t> </w:t>
      </w:r>
      <w:r>
        <w:rPr>
          <w:sz w:val="24"/>
        </w:rPr>
        <w:t>citus</w:t>
      </w:r>
      <w:r>
        <w:rPr>
          <w:spacing w:val="-8"/>
          <w:sz w:val="24"/>
        </w:rPr>
        <w:t> </w:t>
      </w:r>
      <w:r>
        <w:rPr>
          <w:sz w:val="24"/>
        </w:rPr>
        <w:t>ierakstus,</w:t>
      </w:r>
      <w:r>
        <w:rPr>
          <w:spacing w:val="-8"/>
          <w:sz w:val="24"/>
        </w:rPr>
        <w:t> </w:t>
      </w:r>
      <w:r>
        <w:rPr>
          <w:sz w:val="24"/>
        </w:rPr>
        <w:t>kas</w:t>
      </w:r>
      <w:r>
        <w:rPr>
          <w:spacing w:val="-10"/>
          <w:sz w:val="24"/>
        </w:rPr>
        <w:t> </w:t>
      </w:r>
      <w:r>
        <w:rPr>
          <w:sz w:val="24"/>
        </w:rPr>
        <w:t>viņam</w:t>
      </w:r>
      <w:r>
        <w:rPr>
          <w:spacing w:val="-10"/>
          <w:sz w:val="24"/>
        </w:rPr>
        <w:t> </w:t>
      </w:r>
      <w:r>
        <w:rPr>
          <w:sz w:val="24"/>
        </w:rPr>
        <w:t>pieder</w:t>
      </w:r>
      <w:r>
        <w:rPr>
          <w:spacing w:val="-11"/>
          <w:sz w:val="24"/>
        </w:rPr>
        <w:t> </w:t>
      </w:r>
      <w:r>
        <w:rPr>
          <w:sz w:val="24"/>
        </w:rPr>
        <w:t>vai</w:t>
      </w:r>
      <w:r>
        <w:rPr>
          <w:spacing w:val="-8"/>
          <w:sz w:val="24"/>
        </w:rPr>
        <w:t> </w:t>
      </w:r>
      <w:r>
        <w:rPr>
          <w:sz w:val="24"/>
        </w:rPr>
        <w:t>ko</w:t>
      </w:r>
      <w:r>
        <w:rPr>
          <w:spacing w:val="-8"/>
          <w:sz w:val="24"/>
        </w:rPr>
        <w:t> </w:t>
      </w:r>
      <w:r>
        <w:rPr>
          <w:sz w:val="24"/>
        </w:rPr>
        <w:t>viņš</w:t>
      </w:r>
      <w:r>
        <w:rPr>
          <w:spacing w:val="-5"/>
          <w:sz w:val="24"/>
        </w:rPr>
        <w:t> </w:t>
      </w:r>
      <w:r>
        <w:rPr>
          <w:sz w:val="24"/>
        </w:rPr>
        <w:t>kontrolē</w:t>
      </w:r>
      <w:r>
        <w:rPr>
          <w:spacing w:val="-6"/>
          <w:sz w:val="24"/>
        </w:rPr>
        <w:t> </w:t>
      </w:r>
      <w:r>
        <w:rPr>
          <w:sz w:val="24"/>
        </w:rPr>
        <w:t>un</w:t>
      </w:r>
      <w:r>
        <w:rPr>
          <w:spacing w:val="-8"/>
          <w:sz w:val="24"/>
        </w:rPr>
        <w:t> </w:t>
      </w:r>
      <w:r>
        <w:rPr>
          <w:sz w:val="24"/>
        </w:rPr>
        <w:t>kas attiecas uz parādnieka</w:t>
      </w:r>
      <w:r>
        <w:rPr>
          <w:spacing w:val="-1"/>
          <w:sz w:val="24"/>
        </w:rPr>
        <w:t> </w:t>
      </w:r>
      <w:r>
        <w:rPr>
          <w:sz w:val="24"/>
        </w:rPr>
        <w:t>lietām;</w:t>
      </w:r>
    </w:p>
    <w:p>
      <w:pPr>
        <w:pStyle w:val="ListParagraph"/>
        <w:numPr>
          <w:ilvl w:val="0"/>
          <w:numId w:val="66"/>
        </w:numPr>
        <w:tabs>
          <w:tab w:pos="1700" w:val="left" w:leader="none"/>
        </w:tabs>
        <w:spacing w:line="240" w:lineRule="auto" w:before="0" w:after="0"/>
        <w:ind w:left="1700" w:right="762" w:hanging="360"/>
        <w:jc w:val="both"/>
        <w:rPr>
          <w:sz w:val="24"/>
        </w:rPr>
      </w:pPr>
      <w:r>
        <w:rPr>
          <w:sz w:val="24"/>
        </w:rPr>
        <w:t>kavē iespēju oficiālajam pieteikuma saņēmējam - amatpersonai </w:t>
      </w:r>
      <w:r>
        <w:rPr>
          <w:spacing w:val="-3"/>
          <w:sz w:val="24"/>
        </w:rPr>
        <w:t>iegūt </w:t>
      </w:r>
      <w:r>
        <w:rPr>
          <w:sz w:val="24"/>
        </w:rPr>
        <w:t>minētos dokumentus;</w:t>
      </w:r>
    </w:p>
    <w:p>
      <w:pPr>
        <w:pStyle w:val="ListParagraph"/>
        <w:numPr>
          <w:ilvl w:val="0"/>
          <w:numId w:val="66"/>
        </w:numPr>
        <w:tabs>
          <w:tab w:pos="1700" w:val="left" w:leader="none"/>
        </w:tabs>
        <w:spacing w:line="240" w:lineRule="auto" w:before="0" w:after="0"/>
        <w:ind w:left="1700" w:right="0" w:hanging="360"/>
        <w:jc w:val="both"/>
        <w:rPr>
          <w:sz w:val="24"/>
        </w:rPr>
      </w:pPr>
      <w:r>
        <w:rPr>
          <w:sz w:val="24"/>
        </w:rPr>
        <w:t>slēpj, iznīcina, sabojā vai falsificē iepriekš minētajos</w:t>
      </w:r>
      <w:r>
        <w:rPr>
          <w:spacing w:val="-4"/>
          <w:sz w:val="24"/>
        </w:rPr>
        <w:t> </w:t>
      </w:r>
      <w:r>
        <w:rPr>
          <w:sz w:val="24"/>
        </w:rPr>
        <w:t>dokumentus;</w:t>
      </w:r>
    </w:p>
    <w:p>
      <w:pPr>
        <w:pStyle w:val="ListParagraph"/>
        <w:numPr>
          <w:ilvl w:val="0"/>
          <w:numId w:val="66"/>
        </w:numPr>
        <w:tabs>
          <w:tab w:pos="1700" w:val="left" w:leader="none"/>
        </w:tabs>
        <w:spacing w:line="240" w:lineRule="auto" w:before="0" w:after="0"/>
        <w:ind w:left="1700" w:right="0" w:hanging="360"/>
        <w:jc w:val="both"/>
        <w:rPr>
          <w:sz w:val="24"/>
        </w:rPr>
      </w:pPr>
      <w:r>
        <w:rPr>
          <w:sz w:val="24"/>
        </w:rPr>
        <w:t>izdara vai ļauj izdarīt nepatiesus ierakstus iepriekš minētajos</w:t>
      </w:r>
      <w:r>
        <w:rPr>
          <w:spacing w:val="-4"/>
          <w:sz w:val="24"/>
        </w:rPr>
        <w:t> </w:t>
      </w:r>
      <w:r>
        <w:rPr>
          <w:sz w:val="24"/>
        </w:rPr>
        <w:t>dokumentos;</w:t>
      </w:r>
    </w:p>
    <w:p>
      <w:pPr>
        <w:pStyle w:val="ListParagraph"/>
        <w:numPr>
          <w:ilvl w:val="0"/>
          <w:numId w:val="66"/>
        </w:numPr>
        <w:tabs>
          <w:tab w:pos="1700" w:val="left" w:leader="none"/>
        </w:tabs>
        <w:spacing w:line="240" w:lineRule="auto" w:before="0" w:after="0"/>
        <w:ind w:left="1700" w:right="767" w:hanging="360"/>
        <w:jc w:val="both"/>
        <w:rPr>
          <w:sz w:val="24"/>
        </w:rPr>
      </w:pPr>
      <w:r>
        <w:rPr>
          <w:sz w:val="24"/>
        </w:rPr>
        <w:t>iznīcina vai izmaina vai nolaidības dēļ ļauj kādam citam iznīcināt vai izmainīt šos</w:t>
      </w:r>
      <w:r>
        <w:rPr>
          <w:spacing w:val="1"/>
          <w:sz w:val="24"/>
        </w:rPr>
        <w:t> </w:t>
      </w:r>
      <w:r>
        <w:rPr>
          <w:sz w:val="24"/>
        </w:rPr>
        <w:t>dokumentus.</w:t>
      </w:r>
    </w:p>
    <w:p>
      <w:pPr>
        <w:pStyle w:val="BodyText"/>
        <w:spacing w:before="6"/>
        <w:jc w:val="left"/>
        <w:rPr>
          <w:sz w:val="16"/>
        </w:rPr>
      </w:pPr>
      <w:r>
        <w:rPr/>
        <w:pict>
          <v:shape style="position:absolute;margin-left:72pt;margin-top:11.756706pt;width:144pt;height:.1pt;mso-position-horizontal-relative:page;mso-position-vertical-relative:paragraph;z-index:-251500544;mso-wrap-distance-left:0;mso-wrap-distance-right:0" coordorigin="1440,235" coordsize="2880,0" path="m1440,235l4320,235e" filled="false" stroked="true" strokeweight=".599991pt" strokecolor="#000000">
            <v:path arrowok="t"/>
            <v:stroke dashstyle="solid"/>
            <w10:wrap type="topAndBottom"/>
          </v:shape>
        </w:pict>
      </w:r>
    </w:p>
    <w:p>
      <w:pPr>
        <w:spacing w:line="233" w:lineRule="exact" w:before="70"/>
        <w:ind w:left="260" w:right="0" w:firstLine="0"/>
        <w:jc w:val="both"/>
        <w:rPr>
          <w:sz w:val="20"/>
        </w:rPr>
      </w:pPr>
      <w:r>
        <w:rPr>
          <w:position w:val="7"/>
          <w:sz w:val="13"/>
        </w:rPr>
        <w:t>303 </w:t>
      </w:r>
      <w:r>
        <w:rPr>
          <w:sz w:val="20"/>
        </w:rPr>
        <w:t>Lielbritānijas Maksātnespējas likums, 251T panta trešā daļa</w:t>
      </w:r>
    </w:p>
    <w:p>
      <w:pPr>
        <w:spacing w:line="235" w:lineRule="auto" w:before="1"/>
        <w:ind w:left="260" w:right="5185" w:firstLine="0"/>
        <w:jc w:val="both"/>
        <w:rPr>
          <w:sz w:val="20"/>
        </w:rPr>
      </w:pPr>
      <w:r>
        <w:rPr>
          <w:position w:val="7"/>
          <w:sz w:val="13"/>
        </w:rPr>
        <w:t>304 </w:t>
      </w:r>
      <w:r>
        <w:rPr>
          <w:sz w:val="20"/>
        </w:rPr>
        <w:t>Lielbritānijas Maksātnespējas likums, 251N pants </w:t>
      </w:r>
      <w:r>
        <w:rPr>
          <w:position w:val="7"/>
          <w:sz w:val="13"/>
        </w:rPr>
        <w:t>305 </w:t>
      </w:r>
      <w:r>
        <w:rPr>
          <w:sz w:val="20"/>
        </w:rPr>
        <w:t>Lielbritānijas Maksātnespējas likums, 251O pants </w:t>
      </w:r>
      <w:r>
        <w:rPr>
          <w:position w:val="7"/>
          <w:sz w:val="13"/>
        </w:rPr>
        <w:t>306 </w:t>
      </w:r>
      <w:r>
        <w:rPr>
          <w:sz w:val="20"/>
        </w:rPr>
        <w:t>Lielbritānijas Maksātnespējas likums, 251P pants</w:t>
      </w:r>
    </w:p>
    <w:p>
      <w:pPr>
        <w:spacing w:after="0" w:line="235" w:lineRule="auto"/>
        <w:jc w:val="both"/>
        <w:rPr>
          <w:sz w:val="20"/>
        </w:rPr>
        <w:sectPr>
          <w:pgSz w:w="11910" w:h="16840"/>
          <w:pgMar w:header="0" w:footer="1055" w:top="1340" w:bottom="1240" w:left="1180" w:right="1040"/>
        </w:sectPr>
      </w:pPr>
    </w:p>
    <w:p>
      <w:pPr>
        <w:pStyle w:val="ListParagraph"/>
        <w:numPr>
          <w:ilvl w:val="0"/>
          <w:numId w:val="65"/>
        </w:numPr>
        <w:tabs>
          <w:tab w:pos="2039" w:val="left" w:leader="none"/>
        </w:tabs>
        <w:spacing w:line="240" w:lineRule="auto" w:before="94" w:after="0"/>
        <w:ind w:left="2038" w:right="0" w:hanging="361"/>
        <w:jc w:val="both"/>
        <w:rPr>
          <w:sz w:val="16"/>
        </w:rPr>
      </w:pPr>
      <w:r>
        <w:rPr>
          <w:sz w:val="24"/>
          <w:u w:val="single"/>
        </w:rPr>
        <w:t>Krāpnieciska īpašuma</w:t>
      </w:r>
      <w:r>
        <w:rPr>
          <w:spacing w:val="-1"/>
          <w:sz w:val="24"/>
          <w:u w:val="single"/>
        </w:rPr>
        <w:t> </w:t>
      </w:r>
      <w:r>
        <w:rPr>
          <w:sz w:val="24"/>
          <w:u w:val="single"/>
        </w:rPr>
        <w:t>atsavināšana</w:t>
      </w:r>
      <w:r>
        <w:rPr>
          <w:position w:val="9"/>
          <w:sz w:val="16"/>
        </w:rPr>
        <w:t>307</w:t>
      </w:r>
    </w:p>
    <w:p>
      <w:pPr>
        <w:pStyle w:val="BodyText"/>
        <w:ind w:left="620" w:right="402" w:firstLine="720"/>
      </w:pPr>
      <w:r>
        <w:rPr/>
        <w:t>Persona, attiecībā uz kuru tiek izdots rīkojums par parādu atbrīvojumu, ir vainīga nodarījumā, ja tā ir dāvinājusi savu īpašumu vai nodevusi to citām personām laika periodā starp diviem gadiem pirms pieteikšanās procedūrai un moratorija noslēguma datumu.</w:t>
      </w:r>
    </w:p>
    <w:p>
      <w:pPr>
        <w:pStyle w:val="BodyText"/>
        <w:spacing w:before="8"/>
        <w:jc w:val="left"/>
        <w:rPr>
          <w:sz w:val="22"/>
        </w:rPr>
      </w:pPr>
    </w:p>
    <w:p>
      <w:pPr>
        <w:pStyle w:val="ListParagraph"/>
        <w:numPr>
          <w:ilvl w:val="0"/>
          <w:numId w:val="65"/>
        </w:numPr>
        <w:tabs>
          <w:tab w:pos="2039" w:val="left" w:leader="none"/>
        </w:tabs>
        <w:spacing w:line="240" w:lineRule="auto" w:before="0" w:after="0"/>
        <w:ind w:left="2038" w:right="0" w:hanging="361"/>
        <w:jc w:val="both"/>
        <w:rPr>
          <w:sz w:val="16"/>
        </w:rPr>
      </w:pPr>
      <w:r>
        <w:rPr>
          <w:sz w:val="24"/>
          <w:u w:val="single"/>
        </w:rPr>
        <w:t>Krāpšana, kas attiecas uz ar kredītu iegūto</w:t>
      </w:r>
      <w:r>
        <w:rPr>
          <w:spacing w:val="-6"/>
          <w:sz w:val="24"/>
          <w:u w:val="single"/>
        </w:rPr>
        <w:t> </w:t>
      </w:r>
      <w:r>
        <w:rPr>
          <w:sz w:val="24"/>
          <w:u w:val="single"/>
        </w:rPr>
        <w:t>īpašumu</w:t>
      </w:r>
      <w:r>
        <w:rPr>
          <w:position w:val="9"/>
          <w:sz w:val="16"/>
        </w:rPr>
        <w:t>308</w:t>
      </w:r>
    </w:p>
    <w:p>
      <w:pPr>
        <w:pStyle w:val="BodyText"/>
        <w:ind w:left="620" w:right="400" w:firstLine="720"/>
      </w:pPr>
      <w:r>
        <w:rPr/>
        <w:t>Persona, attiecībā uz kuru tiek izdots rīkojums par parādu atbrīvojumu, ir vainīga nodarījumā, ja attiecīgajā laika posmā tā atbrīvojas no jebkura sava īpašuma, ko tā bija ieguvusi aizņēmuma/kredīta rezultātā, ja brīdī, kad persona šo īpašumu atsavināja, parādnieks vēl nebija samaksājis par to.</w:t>
      </w:r>
    </w:p>
    <w:p>
      <w:pPr>
        <w:pStyle w:val="BodyText"/>
        <w:ind w:left="620" w:right="403" w:firstLine="720"/>
      </w:pPr>
      <w:r>
        <w:rPr/>
        <w:t>Jebkura cita persona ir vainīga noziedzīgā nodarījumā, ja attiecīgajā periodā viņš iegādājies vai saņēmis īpašumu no personas, attiecībā uz kuru tika pieņemts parāda atvieglojums (parādnieks), zinot vai ticot, ka parādnieks ir parādā naudu par šo īpašumu kreditoram un ka parādnieks neplānoja vai nebija spējīgs samaksāt par šo īpašumu kreditoram.</w:t>
      </w:r>
    </w:p>
    <w:p>
      <w:pPr>
        <w:pStyle w:val="BodyText"/>
        <w:spacing w:before="7"/>
        <w:jc w:val="left"/>
        <w:rPr>
          <w:sz w:val="22"/>
        </w:rPr>
      </w:pPr>
    </w:p>
    <w:p>
      <w:pPr>
        <w:pStyle w:val="ListParagraph"/>
        <w:numPr>
          <w:ilvl w:val="0"/>
          <w:numId w:val="65"/>
        </w:numPr>
        <w:tabs>
          <w:tab w:pos="2039" w:val="left" w:leader="none"/>
        </w:tabs>
        <w:spacing w:line="240" w:lineRule="auto" w:before="1" w:after="0"/>
        <w:ind w:left="2038" w:right="0" w:hanging="361"/>
        <w:jc w:val="both"/>
        <w:rPr>
          <w:sz w:val="16"/>
        </w:rPr>
      </w:pPr>
      <w:r>
        <w:rPr>
          <w:sz w:val="24"/>
          <w:u w:val="single"/>
        </w:rPr>
        <w:t>Kredīta iegūšana vai uzņēmējdarbības</w:t>
      </w:r>
      <w:r>
        <w:rPr>
          <w:spacing w:val="-8"/>
          <w:sz w:val="24"/>
          <w:u w:val="single"/>
        </w:rPr>
        <w:t> </w:t>
      </w:r>
      <w:r>
        <w:rPr>
          <w:sz w:val="24"/>
          <w:u w:val="single"/>
        </w:rPr>
        <w:t>uzsākšana</w:t>
      </w:r>
      <w:r>
        <w:rPr>
          <w:position w:val="9"/>
          <w:sz w:val="16"/>
        </w:rPr>
        <w:t>309</w:t>
      </w:r>
    </w:p>
    <w:p>
      <w:pPr>
        <w:pStyle w:val="BodyText"/>
        <w:ind w:left="620" w:right="401" w:firstLine="720"/>
      </w:pPr>
      <w:r>
        <w:rPr/>
        <w:t>Persona,</w:t>
      </w:r>
      <w:r>
        <w:rPr>
          <w:spacing w:val="-17"/>
        </w:rPr>
        <w:t> </w:t>
      </w:r>
      <w:r>
        <w:rPr/>
        <w:t>attiecībā</w:t>
      </w:r>
      <w:r>
        <w:rPr>
          <w:spacing w:val="-13"/>
        </w:rPr>
        <w:t> </w:t>
      </w:r>
      <w:r>
        <w:rPr/>
        <w:t>uz</w:t>
      </w:r>
      <w:r>
        <w:rPr>
          <w:spacing w:val="-12"/>
        </w:rPr>
        <w:t> </w:t>
      </w:r>
      <w:r>
        <w:rPr/>
        <w:t>kuru</w:t>
      </w:r>
      <w:r>
        <w:rPr>
          <w:spacing w:val="-14"/>
        </w:rPr>
        <w:t> </w:t>
      </w:r>
      <w:r>
        <w:rPr/>
        <w:t>tiek</w:t>
      </w:r>
      <w:r>
        <w:rPr>
          <w:spacing w:val="-13"/>
        </w:rPr>
        <w:t> </w:t>
      </w:r>
      <w:r>
        <w:rPr/>
        <w:t>pieņemts</w:t>
      </w:r>
      <w:r>
        <w:rPr>
          <w:spacing w:val="-11"/>
        </w:rPr>
        <w:t> </w:t>
      </w:r>
      <w:r>
        <w:rPr/>
        <w:t>parāda</w:t>
      </w:r>
      <w:r>
        <w:rPr>
          <w:spacing w:val="-16"/>
        </w:rPr>
        <w:t> </w:t>
      </w:r>
      <w:r>
        <w:rPr/>
        <w:t>atvieglojums,</w:t>
      </w:r>
      <w:r>
        <w:rPr>
          <w:spacing w:val="-14"/>
        </w:rPr>
        <w:t> </w:t>
      </w:r>
      <w:r>
        <w:rPr/>
        <w:t>ir</w:t>
      </w:r>
      <w:r>
        <w:rPr>
          <w:spacing w:val="-13"/>
        </w:rPr>
        <w:t> </w:t>
      </w:r>
      <w:r>
        <w:rPr/>
        <w:t>vainīga</w:t>
      </w:r>
      <w:r>
        <w:rPr>
          <w:spacing w:val="-13"/>
        </w:rPr>
        <w:t> </w:t>
      </w:r>
      <w:r>
        <w:rPr/>
        <w:t>nodarījumā, ja attiecīgajā periodā viņš iegūst kredītu (viens pats vai kopā ar jebkuru citu personu </w:t>
      </w:r>
      <w:r>
        <w:rPr>
          <w:spacing w:val="-3"/>
        </w:rPr>
        <w:t>virs </w:t>
      </w:r>
      <w:r>
        <w:rPr/>
        <w:t>500 mārciņām), neatklājot personai, no kuras viņš iegūst kredītu, attiecīgo informāciju par savu</w:t>
      </w:r>
      <w:r>
        <w:rPr>
          <w:spacing w:val="-4"/>
        </w:rPr>
        <w:t> </w:t>
      </w:r>
      <w:r>
        <w:rPr/>
        <w:t>statusu</w:t>
      </w:r>
      <w:r>
        <w:rPr>
          <w:spacing w:val="-3"/>
        </w:rPr>
        <w:t> </w:t>
      </w:r>
      <w:r>
        <w:rPr/>
        <w:t>(to,</w:t>
      </w:r>
      <w:r>
        <w:rPr>
          <w:spacing w:val="-3"/>
        </w:rPr>
        <w:t> </w:t>
      </w:r>
      <w:r>
        <w:rPr/>
        <w:t>ka</w:t>
      </w:r>
      <w:r>
        <w:rPr>
          <w:spacing w:val="-5"/>
        </w:rPr>
        <w:t> </w:t>
      </w:r>
      <w:r>
        <w:rPr/>
        <w:t>attiecībā</w:t>
      </w:r>
      <w:r>
        <w:rPr>
          <w:spacing w:val="-3"/>
        </w:rPr>
        <w:t> </w:t>
      </w:r>
      <w:r>
        <w:rPr/>
        <w:t>uz</w:t>
      </w:r>
      <w:r>
        <w:rPr>
          <w:spacing w:val="-2"/>
        </w:rPr>
        <w:t> </w:t>
      </w:r>
      <w:r>
        <w:rPr/>
        <w:t>viņu</w:t>
      </w:r>
      <w:r>
        <w:rPr>
          <w:spacing w:val="-5"/>
        </w:rPr>
        <w:t> </w:t>
      </w:r>
      <w:r>
        <w:rPr/>
        <w:t>ir</w:t>
      </w:r>
      <w:r>
        <w:rPr>
          <w:spacing w:val="-3"/>
        </w:rPr>
        <w:t> </w:t>
      </w:r>
      <w:r>
        <w:rPr/>
        <w:t>pieņemts</w:t>
      </w:r>
      <w:r>
        <w:rPr>
          <w:spacing w:val="-3"/>
        </w:rPr>
        <w:t> </w:t>
      </w:r>
      <w:r>
        <w:rPr/>
        <w:t>DRO)</w:t>
      </w:r>
      <w:r>
        <w:rPr>
          <w:spacing w:val="-3"/>
        </w:rPr>
        <w:t> </w:t>
      </w:r>
      <w:r>
        <w:rPr/>
        <w:t>vai</w:t>
      </w:r>
      <w:r>
        <w:rPr>
          <w:spacing w:val="-6"/>
        </w:rPr>
        <w:t> </w:t>
      </w:r>
      <w:r>
        <w:rPr/>
        <w:t>viņš</w:t>
      </w:r>
      <w:r>
        <w:rPr>
          <w:spacing w:val="-3"/>
        </w:rPr>
        <w:t> </w:t>
      </w:r>
      <w:r>
        <w:rPr/>
        <w:t>tieši</w:t>
      </w:r>
      <w:r>
        <w:rPr>
          <w:spacing w:val="-5"/>
        </w:rPr>
        <w:t> </w:t>
      </w:r>
      <w:r>
        <w:rPr/>
        <w:t>vai</w:t>
      </w:r>
      <w:r>
        <w:rPr>
          <w:spacing w:val="-5"/>
        </w:rPr>
        <w:t> </w:t>
      </w:r>
      <w:r>
        <w:rPr/>
        <w:t>netieši</w:t>
      </w:r>
      <w:r>
        <w:rPr>
          <w:spacing w:val="-3"/>
        </w:rPr>
        <w:t> </w:t>
      </w:r>
      <w:r>
        <w:rPr/>
        <w:t>uzsāk</w:t>
      </w:r>
      <w:r>
        <w:rPr>
          <w:spacing w:val="-3"/>
        </w:rPr>
        <w:t> </w:t>
      </w:r>
      <w:r>
        <w:rPr/>
        <w:t>kādu biznesu ar nosaukumu, kurš nav tāds pats kā tas attiecībā uz kuru tika pieņemts DRO, nepaziņojot visām iesaistītajām personām par DRO procedūru attiecībā uz biznesu ar citu nosaukumu.</w:t>
      </w:r>
    </w:p>
    <w:p>
      <w:pPr>
        <w:pStyle w:val="BodyText"/>
        <w:ind w:left="620" w:right="404" w:firstLine="720"/>
      </w:pPr>
      <w:r>
        <w:rPr/>
        <w:t>Nodarījumi, ko persona ir izdarījusi saskaņā ar šo Lielbritānijas Maksātnespējas likuma daļu, var ierosināt tikai Valsts sekretārs vai ar Prokuratūras direktora piekrišanu. Personai, kas ir vainīga noziedzīgā nodarījumā saskaņā ar šo daļu, piemēro brīvības atņemšanu vai naudas sodu, vai abus. Tomēr attiecībā uz visiem pārkāpumu veidiem persona</w:t>
      </w:r>
      <w:r>
        <w:rPr>
          <w:spacing w:val="-6"/>
        </w:rPr>
        <w:t> </w:t>
      </w:r>
      <w:r>
        <w:rPr/>
        <w:t>nebūs</w:t>
      </w:r>
      <w:r>
        <w:rPr>
          <w:spacing w:val="-4"/>
        </w:rPr>
        <w:t> </w:t>
      </w:r>
      <w:r>
        <w:rPr/>
        <w:t>atbildīga,</w:t>
      </w:r>
      <w:r>
        <w:rPr>
          <w:spacing w:val="-6"/>
        </w:rPr>
        <w:t> </w:t>
      </w:r>
      <w:r>
        <w:rPr/>
        <w:t>ja</w:t>
      </w:r>
      <w:r>
        <w:rPr>
          <w:spacing w:val="-4"/>
        </w:rPr>
        <w:t> </w:t>
      </w:r>
      <w:r>
        <w:rPr/>
        <w:t>spēs</w:t>
      </w:r>
      <w:r>
        <w:rPr>
          <w:spacing w:val="-8"/>
        </w:rPr>
        <w:t> </w:t>
      </w:r>
      <w:r>
        <w:rPr/>
        <w:t>pierādīt,</w:t>
      </w:r>
      <w:r>
        <w:rPr>
          <w:spacing w:val="-4"/>
        </w:rPr>
        <w:t> </w:t>
      </w:r>
      <w:r>
        <w:rPr/>
        <w:t>ka</w:t>
      </w:r>
      <w:r>
        <w:rPr>
          <w:spacing w:val="-9"/>
        </w:rPr>
        <w:t> </w:t>
      </w:r>
      <w:r>
        <w:rPr/>
        <w:t>attiecīgās</w:t>
      </w:r>
      <w:r>
        <w:rPr>
          <w:spacing w:val="-5"/>
        </w:rPr>
        <w:t> </w:t>
      </w:r>
      <w:r>
        <w:rPr/>
        <w:t>darbības</w:t>
      </w:r>
      <w:r>
        <w:rPr>
          <w:spacing w:val="-8"/>
        </w:rPr>
        <w:t> </w:t>
      </w:r>
      <w:r>
        <w:rPr/>
        <w:t>neveica</w:t>
      </w:r>
      <w:r>
        <w:rPr>
          <w:spacing w:val="-5"/>
        </w:rPr>
        <w:t> </w:t>
      </w:r>
      <w:r>
        <w:rPr/>
        <w:t>ar</w:t>
      </w:r>
      <w:r>
        <w:rPr>
          <w:spacing w:val="-8"/>
        </w:rPr>
        <w:t> </w:t>
      </w:r>
      <w:r>
        <w:rPr/>
        <w:t>nodomu</w:t>
      </w:r>
      <w:r>
        <w:rPr>
          <w:spacing w:val="-4"/>
        </w:rPr>
        <w:t> </w:t>
      </w:r>
      <w:r>
        <w:rPr/>
        <w:t>krāpties vai slēpt savu faktisko</w:t>
      </w:r>
      <w:r>
        <w:rPr>
          <w:spacing w:val="-1"/>
        </w:rPr>
        <w:t> </w:t>
      </w:r>
      <w:r>
        <w:rPr/>
        <w:t>situāciju.</w:t>
      </w:r>
    </w:p>
    <w:p>
      <w:pPr>
        <w:pStyle w:val="BodyText"/>
        <w:ind w:left="620" w:right="403" w:firstLine="720"/>
      </w:pPr>
      <w:r>
        <w:rPr/>
        <w:t>Apkopojot iepriekš teikto, var secināt, ka gadījumā, ja parādnieks nepilda savus pienākumus, ir izvairījies sniegt informāciju vai kā citādi liek šķēršļus procedūras pilnīgi skaidrai, atklātai un pareizai norisei, parādnieks riskē ne tikai ar to, ka DRO var nepasludināt, to var arī atcelt, liekot parādniekam meklēt citus risinājumus savu parādsaistību noregulēšanai, papildus tam parādnieks var saņemt arī ierobežojumus veikt dažādas darbības turpmākos 15 gadus, kā arī īpaši smagos pārkāpumos parādnieks riskē saņemt sodu, kas var būt vai nu naudas sods vai pat ieslodzījums.</w:t>
      </w:r>
    </w:p>
    <w:p>
      <w:pPr>
        <w:pStyle w:val="BodyText"/>
        <w:ind w:left="620" w:right="401" w:firstLine="720"/>
      </w:pPr>
      <w:r>
        <w:rPr/>
        <w:t>Faktiski šāds strikts regulējums attiecībā uz parādnieka rīcības kontroli un iespējamām sekām vedina domāt, ka parādniekam, apzinoties iespējamās nelabvēlīgās sekas, vajadzētu būt pietiekami mudinātam rīkoties godprātīgi.</w:t>
      </w:r>
    </w:p>
    <w:p>
      <w:pPr>
        <w:pStyle w:val="BodyText"/>
        <w:spacing w:before="5"/>
        <w:jc w:val="left"/>
      </w:pPr>
    </w:p>
    <w:p>
      <w:pPr>
        <w:pStyle w:val="Heading4"/>
        <w:numPr>
          <w:ilvl w:val="0"/>
          <w:numId w:val="56"/>
        </w:numPr>
        <w:tabs>
          <w:tab w:pos="1048" w:val="left" w:leader="none"/>
        </w:tabs>
        <w:spacing w:line="240" w:lineRule="auto" w:before="0" w:after="0"/>
        <w:ind w:left="1047" w:right="0" w:hanging="361"/>
        <w:jc w:val="left"/>
        <w:rPr>
          <w:i/>
        </w:rPr>
      </w:pPr>
      <w:r>
        <w:rPr>
          <w:i/>
        </w:rPr>
        <w:t>Jaunā sākuma</w:t>
      </w:r>
      <w:r>
        <w:rPr>
          <w:i/>
          <w:spacing w:val="1"/>
        </w:rPr>
        <w:t> </w:t>
      </w:r>
      <w:r>
        <w:rPr>
          <w:i/>
        </w:rPr>
        <w:t>politika</w:t>
      </w:r>
    </w:p>
    <w:p>
      <w:pPr>
        <w:pStyle w:val="BodyText"/>
        <w:spacing w:before="7"/>
        <w:jc w:val="left"/>
        <w:rPr>
          <w:b/>
          <w:i/>
          <w:sz w:val="23"/>
        </w:rPr>
      </w:pPr>
    </w:p>
    <w:p>
      <w:pPr>
        <w:pStyle w:val="BodyText"/>
        <w:ind w:left="620" w:right="402" w:firstLine="720"/>
      </w:pPr>
      <w:r>
        <w:rPr/>
        <w:t>Tā</w:t>
      </w:r>
      <w:r>
        <w:rPr>
          <w:spacing w:val="-7"/>
        </w:rPr>
        <w:t> </w:t>
      </w:r>
      <w:r>
        <w:rPr/>
        <w:t>kā</w:t>
      </w:r>
      <w:r>
        <w:rPr>
          <w:spacing w:val="-3"/>
        </w:rPr>
        <w:t> </w:t>
      </w:r>
      <w:r>
        <w:rPr/>
        <w:t>Lielbritānijas</w:t>
      </w:r>
      <w:r>
        <w:rPr>
          <w:spacing w:val="-7"/>
        </w:rPr>
        <w:t> </w:t>
      </w:r>
      <w:r>
        <w:rPr/>
        <w:t>Maksātnespējas</w:t>
      </w:r>
      <w:r>
        <w:rPr>
          <w:spacing w:val="-7"/>
        </w:rPr>
        <w:t> </w:t>
      </w:r>
      <w:r>
        <w:rPr/>
        <w:t>likums</w:t>
      </w:r>
      <w:r>
        <w:rPr>
          <w:spacing w:val="-6"/>
        </w:rPr>
        <w:t> </w:t>
      </w:r>
      <w:r>
        <w:rPr/>
        <w:t>šobrīd</w:t>
      </w:r>
      <w:r>
        <w:rPr>
          <w:spacing w:val="-5"/>
        </w:rPr>
        <w:t> </w:t>
      </w:r>
      <w:r>
        <w:rPr/>
        <w:t>nodrošina</w:t>
      </w:r>
      <w:r>
        <w:rPr>
          <w:spacing w:val="-7"/>
        </w:rPr>
        <w:t> </w:t>
      </w:r>
      <w:r>
        <w:rPr/>
        <w:t>parādu</w:t>
      </w:r>
      <w:r>
        <w:rPr>
          <w:spacing w:val="-5"/>
        </w:rPr>
        <w:t> </w:t>
      </w:r>
      <w:r>
        <w:rPr/>
        <w:t>atvieglojumus arī tiem parādniekiem, kuriem ir maz līdzekļu un kuriem ir zemi ienākumi, tā galvenais mērķis ir aptverts ar "jaunā sākuma" politiku. Šī ideja paredz, ka finansiāli</w:t>
      </w:r>
      <w:r>
        <w:rPr>
          <w:spacing w:val="7"/>
        </w:rPr>
        <w:t> </w:t>
      </w:r>
      <w:r>
        <w:rPr/>
        <w:t>grūtībās</w:t>
      </w:r>
    </w:p>
    <w:p>
      <w:pPr>
        <w:pStyle w:val="BodyText"/>
        <w:spacing w:before="6"/>
        <w:jc w:val="left"/>
        <w:rPr>
          <w:sz w:val="12"/>
        </w:rPr>
      </w:pPr>
      <w:r>
        <w:rPr/>
        <w:pict>
          <v:shape style="position:absolute;margin-left:90pt;margin-top:9.471768pt;width:144pt;height:.1pt;mso-position-horizontal-relative:page;mso-position-vertical-relative:paragraph;z-index:-251499520;mso-wrap-distance-left:0;mso-wrap-distance-right:0" coordorigin="1800,189" coordsize="2880,0" path="m1800,189l4680,189e" filled="false" stroked="true" strokeweight=".600037pt" strokecolor="#000000">
            <v:path arrowok="t"/>
            <v:stroke dashstyle="solid"/>
            <w10:wrap type="topAndBottom"/>
          </v:shape>
        </w:pict>
      </w:r>
    </w:p>
    <w:p>
      <w:pPr>
        <w:spacing w:line="235" w:lineRule="auto" w:before="73"/>
        <w:ind w:left="620" w:right="4825" w:firstLine="0"/>
        <w:jc w:val="both"/>
        <w:rPr>
          <w:sz w:val="20"/>
        </w:rPr>
      </w:pPr>
      <w:r>
        <w:rPr>
          <w:position w:val="7"/>
          <w:sz w:val="13"/>
        </w:rPr>
        <w:t>307 </w:t>
      </w:r>
      <w:r>
        <w:rPr>
          <w:sz w:val="20"/>
        </w:rPr>
        <w:t>Lielbritānijas Maksātnespējas likums, 251Q pants </w:t>
      </w:r>
      <w:r>
        <w:rPr>
          <w:position w:val="7"/>
          <w:sz w:val="13"/>
        </w:rPr>
        <w:t>308 </w:t>
      </w:r>
      <w:r>
        <w:rPr>
          <w:sz w:val="20"/>
        </w:rPr>
        <w:t>Lielbritānijas Maksātnespējas likums, 251R pants </w:t>
      </w:r>
      <w:r>
        <w:rPr>
          <w:position w:val="7"/>
          <w:sz w:val="13"/>
        </w:rPr>
        <w:t>309 </w:t>
      </w:r>
      <w:r>
        <w:rPr>
          <w:sz w:val="20"/>
        </w:rPr>
        <w:t>Lielbritānijas Maksātnespējas likums, 251S pants</w:t>
      </w:r>
    </w:p>
    <w:p>
      <w:pPr>
        <w:spacing w:after="0" w:line="235" w:lineRule="auto"/>
        <w:jc w:val="both"/>
        <w:rPr>
          <w:sz w:val="20"/>
        </w:rPr>
        <w:sectPr>
          <w:pgSz w:w="11910" w:h="16840"/>
          <w:pgMar w:header="0" w:footer="1055" w:top="1580" w:bottom="1240" w:left="1180" w:right="1040"/>
        </w:sectPr>
      </w:pPr>
    </w:p>
    <w:p>
      <w:pPr>
        <w:pStyle w:val="BodyText"/>
        <w:spacing w:line="237" w:lineRule="auto" w:before="75"/>
        <w:ind w:left="260" w:right="762"/>
      </w:pPr>
      <w:r>
        <w:rPr/>
        <w:t>nonākušu mājsaimniecību atbrīvošana no pārmērīgām parādsaistībām radīs rezultātus, kas uzlabos kopējo labklājību, atjaunojot šīs mājsaimniecības ekonomiskās produktivitātes un sociālās iekļaušanās pozīcijas.</w:t>
      </w:r>
      <w:r>
        <w:rPr>
          <w:position w:val="9"/>
          <w:sz w:val="16"/>
        </w:rPr>
        <w:t>310 </w:t>
      </w:r>
      <w:r>
        <w:rPr/>
        <w:t>Respektīvi, atvieglotais regulējums attiecībā uz parādu atbrīvošanu veicina parādnieka dzīves situācijas stabilizēšanu un uzlabošanu, vienlaikus mudinot to turpmāk atbildīgāk izturēties pret savām saistībām.</w:t>
      </w:r>
    </w:p>
    <w:p>
      <w:pPr>
        <w:pStyle w:val="BodyText"/>
        <w:spacing w:line="237" w:lineRule="auto"/>
        <w:ind w:left="260" w:right="762" w:firstLine="720"/>
      </w:pPr>
      <w:r>
        <w:rPr/>
        <w:t>Pastāv uzskats, ka kombinācija starp strikti noteiktajiem kritērijiem DRO procedūras</w:t>
      </w:r>
      <w:r>
        <w:rPr>
          <w:spacing w:val="-10"/>
        </w:rPr>
        <w:t> </w:t>
      </w:r>
      <w:r>
        <w:rPr/>
        <w:t>izmatošanā</w:t>
      </w:r>
      <w:r>
        <w:rPr>
          <w:spacing w:val="-9"/>
        </w:rPr>
        <w:t> </w:t>
      </w:r>
      <w:r>
        <w:rPr/>
        <w:t>un</w:t>
      </w:r>
      <w:r>
        <w:rPr>
          <w:spacing w:val="-10"/>
        </w:rPr>
        <w:t> </w:t>
      </w:r>
      <w:r>
        <w:rPr/>
        <w:t>augstās</w:t>
      </w:r>
      <w:r>
        <w:rPr>
          <w:spacing w:val="-9"/>
        </w:rPr>
        <w:t> </w:t>
      </w:r>
      <w:r>
        <w:rPr/>
        <w:t>izmaksas,</w:t>
      </w:r>
      <w:r>
        <w:rPr>
          <w:spacing w:val="-9"/>
        </w:rPr>
        <w:t> </w:t>
      </w:r>
      <w:r>
        <w:rPr/>
        <w:t>lai</w:t>
      </w:r>
      <w:r>
        <w:rPr>
          <w:spacing w:val="-10"/>
        </w:rPr>
        <w:t> </w:t>
      </w:r>
      <w:r>
        <w:rPr/>
        <w:t>piekļūtu</w:t>
      </w:r>
      <w:r>
        <w:rPr>
          <w:spacing w:val="-9"/>
        </w:rPr>
        <w:t> </w:t>
      </w:r>
      <w:r>
        <w:rPr/>
        <w:t>bankrota</w:t>
      </w:r>
      <w:r>
        <w:rPr>
          <w:spacing w:val="-10"/>
        </w:rPr>
        <w:t> </w:t>
      </w:r>
      <w:r>
        <w:rPr/>
        <w:t>procedūrai</w:t>
      </w:r>
      <w:r>
        <w:rPr>
          <w:spacing w:val="-9"/>
        </w:rPr>
        <w:t> </w:t>
      </w:r>
      <w:r>
        <w:rPr/>
        <w:t>nozīmē</w:t>
      </w:r>
      <w:r>
        <w:rPr>
          <w:spacing w:val="-10"/>
        </w:rPr>
        <w:t> </w:t>
      </w:r>
      <w:r>
        <w:rPr/>
        <w:t>to,</w:t>
      </w:r>
      <w:r>
        <w:rPr>
          <w:spacing w:val="-10"/>
        </w:rPr>
        <w:t> </w:t>
      </w:r>
      <w:r>
        <w:rPr/>
        <w:t>ka daudzi parādnieki var tikt izslēgti no abām procedūrām. Daudzi nav spējīgi atļauties bankrota</w:t>
      </w:r>
      <w:r>
        <w:rPr>
          <w:spacing w:val="-13"/>
        </w:rPr>
        <w:t> </w:t>
      </w:r>
      <w:r>
        <w:rPr/>
        <w:t>procedūru,</w:t>
      </w:r>
      <w:r>
        <w:rPr>
          <w:spacing w:val="-13"/>
        </w:rPr>
        <w:t> </w:t>
      </w:r>
      <w:r>
        <w:rPr/>
        <w:t>bet</w:t>
      </w:r>
      <w:r>
        <w:rPr>
          <w:spacing w:val="-15"/>
        </w:rPr>
        <w:t> </w:t>
      </w:r>
      <w:r>
        <w:rPr/>
        <w:t>viņu</w:t>
      </w:r>
      <w:r>
        <w:rPr>
          <w:spacing w:val="-13"/>
        </w:rPr>
        <w:t> </w:t>
      </w:r>
      <w:r>
        <w:rPr/>
        <w:t>kopējais</w:t>
      </w:r>
      <w:r>
        <w:rPr>
          <w:spacing w:val="-13"/>
        </w:rPr>
        <w:t> </w:t>
      </w:r>
      <w:r>
        <w:rPr/>
        <w:t>parādu</w:t>
      </w:r>
      <w:r>
        <w:rPr>
          <w:spacing w:val="-13"/>
        </w:rPr>
        <w:t> </w:t>
      </w:r>
      <w:r>
        <w:rPr/>
        <w:t>apmērs</w:t>
      </w:r>
      <w:r>
        <w:rPr>
          <w:spacing w:val="-13"/>
        </w:rPr>
        <w:t> </w:t>
      </w:r>
      <w:r>
        <w:rPr/>
        <w:t>pārsniedz</w:t>
      </w:r>
      <w:r>
        <w:rPr>
          <w:spacing w:val="-13"/>
        </w:rPr>
        <w:t> </w:t>
      </w:r>
      <w:r>
        <w:rPr/>
        <w:t>DRO</w:t>
      </w:r>
      <w:r>
        <w:rPr>
          <w:spacing w:val="-13"/>
        </w:rPr>
        <w:t> </w:t>
      </w:r>
      <w:r>
        <w:rPr/>
        <w:t>kritērijus.</w:t>
      </w:r>
      <w:r>
        <w:rPr>
          <w:position w:val="9"/>
          <w:sz w:val="16"/>
        </w:rPr>
        <w:t>311</w:t>
      </w:r>
      <w:r>
        <w:rPr>
          <w:spacing w:val="8"/>
          <w:position w:val="9"/>
          <w:sz w:val="16"/>
        </w:rPr>
        <w:t> </w:t>
      </w:r>
      <w:r>
        <w:rPr/>
        <w:t>Savukārt IVA ir salīdzinoši ilgstoša procedūra, lai gan statistikas dati liecina, ka tieši šī procedūra pēdējos gados ir bijusi vispopulārākā.</w:t>
      </w:r>
      <w:r>
        <w:rPr>
          <w:position w:val="9"/>
          <w:sz w:val="16"/>
        </w:rPr>
        <w:t>312 </w:t>
      </w:r>
      <w:r>
        <w:rPr/>
        <w:t>Turklāt, kā jau tika secināts iepriekš, arī atvieglotās procedūras ietvaros (DRO) parādniekam ir jāpierāda, ka tas ir spējīgs segt ikdienas mājsaimniecības izdevumus un viņam saglabājas pienākums maksāt visus ar dzīvošanu saistītos izdevumus, piemēram, tekošos komunālos maksājumus. Tāpēc ir salīdzinoši grūti komentēt, vai līdztekus piemērojot visas maksātnespējas procedūras, ar to tiktu aptvertas visas sociālās grupas. Procedūru dažādība ir tikai iespēja izvēlēties starp sev piemērotāko un atbilstošāko veidu, kā pārvaldīt savas parādsaistības. Turklāt arī atvieglotās DRO procedūras ietvaros ir maksājama nodeva - 90 mārciņas, kas salīdzinot</w:t>
      </w:r>
      <w:r>
        <w:rPr>
          <w:spacing w:val="-33"/>
        </w:rPr>
        <w:t> </w:t>
      </w:r>
      <w:r>
        <w:rPr/>
        <w:t>ar bankrota procedūras nodevu 680 mārciņu apmērā, ir visai zems maksājums, un tas ļauj iespēju arī sociāli maznodrošinātām personām izmantot iespēju pārvaldīt savus parādus</w:t>
      </w:r>
      <w:r>
        <w:rPr>
          <w:spacing w:val="-42"/>
        </w:rPr>
        <w:t> </w:t>
      </w:r>
      <w:r>
        <w:rPr/>
        <w:t>un tikt atbrīvotam no saistībām, ja viņi atbilst visiem procedūras</w:t>
      </w:r>
      <w:r>
        <w:rPr>
          <w:spacing w:val="-1"/>
        </w:rPr>
        <w:t> </w:t>
      </w:r>
      <w:r>
        <w:rPr/>
        <w:t>kritērijiem.</w:t>
      </w:r>
    </w:p>
    <w:p>
      <w:pPr>
        <w:pStyle w:val="BodyText"/>
        <w:spacing w:before="4"/>
        <w:jc w:val="left"/>
        <w:rPr>
          <w:sz w:val="25"/>
        </w:rPr>
      </w:pPr>
    </w:p>
    <w:p>
      <w:pPr>
        <w:pStyle w:val="Heading4"/>
        <w:numPr>
          <w:ilvl w:val="1"/>
          <w:numId w:val="54"/>
        </w:numPr>
        <w:tabs>
          <w:tab w:pos="1040" w:val="left" w:leader="none"/>
        </w:tabs>
        <w:spacing w:line="240" w:lineRule="auto" w:before="0" w:after="0"/>
        <w:ind w:left="980" w:right="762" w:hanging="360"/>
        <w:jc w:val="left"/>
      </w:pPr>
      <w:r>
        <w:rPr>
          <w:i/>
        </w:rPr>
        <w:t>Priekšlikumi attiecībā uz tiesisko regulējumu, ko Latvija varētu pārņemt no </w:t>
      </w:r>
      <w:r>
        <w:rPr/>
        <w:t>Lielbritānijas</w:t>
      </w:r>
    </w:p>
    <w:p>
      <w:pPr>
        <w:pStyle w:val="BodyText"/>
        <w:spacing w:before="7"/>
        <w:jc w:val="left"/>
        <w:rPr>
          <w:b/>
          <w:i/>
          <w:sz w:val="23"/>
        </w:rPr>
      </w:pPr>
    </w:p>
    <w:p>
      <w:pPr>
        <w:pStyle w:val="ListParagraph"/>
        <w:numPr>
          <w:ilvl w:val="0"/>
          <w:numId w:val="67"/>
        </w:numPr>
        <w:tabs>
          <w:tab w:pos="544" w:val="left" w:leader="none"/>
        </w:tabs>
        <w:spacing w:line="240" w:lineRule="auto" w:before="0" w:after="0"/>
        <w:ind w:left="543" w:right="761" w:hanging="284"/>
        <w:jc w:val="both"/>
        <w:rPr>
          <w:sz w:val="24"/>
        </w:rPr>
      </w:pPr>
      <w:r>
        <w:rPr>
          <w:sz w:val="24"/>
        </w:rPr>
        <w:t>Lielbritānijā tiesības iesniegt fiziskās personas maksātnespējas procesa bankrota pieteikumu</w:t>
      </w:r>
      <w:r>
        <w:rPr>
          <w:spacing w:val="-6"/>
          <w:sz w:val="24"/>
        </w:rPr>
        <w:t> </w:t>
      </w:r>
      <w:r>
        <w:rPr>
          <w:sz w:val="24"/>
        </w:rPr>
        <w:t>ir</w:t>
      </w:r>
      <w:r>
        <w:rPr>
          <w:spacing w:val="-5"/>
          <w:sz w:val="24"/>
        </w:rPr>
        <w:t> </w:t>
      </w:r>
      <w:r>
        <w:rPr>
          <w:sz w:val="24"/>
        </w:rPr>
        <w:t>paredzētas</w:t>
      </w:r>
      <w:r>
        <w:rPr>
          <w:spacing w:val="-3"/>
          <w:sz w:val="24"/>
        </w:rPr>
        <w:t> </w:t>
      </w:r>
      <w:r>
        <w:rPr>
          <w:sz w:val="24"/>
        </w:rPr>
        <w:t>arī</w:t>
      </w:r>
      <w:r>
        <w:rPr>
          <w:spacing w:val="-4"/>
          <w:sz w:val="24"/>
        </w:rPr>
        <w:t> </w:t>
      </w:r>
      <w:r>
        <w:rPr>
          <w:sz w:val="24"/>
        </w:rPr>
        <w:t>kreditoriem. Lai</w:t>
      </w:r>
      <w:r>
        <w:rPr>
          <w:spacing w:val="-5"/>
          <w:sz w:val="24"/>
        </w:rPr>
        <w:t> </w:t>
      </w:r>
      <w:r>
        <w:rPr>
          <w:sz w:val="24"/>
        </w:rPr>
        <w:t>arī</w:t>
      </w:r>
      <w:r>
        <w:rPr>
          <w:spacing w:val="-6"/>
          <w:sz w:val="24"/>
        </w:rPr>
        <w:t> </w:t>
      </w:r>
      <w:r>
        <w:rPr>
          <w:sz w:val="24"/>
        </w:rPr>
        <w:t>šādām</w:t>
      </w:r>
      <w:r>
        <w:rPr>
          <w:spacing w:val="-7"/>
          <w:sz w:val="24"/>
        </w:rPr>
        <w:t> </w:t>
      </w:r>
      <w:r>
        <w:rPr>
          <w:sz w:val="24"/>
        </w:rPr>
        <w:t>tiesībām</w:t>
      </w:r>
      <w:r>
        <w:rPr>
          <w:spacing w:val="-7"/>
          <w:sz w:val="24"/>
        </w:rPr>
        <w:t> </w:t>
      </w:r>
      <w:r>
        <w:rPr>
          <w:sz w:val="24"/>
        </w:rPr>
        <w:t>ir</w:t>
      </w:r>
      <w:r>
        <w:rPr>
          <w:spacing w:val="-5"/>
          <w:sz w:val="24"/>
        </w:rPr>
        <w:t> </w:t>
      </w:r>
      <w:r>
        <w:rPr>
          <w:sz w:val="24"/>
        </w:rPr>
        <w:t>ne</w:t>
      </w:r>
      <w:r>
        <w:rPr>
          <w:spacing w:val="-5"/>
          <w:sz w:val="24"/>
        </w:rPr>
        <w:t> </w:t>
      </w:r>
      <w:r>
        <w:rPr>
          <w:sz w:val="24"/>
        </w:rPr>
        <w:t>vien</w:t>
      </w:r>
      <w:r>
        <w:rPr>
          <w:spacing w:val="-5"/>
          <w:sz w:val="24"/>
        </w:rPr>
        <w:t> </w:t>
      </w:r>
      <w:r>
        <w:rPr>
          <w:sz w:val="24"/>
        </w:rPr>
        <w:t>pozitīvie,</w:t>
      </w:r>
      <w:r>
        <w:rPr>
          <w:spacing w:val="-8"/>
          <w:sz w:val="24"/>
        </w:rPr>
        <w:t> </w:t>
      </w:r>
      <w:r>
        <w:rPr>
          <w:sz w:val="24"/>
        </w:rPr>
        <w:t>bet arī negatīvie aspekti (plašāks apraksts 1.2.punktā), kopumā šādu iespēju būtu lietderīgi noteikt arī Latvijā, lai tādā veidā mudinātu parādniekus savlaicīgāk risināt finansiālās grūtības vai neizvēlēties “pelēko</w:t>
      </w:r>
      <w:r>
        <w:rPr>
          <w:spacing w:val="-3"/>
          <w:sz w:val="24"/>
        </w:rPr>
        <w:t> </w:t>
      </w:r>
      <w:r>
        <w:rPr>
          <w:sz w:val="24"/>
        </w:rPr>
        <w:t>zonu”.</w:t>
      </w:r>
    </w:p>
    <w:p>
      <w:pPr>
        <w:pStyle w:val="BodyText"/>
        <w:jc w:val="left"/>
      </w:pPr>
    </w:p>
    <w:p>
      <w:pPr>
        <w:pStyle w:val="ListParagraph"/>
        <w:numPr>
          <w:ilvl w:val="0"/>
          <w:numId w:val="67"/>
        </w:numPr>
        <w:tabs>
          <w:tab w:pos="544" w:val="left" w:leader="none"/>
        </w:tabs>
        <w:spacing w:line="240" w:lineRule="auto" w:before="0" w:after="0"/>
        <w:ind w:left="543" w:right="763" w:hanging="284"/>
        <w:jc w:val="both"/>
        <w:rPr>
          <w:sz w:val="24"/>
        </w:rPr>
      </w:pPr>
      <w:r>
        <w:rPr>
          <w:sz w:val="24"/>
        </w:rPr>
        <w:t>Lielbritānijā vairums uzsākto maksātnespējas procesu ir individuālās brīvprātīgās vienošanās ar kreditoriem par parādu samaksu (</w:t>
      </w:r>
      <w:r>
        <w:rPr>
          <w:i/>
          <w:sz w:val="24"/>
        </w:rPr>
        <w:t>individual volantary arrangement – </w:t>
      </w:r>
      <w:r>
        <w:rPr>
          <w:i/>
          <w:sz w:val="24"/>
        </w:rPr>
        <w:t>IVA</w:t>
      </w:r>
      <w:r>
        <w:rPr>
          <w:sz w:val="24"/>
        </w:rPr>
        <w:t>), kas pēc savas būtības ir parādu restrukturizācijas procedūra. Ņemot vērā šīs procedūras</w:t>
      </w:r>
      <w:r>
        <w:rPr>
          <w:spacing w:val="-10"/>
          <w:sz w:val="24"/>
        </w:rPr>
        <w:t> </w:t>
      </w:r>
      <w:r>
        <w:rPr>
          <w:sz w:val="24"/>
        </w:rPr>
        <w:t>efektīvo</w:t>
      </w:r>
      <w:r>
        <w:rPr>
          <w:spacing w:val="-9"/>
          <w:sz w:val="24"/>
        </w:rPr>
        <w:t> </w:t>
      </w:r>
      <w:r>
        <w:rPr>
          <w:sz w:val="24"/>
        </w:rPr>
        <w:t>darbību,</w:t>
      </w:r>
      <w:r>
        <w:rPr>
          <w:spacing w:val="-7"/>
          <w:sz w:val="24"/>
        </w:rPr>
        <w:t> </w:t>
      </w:r>
      <w:r>
        <w:rPr>
          <w:sz w:val="24"/>
        </w:rPr>
        <w:t>IVA</w:t>
      </w:r>
      <w:r>
        <w:rPr>
          <w:spacing w:val="-9"/>
          <w:sz w:val="24"/>
        </w:rPr>
        <w:t> </w:t>
      </w:r>
      <w:r>
        <w:rPr>
          <w:sz w:val="24"/>
        </w:rPr>
        <w:t>tiesiskais</w:t>
      </w:r>
      <w:r>
        <w:rPr>
          <w:spacing w:val="-10"/>
          <w:sz w:val="24"/>
        </w:rPr>
        <w:t> </w:t>
      </w:r>
      <w:r>
        <w:rPr>
          <w:sz w:val="24"/>
        </w:rPr>
        <w:t>regulējums</w:t>
      </w:r>
      <w:r>
        <w:rPr>
          <w:spacing w:val="-9"/>
          <w:sz w:val="24"/>
        </w:rPr>
        <w:t> </w:t>
      </w:r>
      <w:r>
        <w:rPr>
          <w:sz w:val="24"/>
        </w:rPr>
        <w:t>varētu</w:t>
      </w:r>
      <w:r>
        <w:rPr>
          <w:spacing w:val="-10"/>
          <w:sz w:val="24"/>
        </w:rPr>
        <w:t> </w:t>
      </w:r>
      <w:r>
        <w:rPr>
          <w:sz w:val="24"/>
        </w:rPr>
        <w:t>kalpot</w:t>
      </w:r>
      <w:r>
        <w:rPr>
          <w:spacing w:val="-9"/>
          <w:sz w:val="24"/>
        </w:rPr>
        <w:t> </w:t>
      </w:r>
      <w:r>
        <w:rPr>
          <w:sz w:val="24"/>
        </w:rPr>
        <w:t>kā</w:t>
      </w:r>
      <w:r>
        <w:rPr>
          <w:spacing w:val="-10"/>
          <w:sz w:val="24"/>
        </w:rPr>
        <w:t> </w:t>
      </w:r>
      <w:r>
        <w:rPr>
          <w:sz w:val="24"/>
        </w:rPr>
        <w:t>labs</w:t>
      </w:r>
      <w:r>
        <w:rPr>
          <w:spacing w:val="-6"/>
          <w:sz w:val="24"/>
        </w:rPr>
        <w:t> </w:t>
      </w:r>
      <w:r>
        <w:rPr>
          <w:sz w:val="24"/>
        </w:rPr>
        <w:t>paraugs,</w:t>
      </w:r>
      <w:r>
        <w:rPr>
          <w:spacing w:val="-10"/>
          <w:sz w:val="24"/>
        </w:rPr>
        <w:t> </w:t>
      </w:r>
      <w:r>
        <w:rPr>
          <w:sz w:val="24"/>
        </w:rPr>
        <w:t>ja tiek atbalstīt priekšlikums par parādu restrukturizācijas procedūras ieviešanu attiecībā uz fiziskām personām.</w:t>
      </w:r>
    </w:p>
    <w:p>
      <w:pPr>
        <w:pStyle w:val="BodyText"/>
        <w:jc w:val="left"/>
      </w:pPr>
    </w:p>
    <w:p>
      <w:pPr>
        <w:pStyle w:val="ListParagraph"/>
        <w:numPr>
          <w:ilvl w:val="0"/>
          <w:numId w:val="67"/>
        </w:numPr>
        <w:tabs>
          <w:tab w:pos="544" w:val="left" w:leader="none"/>
        </w:tabs>
        <w:spacing w:line="240" w:lineRule="auto" w:before="0" w:after="0"/>
        <w:ind w:left="543" w:right="761" w:hanging="284"/>
        <w:jc w:val="both"/>
        <w:rPr>
          <w:sz w:val="24"/>
        </w:rPr>
      </w:pPr>
      <w:r>
        <w:rPr>
          <w:sz w:val="24"/>
        </w:rPr>
        <w:t>Lielbritānija ir viena no retajām valstīm, kurā ir paredzēta speciāla maksātnespējas procedūra parādniekiem bez mantas un ar zemiem ienākumiem, kuriem ir salīdzinoši neliela apmēra saistības - parādu atvieglojuma rīkojums </w:t>
      </w:r>
      <w:r>
        <w:rPr>
          <w:i/>
          <w:sz w:val="24"/>
        </w:rPr>
        <w:t>(Debt relief order –DRO</w:t>
      </w:r>
      <w:r>
        <w:rPr>
          <w:sz w:val="24"/>
        </w:rPr>
        <w:t>). Ja Latvijā tiek ieviesta speciāla maksātnespējas procedūra parādniekiem ar maza apmēra saistībām,</w:t>
      </w:r>
      <w:r>
        <w:rPr>
          <w:spacing w:val="6"/>
          <w:sz w:val="24"/>
        </w:rPr>
        <w:t> </w:t>
      </w:r>
      <w:r>
        <w:rPr>
          <w:sz w:val="24"/>
        </w:rPr>
        <w:t>kuriem</w:t>
      </w:r>
      <w:r>
        <w:rPr>
          <w:spacing w:val="7"/>
          <w:sz w:val="24"/>
        </w:rPr>
        <w:t> </w:t>
      </w:r>
      <w:r>
        <w:rPr>
          <w:sz w:val="24"/>
        </w:rPr>
        <w:t>nav</w:t>
      </w:r>
      <w:r>
        <w:rPr>
          <w:spacing w:val="8"/>
          <w:sz w:val="24"/>
        </w:rPr>
        <w:t> </w:t>
      </w:r>
      <w:r>
        <w:rPr>
          <w:sz w:val="24"/>
        </w:rPr>
        <w:t>mantas</w:t>
      </w:r>
      <w:r>
        <w:rPr>
          <w:spacing w:val="7"/>
          <w:sz w:val="24"/>
        </w:rPr>
        <w:t> </w:t>
      </w:r>
      <w:r>
        <w:rPr>
          <w:sz w:val="24"/>
        </w:rPr>
        <w:t>un</w:t>
      </w:r>
      <w:r>
        <w:rPr>
          <w:spacing w:val="6"/>
          <w:sz w:val="24"/>
        </w:rPr>
        <w:t> </w:t>
      </w:r>
      <w:r>
        <w:rPr>
          <w:sz w:val="24"/>
        </w:rPr>
        <w:t>ir</w:t>
      </w:r>
      <w:r>
        <w:rPr>
          <w:spacing w:val="7"/>
          <w:sz w:val="24"/>
        </w:rPr>
        <w:t> </w:t>
      </w:r>
      <w:r>
        <w:rPr>
          <w:sz w:val="24"/>
        </w:rPr>
        <w:t>zemi</w:t>
      </w:r>
      <w:r>
        <w:rPr>
          <w:spacing w:val="6"/>
          <w:sz w:val="24"/>
        </w:rPr>
        <w:t> </w:t>
      </w:r>
      <w:r>
        <w:rPr>
          <w:sz w:val="24"/>
        </w:rPr>
        <w:t>ienākumi,</w:t>
      </w:r>
      <w:r>
        <w:rPr>
          <w:spacing w:val="7"/>
          <w:sz w:val="24"/>
        </w:rPr>
        <w:t> </w:t>
      </w:r>
      <w:r>
        <w:rPr>
          <w:sz w:val="24"/>
        </w:rPr>
        <w:t>DRO</w:t>
      </w:r>
      <w:r>
        <w:rPr>
          <w:spacing w:val="6"/>
          <w:sz w:val="24"/>
        </w:rPr>
        <w:t> </w:t>
      </w:r>
      <w:r>
        <w:rPr>
          <w:sz w:val="24"/>
        </w:rPr>
        <w:t>regulējums</w:t>
      </w:r>
      <w:r>
        <w:rPr>
          <w:spacing w:val="9"/>
          <w:sz w:val="24"/>
        </w:rPr>
        <w:t> </w:t>
      </w:r>
      <w:r>
        <w:rPr>
          <w:sz w:val="24"/>
        </w:rPr>
        <w:t>varētu</w:t>
      </w:r>
      <w:r>
        <w:rPr>
          <w:spacing w:val="7"/>
          <w:sz w:val="24"/>
        </w:rPr>
        <w:t> </w:t>
      </w:r>
      <w:r>
        <w:rPr>
          <w:sz w:val="24"/>
        </w:rPr>
        <w:t>tikt</w:t>
      </w:r>
    </w:p>
    <w:p>
      <w:pPr>
        <w:pStyle w:val="BodyText"/>
        <w:jc w:val="left"/>
        <w:rPr>
          <w:sz w:val="20"/>
        </w:rPr>
      </w:pPr>
    </w:p>
    <w:p>
      <w:pPr>
        <w:pStyle w:val="BodyText"/>
        <w:spacing w:before="8"/>
        <w:jc w:val="left"/>
        <w:rPr>
          <w:sz w:val="28"/>
        </w:rPr>
      </w:pPr>
      <w:r>
        <w:rPr/>
        <w:pict>
          <v:shape style="position:absolute;margin-left:72pt;margin-top:18.752216pt;width:144pt;height:.1pt;mso-position-horizontal-relative:page;mso-position-vertical-relative:paragraph;z-index:-251498496;mso-wrap-distance-left:0;mso-wrap-distance-right:0" coordorigin="1440,375" coordsize="2880,0" path="m1440,375l4320,375e" filled="false" stroked="true" strokeweight=".59999pt" strokecolor="#000000">
            <v:path arrowok="t"/>
            <v:stroke dashstyle="solid"/>
            <w10:wrap type="topAndBottom"/>
          </v:shape>
        </w:pict>
      </w:r>
    </w:p>
    <w:p>
      <w:pPr>
        <w:spacing w:before="70"/>
        <w:ind w:left="260" w:right="398" w:firstLine="0"/>
        <w:jc w:val="left"/>
        <w:rPr>
          <w:sz w:val="20"/>
        </w:rPr>
      </w:pPr>
      <w:r>
        <w:rPr>
          <w:position w:val="7"/>
          <w:sz w:val="13"/>
        </w:rPr>
        <w:t>310</w:t>
      </w:r>
      <w:r>
        <w:rPr>
          <w:sz w:val="20"/>
        </w:rPr>
        <w:t>Spooner J. Recalling The Public Interest in Personal Insolvency Law: A Note on Professor Fletcher’s Foresight. Nottingham Insolvency and Business Law e-Journal. 2015., 3 NIBLeJ 29., p.540.</w:t>
      </w:r>
    </w:p>
    <w:p>
      <w:pPr>
        <w:spacing w:line="226" w:lineRule="exact" w:before="0"/>
        <w:ind w:left="260" w:right="0" w:firstLine="0"/>
        <w:jc w:val="left"/>
        <w:rPr>
          <w:sz w:val="20"/>
        </w:rPr>
      </w:pPr>
      <w:r>
        <w:rPr>
          <w:position w:val="7"/>
          <w:sz w:val="13"/>
        </w:rPr>
        <w:t>311</w:t>
      </w:r>
      <w:r>
        <w:rPr>
          <w:sz w:val="20"/>
        </w:rPr>
        <w:t>Ibid, p.548.</w:t>
      </w:r>
    </w:p>
    <w:p>
      <w:pPr>
        <w:spacing w:line="240" w:lineRule="auto" w:before="0"/>
        <w:ind w:left="260" w:right="768" w:firstLine="0"/>
        <w:jc w:val="left"/>
        <w:rPr>
          <w:sz w:val="20"/>
        </w:rPr>
      </w:pPr>
      <w:r>
        <w:rPr>
          <w:position w:val="7"/>
          <w:sz w:val="13"/>
        </w:rPr>
        <w:t>312 </w:t>
      </w:r>
      <w:r>
        <w:rPr>
          <w:sz w:val="20"/>
        </w:rPr>
        <w:t>The Insolvency Service: Insolvency Statistics – January to March 2018 (Q1 2018), p.11. Pieejams: </w:t>
      </w:r>
      <w:r>
        <w:rPr>
          <w:color w:val="0562C1"/>
          <w:sz w:val="20"/>
          <w:u w:val="single" w:color="0562C1"/>
        </w:rPr>
        <w:t>https://assets.publishing.service.gov.uk/government/uploads/system/uploads/attachment_data/file/703180/I</w:t>
      </w:r>
      <w:r>
        <w:rPr>
          <w:color w:val="0562C1"/>
          <w:sz w:val="20"/>
        </w:rPr>
        <w:t> </w:t>
      </w:r>
      <w:r>
        <w:rPr>
          <w:color w:val="0562C1"/>
          <w:sz w:val="20"/>
          <w:u w:val="single" w:color="0562C1"/>
        </w:rPr>
        <w:t>nsolvency_Statistics_Commentary-_Q1_2018_v3.pdf</w:t>
      </w:r>
      <w:r>
        <w:rPr>
          <w:color w:val="0562C1"/>
          <w:sz w:val="20"/>
        </w:rPr>
        <w:t> </w:t>
      </w:r>
      <w:r>
        <w:rPr>
          <w:sz w:val="20"/>
        </w:rPr>
        <w:t>[aplūkots 2018.gada 16.oktobrī].</w:t>
      </w:r>
    </w:p>
    <w:p>
      <w:pPr>
        <w:spacing w:after="0" w:line="240" w:lineRule="auto"/>
        <w:jc w:val="left"/>
        <w:rPr>
          <w:sz w:val="20"/>
        </w:rPr>
        <w:sectPr>
          <w:pgSz w:w="11910" w:h="16840"/>
          <w:pgMar w:header="0" w:footer="1055" w:top="1340" w:bottom="1240" w:left="1180" w:right="1040"/>
        </w:sectPr>
      </w:pPr>
    </w:p>
    <w:p>
      <w:pPr>
        <w:pStyle w:val="BodyText"/>
        <w:spacing w:before="73"/>
        <w:ind w:left="903"/>
        <w:jc w:val="left"/>
      </w:pPr>
      <w:r>
        <w:rPr/>
        <w:t>izmantots kā labs paraugs – jo īpaši, ideja par to, ka tā ir administratīva (nevis tiesas) procedūra, kā arī ideja par moratorija periodu saistību dzēšanai.</w:t>
      </w:r>
    </w:p>
    <w:p>
      <w:pPr>
        <w:pStyle w:val="BodyText"/>
        <w:jc w:val="left"/>
      </w:pPr>
    </w:p>
    <w:p>
      <w:pPr>
        <w:pStyle w:val="ListParagraph"/>
        <w:numPr>
          <w:ilvl w:val="0"/>
          <w:numId w:val="67"/>
        </w:numPr>
        <w:tabs>
          <w:tab w:pos="904" w:val="left" w:leader="none"/>
        </w:tabs>
        <w:spacing w:line="240" w:lineRule="auto" w:before="0" w:after="0"/>
        <w:ind w:left="903" w:right="400" w:hanging="284"/>
        <w:jc w:val="both"/>
        <w:rPr>
          <w:sz w:val="24"/>
        </w:rPr>
      </w:pPr>
      <w:r>
        <w:rPr>
          <w:sz w:val="24"/>
        </w:rPr>
        <w:t>Lielbritānijas</w:t>
      </w:r>
      <w:r>
        <w:rPr>
          <w:spacing w:val="-10"/>
          <w:sz w:val="24"/>
        </w:rPr>
        <w:t> </w:t>
      </w:r>
      <w:r>
        <w:rPr>
          <w:sz w:val="24"/>
        </w:rPr>
        <w:t>tiesiskais</w:t>
      </w:r>
      <w:r>
        <w:rPr>
          <w:spacing w:val="-9"/>
          <w:sz w:val="24"/>
        </w:rPr>
        <w:t> </w:t>
      </w:r>
      <w:r>
        <w:rPr>
          <w:sz w:val="24"/>
        </w:rPr>
        <w:t>regulējums</w:t>
      </w:r>
      <w:r>
        <w:rPr>
          <w:spacing w:val="-10"/>
          <w:sz w:val="24"/>
        </w:rPr>
        <w:t> </w:t>
      </w:r>
      <w:r>
        <w:rPr>
          <w:sz w:val="24"/>
        </w:rPr>
        <w:t>paredz</w:t>
      </w:r>
      <w:r>
        <w:rPr>
          <w:spacing w:val="-7"/>
          <w:sz w:val="24"/>
        </w:rPr>
        <w:t> </w:t>
      </w:r>
      <w:r>
        <w:rPr>
          <w:sz w:val="24"/>
        </w:rPr>
        <w:t>iespēju</w:t>
      </w:r>
      <w:r>
        <w:rPr>
          <w:spacing w:val="-9"/>
          <w:sz w:val="24"/>
        </w:rPr>
        <w:t> </w:t>
      </w:r>
      <w:r>
        <w:rPr>
          <w:sz w:val="24"/>
        </w:rPr>
        <w:t>noteikt</w:t>
      </w:r>
      <w:r>
        <w:rPr>
          <w:spacing w:val="-10"/>
          <w:sz w:val="24"/>
        </w:rPr>
        <w:t> </w:t>
      </w:r>
      <w:r>
        <w:rPr>
          <w:sz w:val="24"/>
        </w:rPr>
        <w:t>pēcprocedūras</w:t>
      </w:r>
      <w:r>
        <w:rPr>
          <w:spacing w:val="-9"/>
          <w:sz w:val="24"/>
        </w:rPr>
        <w:t> </w:t>
      </w:r>
      <w:r>
        <w:rPr>
          <w:sz w:val="24"/>
        </w:rPr>
        <w:t>ierobežojumus (iegūt jaunu kredītu, ieņemt noteiktus amatus u.c.), kuru galvenais nolūks ir aizsargāt sabiedrību</w:t>
      </w:r>
      <w:r>
        <w:rPr>
          <w:spacing w:val="-9"/>
          <w:sz w:val="24"/>
        </w:rPr>
        <w:t> </w:t>
      </w:r>
      <w:r>
        <w:rPr>
          <w:sz w:val="24"/>
        </w:rPr>
        <w:t>nākotnē</w:t>
      </w:r>
      <w:r>
        <w:rPr>
          <w:spacing w:val="-8"/>
          <w:sz w:val="24"/>
        </w:rPr>
        <w:t> </w:t>
      </w:r>
      <w:r>
        <w:rPr>
          <w:sz w:val="24"/>
        </w:rPr>
        <w:t>no</w:t>
      </w:r>
      <w:r>
        <w:rPr>
          <w:spacing w:val="-6"/>
          <w:sz w:val="24"/>
        </w:rPr>
        <w:t> </w:t>
      </w:r>
      <w:r>
        <w:rPr>
          <w:sz w:val="24"/>
        </w:rPr>
        <w:t>tādiem</w:t>
      </w:r>
      <w:r>
        <w:rPr>
          <w:spacing w:val="-8"/>
          <w:sz w:val="24"/>
        </w:rPr>
        <w:t> </w:t>
      </w:r>
      <w:r>
        <w:rPr>
          <w:sz w:val="24"/>
        </w:rPr>
        <w:t>parādniekiem,</w:t>
      </w:r>
      <w:r>
        <w:rPr>
          <w:spacing w:val="-9"/>
          <w:sz w:val="24"/>
        </w:rPr>
        <w:t> </w:t>
      </w:r>
      <w:r>
        <w:rPr>
          <w:sz w:val="24"/>
        </w:rPr>
        <w:t>kas</w:t>
      </w:r>
      <w:r>
        <w:rPr>
          <w:spacing w:val="-5"/>
          <w:sz w:val="24"/>
        </w:rPr>
        <w:t> </w:t>
      </w:r>
      <w:r>
        <w:rPr>
          <w:sz w:val="24"/>
        </w:rPr>
        <w:t>rīkojušies</w:t>
      </w:r>
      <w:r>
        <w:rPr>
          <w:spacing w:val="-8"/>
          <w:sz w:val="24"/>
        </w:rPr>
        <w:t> </w:t>
      </w:r>
      <w:r>
        <w:rPr>
          <w:sz w:val="24"/>
        </w:rPr>
        <w:t>neapdomīgi,</w:t>
      </w:r>
      <w:r>
        <w:rPr>
          <w:spacing w:val="-6"/>
          <w:sz w:val="24"/>
        </w:rPr>
        <w:t> </w:t>
      </w:r>
      <w:r>
        <w:rPr>
          <w:sz w:val="24"/>
        </w:rPr>
        <w:t>bezatbildīgi</w:t>
      </w:r>
      <w:r>
        <w:rPr>
          <w:spacing w:val="-8"/>
          <w:sz w:val="24"/>
        </w:rPr>
        <w:t> </w:t>
      </w:r>
      <w:r>
        <w:rPr>
          <w:sz w:val="24"/>
        </w:rPr>
        <w:t>vai negodprātīgi. Pēcprocedūras ierobežojumu būtība ir tāda, ka gadījumā, ja parādnieks ir bijis negodprātīgs, viņam saistības tiek dzēstas, lai dotu “otro” iespēju vai “jaunu” sākumu, tomēr pastāv iespēja noteikt pēcprocedūras ierobežojumus pat līdz 15 gadiem, šādā veidā parādnieku “sodot” par viņa negodprātību. Tādējādi ar šādu regulējumu tiek aizsargāta ne vien sabiedrība, bet preventīvi tiek samazināts negodprātīgu parādnieku skaits. Arī Latvijā būtu pamats izvērtēt iespēju ieviest pēcprocedūras ierobežojumu regulējumu, it īpaši, ja likumdevējs maina līdzšinējo paradigmu, tas ir, dodot “otro” iespēju arī negodprātīgam parādniekam, vienlaikus paredzot šādam parādniekam nelabvēlīgākus maksātnespējas procesa noteikumus, tostarp arī pēcprocedūras ierobežojumu ieviešanu.</w:t>
      </w:r>
    </w:p>
    <w:p>
      <w:pPr>
        <w:spacing w:after="0" w:line="240" w:lineRule="auto"/>
        <w:jc w:val="both"/>
        <w:rPr>
          <w:sz w:val="24"/>
        </w:rPr>
        <w:sectPr>
          <w:pgSz w:w="11910" w:h="16840"/>
          <w:pgMar w:header="0" w:footer="1055" w:top="1340" w:bottom="1240" w:left="1180" w:right="1040"/>
        </w:sectPr>
      </w:pPr>
    </w:p>
    <w:p>
      <w:pPr>
        <w:pStyle w:val="Heading2"/>
        <w:numPr>
          <w:ilvl w:val="1"/>
          <w:numId w:val="67"/>
        </w:numPr>
        <w:tabs>
          <w:tab w:pos="4444" w:val="left" w:leader="none"/>
        </w:tabs>
        <w:spacing w:line="240" w:lineRule="auto" w:before="59" w:after="0"/>
        <w:ind w:left="4443" w:right="0" w:hanging="361"/>
        <w:jc w:val="left"/>
      </w:pPr>
      <w:bookmarkStart w:name="_TOC_250040" w:id="38"/>
      <w:bookmarkEnd w:id="38"/>
      <w:r>
        <w:rPr/>
        <w:t>Igaunija</w:t>
      </w:r>
    </w:p>
    <w:p>
      <w:pPr>
        <w:pStyle w:val="BodyText"/>
        <w:jc w:val="left"/>
        <w:rPr>
          <w:b/>
        </w:rPr>
      </w:pPr>
    </w:p>
    <w:p>
      <w:pPr>
        <w:pStyle w:val="BodyText"/>
        <w:spacing w:line="232" w:lineRule="auto" w:before="1"/>
        <w:ind w:left="260" w:right="761" w:firstLine="360"/>
        <w:rPr>
          <w:sz w:val="16"/>
        </w:rPr>
      </w:pPr>
      <w:r>
        <w:rPr/>
        <w:t>Igaunijā ir trīs veidu maksātnespējas procedūras (bankrota procedūra, reorganizācijas procedūra un parādu pārstrukturēšanas procedūra), no kurām fiziskajām personām ir piemērojama bankrota procedūra un parādu pārstrukturēšanas procedūra.</w:t>
      </w:r>
      <w:r>
        <w:rPr>
          <w:position w:val="9"/>
          <w:sz w:val="16"/>
        </w:rPr>
        <w:t>313</w:t>
      </w:r>
    </w:p>
    <w:p>
      <w:pPr>
        <w:pStyle w:val="BodyText"/>
        <w:spacing w:before="7"/>
        <w:jc w:val="left"/>
      </w:pPr>
    </w:p>
    <w:p>
      <w:pPr>
        <w:pStyle w:val="Heading4"/>
        <w:numPr>
          <w:ilvl w:val="1"/>
          <w:numId w:val="68"/>
        </w:numPr>
        <w:tabs>
          <w:tab w:pos="982" w:val="left" w:leader="none"/>
        </w:tabs>
        <w:spacing w:line="240" w:lineRule="auto" w:before="0" w:after="0"/>
        <w:ind w:left="981" w:right="0" w:hanging="362"/>
        <w:jc w:val="left"/>
        <w:rPr>
          <w:i/>
        </w:rPr>
      </w:pPr>
      <w:r>
        <w:rPr>
          <w:i/>
        </w:rPr>
        <w:t>Bankrota procedūra (Bankrota likums jeb Bankruptcy Act, spēkā no</w:t>
      </w:r>
      <w:r>
        <w:rPr>
          <w:i/>
          <w:spacing w:val="-4"/>
        </w:rPr>
        <w:t> </w:t>
      </w:r>
      <w:r>
        <w:rPr>
          <w:i/>
        </w:rPr>
        <w:t>2004.gada)</w:t>
      </w:r>
    </w:p>
    <w:p>
      <w:pPr>
        <w:pStyle w:val="BodyText"/>
        <w:jc w:val="left"/>
        <w:rPr>
          <w:b/>
          <w:i/>
        </w:rPr>
      </w:pPr>
    </w:p>
    <w:p>
      <w:pPr>
        <w:pStyle w:val="ListParagraph"/>
        <w:numPr>
          <w:ilvl w:val="0"/>
          <w:numId w:val="69"/>
        </w:numPr>
        <w:tabs>
          <w:tab w:pos="980" w:val="left" w:leader="none"/>
        </w:tabs>
        <w:spacing w:line="235" w:lineRule="auto" w:before="0" w:after="0"/>
        <w:ind w:left="260" w:right="761" w:firstLine="360"/>
        <w:jc w:val="both"/>
        <w:rPr>
          <w:sz w:val="16"/>
        </w:rPr>
      </w:pPr>
      <w:r>
        <w:rPr>
          <w:b/>
          <w:i/>
          <w:sz w:val="24"/>
        </w:rPr>
        <w:t>Vispārīgs</w:t>
      </w:r>
      <w:r>
        <w:rPr>
          <w:b/>
          <w:i/>
          <w:spacing w:val="-10"/>
          <w:sz w:val="24"/>
        </w:rPr>
        <w:t> </w:t>
      </w:r>
      <w:r>
        <w:rPr>
          <w:b/>
          <w:i/>
          <w:sz w:val="24"/>
        </w:rPr>
        <w:t>apraksts.</w:t>
      </w:r>
      <w:r>
        <w:rPr>
          <w:b/>
          <w:i/>
          <w:spacing w:val="-6"/>
          <w:sz w:val="24"/>
        </w:rPr>
        <w:t> </w:t>
      </w:r>
      <w:r>
        <w:rPr>
          <w:sz w:val="24"/>
        </w:rPr>
        <w:t>Bankrota</w:t>
      </w:r>
      <w:r>
        <w:rPr>
          <w:spacing w:val="-7"/>
          <w:sz w:val="24"/>
        </w:rPr>
        <w:t> </w:t>
      </w:r>
      <w:r>
        <w:rPr>
          <w:sz w:val="24"/>
        </w:rPr>
        <w:t>procedūras</w:t>
      </w:r>
      <w:r>
        <w:rPr>
          <w:spacing w:val="-12"/>
          <w:sz w:val="24"/>
        </w:rPr>
        <w:t> </w:t>
      </w:r>
      <w:r>
        <w:rPr>
          <w:sz w:val="24"/>
        </w:rPr>
        <w:t>mērķis</w:t>
      </w:r>
      <w:r>
        <w:rPr>
          <w:spacing w:val="-6"/>
          <w:sz w:val="24"/>
        </w:rPr>
        <w:t> </w:t>
      </w:r>
      <w:r>
        <w:rPr>
          <w:sz w:val="24"/>
        </w:rPr>
        <w:t>ir</w:t>
      </w:r>
      <w:r>
        <w:rPr>
          <w:spacing w:val="-5"/>
          <w:sz w:val="24"/>
        </w:rPr>
        <w:t> </w:t>
      </w:r>
      <w:r>
        <w:rPr>
          <w:sz w:val="24"/>
        </w:rPr>
        <w:t>apmierināt</w:t>
      </w:r>
      <w:r>
        <w:rPr>
          <w:spacing w:val="-10"/>
          <w:sz w:val="24"/>
        </w:rPr>
        <w:t> </w:t>
      </w:r>
      <w:r>
        <w:rPr>
          <w:sz w:val="24"/>
        </w:rPr>
        <w:t>kreditoru</w:t>
      </w:r>
      <w:r>
        <w:rPr>
          <w:spacing w:val="-9"/>
          <w:sz w:val="24"/>
        </w:rPr>
        <w:t> </w:t>
      </w:r>
      <w:r>
        <w:rPr>
          <w:sz w:val="24"/>
        </w:rPr>
        <w:t>prasījumus no</w:t>
      </w:r>
      <w:r>
        <w:rPr>
          <w:spacing w:val="-10"/>
          <w:sz w:val="24"/>
        </w:rPr>
        <w:t> </w:t>
      </w:r>
      <w:r>
        <w:rPr>
          <w:sz w:val="24"/>
        </w:rPr>
        <w:t>parādnieka</w:t>
      </w:r>
      <w:r>
        <w:rPr>
          <w:spacing w:val="-9"/>
          <w:sz w:val="24"/>
        </w:rPr>
        <w:t> </w:t>
      </w:r>
      <w:r>
        <w:rPr>
          <w:sz w:val="24"/>
        </w:rPr>
        <w:t>aktīviem.</w:t>
      </w:r>
      <w:r>
        <w:rPr>
          <w:spacing w:val="-9"/>
          <w:sz w:val="24"/>
        </w:rPr>
        <w:t> </w:t>
      </w:r>
      <w:r>
        <w:rPr>
          <w:sz w:val="24"/>
        </w:rPr>
        <w:t>Kopumā</w:t>
      </w:r>
      <w:r>
        <w:rPr>
          <w:spacing w:val="-9"/>
          <w:sz w:val="24"/>
        </w:rPr>
        <w:t> </w:t>
      </w:r>
      <w:r>
        <w:rPr>
          <w:sz w:val="24"/>
        </w:rPr>
        <w:t>bankrota</w:t>
      </w:r>
      <w:r>
        <w:rPr>
          <w:spacing w:val="-9"/>
          <w:sz w:val="24"/>
        </w:rPr>
        <w:t> </w:t>
      </w:r>
      <w:r>
        <w:rPr>
          <w:sz w:val="24"/>
        </w:rPr>
        <w:t>procedūras</w:t>
      </w:r>
      <w:r>
        <w:rPr>
          <w:spacing w:val="-9"/>
          <w:sz w:val="24"/>
        </w:rPr>
        <w:t> </w:t>
      </w:r>
      <w:r>
        <w:rPr>
          <w:sz w:val="24"/>
        </w:rPr>
        <w:t>noteikumi</w:t>
      </w:r>
      <w:r>
        <w:rPr>
          <w:spacing w:val="-6"/>
          <w:sz w:val="24"/>
        </w:rPr>
        <w:t> </w:t>
      </w:r>
      <w:r>
        <w:rPr>
          <w:sz w:val="24"/>
        </w:rPr>
        <w:t>Igaunijā</w:t>
      </w:r>
      <w:r>
        <w:rPr>
          <w:spacing w:val="-9"/>
          <w:sz w:val="24"/>
        </w:rPr>
        <w:t> </w:t>
      </w:r>
      <w:r>
        <w:rPr>
          <w:sz w:val="24"/>
        </w:rPr>
        <w:t>fiziskai</w:t>
      </w:r>
      <w:r>
        <w:rPr>
          <w:spacing w:val="-9"/>
          <w:sz w:val="24"/>
        </w:rPr>
        <w:t> </w:t>
      </w:r>
      <w:r>
        <w:rPr>
          <w:sz w:val="24"/>
        </w:rPr>
        <w:t>personai ir līdzīgi tiem, kas piemērojami juridiskajām personām, un galvenā atšķirība ir tāda, ka fiziskām personām likums paredz atbrīvošanu no saistībām (</w:t>
      </w:r>
      <w:r>
        <w:rPr>
          <w:i/>
          <w:sz w:val="24"/>
        </w:rPr>
        <w:t>debt-release</w:t>
      </w:r>
      <w:r>
        <w:rPr>
          <w:i/>
          <w:spacing w:val="-5"/>
          <w:sz w:val="24"/>
        </w:rPr>
        <w:t> </w:t>
      </w:r>
      <w:r>
        <w:rPr>
          <w:i/>
          <w:sz w:val="24"/>
        </w:rPr>
        <w:t>procedure</w:t>
      </w:r>
      <w:r>
        <w:rPr>
          <w:sz w:val="24"/>
        </w:rPr>
        <w:t>).</w:t>
      </w:r>
      <w:r>
        <w:rPr>
          <w:position w:val="9"/>
          <w:sz w:val="16"/>
        </w:rPr>
        <w:t>314</w:t>
      </w:r>
    </w:p>
    <w:p>
      <w:pPr>
        <w:pStyle w:val="BodyText"/>
        <w:spacing w:line="237" w:lineRule="auto" w:before="5"/>
        <w:ind w:left="260" w:right="761" w:firstLine="360"/>
        <w:rPr>
          <w:sz w:val="16"/>
        </w:rPr>
      </w:pPr>
      <w:r>
        <w:rPr/>
        <w:t>Fizisko</w:t>
      </w:r>
      <w:r>
        <w:rPr>
          <w:spacing w:val="-13"/>
        </w:rPr>
        <w:t> </w:t>
      </w:r>
      <w:r>
        <w:rPr/>
        <w:t>personu</w:t>
      </w:r>
      <w:r>
        <w:rPr>
          <w:spacing w:val="-13"/>
        </w:rPr>
        <w:t> </w:t>
      </w:r>
      <w:r>
        <w:rPr/>
        <w:t>atbrīvošanu</w:t>
      </w:r>
      <w:r>
        <w:rPr>
          <w:spacing w:val="-12"/>
        </w:rPr>
        <w:t> </w:t>
      </w:r>
      <w:r>
        <w:rPr/>
        <w:t>no</w:t>
      </w:r>
      <w:r>
        <w:rPr>
          <w:spacing w:val="-13"/>
        </w:rPr>
        <w:t> </w:t>
      </w:r>
      <w:r>
        <w:rPr/>
        <w:t>saistībām</w:t>
      </w:r>
      <w:r>
        <w:rPr>
          <w:spacing w:val="-12"/>
        </w:rPr>
        <w:t> </w:t>
      </w:r>
      <w:r>
        <w:rPr/>
        <w:t>bankrota</w:t>
      </w:r>
      <w:r>
        <w:rPr>
          <w:spacing w:val="-13"/>
        </w:rPr>
        <w:t> </w:t>
      </w:r>
      <w:r>
        <w:rPr/>
        <w:t>procedūras</w:t>
      </w:r>
      <w:r>
        <w:rPr>
          <w:spacing w:val="-12"/>
        </w:rPr>
        <w:t> </w:t>
      </w:r>
      <w:r>
        <w:rPr/>
        <w:t>ietvaros</w:t>
      </w:r>
      <w:r>
        <w:rPr>
          <w:spacing w:val="-13"/>
        </w:rPr>
        <w:t> </w:t>
      </w:r>
      <w:r>
        <w:rPr/>
        <w:t>regulē</w:t>
      </w:r>
      <w:r>
        <w:rPr>
          <w:spacing w:val="-15"/>
        </w:rPr>
        <w:t> </w:t>
      </w:r>
      <w:r>
        <w:rPr/>
        <w:t>Bankrota likuma</w:t>
      </w:r>
      <w:r>
        <w:rPr>
          <w:spacing w:val="-6"/>
        </w:rPr>
        <w:t> </w:t>
      </w:r>
      <w:r>
        <w:rPr/>
        <w:t>XI</w:t>
      </w:r>
      <w:r>
        <w:rPr>
          <w:spacing w:val="-11"/>
        </w:rPr>
        <w:t> </w:t>
      </w:r>
      <w:r>
        <w:rPr/>
        <w:t>nodaļa.</w:t>
      </w:r>
      <w:r>
        <w:rPr>
          <w:spacing w:val="-5"/>
        </w:rPr>
        <w:t> </w:t>
      </w:r>
      <w:r>
        <w:rPr/>
        <w:t>Bankrota</w:t>
      </w:r>
      <w:r>
        <w:rPr>
          <w:spacing w:val="-8"/>
        </w:rPr>
        <w:t> </w:t>
      </w:r>
      <w:r>
        <w:rPr/>
        <w:t>procedūras</w:t>
      </w:r>
      <w:r>
        <w:rPr>
          <w:spacing w:val="-8"/>
        </w:rPr>
        <w:t> </w:t>
      </w:r>
      <w:r>
        <w:rPr/>
        <w:t>ietvaros</w:t>
      </w:r>
      <w:r>
        <w:rPr>
          <w:spacing w:val="-5"/>
        </w:rPr>
        <w:t> </w:t>
      </w:r>
      <w:r>
        <w:rPr/>
        <w:t>nav</w:t>
      </w:r>
      <w:r>
        <w:rPr>
          <w:spacing w:val="-10"/>
        </w:rPr>
        <w:t> </w:t>
      </w:r>
      <w:r>
        <w:rPr/>
        <w:t>piemērojama</w:t>
      </w:r>
      <w:r>
        <w:rPr>
          <w:spacing w:val="-5"/>
        </w:rPr>
        <w:t> </w:t>
      </w:r>
      <w:r>
        <w:rPr/>
        <w:t>automātiska</w:t>
      </w:r>
      <w:r>
        <w:rPr>
          <w:spacing w:val="-10"/>
        </w:rPr>
        <w:t> </w:t>
      </w:r>
      <w:r>
        <w:rPr/>
        <w:t>atbrīvošana no saistībām, bet fiziskajām personām ir jāiziet bankrota procedūra, pēc kuras tiesa, pamatojoties uz parādnieka lūgumu, ar lēmumu var lemt par šī parādnieka atbrīvošanu no saistībām, kas netika segtas bankrota procedūras laikā. Par šo tiesa var lemt tad, kad ir pagājuši pieci gadi pēc procedūras par parādnieka atbrīvošanu no saistībām uzsākšanas, tomēr, ņemot vērā apstākļus, tiesa var atbrīvot parādnieku, kurš pienācīgi pildījis savus pienākumus no saistībām, ātrāk, bet ne ātrāk kā trīs gadus pēc procedūras par parādnieka atbrīvošanu no saistībām</w:t>
      </w:r>
      <w:r>
        <w:rPr>
          <w:spacing w:val="-1"/>
        </w:rPr>
        <w:t> </w:t>
      </w:r>
      <w:r>
        <w:rPr/>
        <w:t>uzsākšanas.</w:t>
      </w:r>
      <w:r>
        <w:rPr>
          <w:position w:val="9"/>
          <w:sz w:val="16"/>
        </w:rPr>
        <w:t>315</w:t>
      </w:r>
    </w:p>
    <w:p>
      <w:pPr>
        <w:pStyle w:val="ListParagraph"/>
        <w:numPr>
          <w:ilvl w:val="0"/>
          <w:numId w:val="69"/>
        </w:numPr>
        <w:tabs>
          <w:tab w:pos="980" w:val="left" w:leader="none"/>
        </w:tabs>
        <w:spacing w:line="240" w:lineRule="auto" w:before="7" w:after="0"/>
        <w:ind w:left="118" w:right="764" w:firstLine="501"/>
        <w:jc w:val="both"/>
        <w:rPr>
          <w:sz w:val="24"/>
        </w:rPr>
      </w:pPr>
      <w:r>
        <w:rPr>
          <w:b/>
          <w:i/>
          <w:sz w:val="24"/>
        </w:rPr>
        <w:t>Bankrota procedūras uzsākšanas priekšnoteikumi</w:t>
      </w:r>
      <w:r>
        <w:rPr>
          <w:sz w:val="24"/>
        </w:rPr>
        <w:t>. Atbilstoši Igaunijas Bankrota likumam, bankrota procedūras pasludināšanas priekšnoteikumi ir</w:t>
      </w:r>
      <w:r>
        <w:rPr>
          <w:spacing w:val="-3"/>
          <w:sz w:val="24"/>
        </w:rPr>
        <w:t> </w:t>
      </w:r>
      <w:r>
        <w:rPr>
          <w:sz w:val="24"/>
        </w:rPr>
        <w:t>šādi:</w:t>
      </w:r>
    </w:p>
    <w:p>
      <w:pPr>
        <w:pStyle w:val="ListParagraph"/>
        <w:numPr>
          <w:ilvl w:val="0"/>
          <w:numId w:val="70"/>
        </w:numPr>
        <w:tabs>
          <w:tab w:pos="980" w:val="left" w:leader="none"/>
        </w:tabs>
        <w:spacing w:line="240" w:lineRule="auto" w:before="0" w:after="0"/>
        <w:ind w:left="980" w:right="0" w:hanging="360"/>
        <w:jc w:val="both"/>
        <w:rPr>
          <w:sz w:val="24"/>
        </w:rPr>
      </w:pPr>
      <w:r>
        <w:rPr>
          <w:sz w:val="24"/>
          <w:u w:val="single"/>
        </w:rPr>
        <w:t>jāpastāv parādnieka</w:t>
      </w:r>
      <w:r>
        <w:rPr>
          <w:spacing w:val="-1"/>
          <w:sz w:val="24"/>
          <w:u w:val="single"/>
        </w:rPr>
        <w:t> </w:t>
      </w:r>
      <w:r>
        <w:rPr>
          <w:sz w:val="24"/>
          <w:u w:val="single"/>
        </w:rPr>
        <w:t>maksātnespējai</w:t>
      </w:r>
      <w:r>
        <w:rPr>
          <w:sz w:val="24"/>
        </w:rPr>
        <w:t>:</w:t>
      </w:r>
    </w:p>
    <w:p>
      <w:pPr>
        <w:pStyle w:val="ListParagraph"/>
        <w:numPr>
          <w:ilvl w:val="1"/>
          <w:numId w:val="70"/>
        </w:numPr>
        <w:tabs>
          <w:tab w:pos="1393" w:val="left" w:leader="none"/>
        </w:tabs>
        <w:spacing w:line="240" w:lineRule="auto" w:before="0" w:after="0"/>
        <w:ind w:left="1392" w:right="762" w:hanging="425"/>
        <w:jc w:val="both"/>
        <w:rPr>
          <w:sz w:val="24"/>
        </w:rPr>
      </w:pPr>
      <w:r>
        <w:rPr>
          <w:sz w:val="24"/>
        </w:rPr>
        <w:t>parādnieks</w:t>
      </w:r>
      <w:r>
        <w:rPr>
          <w:spacing w:val="-11"/>
          <w:sz w:val="24"/>
        </w:rPr>
        <w:t> </w:t>
      </w:r>
      <w:r>
        <w:rPr>
          <w:sz w:val="24"/>
        </w:rPr>
        <w:t>ir</w:t>
      </w:r>
      <w:r>
        <w:rPr>
          <w:spacing w:val="-10"/>
          <w:sz w:val="24"/>
        </w:rPr>
        <w:t> </w:t>
      </w:r>
      <w:r>
        <w:rPr>
          <w:sz w:val="24"/>
        </w:rPr>
        <w:t>maksātnespējīgs,</w:t>
      </w:r>
      <w:r>
        <w:rPr>
          <w:spacing w:val="-11"/>
          <w:sz w:val="24"/>
        </w:rPr>
        <w:t> </w:t>
      </w:r>
      <w:r>
        <w:rPr>
          <w:sz w:val="24"/>
        </w:rPr>
        <w:t>ja</w:t>
      </w:r>
      <w:r>
        <w:rPr>
          <w:spacing w:val="-12"/>
          <w:sz w:val="24"/>
        </w:rPr>
        <w:t> </w:t>
      </w:r>
      <w:r>
        <w:rPr>
          <w:sz w:val="24"/>
        </w:rPr>
        <w:t>tas</w:t>
      </w:r>
      <w:r>
        <w:rPr>
          <w:spacing w:val="-11"/>
          <w:sz w:val="24"/>
        </w:rPr>
        <w:t> </w:t>
      </w:r>
      <w:r>
        <w:rPr>
          <w:sz w:val="24"/>
        </w:rPr>
        <w:t>nespēj</w:t>
      </w:r>
      <w:r>
        <w:rPr>
          <w:spacing w:val="-10"/>
          <w:sz w:val="24"/>
        </w:rPr>
        <w:t> </w:t>
      </w:r>
      <w:r>
        <w:rPr>
          <w:sz w:val="24"/>
        </w:rPr>
        <w:t>apmierināt</w:t>
      </w:r>
      <w:r>
        <w:rPr>
          <w:spacing w:val="-10"/>
          <w:sz w:val="24"/>
        </w:rPr>
        <w:t> </w:t>
      </w:r>
      <w:r>
        <w:rPr>
          <w:sz w:val="24"/>
        </w:rPr>
        <w:t>kreditoru</w:t>
      </w:r>
      <w:r>
        <w:rPr>
          <w:spacing w:val="-11"/>
          <w:sz w:val="24"/>
        </w:rPr>
        <w:t> </w:t>
      </w:r>
      <w:r>
        <w:rPr>
          <w:sz w:val="24"/>
        </w:rPr>
        <w:t>prasījumus</w:t>
      </w:r>
      <w:r>
        <w:rPr>
          <w:spacing w:val="-8"/>
          <w:sz w:val="24"/>
        </w:rPr>
        <w:t> </w:t>
      </w:r>
      <w:r>
        <w:rPr>
          <w:sz w:val="24"/>
        </w:rPr>
        <w:t>un ja</w:t>
      </w:r>
      <w:r>
        <w:rPr>
          <w:spacing w:val="-6"/>
          <w:sz w:val="24"/>
        </w:rPr>
        <w:t> </w:t>
      </w:r>
      <w:r>
        <w:rPr>
          <w:sz w:val="24"/>
        </w:rPr>
        <w:t>tā</w:t>
      </w:r>
      <w:r>
        <w:rPr>
          <w:spacing w:val="-6"/>
          <w:sz w:val="24"/>
        </w:rPr>
        <w:t> </w:t>
      </w:r>
      <w:r>
        <w:rPr>
          <w:sz w:val="24"/>
        </w:rPr>
        <w:t>finanšu</w:t>
      </w:r>
      <w:r>
        <w:rPr>
          <w:spacing w:val="-6"/>
          <w:sz w:val="24"/>
        </w:rPr>
        <w:t> </w:t>
      </w:r>
      <w:r>
        <w:rPr>
          <w:sz w:val="24"/>
        </w:rPr>
        <w:t>stāvokļa</w:t>
      </w:r>
      <w:r>
        <w:rPr>
          <w:spacing w:val="-5"/>
          <w:sz w:val="24"/>
        </w:rPr>
        <w:t> </w:t>
      </w:r>
      <w:r>
        <w:rPr>
          <w:sz w:val="24"/>
        </w:rPr>
        <w:t>dēļ</w:t>
      </w:r>
      <w:r>
        <w:rPr>
          <w:spacing w:val="-8"/>
          <w:sz w:val="24"/>
        </w:rPr>
        <w:t> </w:t>
      </w:r>
      <w:r>
        <w:rPr>
          <w:sz w:val="24"/>
        </w:rPr>
        <w:t>šī</w:t>
      </w:r>
      <w:r>
        <w:rPr>
          <w:spacing w:val="-3"/>
          <w:sz w:val="24"/>
        </w:rPr>
        <w:t> </w:t>
      </w:r>
      <w:r>
        <w:rPr>
          <w:sz w:val="24"/>
        </w:rPr>
        <w:t>nespēja</w:t>
      </w:r>
      <w:r>
        <w:rPr>
          <w:spacing w:val="-6"/>
          <w:sz w:val="24"/>
        </w:rPr>
        <w:t> </w:t>
      </w:r>
      <w:r>
        <w:rPr>
          <w:sz w:val="24"/>
        </w:rPr>
        <w:t>nav</w:t>
      </w:r>
      <w:r>
        <w:rPr>
          <w:spacing w:val="-8"/>
          <w:sz w:val="24"/>
        </w:rPr>
        <w:t> </w:t>
      </w:r>
      <w:r>
        <w:rPr>
          <w:sz w:val="24"/>
        </w:rPr>
        <w:t>pārejoša</w:t>
      </w:r>
      <w:r>
        <w:rPr>
          <w:spacing w:val="-6"/>
          <w:sz w:val="24"/>
        </w:rPr>
        <w:t> </w:t>
      </w:r>
      <w:r>
        <w:rPr>
          <w:sz w:val="24"/>
        </w:rPr>
        <w:t>(Bankrota</w:t>
      </w:r>
      <w:r>
        <w:rPr>
          <w:spacing w:val="-6"/>
          <w:sz w:val="24"/>
        </w:rPr>
        <w:t> </w:t>
      </w:r>
      <w:r>
        <w:rPr>
          <w:sz w:val="24"/>
        </w:rPr>
        <w:t>likuma</w:t>
      </w:r>
      <w:r>
        <w:rPr>
          <w:spacing w:val="-6"/>
          <w:sz w:val="24"/>
        </w:rPr>
        <w:t> </w:t>
      </w:r>
      <w:r>
        <w:rPr>
          <w:sz w:val="24"/>
        </w:rPr>
        <w:t>1.panta</w:t>
      </w:r>
      <w:r>
        <w:rPr>
          <w:spacing w:val="-5"/>
          <w:sz w:val="24"/>
        </w:rPr>
        <w:t> </w:t>
      </w:r>
      <w:r>
        <w:rPr>
          <w:sz w:val="24"/>
        </w:rPr>
        <w:t>otrā daļa).</w:t>
      </w:r>
    </w:p>
    <w:p>
      <w:pPr>
        <w:pStyle w:val="ListParagraph"/>
        <w:numPr>
          <w:ilvl w:val="1"/>
          <w:numId w:val="70"/>
        </w:numPr>
        <w:tabs>
          <w:tab w:pos="1393" w:val="left" w:leader="none"/>
        </w:tabs>
        <w:spacing w:line="240" w:lineRule="auto" w:before="0" w:after="0"/>
        <w:ind w:left="1392" w:right="764" w:hanging="425"/>
        <w:jc w:val="both"/>
        <w:rPr>
          <w:sz w:val="24"/>
        </w:rPr>
      </w:pPr>
      <w:r>
        <w:rPr>
          <w:sz w:val="24"/>
        </w:rPr>
        <w:t>ja bankrota pieteikumu iesniedz parādnieks, tiesa pasludinās bankrotu arī tad, ja maksātnespēja varētu iestāties nākotnē. Ja bankrota pieteikumu </w:t>
      </w:r>
      <w:r>
        <w:rPr>
          <w:spacing w:val="-3"/>
          <w:sz w:val="24"/>
        </w:rPr>
        <w:t>iesniedz</w:t>
      </w:r>
      <w:r>
        <w:rPr>
          <w:spacing w:val="54"/>
          <w:sz w:val="24"/>
        </w:rPr>
        <w:t> </w:t>
      </w:r>
      <w:r>
        <w:rPr>
          <w:sz w:val="24"/>
        </w:rPr>
        <w:t>parādnieks nevis kreditors, tiek pieņemts, ka parādnieks ir maksātnespējīgs (Igaunijas Bankrota likuma 31.panta trešā un ceturtā</w:t>
      </w:r>
      <w:r>
        <w:rPr>
          <w:spacing w:val="-2"/>
          <w:sz w:val="24"/>
        </w:rPr>
        <w:t> </w:t>
      </w:r>
      <w:r>
        <w:rPr>
          <w:sz w:val="24"/>
        </w:rPr>
        <w:t>daļa).</w:t>
      </w:r>
    </w:p>
    <w:p>
      <w:pPr>
        <w:pStyle w:val="ListParagraph"/>
        <w:numPr>
          <w:ilvl w:val="0"/>
          <w:numId w:val="70"/>
        </w:numPr>
        <w:tabs>
          <w:tab w:pos="980" w:val="left" w:leader="none"/>
        </w:tabs>
        <w:spacing w:line="240" w:lineRule="auto" w:before="0" w:after="0"/>
        <w:ind w:left="980" w:right="762" w:hanging="360"/>
        <w:jc w:val="both"/>
        <w:rPr>
          <w:sz w:val="24"/>
        </w:rPr>
      </w:pPr>
      <w:r>
        <w:rPr>
          <w:sz w:val="24"/>
        </w:rPr>
        <w:t>tiesā jāiesniedz </w:t>
      </w:r>
      <w:r>
        <w:rPr>
          <w:sz w:val="24"/>
          <w:u w:val="single"/>
        </w:rPr>
        <w:t>bankrota pieteikums</w:t>
      </w:r>
      <w:r>
        <w:rPr>
          <w:sz w:val="24"/>
        </w:rPr>
        <w:t> – to var iesniegt vai nu parādnieks, vai kreditors (Igaunijas Bankrota likuma</w:t>
      </w:r>
      <w:r>
        <w:rPr>
          <w:spacing w:val="-3"/>
          <w:sz w:val="24"/>
        </w:rPr>
        <w:t> </w:t>
      </w:r>
      <w:r>
        <w:rPr>
          <w:sz w:val="24"/>
        </w:rPr>
        <w:t>9.pants).</w:t>
      </w:r>
    </w:p>
    <w:p>
      <w:pPr>
        <w:pStyle w:val="BodyText"/>
        <w:jc w:val="left"/>
        <w:rPr>
          <w:sz w:val="20"/>
        </w:rPr>
      </w:pPr>
    </w:p>
    <w:p>
      <w:pPr>
        <w:pStyle w:val="BodyText"/>
        <w:spacing w:before="9"/>
        <w:jc w:val="left"/>
        <w:rPr>
          <w:sz w:val="20"/>
        </w:rPr>
      </w:pPr>
      <w:r>
        <w:rPr/>
        <w:pict>
          <v:shape style="position:absolute;margin-left:72pt;margin-top:14.200646pt;width:144pt;height:.1pt;mso-position-horizontal-relative:page;mso-position-vertical-relative:paragraph;z-index:-251497472;mso-wrap-distance-left:0;mso-wrap-distance-right:0" coordorigin="1440,284" coordsize="2880,0" path="m1440,284l4320,284e" filled="false" stroked="true" strokeweight=".59999pt" strokecolor="#000000">
            <v:path arrowok="t"/>
            <v:stroke dashstyle="solid"/>
            <w10:wrap type="topAndBottom"/>
          </v:shape>
        </w:pict>
      </w:r>
    </w:p>
    <w:p>
      <w:pPr>
        <w:spacing w:before="70"/>
        <w:ind w:left="260" w:right="763" w:firstLine="0"/>
        <w:jc w:val="both"/>
        <w:rPr>
          <w:sz w:val="20"/>
        </w:rPr>
      </w:pPr>
      <w:r>
        <w:rPr>
          <w:position w:val="7"/>
          <w:sz w:val="13"/>
        </w:rPr>
        <w:t>313 </w:t>
      </w:r>
      <w:r>
        <w:rPr>
          <w:sz w:val="20"/>
        </w:rPr>
        <w:t>Maksātnespēja – Igaunija. Pieejams: </w:t>
      </w:r>
      <w:r>
        <w:rPr>
          <w:color w:val="0562C1"/>
          <w:sz w:val="20"/>
          <w:u w:val="single" w:color="0562C1"/>
        </w:rPr>
        <w:t>https://e-justice.europa.eu/content_insolvency-447-EE-</w:t>
      </w:r>
      <w:r>
        <w:rPr>
          <w:color w:val="0562C1"/>
          <w:sz w:val="20"/>
        </w:rPr>
        <w:t> </w:t>
      </w:r>
      <w:r>
        <w:rPr>
          <w:color w:val="0562C1"/>
          <w:sz w:val="20"/>
          <w:u w:val="single" w:color="0562C1"/>
        </w:rPr>
        <w:t>lv.do?clang=lv</w:t>
      </w:r>
      <w:r>
        <w:rPr>
          <w:color w:val="0562C1"/>
          <w:spacing w:val="-9"/>
          <w:sz w:val="20"/>
        </w:rPr>
        <w:t> </w:t>
      </w:r>
      <w:r>
        <w:rPr>
          <w:sz w:val="20"/>
        </w:rPr>
        <w:t>[aplūkots</w:t>
      </w:r>
      <w:r>
        <w:rPr>
          <w:spacing w:val="-9"/>
          <w:sz w:val="20"/>
        </w:rPr>
        <w:t> </w:t>
      </w:r>
      <w:r>
        <w:rPr>
          <w:sz w:val="20"/>
        </w:rPr>
        <w:t>2018.gada</w:t>
      </w:r>
      <w:r>
        <w:rPr>
          <w:spacing w:val="-6"/>
          <w:sz w:val="20"/>
        </w:rPr>
        <w:t> </w:t>
      </w:r>
      <w:r>
        <w:rPr>
          <w:sz w:val="20"/>
        </w:rPr>
        <w:t>18.oktobrī];</w:t>
      </w:r>
      <w:r>
        <w:rPr>
          <w:spacing w:val="-9"/>
          <w:sz w:val="20"/>
        </w:rPr>
        <w:t> </w:t>
      </w:r>
      <w:r>
        <w:rPr>
          <w:sz w:val="20"/>
        </w:rPr>
        <w:t>Study</w:t>
      </w:r>
      <w:r>
        <w:rPr>
          <w:spacing w:val="-12"/>
          <w:sz w:val="20"/>
        </w:rPr>
        <w:t> </w:t>
      </w:r>
      <w:r>
        <w:rPr>
          <w:sz w:val="20"/>
        </w:rPr>
        <w:t>on</w:t>
      </w:r>
      <w:r>
        <w:rPr>
          <w:spacing w:val="-10"/>
          <w:sz w:val="20"/>
        </w:rPr>
        <w:t> </w:t>
      </w:r>
      <w:r>
        <w:rPr>
          <w:sz w:val="20"/>
        </w:rPr>
        <w:t>a</w:t>
      </w:r>
      <w:r>
        <w:rPr>
          <w:spacing w:val="-8"/>
          <w:sz w:val="20"/>
        </w:rPr>
        <w:t> </w:t>
      </w:r>
      <w:r>
        <w:rPr>
          <w:sz w:val="20"/>
        </w:rPr>
        <w:t>new</w:t>
      </w:r>
      <w:r>
        <w:rPr>
          <w:spacing w:val="-12"/>
          <w:sz w:val="20"/>
        </w:rPr>
        <w:t> </w:t>
      </w:r>
      <w:r>
        <w:rPr>
          <w:sz w:val="20"/>
        </w:rPr>
        <w:t>approach</w:t>
      </w:r>
      <w:r>
        <w:rPr>
          <w:spacing w:val="-10"/>
          <w:sz w:val="20"/>
        </w:rPr>
        <w:t> </w:t>
      </w:r>
      <w:r>
        <w:rPr>
          <w:sz w:val="20"/>
        </w:rPr>
        <w:t>to</w:t>
      </w:r>
      <w:r>
        <w:rPr>
          <w:spacing w:val="-6"/>
          <w:sz w:val="20"/>
        </w:rPr>
        <w:t> </w:t>
      </w:r>
      <w:r>
        <w:rPr>
          <w:sz w:val="20"/>
        </w:rPr>
        <w:t>business</w:t>
      </w:r>
      <w:r>
        <w:rPr>
          <w:spacing w:val="-7"/>
          <w:sz w:val="20"/>
        </w:rPr>
        <w:t> </w:t>
      </w:r>
      <w:r>
        <w:rPr>
          <w:sz w:val="20"/>
        </w:rPr>
        <w:t>failure</w:t>
      </w:r>
      <w:r>
        <w:rPr>
          <w:spacing w:val="-8"/>
          <w:sz w:val="20"/>
        </w:rPr>
        <w:t> </w:t>
      </w:r>
      <w:r>
        <w:rPr>
          <w:sz w:val="20"/>
        </w:rPr>
        <w:t>and</w:t>
      </w:r>
      <w:r>
        <w:rPr>
          <w:spacing w:val="-6"/>
          <w:sz w:val="20"/>
        </w:rPr>
        <w:t> </w:t>
      </w:r>
      <w:r>
        <w:rPr>
          <w:sz w:val="20"/>
        </w:rPr>
        <w:t>insolvency: Comperative legal analysis of the Member States’ relevant provisions and practices, 2016, p.318. Pieejams: </w:t>
      </w:r>
      <w:r>
        <w:rPr>
          <w:color w:val="0562C1"/>
          <w:sz w:val="20"/>
          <w:u w:val="single" w:color="0562C1"/>
        </w:rPr>
        <w:t>https://ec.europa.eu/info/sites/info/files/insolvency_study_2016_final_en.pdf</w:t>
      </w:r>
      <w:r>
        <w:rPr>
          <w:color w:val="0562C1"/>
          <w:sz w:val="20"/>
        </w:rPr>
        <w:t> </w:t>
      </w:r>
      <w:r>
        <w:rPr>
          <w:sz w:val="20"/>
        </w:rPr>
        <w:t>[aplūkots 2018.gada 18.oktobrī].</w:t>
      </w:r>
    </w:p>
    <w:p>
      <w:pPr>
        <w:spacing w:line="240" w:lineRule="auto" w:before="0"/>
        <w:ind w:left="260" w:right="762" w:firstLine="0"/>
        <w:jc w:val="both"/>
        <w:rPr>
          <w:sz w:val="20"/>
        </w:rPr>
      </w:pPr>
      <w:r>
        <w:rPr>
          <w:position w:val="7"/>
          <w:sz w:val="13"/>
        </w:rPr>
        <w:t>314 </w:t>
      </w:r>
      <w:r>
        <w:rPr>
          <w:sz w:val="20"/>
        </w:rPr>
        <w:t>Sein K. (Dr. iur., Docent of Civil Law University of Tartu), Volens U. (Dr. iur., Lecturer of Civil Law University</w:t>
      </w:r>
      <w:r>
        <w:rPr>
          <w:spacing w:val="-11"/>
          <w:sz w:val="20"/>
        </w:rPr>
        <w:t> </w:t>
      </w:r>
      <w:r>
        <w:rPr>
          <w:sz w:val="20"/>
        </w:rPr>
        <w:t>of</w:t>
      </w:r>
      <w:r>
        <w:rPr>
          <w:spacing w:val="-11"/>
          <w:sz w:val="20"/>
        </w:rPr>
        <w:t> </w:t>
      </w:r>
      <w:r>
        <w:rPr>
          <w:sz w:val="20"/>
        </w:rPr>
        <w:t>Tartu</w:t>
      </w:r>
      <w:r>
        <w:rPr>
          <w:spacing w:val="-10"/>
          <w:sz w:val="20"/>
        </w:rPr>
        <w:t> </w:t>
      </w:r>
      <w:r>
        <w:rPr>
          <w:sz w:val="20"/>
        </w:rPr>
        <w:t>Specialist</w:t>
      </w:r>
      <w:r>
        <w:rPr>
          <w:spacing w:val="-7"/>
          <w:sz w:val="20"/>
        </w:rPr>
        <w:t> </w:t>
      </w:r>
      <w:r>
        <w:rPr>
          <w:sz w:val="20"/>
        </w:rPr>
        <w:t>Counsel,</w:t>
      </w:r>
      <w:r>
        <w:rPr>
          <w:spacing w:val="-9"/>
          <w:sz w:val="20"/>
        </w:rPr>
        <w:t> </w:t>
      </w:r>
      <w:r>
        <w:rPr>
          <w:sz w:val="20"/>
        </w:rPr>
        <w:t>Sorainen</w:t>
      </w:r>
      <w:r>
        <w:rPr>
          <w:spacing w:val="-8"/>
          <w:sz w:val="20"/>
        </w:rPr>
        <w:t> </w:t>
      </w:r>
      <w:r>
        <w:rPr>
          <w:sz w:val="20"/>
        </w:rPr>
        <w:t>Law</w:t>
      </w:r>
      <w:r>
        <w:rPr>
          <w:spacing w:val="-11"/>
          <w:sz w:val="20"/>
        </w:rPr>
        <w:t> </w:t>
      </w:r>
      <w:r>
        <w:rPr>
          <w:sz w:val="20"/>
        </w:rPr>
        <w:t>Firm)</w:t>
      </w:r>
      <w:r>
        <w:rPr>
          <w:spacing w:val="-5"/>
          <w:sz w:val="20"/>
        </w:rPr>
        <w:t> </w:t>
      </w:r>
      <w:r>
        <w:rPr>
          <w:sz w:val="20"/>
        </w:rPr>
        <w:t>Legal</w:t>
      </w:r>
      <w:r>
        <w:rPr>
          <w:spacing w:val="-10"/>
          <w:sz w:val="20"/>
        </w:rPr>
        <w:t> </w:t>
      </w:r>
      <w:r>
        <w:rPr>
          <w:sz w:val="20"/>
        </w:rPr>
        <w:t>Problems</w:t>
      </w:r>
      <w:r>
        <w:rPr>
          <w:spacing w:val="-9"/>
          <w:sz w:val="20"/>
        </w:rPr>
        <w:t> </w:t>
      </w:r>
      <w:r>
        <w:rPr>
          <w:sz w:val="20"/>
        </w:rPr>
        <w:t>and</w:t>
      </w:r>
      <w:r>
        <w:rPr>
          <w:spacing w:val="-7"/>
          <w:sz w:val="20"/>
        </w:rPr>
        <w:t> </w:t>
      </w:r>
      <w:r>
        <w:rPr>
          <w:sz w:val="20"/>
        </w:rPr>
        <w:t>Regulations</w:t>
      </w:r>
      <w:r>
        <w:rPr>
          <w:spacing w:val="-11"/>
          <w:sz w:val="20"/>
        </w:rPr>
        <w:t> </w:t>
      </w:r>
      <w:r>
        <w:rPr>
          <w:sz w:val="20"/>
        </w:rPr>
        <w:t>related</w:t>
      </w:r>
      <w:r>
        <w:rPr>
          <w:spacing w:val="-8"/>
          <w:sz w:val="20"/>
        </w:rPr>
        <w:t> </w:t>
      </w:r>
      <w:r>
        <w:rPr>
          <w:sz w:val="20"/>
        </w:rPr>
        <w:t>to</w:t>
      </w:r>
      <w:r>
        <w:rPr>
          <w:spacing w:val="-7"/>
          <w:sz w:val="20"/>
        </w:rPr>
        <w:t> </w:t>
      </w:r>
      <w:r>
        <w:rPr>
          <w:sz w:val="20"/>
        </w:rPr>
        <w:t>Easy- access Non-secured Consumer Loans in Estonia. Juridica international 22/2014.</w:t>
      </w:r>
    </w:p>
    <w:p>
      <w:pPr>
        <w:tabs>
          <w:tab w:pos="1670" w:val="left" w:leader="none"/>
          <w:tab w:pos="2581" w:val="left" w:leader="none"/>
          <w:tab w:pos="3912" w:val="left" w:leader="none"/>
          <w:tab w:pos="5564" w:val="left" w:leader="none"/>
          <w:tab w:pos="6727" w:val="left" w:leader="none"/>
          <w:tab w:pos="8154" w:val="left" w:leader="none"/>
        </w:tabs>
        <w:spacing w:line="240" w:lineRule="auto" w:before="0"/>
        <w:ind w:left="260" w:right="762" w:firstLine="0"/>
        <w:jc w:val="both"/>
        <w:rPr>
          <w:sz w:val="20"/>
        </w:rPr>
      </w:pPr>
      <w:r>
        <w:rPr/>
        <w:pict>
          <v:rect style="position:absolute;margin-left:502.320007pt;margin-top:45.208393pt;width:2.640014pt;height:.480011pt;mso-position-horizontal-relative:page;mso-position-vertical-relative:paragraph;z-index:-262538240" filled="true" fillcolor="#000000" stroked="false">
            <v:fill type="solid"/>
            <w10:wrap type="none"/>
          </v:rect>
        </w:pict>
      </w:r>
      <w:r>
        <w:rPr>
          <w:position w:val="7"/>
          <w:sz w:val="13"/>
        </w:rPr>
        <w:t>315 </w:t>
      </w:r>
      <w:r>
        <w:rPr>
          <w:sz w:val="20"/>
        </w:rPr>
        <w:t>§175 (1) Bankruptcy Act 2003; Study on means to protect consumers in financial difficulty: Personal bankruptcy,</w:t>
      </w:r>
      <w:r>
        <w:rPr>
          <w:spacing w:val="-10"/>
          <w:sz w:val="20"/>
        </w:rPr>
        <w:t> </w:t>
      </w:r>
      <w:r>
        <w:rPr>
          <w:sz w:val="20"/>
        </w:rPr>
        <w:t>datio</w:t>
      </w:r>
      <w:r>
        <w:rPr>
          <w:spacing w:val="-10"/>
          <w:sz w:val="20"/>
        </w:rPr>
        <w:t> </w:t>
      </w:r>
      <w:r>
        <w:rPr>
          <w:sz w:val="20"/>
        </w:rPr>
        <w:t>in</w:t>
      </w:r>
      <w:r>
        <w:rPr>
          <w:spacing w:val="-10"/>
          <w:sz w:val="20"/>
        </w:rPr>
        <w:t> </w:t>
      </w:r>
      <w:r>
        <w:rPr>
          <w:sz w:val="20"/>
        </w:rPr>
        <w:t>solutum</w:t>
      </w:r>
      <w:r>
        <w:rPr>
          <w:spacing w:val="-11"/>
          <w:sz w:val="20"/>
        </w:rPr>
        <w:t> </w:t>
      </w:r>
      <w:r>
        <w:rPr>
          <w:sz w:val="20"/>
        </w:rPr>
        <w:t>of</w:t>
      </w:r>
      <w:r>
        <w:rPr>
          <w:spacing w:val="-9"/>
          <w:sz w:val="20"/>
        </w:rPr>
        <w:t> </w:t>
      </w:r>
      <w:r>
        <w:rPr>
          <w:sz w:val="20"/>
        </w:rPr>
        <w:t>mortgages,</w:t>
      </w:r>
      <w:r>
        <w:rPr>
          <w:spacing w:val="-10"/>
          <w:sz w:val="20"/>
        </w:rPr>
        <w:t> </w:t>
      </w:r>
      <w:r>
        <w:rPr>
          <w:sz w:val="20"/>
        </w:rPr>
        <w:t>and</w:t>
      </w:r>
      <w:r>
        <w:rPr>
          <w:spacing w:val="-10"/>
          <w:sz w:val="20"/>
        </w:rPr>
        <w:t> </w:t>
      </w:r>
      <w:r>
        <w:rPr>
          <w:sz w:val="20"/>
        </w:rPr>
        <w:t>restrictions</w:t>
      </w:r>
      <w:r>
        <w:rPr>
          <w:spacing w:val="-12"/>
          <w:sz w:val="20"/>
        </w:rPr>
        <w:t> </w:t>
      </w:r>
      <w:r>
        <w:rPr>
          <w:sz w:val="20"/>
        </w:rPr>
        <w:t>on</w:t>
      </w:r>
      <w:r>
        <w:rPr>
          <w:spacing w:val="-11"/>
          <w:sz w:val="20"/>
        </w:rPr>
        <w:t> </w:t>
      </w:r>
      <w:r>
        <w:rPr>
          <w:sz w:val="20"/>
        </w:rPr>
        <w:t>debt</w:t>
      </w:r>
      <w:r>
        <w:rPr>
          <w:spacing w:val="-10"/>
          <w:sz w:val="20"/>
        </w:rPr>
        <w:t> </w:t>
      </w:r>
      <w:r>
        <w:rPr>
          <w:sz w:val="20"/>
        </w:rPr>
        <w:t>collection</w:t>
      </w:r>
      <w:r>
        <w:rPr>
          <w:spacing w:val="-14"/>
          <w:sz w:val="20"/>
        </w:rPr>
        <w:t> </w:t>
      </w:r>
      <w:r>
        <w:rPr>
          <w:sz w:val="20"/>
        </w:rPr>
        <w:t>abusive</w:t>
      </w:r>
      <w:r>
        <w:rPr>
          <w:spacing w:val="-9"/>
          <w:sz w:val="20"/>
        </w:rPr>
        <w:t> </w:t>
      </w:r>
      <w:r>
        <w:rPr>
          <w:sz w:val="20"/>
        </w:rPr>
        <w:t>practices.</w:t>
      </w:r>
      <w:r>
        <w:rPr>
          <w:spacing w:val="-10"/>
          <w:sz w:val="20"/>
        </w:rPr>
        <w:t> </w:t>
      </w:r>
      <w:r>
        <w:rPr>
          <w:sz w:val="20"/>
        </w:rPr>
        <w:t>Final</w:t>
      </w:r>
      <w:r>
        <w:rPr>
          <w:spacing w:val="-12"/>
          <w:sz w:val="20"/>
        </w:rPr>
        <w:t> </w:t>
      </w:r>
      <w:r>
        <w:rPr>
          <w:sz w:val="20"/>
        </w:rPr>
        <w:t>Report, prepared</w:t>
        <w:tab/>
        <w:t>by</w:t>
        <w:tab/>
        <w:t>London</w:t>
        <w:tab/>
        <w:t>Economics,</w:t>
        <w:tab/>
        <w:t>2012,</w:t>
        <w:tab/>
        <w:t>p.34-36.,</w:t>
        <w:tab/>
      </w:r>
      <w:r>
        <w:rPr>
          <w:spacing w:val="-3"/>
          <w:sz w:val="20"/>
        </w:rPr>
        <w:t>pieejams: </w:t>
      </w:r>
      <w:r>
        <w:rPr>
          <w:color w:val="0562C1"/>
          <w:sz w:val="20"/>
          <w:u w:val="single" w:color="0562C1"/>
        </w:rPr>
        <w:t>https://ec.europa.eu/info/file/46906/download_en?token=9buOvl55</w:t>
      </w:r>
      <w:r>
        <w:rPr>
          <w:color w:val="0562C1"/>
          <w:sz w:val="20"/>
        </w:rPr>
        <w:t> </w:t>
      </w:r>
      <w:r>
        <w:rPr>
          <w:sz w:val="20"/>
        </w:rPr>
        <w:t>[aplūkots 2018.gada 19.oktobrī]; Viimsalu S. The Over-Indebtedness Regulatory System in the Light of the Changing Economic Landscape. JURIDICA INTERNATIONAL XVII/2010; Sein K. (Dr. iur., Docent of Civil Law University of Tartu), Volens</w:t>
      </w:r>
      <w:r>
        <w:rPr>
          <w:spacing w:val="-5"/>
          <w:sz w:val="20"/>
        </w:rPr>
        <w:t> </w:t>
      </w:r>
      <w:r>
        <w:rPr>
          <w:sz w:val="20"/>
        </w:rPr>
        <w:t>U.</w:t>
      </w:r>
      <w:r>
        <w:rPr>
          <w:spacing w:val="-4"/>
          <w:sz w:val="20"/>
        </w:rPr>
        <w:t> </w:t>
      </w:r>
      <w:r>
        <w:rPr>
          <w:sz w:val="20"/>
        </w:rPr>
        <w:t>(Dr.</w:t>
      </w:r>
      <w:r>
        <w:rPr>
          <w:spacing w:val="-5"/>
          <w:sz w:val="20"/>
        </w:rPr>
        <w:t> </w:t>
      </w:r>
      <w:r>
        <w:rPr>
          <w:sz w:val="20"/>
        </w:rPr>
        <w:t>iur.,</w:t>
      </w:r>
      <w:r>
        <w:rPr>
          <w:spacing w:val="-3"/>
          <w:sz w:val="20"/>
        </w:rPr>
        <w:t> </w:t>
      </w:r>
      <w:r>
        <w:rPr>
          <w:sz w:val="20"/>
        </w:rPr>
        <w:t>Lecturer</w:t>
      </w:r>
      <w:r>
        <w:rPr>
          <w:spacing w:val="-5"/>
          <w:sz w:val="20"/>
        </w:rPr>
        <w:t> </w:t>
      </w:r>
      <w:r>
        <w:rPr>
          <w:sz w:val="20"/>
        </w:rPr>
        <w:t>of</w:t>
      </w:r>
      <w:r>
        <w:rPr>
          <w:spacing w:val="-7"/>
          <w:sz w:val="20"/>
        </w:rPr>
        <w:t> </w:t>
      </w:r>
      <w:r>
        <w:rPr>
          <w:sz w:val="20"/>
        </w:rPr>
        <w:t>Civil</w:t>
      </w:r>
      <w:r>
        <w:rPr>
          <w:spacing w:val="-5"/>
          <w:sz w:val="20"/>
        </w:rPr>
        <w:t> </w:t>
      </w:r>
      <w:r>
        <w:rPr>
          <w:sz w:val="20"/>
        </w:rPr>
        <w:t>Law</w:t>
      </w:r>
      <w:r>
        <w:rPr>
          <w:spacing w:val="-6"/>
          <w:sz w:val="20"/>
        </w:rPr>
        <w:t> </w:t>
      </w:r>
      <w:r>
        <w:rPr>
          <w:sz w:val="20"/>
        </w:rPr>
        <w:t>University</w:t>
      </w:r>
      <w:r>
        <w:rPr>
          <w:spacing w:val="-7"/>
          <w:sz w:val="20"/>
        </w:rPr>
        <w:t> </w:t>
      </w:r>
      <w:r>
        <w:rPr>
          <w:sz w:val="20"/>
        </w:rPr>
        <w:t>of</w:t>
      </w:r>
      <w:r>
        <w:rPr>
          <w:spacing w:val="-7"/>
          <w:sz w:val="20"/>
        </w:rPr>
        <w:t> </w:t>
      </w:r>
      <w:r>
        <w:rPr>
          <w:sz w:val="20"/>
        </w:rPr>
        <w:t>Tartu</w:t>
      </w:r>
      <w:r>
        <w:rPr>
          <w:spacing w:val="-5"/>
          <w:sz w:val="20"/>
        </w:rPr>
        <w:t> </w:t>
      </w:r>
      <w:r>
        <w:rPr>
          <w:sz w:val="20"/>
        </w:rPr>
        <w:t>Specialist</w:t>
      </w:r>
      <w:r>
        <w:rPr>
          <w:spacing w:val="-3"/>
          <w:sz w:val="20"/>
        </w:rPr>
        <w:t> </w:t>
      </w:r>
      <w:r>
        <w:rPr>
          <w:sz w:val="20"/>
        </w:rPr>
        <w:t>Counsel,</w:t>
      </w:r>
      <w:r>
        <w:rPr>
          <w:spacing w:val="-3"/>
          <w:sz w:val="20"/>
        </w:rPr>
        <w:t> </w:t>
      </w:r>
      <w:r>
        <w:rPr>
          <w:sz w:val="20"/>
        </w:rPr>
        <w:t>Sorainen</w:t>
      </w:r>
      <w:r>
        <w:rPr>
          <w:spacing w:val="-3"/>
          <w:sz w:val="20"/>
        </w:rPr>
        <w:t> </w:t>
      </w:r>
      <w:r>
        <w:rPr>
          <w:sz w:val="20"/>
        </w:rPr>
        <w:t>Law</w:t>
      </w:r>
      <w:r>
        <w:rPr>
          <w:spacing w:val="-9"/>
          <w:sz w:val="20"/>
        </w:rPr>
        <w:t> </w:t>
      </w:r>
      <w:r>
        <w:rPr>
          <w:sz w:val="20"/>
        </w:rPr>
        <w:t>Firm)</w:t>
      </w:r>
      <w:r>
        <w:rPr>
          <w:spacing w:val="-3"/>
          <w:sz w:val="20"/>
        </w:rPr>
        <w:t> </w:t>
      </w:r>
      <w:r>
        <w:rPr>
          <w:sz w:val="20"/>
        </w:rPr>
        <w:t>Legal Problems and Regulations related to Easy-access Non-secured Consumer Loans in Estonia. Juridica international</w:t>
      </w:r>
      <w:r>
        <w:rPr>
          <w:spacing w:val="-1"/>
          <w:sz w:val="20"/>
        </w:rPr>
        <w:t> </w:t>
      </w:r>
      <w:r>
        <w:rPr>
          <w:sz w:val="20"/>
        </w:rPr>
        <w:t>22/2014.</w:t>
      </w:r>
    </w:p>
    <w:p>
      <w:pPr>
        <w:spacing w:after="0" w:line="240" w:lineRule="auto"/>
        <w:jc w:val="both"/>
        <w:rPr>
          <w:sz w:val="20"/>
        </w:rPr>
        <w:sectPr>
          <w:pgSz w:w="11910" w:h="16840"/>
          <w:pgMar w:header="0" w:footer="1055" w:top="1360" w:bottom="1240" w:left="1180" w:right="1040"/>
        </w:sectPr>
      </w:pPr>
    </w:p>
    <w:p>
      <w:pPr>
        <w:pStyle w:val="ListParagraph"/>
        <w:numPr>
          <w:ilvl w:val="1"/>
          <w:numId w:val="70"/>
        </w:numPr>
        <w:tabs>
          <w:tab w:pos="1753" w:val="left" w:leader="none"/>
        </w:tabs>
        <w:spacing w:line="240" w:lineRule="auto" w:before="73" w:after="0"/>
        <w:ind w:left="1752" w:right="403" w:hanging="425"/>
        <w:jc w:val="both"/>
        <w:rPr>
          <w:sz w:val="24"/>
        </w:rPr>
      </w:pPr>
      <w:r>
        <w:rPr>
          <w:sz w:val="24"/>
        </w:rPr>
        <w:t>Ja pieteikumu iesniedz parādnieks, tam pieteikumā ir jāpamato sava maksātnespēja, pieteikumam pievienojot skaidrojumu par maksātnespēju </w:t>
      </w:r>
      <w:r>
        <w:rPr>
          <w:spacing w:val="-7"/>
          <w:sz w:val="24"/>
        </w:rPr>
        <w:t>un </w:t>
      </w:r>
      <w:r>
        <w:rPr>
          <w:sz w:val="24"/>
        </w:rPr>
        <w:t>parādu jeb saistību sarakstu. Proti, atbilstoši Igaunijas Bankrota likuma 13.pantam tajā norāda kreditorus (vārdu un uzvārdu/nosaukumu), kreditoru atrašanās vietu (adresi), kreditoru prasījumus un informāciju par parādnieka aktīviem.</w:t>
      </w:r>
    </w:p>
    <w:p>
      <w:pPr>
        <w:pStyle w:val="ListParagraph"/>
        <w:numPr>
          <w:ilvl w:val="1"/>
          <w:numId w:val="70"/>
        </w:numPr>
        <w:tabs>
          <w:tab w:pos="1753" w:val="left" w:leader="none"/>
        </w:tabs>
        <w:spacing w:line="240" w:lineRule="auto" w:before="0" w:after="0"/>
        <w:ind w:left="1752" w:right="405" w:hanging="425"/>
        <w:jc w:val="both"/>
        <w:rPr>
          <w:sz w:val="24"/>
        </w:rPr>
      </w:pPr>
      <w:r>
        <w:rPr>
          <w:sz w:val="24"/>
        </w:rPr>
        <w:t>Ja pieteikumu iesniedz kreditors, tam pieteikumā ir jāpamato parādnieka maksātnespēja un jāpierāda sava prasījuma esamība pret parādnieku vismaz vienā no gadījumiem, ko paredz Igaunijas Bankrota likuma</w:t>
      </w:r>
      <w:r>
        <w:rPr>
          <w:spacing w:val="-1"/>
          <w:sz w:val="24"/>
        </w:rPr>
        <w:t> </w:t>
      </w:r>
      <w:r>
        <w:rPr>
          <w:sz w:val="24"/>
        </w:rPr>
        <w:t>10.pants:</w:t>
      </w:r>
    </w:p>
    <w:p>
      <w:pPr>
        <w:pStyle w:val="BodyText"/>
        <w:ind w:left="2180" w:right="400" w:hanging="428"/>
      </w:pPr>
      <w:r>
        <w:rPr/>
        <w:t>ba) parādnieks nav izpildījis saistību trīsdesmit dienu laikā pēc saistības izpildes termiņa iestāšanās un kreditors ir brīdinājis parādnieku</w:t>
      </w:r>
      <w:r>
        <w:rPr>
          <w:spacing w:val="-32"/>
        </w:rPr>
        <w:t> </w:t>
      </w:r>
      <w:r>
        <w:rPr/>
        <w:t>rakstveidā par kreditora nodomu iesniegt bankrota pieteikumu (brīdinājums par bankrota pieteikuma iesniegšanu) un pēc tam parādnieks nav izpildījis saistību desmit dienu</w:t>
      </w:r>
      <w:r>
        <w:rPr>
          <w:spacing w:val="1"/>
        </w:rPr>
        <w:t> </w:t>
      </w:r>
      <w:r>
        <w:rPr/>
        <w:t>laikā;</w:t>
      </w:r>
    </w:p>
    <w:p>
      <w:pPr>
        <w:pStyle w:val="BodyText"/>
        <w:spacing w:before="1"/>
        <w:ind w:left="2180" w:right="406" w:hanging="428"/>
      </w:pPr>
      <w:r>
        <w:rPr/>
        <w:t>bb) triju mēnešu laikā nav bijis iespējams izpildīt prasību izpildes procesā,</w:t>
      </w:r>
      <w:r>
        <w:rPr>
          <w:spacing w:val="-14"/>
        </w:rPr>
        <w:t> </w:t>
      </w:r>
      <w:r>
        <w:rPr/>
        <w:t>kas saistīts</w:t>
      </w:r>
      <w:r>
        <w:rPr>
          <w:spacing w:val="-6"/>
        </w:rPr>
        <w:t> </w:t>
      </w:r>
      <w:r>
        <w:rPr/>
        <w:t>ar</w:t>
      </w:r>
      <w:r>
        <w:rPr>
          <w:spacing w:val="-12"/>
        </w:rPr>
        <w:t> </w:t>
      </w:r>
      <w:r>
        <w:rPr/>
        <w:t>parādnieku</w:t>
      </w:r>
      <w:r>
        <w:rPr>
          <w:spacing w:val="-6"/>
        </w:rPr>
        <w:t> </w:t>
      </w:r>
      <w:r>
        <w:rPr/>
        <w:t>aktīvu</w:t>
      </w:r>
      <w:r>
        <w:rPr>
          <w:spacing w:val="-8"/>
        </w:rPr>
        <w:t> </w:t>
      </w:r>
      <w:r>
        <w:rPr/>
        <w:t>trūkumu</w:t>
      </w:r>
      <w:r>
        <w:rPr>
          <w:spacing w:val="-6"/>
        </w:rPr>
        <w:t> </w:t>
      </w:r>
      <w:r>
        <w:rPr/>
        <w:t>vai</w:t>
      </w:r>
      <w:r>
        <w:rPr>
          <w:spacing w:val="-11"/>
        </w:rPr>
        <w:t> </w:t>
      </w:r>
      <w:r>
        <w:rPr/>
        <w:t>izpildes</w:t>
      </w:r>
      <w:r>
        <w:rPr>
          <w:spacing w:val="-10"/>
        </w:rPr>
        <w:t> </w:t>
      </w:r>
      <w:r>
        <w:rPr/>
        <w:t>procesā</w:t>
      </w:r>
      <w:r>
        <w:rPr>
          <w:spacing w:val="-7"/>
        </w:rPr>
        <w:t> </w:t>
      </w:r>
      <w:r>
        <w:rPr/>
        <w:t>ir</w:t>
      </w:r>
      <w:r>
        <w:rPr>
          <w:spacing w:val="-9"/>
        </w:rPr>
        <w:t> </w:t>
      </w:r>
      <w:r>
        <w:rPr/>
        <w:t>kļuvis</w:t>
      </w:r>
      <w:r>
        <w:rPr>
          <w:spacing w:val="-5"/>
        </w:rPr>
        <w:t> </w:t>
      </w:r>
      <w:r>
        <w:rPr/>
        <w:t>skaidrs, ka parādnieka aktīvi nav pietiekami saistību</w:t>
      </w:r>
      <w:r>
        <w:rPr>
          <w:spacing w:val="2"/>
        </w:rPr>
        <w:t> </w:t>
      </w:r>
      <w:r>
        <w:rPr/>
        <w:t>izpildei;</w:t>
      </w:r>
    </w:p>
    <w:p>
      <w:pPr>
        <w:pStyle w:val="BodyText"/>
        <w:ind w:left="2180" w:right="402" w:hanging="428"/>
      </w:pPr>
      <w:r>
        <w:rPr/>
        <w:t>bc) parādnieks ir iznīcinājis, slēpis vai izšķērdējis savu īpašumu vai izdarījis nopietnas kļūdas pārvaldē (</w:t>
      </w:r>
      <w:r>
        <w:rPr>
          <w:i/>
        </w:rPr>
        <w:t>made grave errors in management</w:t>
      </w:r>
      <w:r>
        <w:rPr/>
        <w:t>), kura rezultātā parādnieks ir kļuvis maksātnespējīgs vai apzināti ir izraisījis parādnieka maksātnespēju jebkurā citā veidā;</w:t>
      </w:r>
    </w:p>
    <w:p>
      <w:pPr>
        <w:pStyle w:val="BodyText"/>
        <w:ind w:left="2180" w:right="405" w:hanging="428"/>
      </w:pPr>
      <w:r>
        <w:rPr/>
        <w:t>bd) parādnieks ir paziņojis kreditoram, tiesai vai sabiedrībai (</w:t>
      </w:r>
      <w:r>
        <w:rPr>
          <w:i/>
        </w:rPr>
        <w:t>the public</w:t>
      </w:r>
      <w:r>
        <w:rPr/>
        <w:t>) par nespēju izpildīt saistības;</w:t>
      </w:r>
    </w:p>
    <w:p>
      <w:pPr>
        <w:pStyle w:val="BodyText"/>
        <w:ind w:left="2180" w:right="402" w:hanging="428"/>
      </w:pPr>
      <w:r>
        <w:rPr/>
        <w:t>be) parādnieks ir atstājis Igauniju, lai izvairītos no saistību izpildes vai slēpjas to pašu iemeslu dēļ.</w:t>
      </w:r>
    </w:p>
    <w:p>
      <w:pPr>
        <w:pStyle w:val="BodyText"/>
        <w:jc w:val="left"/>
      </w:pPr>
    </w:p>
    <w:p>
      <w:pPr>
        <w:pStyle w:val="ListParagraph"/>
        <w:numPr>
          <w:ilvl w:val="0"/>
          <w:numId w:val="70"/>
        </w:numPr>
        <w:tabs>
          <w:tab w:pos="1340" w:val="left" w:leader="none"/>
        </w:tabs>
        <w:spacing w:line="240" w:lineRule="auto" w:before="0" w:after="0"/>
        <w:ind w:left="1340" w:right="0" w:hanging="360"/>
        <w:jc w:val="both"/>
        <w:rPr>
          <w:sz w:val="24"/>
        </w:rPr>
      </w:pPr>
      <w:r>
        <w:rPr>
          <w:sz w:val="24"/>
          <w:u w:val="single"/>
        </w:rPr>
        <w:t>Noteiktas naudas summas samaksa kā</w:t>
      </w:r>
      <w:r>
        <w:rPr>
          <w:spacing w:val="-3"/>
          <w:sz w:val="24"/>
          <w:u w:val="single"/>
        </w:rPr>
        <w:t> </w:t>
      </w:r>
      <w:r>
        <w:rPr>
          <w:sz w:val="24"/>
          <w:u w:val="single"/>
        </w:rPr>
        <w:t>depozīts</w:t>
      </w:r>
    </w:p>
    <w:p>
      <w:pPr>
        <w:pStyle w:val="BodyText"/>
        <w:ind w:left="620" w:right="403" w:firstLine="720"/>
      </w:pPr>
      <w:r>
        <w:rPr/>
        <w:t>Atbilstoši Igaunijas Bankrota likumā noteiktajam, tiesa var pieprasīt, lai tiek iemaksāta tiesas noteikta naudas summu kā tiesas depozītu izdevumu segšanai, ja pastāv iemesls uzskatīt, ka parādnieka mantas apmērs nav pietiekams, lai segtu maksātnespējas procesa izdevumus. Igaunijas Bankrota likumā noteiktajā kārtībā šī naudas summas tiek atgriezta personai, kas veica maksājumu.</w:t>
      </w:r>
    </w:p>
    <w:p>
      <w:pPr>
        <w:pStyle w:val="BodyText"/>
        <w:jc w:val="left"/>
      </w:pPr>
    </w:p>
    <w:p>
      <w:pPr>
        <w:pStyle w:val="ListParagraph"/>
        <w:numPr>
          <w:ilvl w:val="0"/>
          <w:numId w:val="70"/>
        </w:numPr>
        <w:tabs>
          <w:tab w:pos="1340" w:val="left" w:leader="none"/>
        </w:tabs>
        <w:spacing w:line="240" w:lineRule="auto" w:before="0" w:after="0"/>
        <w:ind w:left="620" w:right="402" w:firstLine="360"/>
        <w:jc w:val="both"/>
        <w:rPr>
          <w:sz w:val="24"/>
        </w:rPr>
      </w:pPr>
      <w:r>
        <w:rPr>
          <w:sz w:val="24"/>
        </w:rPr>
        <w:t>No Igaunijas Bankrota likuma normām izriet, ka minimālais saistību apmērs, lai fiziskā persona varētu iesniegt bankrota pieteikumu, ir </w:t>
      </w:r>
      <w:r>
        <w:rPr>
          <w:sz w:val="24"/>
          <w:u w:val="single"/>
        </w:rPr>
        <w:t>EUR 1000,00</w:t>
      </w:r>
      <w:r>
        <w:rPr>
          <w:sz w:val="24"/>
        </w:rPr>
        <w:t>. Proti, Igaunijas Bankrota likuma 31.pants nosaka, ka tiesa nepasludina bankrotu fiziskajai personai, neraugoties uz tās maksātnespēju, ja pastāv Bankrota likuma 15.panta trešajā daļā noteikti pamati pagaidu administratora neiecelšanai. Savukārt 15.panta trešās daļas 3.punkts paredz, ka viens no šiem pamatiem ir iemesls, ka kopējais saistību apmērs, kas norādīts kreditora bankrota pieteikumā pret parādnieku, ir EUR 1000,00. Izņēmuma gadījums ir apstāklis, ja viena gada laikā pirms pieteikuma iesniegšanas tiesā saistībā ar šo parādsaistību nav bijusi sekmīga izpildes procedūra (</w:t>
      </w:r>
      <w:r>
        <w:rPr>
          <w:i/>
          <w:sz w:val="24"/>
        </w:rPr>
        <w:t>execution</w:t>
      </w:r>
      <w:r>
        <w:rPr>
          <w:i/>
          <w:spacing w:val="-5"/>
          <w:sz w:val="24"/>
        </w:rPr>
        <w:t> </w:t>
      </w:r>
      <w:r>
        <w:rPr>
          <w:i/>
          <w:sz w:val="24"/>
        </w:rPr>
        <w:t>proceedings</w:t>
      </w:r>
      <w:r>
        <w:rPr>
          <w:sz w:val="24"/>
        </w:rPr>
        <w:t>).</w:t>
      </w:r>
    </w:p>
    <w:p>
      <w:pPr>
        <w:pStyle w:val="BodyText"/>
        <w:jc w:val="left"/>
      </w:pPr>
    </w:p>
    <w:p>
      <w:pPr>
        <w:pStyle w:val="ListParagraph"/>
        <w:numPr>
          <w:ilvl w:val="0"/>
          <w:numId w:val="69"/>
        </w:numPr>
        <w:tabs>
          <w:tab w:pos="1340" w:val="left" w:leader="none"/>
        </w:tabs>
        <w:spacing w:line="240" w:lineRule="auto" w:before="0" w:after="0"/>
        <w:ind w:left="620" w:right="401" w:firstLine="360"/>
        <w:jc w:val="both"/>
        <w:rPr>
          <w:sz w:val="24"/>
        </w:rPr>
      </w:pPr>
      <w:r>
        <w:rPr>
          <w:b/>
          <w:i/>
          <w:sz w:val="24"/>
        </w:rPr>
        <w:t>Sagatavošanas tiesvedība un pagaidu administratora iecelšana. </w:t>
      </w:r>
      <w:r>
        <w:rPr>
          <w:sz w:val="24"/>
        </w:rPr>
        <w:t>Pirms bankrota pasludināšanas un bankrota procedūras uzsākšanas noris tā sauktā sagatavošanas tiesvedība, kurā 10 dienu laikā ir jāpieņem lēmums par pagaidu administratora iecelšanu (Igaunijas Bankrota likuma 15.panta pirmā</w:t>
      </w:r>
      <w:r>
        <w:rPr>
          <w:spacing w:val="2"/>
          <w:sz w:val="24"/>
        </w:rPr>
        <w:t> </w:t>
      </w:r>
      <w:r>
        <w:rPr>
          <w:sz w:val="24"/>
        </w:rPr>
        <w:t>daļa).</w:t>
      </w:r>
    </w:p>
    <w:p>
      <w:pPr>
        <w:pStyle w:val="BodyText"/>
        <w:ind w:left="620" w:right="403" w:firstLine="720"/>
      </w:pPr>
      <w:r>
        <w:rPr/>
        <w:t>Ja pieteikumu iesniedz parādnieks – fiziskā persona - , tiesa var arī atteikties iecelt pagaidu administratoru, ņemot vērā parādnieka finanšu stāvokli, un pasludināt parādnieka</w:t>
      </w:r>
    </w:p>
    <w:p>
      <w:pPr>
        <w:spacing w:after="0"/>
        <w:sectPr>
          <w:pgSz w:w="11910" w:h="16840"/>
          <w:pgMar w:header="0" w:footer="1055" w:top="1340" w:bottom="1240" w:left="1180" w:right="1040"/>
        </w:sectPr>
      </w:pPr>
    </w:p>
    <w:p>
      <w:pPr>
        <w:pStyle w:val="BodyText"/>
        <w:spacing w:before="73"/>
        <w:ind w:left="260" w:right="767"/>
      </w:pPr>
      <w:r>
        <w:rPr/>
        <w:t>bankrotu 10 dienu laikā pēc bankrota pieteikuma saņemšanas (Bankrota likuma 15.panta otrā daļa).</w:t>
      </w:r>
    </w:p>
    <w:p>
      <w:pPr>
        <w:pStyle w:val="BodyText"/>
        <w:ind w:left="260" w:right="761" w:firstLine="720"/>
      </w:pPr>
      <w:r>
        <w:rPr/>
        <w:t>Tiesa atsakās iecelt pagaidu administratoru, pamatojoties uz kreditora pieteikumu, ja (Igaunijas Bankrota likuma 15.panta trešā daļa):</w:t>
      </w:r>
    </w:p>
    <w:p>
      <w:pPr>
        <w:pStyle w:val="ListParagraph"/>
        <w:numPr>
          <w:ilvl w:val="0"/>
          <w:numId w:val="71"/>
        </w:numPr>
        <w:tabs>
          <w:tab w:pos="1340" w:val="left" w:leader="none"/>
        </w:tabs>
        <w:spacing w:line="240" w:lineRule="auto" w:before="0" w:after="0"/>
        <w:ind w:left="1340" w:right="762" w:hanging="360"/>
        <w:jc w:val="both"/>
        <w:rPr>
          <w:sz w:val="24"/>
        </w:rPr>
      </w:pPr>
      <w:r>
        <w:rPr>
          <w:sz w:val="24"/>
        </w:rPr>
        <w:t>parādnieks</w:t>
      </w:r>
      <w:r>
        <w:rPr>
          <w:spacing w:val="-6"/>
          <w:sz w:val="24"/>
        </w:rPr>
        <w:t> </w:t>
      </w:r>
      <w:r>
        <w:rPr>
          <w:sz w:val="24"/>
        </w:rPr>
        <w:t>iebilst</w:t>
      </w:r>
      <w:r>
        <w:rPr>
          <w:spacing w:val="-6"/>
          <w:sz w:val="24"/>
        </w:rPr>
        <w:t> </w:t>
      </w:r>
      <w:r>
        <w:rPr>
          <w:sz w:val="24"/>
        </w:rPr>
        <w:t>pret</w:t>
      </w:r>
      <w:r>
        <w:rPr>
          <w:spacing w:val="-8"/>
          <w:sz w:val="24"/>
        </w:rPr>
        <w:t> </w:t>
      </w:r>
      <w:r>
        <w:rPr>
          <w:sz w:val="24"/>
        </w:rPr>
        <w:t>prasību</w:t>
      </w:r>
      <w:r>
        <w:rPr>
          <w:spacing w:val="-6"/>
          <w:sz w:val="24"/>
        </w:rPr>
        <w:t> </w:t>
      </w:r>
      <w:r>
        <w:rPr>
          <w:sz w:val="24"/>
        </w:rPr>
        <w:t>pamatotu</w:t>
      </w:r>
      <w:r>
        <w:rPr>
          <w:spacing w:val="-4"/>
          <w:sz w:val="24"/>
        </w:rPr>
        <w:t> </w:t>
      </w:r>
      <w:r>
        <w:rPr>
          <w:sz w:val="24"/>
        </w:rPr>
        <w:t>iemeslu</w:t>
      </w:r>
      <w:r>
        <w:rPr>
          <w:spacing w:val="-6"/>
          <w:sz w:val="24"/>
        </w:rPr>
        <w:t> </w:t>
      </w:r>
      <w:r>
        <w:rPr>
          <w:sz w:val="24"/>
        </w:rPr>
        <w:t>dēļ,</w:t>
      </w:r>
      <w:r>
        <w:rPr>
          <w:spacing w:val="-6"/>
          <w:sz w:val="24"/>
        </w:rPr>
        <w:t> </w:t>
      </w:r>
      <w:r>
        <w:rPr>
          <w:sz w:val="24"/>
        </w:rPr>
        <w:t>un</w:t>
      </w:r>
      <w:r>
        <w:rPr>
          <w:spacing w:val="-6"/>
          <w:sz w:val="24"/>
        </w:rPr>
        <w:t> </w:t>
      </w:r>
      <w:r>
        <w:rPr>
          <w:sz w:val="24"/>
        </w:rPr>
        <w:t>tiesa</w:t>
      </w:r>
      <w:r>
        <w:rPr>
          <w:spacing w:val="-9"/>
          <w:sz w:val="24"/>
        </w:rPr>
        <w:t> </w:t>
      </w:r>
      <w:r>
        <w:rPr>
          <w:sz w:val="24"/>
        </w:rPr>
        <w:t>konstatē,</w:t>
      </w:r>
      <w:r>
        <w:rPr>
          <w:spacing w:val="-9"/>
          <w:sz w:val="24"/>
        </w:rPr>
        <w:t> </w:t>
      </w:r>
      <w:r>
        <w:rPr>
          <w:sz w:val="24"/>
        </w:rPr>
        <w:t>ka</w:t>
      </w:r>
      <w:r>
        <w:rPr>
          <w:spacing w:val="-6"/>
          <w:sz w:val="24"/>
        </w:rPr>
        <w:t> </w:t>
      </w:r>
      <w:r>
        <w:rPr>
          <w:sz w:val="24"/>
        </w:rPr>
        <w:t>strīds par prasību jāizlemj ārpus bankrota</w:t>
      </w:r>
      <w:r>
        <w:rPr>
          <w:spacing w:val="-4"/>
          <w:sz w:val="24"/>
        </w:rPr>
        <w:t> </w:t>
      </w:r>
      <w:r>
        <w:rPr>
          <w:sz w:val="24"/>
        </w:rPr>
        <w:t>procedūras,</w:t>
      </w:r>
    </w:p>
    <w:p>
      <w:pPr>
        <w:pStyle w:val="ListParagraph"/>
        <w:numPr>
          <w:ilvl w:val="0"/>
          <w:numId w:val="71"/>
        </w:numPr>
        <w:tabs>
          <w:tab w:pos="1340" w:val="left" w:leader="none"/>
        </w:tabs>
        <w:spacing w:line="240" w:lineRule="auto" w:before="0" w:after="0"/>
        <w:ind w:left="1340" w:right="0" w:hanging="360"/>
        <w:jc w:val="both"/>
        <w:rPr>
          <w:sz w:val="24"/>
        </w:rPr>
      </w:pPr>
      <w:r>
        <w:rPr>
          <w:sz w:val="24"/>
        </w:rPr>
        <w:t>prasība pilnībā ir nodrošināta ar</w:t>
      </w:r>
      <w:r>
        <w:rPr>
          <w:spacing w:val="-9"/>
          <w:sz w:val="24"/>
        </w:rPr>
        <w:t> </w:t>
      </w:r>
      <w:r>
        <w:rPr>
          <w:sz w:val="24"/>
        </w:rPr>
        <w:t>ķīlu,</w:t>
      </w:r>
    </w:p>
    <w:p>
      <w:pPr>
        <w:pStyle w:val="ListParagraph"/>
        <w:numPr>
          <w:ilvl w:val="0"/>
          <w:numId w:val="71"/>
        </w:numPr>
        <w:tabs>
          <w:tab w:pos="1340" w:val="left" w:leader="none"/>
        </w:tabs>
        <w:spacing w:line="240" w:lineRule="auto" w:before="0" w:after="0"/>
        <w:ind w:left="1340" w:right="764" w:hanging="360"/>
        <w:jc w:val="both"/>
        <w:rPr>
          <w:sz w:val="24"/>
        </w:rPr>
      </w:pPr>
      <w:r>
        <w:rPr>
          <w:sz w:val="24"/>
        </w:rPr>
        <w:t>saistību apmērs attiecībā uz fiziskām personām nepārsniedz EUR 1000,00, izņemot gadījumus, ja ir bijusi neveiksmīga piespiedu izpildes </w:t>
      </w:r>
      <w:r>
        <w:rPr>
          <w:spacing w:val="-3"/>
          <w:sz w:val="24"/>
        </w:rPr>
        <w:t>procedūra </w:t>
      </w:r>
      <w:r>
        <w:rPr>
          <w:sz w:val="24"/>
        </w:rPr>
        <w:t>attiecībā uz iepriekš minētajām prasībām viena gada laikā pirms bankrota pieteikuma</w:t>
      </w:r>
      <w:r>
        <w:rPr>
          <w:spacing w:val="-1"/>
          <w:sz w:val="24"/>
        </w:rPr>
        <w:t> </w:t>
      </w:r>
      <w:r>
        <w:rPr>
          <w:sz w:val="24"/>
        </w:rPr>
        <w:t>iesniegšanas;</w:t>
      </w:r>
    </w:p>
    <w:p>
      <w:pPr>
        <w:pStyle w:val="ListParagraph"/>
        <w:numPr>
          <w:ilvl w:val="0"/>
          <w:numId w:val="71"/>
        </w:numPr>
        <w:tabs>
          <w:tab w:pos="1340" w:val="left" w:leader="none"/>
        </w:tabs>
        <w:spacing w:line="240" w:lineRule="auto" w:before="0" w:after="0"/>
        <w:ind w:left="1340" w:right="763" w:hanging="360"/>
        <w:jc w:val="both"/>
        <w:rPr>
          <w:sz w:val="24"/>
        </w:rPr>
      </w:pPr>
      <w:r>
        <w:rPr>
          <w:sz w:val="24"/>
        </w:rPr>
        <w:t>pieteikumā nav pietiekami pamatota maksātnespēja, nepietiekami pierādīta parāda</w:t>
      </w:r>
      <w:r>
        <w:rPr>
          <w:spacing w:val="1"/>
          <w:sz w:val="24"/>
        </w:rPr>
        <w:t> </w:t>
      </w:r>
      <w:r>
        <w:rPr>
          <w:sz w:val="24"/>
        </w:rPr>
        <w:t>esamība;</w:t>
      </w:r>
    </w:p>
    <w:p>
      <w:pPr>
        <w:pStyle w:val="ListParagraph"/>
        <w:numPr>
          <w:ilvl w:val="0"/>
          <w:numId w:val="71"/>
        </w:numPr>
        <w:tabs>
          <w:tab w:pos="1340" w:val="left" w:leader="none"/>
        </w:tabs>
        <w:spacing w:line="240" w:lineRule="auto" w:before="1" w:after="0"/>
        <w:ind w:left="1340" w:right="765" w:hanging="360"/>
        <w:jc w:val="both"/>
        <w:rPr>
          <w:sz w:val="24"/>
        </w:rPr>
      </w:pPr>
      <w:r>
        <w:rPr>
          <w:sz w:val="24"/>
        </w:rPr>
        <w:t>kreditors nav samaksājis tiesas noteikto naudas summu, lai gan tā jāsamaksā līdz pagaidu administratora</w:t>
      </w:r>
      <w:r>
        <w:rPr>
          <w:spacing w:val="-4"/>
          <w:sz w:val="24"/>
        </w:rPr>
        <w:t> </w:t>
      </w:r>
      <w:r>
        <w:rPr>
          <w:sz w:val="24"/>
        </w:rPr>
        <w:t>iecelšanai;</w:t>
      </w:r>
    </w:p>
    <w:p>
      <w:pPr>
        <w:pStyle w:val="ListParagraph"/>
        <w:numPr>
          <w:ilvl w:val="0"/>
          <w:numId w:val="71"/>
        </w:numPr>
        <w:tabs>
          <w:tab w:pos="1340" w:val="left" w:leader="none"/>
        </w:tabs>
        <w:spacing w:line="232" w:lineRule="auto" w:before="6" w:after="0"/>
        <w:ind w:left="1340" w:right="767" w:hanging="360"/>
        <w:jc w:val="both"/>
        <w:rPr>
          <w:sz w:val="16"/>
        </w:rPr>
      </w:pPr>
      <w:r>
        <w:rPr>
          <w:sz w:val="24"/>
        </w:rPr>
        <w:t>parādnieks vai trešā persona pirms pagaidu administratora iecelšanas ir izpildījusi saistību, uz kuras pamata tika iesniegts maksātnespēja </w:t>
      </w:r>
      <w:r>
        <w:rPr>
          <w:spacing w:val="-3"/>
          <w:sz w:val="24"/>
        </w:rPr>
        <w:t>procesa </w:t>
      </w:r>
      <w:r>
        <w:rPr>
          <w:sz w:val="24"/>
        </w:rPr>
        <w:t>pieteikums vai sniegusi pietiekamu nodrošinājumu saistību</w:t>
      </w:r>
      <w:r>
        <w:rPr>
          <w:spacing w:val="1"/>
          <w:sz w:val="24"/>
        </w:rPr>
        <w:t> </w:t>
      </w:r>
      <w:r>
        <w:rPr>
          <w:sz w:val="24"/>
        </w:rPr>
        <w:t>izpildei.</w:t>
      </w:r>
      <w:r>
        <w:rPr>
          <w:position w:val="9"/>
          <w:sz w:val="16"/>
        </w:rPr>
        <w:t>316</w:t>
      </w:r>
    </w:p>
    <w:p>
      <w:pPr>
        <w:pStyle w:val="BodyText"/>
        <w:spacing w:before="3"/>
        <w:ind w:left="260" w:right="759" w:firstLine="720"/>
      </w:pPr>
      <w:r>
        <w:rPr/>
        <w:t>Ja pieteikumu iesniedz kreditors, tad tiesa nozīmē pirmstiesas sēdi, lai izlemtu par pagaidu administratora iecelšanu, uz kuru tiek uzaicināti bankrota pieteikuma iesniedzējs un parādnieks, izņemot, ja ir acīmredzams, ka ir ievēroti Igaunijas Bankrota likuma 15.panta trešās daļas nosacījumi (Igaunijas Bankrota likuma 16.panta pirmā daļa).</w:t>
      </w:r>
    </w:p>
    <w:p>
      <w:pPr>
        <w:pStyle w:val="BodyText"/>
        <w:ind w:left="260" w:right="763" w:firstLine="720"/>
      </w:pPr>
      <w:r>
        <w:rPr/>
        <w:t>Bankrota pieteikuma nodrošināšanai tiesa var piemērot visus pasākumus, kas paredzēti prasības nodrošināšanai, aizliegt parādniekam atstāt dzīvesvietu saskaņā ar Igaunijas Bankrota likuma 88.panta noteikumiem vai uzlikt naudas sodu, piemērot piespiedu apmeklējumu vai apcietināšanu saskaņā ar Igaunijas Bankrota likuma 89. pantu (Bankrota likums 18.panta pirmā daļa).</w:t>
      </w:r>
    </w:p>
    <w:p>
      <w:pPr>
        <w:pStyle w:val="ListParagraph"/>
        <w:numPr>
          <w:ilvl w:val="0"/>
          <w:numId w:val="69"/>
        </w:numPr>
        <w:tabs>
          <w:tab w:pos="980" w:val="left" w:leader="none"/>
        </w:tabs>
        <w:spacing w:line="228" w:lineRule="auto" w:before="12" w:after="0"/>
        <w:ind w:left="260" w:right="766" w:firstLine="427"/>
        <w:jc w:val="both"/>
        <w:rPr>
          <w:sz w:val="16"/>
        </w:rPr>
      </w:pPr>
      <w:r>
        <w:rPr>
          <w:b/>
          <w:i/>
          <w:sz w:val="24"/>
        </w:rPr>
        <w:t>Bankrota procedūras pasludināšana. </w:t>
      </w:r>
      <w:r>
        <w:rPr>
          <w:sz w:val="24"/>
        </w:rPr>
        <w:t>Tiesa lemj par bankrota </w:t>
      </w:r>
      <w:r>
        <w:rPr>
          <w:spacing w:val="-3"/>
          <w:sz w:val="24"/>
        </w:rPr>
        <w:t>procedūras </w:t>
      </w:r>
      <w:r>
        <w:rPr>
          <w:sz w:val="24"/>
        </w:rPr>
        <w:t>pasludināšanu 10 dienu laikā pēc bankrota pieteikuma</w:t>
      </w:r>
      <w:r>
        <w:rPr>
          <w:spacing w:val="-3"/>
          <w:sz w:val="24"/>
        </w:rPr>
        <w:t> </w:t>
      </w:r>
      <w:r>
        <w:rPr>
          <w:sz w:val="24"/>
        </w:rPr>
        <w:t>saņemšanas.</w:t>
      </w:r>
      <w:r>
        <w:rPr>
          <w:position w:val="9"/>
          <w:sz w:val="16"/>
        </w:rPr>
        <w:t>317</w:t>
      </w:r>
    </w:p>
    <w:p>
      <w:pPr>
        <w:pStyle w:val="BodyText"/>
        <w:spacing w:before="1"/>
        <w:ind w:left="260" w:right="761" w:firstLine="720"/>
      </w:pPr>
      <w:r>
        <w:rPr/>
        <w:t>Bankrota procedūra tiek uzsākta ar bankrota pasludināšanu, kuru tiesa pasludina</w:t>
      </w:r>
      <w:r>
        <w:rPr>
          <w:spacing w:val="-20"/>
        </w:rPr>
        <w:t> </w:t>
      </w:r>
      <w:r>
        <w:rPr/>
        <w:t>ar spriedumu (Igaunijas Bankrota likuma 31.pants). Paziņojumu par bankrotu publicē arī oficiālajā izdevumā </w:t>
      </w:r>
      <w:r>
        <w:rPr>
          <w:i/>
        </w:rPr>
        <w:t>Ametlikud Teadaanded </w:t>
      </w:r>
      <w:r>
        <w:rPr/>
        <w:t>(Igaunijas Bankrota likuma 33.pants). Spriedumu par bankrotu parādnieks un pieteikumu iesniegušais kreditors var pārsūdzēt  15 dienu laikā no dienas, kad tika publicēts paziņojums par bankrotu. Parādnieks </w:t>
      </w:r>
      <w:r>
        <w:rPr>
          <w:spacing w:val="-6"/>
        </w:rPr>
        <w:t>un </w:t>
      </w:r>
      <w:r>
        <w:rPr/>
        <w:t>bankrota</w:t>
      </w:r>
      <w:r>
        <w:rPr>
          <w:spacing w:val="-7"/>
        </w:rPr>
        <w:t> </w:t>
      </w:r>
      <w:r>
        <w:rPr/>
        <w:t>pieteikuma</w:t>
      </w:r>
      <w:r>
        <w:rPr>
          <w:spacing w:val="-8"/>
        </w:rPr>
        <w:t> </w:t>
      </w:r>
      <w:r>
        <w:rPr/>
        <w:t>iesniedzējs</w:t>
      </w:r>
      <w:r>
        <w:rPr>
          <w:spacing w:val="-8"/>
        </w:rPr>
        <w:t> </w:t>
      </w:r>
      <w:r>
        <w:rPr/>
        <w:t>var</w:t>
      </w:r>
      <w:r>
        <w:rPr>
          <w:spacing w:val="-9"/>
        </w:rPr>
        <w:t> </w:t>
      </w:r>
      <w:r>
        <w:rPr/>
        <w:t>pārsūdzēt</w:t>
      </w:r>
      <w:r>
        <w:rPr>
          <w:spacing w:val="-8"/>
        </w:rPr>
        <w:t> </w:t>
      </w:r>
      <w:r>
        <w:rPr/>
        <w:t>Augstākajā</w:t>
      </w:r>
      <w:r>
        <w:rPr>
          <w:spacing w:val="-10"/>
        </w:rPr>
        <w:t> </w:t>
      </w:r>
      <w:r>
        <w:rPr/>
        <w:t>tiesā</w:t>
      </w:r>
      <w:r>
        <w:rPr>
          <w:spacing w:val="-7"/>
        </w:rPr>
        <w:t> </w:t>
      </w:r>
      <w:r>
        <w:rPr/>
        <w:t>apgabala</w:t>
      </w:r>
      <w:r>
        <w:rPr>
          <w:spacing w:val="-8"/>
        </w:rPr>
        <w:t> </w:t>
      </w:r>
      <w:r>
        <w:rPr/>
        <w:t>tiesas</w:t>
      </w:r>
      <w:r>
        <w:rPr>
          <w:spacing w:val="-8"/>
        </w:rPr>
        <w:t> </w:t>
      </w:r>
      <w:r>
        <w:rPr/>
        <w:t>nolēmumu. Administrators nedrīkst iesniegt apelāciju parādnieka vārdā un nedrīkst arī to pārstāvēt apelācijas izskatīšanas sēdē (Igaunijas Bankrota likuma</w:t>
      </w:r>
      <w:r>
        <w:rPr>
          <w:spacing w:val="-2"/>
        </w:rPr>
        <w:t> </w:t>
      </w:r>
      <w:r>
        <w:rPr/>
        <w:t>32.pants).</w:t>
      </w:r>
    </w:p>
    <w:p>
      <w:pPr>
        <w:pStyle w:val="Heading4"/>
        <w:numPr>
          <w:ilvl w:val="0"/>
          <w:numId w:val="69"/>
        </w:numPr>
        <w:tabs>
          <w:tab w:pos="980" w:val="left" w:leader="none"/>
        </w:tabs>
        <w:spacing w:line="274" w:lineRule="exact" w:before="5" w:after="0"/>
        <w:ind w:left="980" w:right="0" w:hanging="360"/>
        <w:jc w:val="both"/>
        <w:rPr>
          <w:i/>
        </w:rPr>
      </w:pPr>
      <w:r>
        <w:rPr>
          <w:i/>
        </w:rPr>
        <w:t>Parādnieka pienākumi un ierobežojumi bankrota procedūras</w:t>
      </w:r>
      <w:r>
        <w:rPr>
          <w:i/>
          <w:spacing w:val="-4"/>
        </w:rPr>
        <w:t> </w:t>
      </w:r>
      <w:r>
        <w:rPr>
          <w:i/>
        </w:rPr>
        <w:t>laikā:</w:t>
      </w:r>
    </w:p>
    <w:p>
      <w:pPr>
        <w:pStyle w:val="ListParagraph"/>
        <w:numPr>
          <w:ilvl w:val="0"/>
          <w:numId w:val="72"/>
        </w:numPr>
        <w:tabs>
          <w:tab w:pos="980" w:val="left" w:leader="none"/>
        </w:tabs>
        <w:spacing w:line="240" w:lineRule="auto" w:before="0" w:after="0"/>
        <w:ind w:left="980" w:right="762" w:hanging="360"/>
        <w:jc w:val="both"/>
        <w:rPr>
          <w:sz w:val="24"/>
        </w:rPr>
      </w:pPr>
      <w:r>
        <w:rPr>
          <w:sz w:val="24"/>
        </w:rPr>
        <w:t>Parādnieks sniedz tiesai, administratoram un bankrota komitejai (</w:t>
      </w:r>
      <w:r>
        <w:rPr>
          <w:i/>
          <w:sz w:val="24"/>
        </w:rPr>
        <w:t>Bankruptcy </w:t>
      </w:r>
      <w:r>
        <w:rPr>
          <w:i/>
          <w:sz w:val="24"/>
        </w:rPr>
        <w:t>Committee</w:t>
      </w:r>
      <w:r>
        <w:rPr>
          <w:sz w:val="24"/>
        </w:rPr>
        <w:t>) informāciju, kas ir nepieciešama bankrota procedūras ietvaros, jo </w:t>
      </w:r>
      <w:r>
        <w:rPr>
          <w:spacing w:val="-3"/>
          <w:sz w:val="24"/>
        </w:rPr>
        <w:t>īpaši </w:t>
      </w:r>
      <w:r>
        <w:rPr>
          <w:sz w:val="24"/>
        </w:rPr>
        <w:t>attiecībā uz aktīviem (Igaunijas Bankrota likuma 85.pants),</w:t>
      </w:r>
    </w:p>
    <w:p>
      <w:pPr>
        <w:pStyle w:val="ListParagraph"/>
        <w:numPr>
          <w:ilvl w:val="0"/>
          <w:numId w:val="72"/>
        </w:numPr>
        <w:tabs>
          <w:tab w:pos="980" w:val="left" w:leader="none"/>
        </w:tabs>
        <w:spacing w:line="240" w:lineRule="auto" w:before="0" w:after="0"/>
        <w:ind w:left="980" w:right="762" w:hanging="360"/>
        <w:jc w:val="both"/>
        <w:rPr>
          <w:sz w:val="24"/>
        </w:rPr>
      </w:pPr>
      <w:r>
        <w:rPr>
          <w:sz w:val="24"/>
        </w:rPr>
        <w:t>Tiesa var likt parādniekam dot zvērestu, apliecinot, ka tiesai iesniegtā informācija par tās aktīviem, parādiem un uzņēmējdarbību vai profesionālajām aktivitātēm ir pareiza tiktāl, cik tas parādniekam ir zināms (Igaunijas Bankrota likuma</w:t>
      </w:r>
      <w:r>
        <w:rPr>
          <w:spacing w:val="-10"/>
          <w:sz w:val="24"/>
        </w:rPr>
        <w:t> </w:t>
      </w:r>
      <w:r>
        <w:rPr>
          <w:sz w:val="24"/>
        </w:rPr>
        <w:t>86.pants),</w:t>
      </w:r>
    </w:p>
    <w:p>
      <w:pPr>
        <w:pStyle w:val="BodyText"/>
        <w:spacing w:before="5"/>
        <w:jc w:val="left"/>
        <w:rPr>
          <w:sz w:val="20"/>
        </w:rPr>
      </w:pPr>
      <w:r>
        <w:rPr/>
        <w:pict>
          <v:shape style="position:absolute;margin-left:72pt;margin-top:14.031507pt;width:144pt;height:.1pt;mso-position-horizontal-relative:page;mso-position-vertical-relative:paragraph;z-index:-251495424;mso-wrap-distance-left:0;mso-wrap-distance-right:0" coordorigin="1440,281" coordsize="2880,0" path="m1440,281l4320,281e" filled="false" stroked="true" strokeweight=".59999pt" strokecolor="#000000">
            <v:path arrowok="t"/>
            <v:stroke dashstyle="solid"/>
            <w10:wrap type="topAndBottom"/>
          </v:shape>
        </w:pict>
      </w:r>
    </w:p>
    <w:p>
      <w:pPr>
        <w:spacing w:line="249" w:lineRule="auto" w:before="58"/>
        <w:ind w:left="260" w:right="635" w:firstLine="0"/>
        <w:jc w:val="left"/>
        <w:rPr>
          <w:sz w:val="20"/>
        </w:rPr>
      </w:pPr>
      <w:r>
        <w:rPr>
          <w:position w:val="9"/>
          <w:sz w:val="16"/>
        </w:rPr>
        <w:t>316 </w:t>
      </w:r>
      <w:r>
        <w:rPr>
          <w:sz w:val="20"/>
        </w:rPr>
        <w:t>Minētie iemesli ir par pamatu, kuru dēļ tiesa var nepasludināt bankrotu fiziskajām personām, neraugoties uz viņu maksātnespēju (Bankrota likuma 31.panta otrā daļa).</w:t>
      </w:r>
    </w:p>
    <w:p>
      <w:pPr>
        <w:spacing w:line="220" w:lineRule="exact" w:before="0"/>
        <w:ind w:left="260" w:right="0" w:firstLine="0"/>
        <w:jc w:val="left"/>
        <w:rPr>
          <w:sz w:val="20"/>
        </w:rPr>
      </w:pPr>
      <w:r>
        <w:rPr>
          <w:position w:val="7"/>
          <w:sz w:val="13"/>
        </w:rPr>
        <w:t>317 </w:t>
      </w:r>
      <w:r>
        <w:rPr>
          <w:sz w:val="20"/>
        </w:rPr>
        <w:t>Study on means to protect consumers in financial difficulty: Personal bankruptcy, datio in solutum of</w:t>
      </w:r>
    </w:p>
    <w:p>
      <w:pPr>
        <w:spacing w:before="0"/>
        <w:ind w:left="260" w:right="635" w:firstLine="0"/>
        <w:jc w:val="left"/>
        <w:rPr>
          <w:sz w:val="20"/>
        </w:rPr>
      </w:pPr>
      <w:r>
        <w:rPr>
          <w:sz w:val="20"/>
        </w:rPr>
        <w:t>mortgages, and restrictions on debt collection abusive practices. Final Report, prepared by London Economics, 2012., p.34- 36. Pieejams: </w:t>
      </w:r>
      <w:r>
        <w:rPr>
          <w:color w:val="4472C3"/>
          <w:sz w:val="20"/>
          <w:u w:val="single" w:color="4472C3"/>
        </w:rPr>
        <w:t>https://ec.europa.eu/info/file/46906/download_en?token=9buOvl55</w:t>
      </w:r>
      <w:r>
        <w:rPr>
          <w:color w:val="4472C3"/>
          <w:sz w:val="20"/>
        </w:rPr>
        <w:t> </w:t>
      </w:r>
      <w:r>
        <w:rPr>
          <w:sz w:val="20"/>
        </w:rPr>
        <w:t>[aplūkots 2018.gada 15.oktobrī].</w:t>
      </w:r>
    </w:p>
    <w:p>
      <w:pPr>
        <w:spacing w:after="0"/>
        <w:jc w:val="left"/>
        <w:rPr>
          <w:sz w:val="20"/>
        </w:rPr>
        <w:sectPr>
          <w:pgSz w:w="11910" w:h="16840"/>
          <w:pgMar w:header="0" w:footer="1055" w:top="1340" w:bottom="1240" w:left="1180" w:right="1040"/>
        </w:sectPr>
      </w:pPr>
    </w:p>
    <w:p>
      <w:pPr>
        <w:pStyle w:val="ListParagraph"/>
        <w:numPr>
          <w:ilvl w:val="0"/>
          <w:numId w:val="72"/>
        </w:numPr>
        <w:tabs>
          <w:tab w:pos="1340" w:val="left" w:leader="none"/>
        </w:tabs>
        <w:spacing w:line="240" w:lineRule="auto" w:before="73" w:after="0"/>
        <w:ind w:left="1340" w:right="406" w:hanging="360"/>
        <w:jc w:val="both"/>
        <w:rPr>
          <w:sz w:val="24"/>
        </w:rPr>
      </w:pPr>
      <w:r>
        <w:rPr>
          <w:sz w:val="24"/>
        </w:rPr>
        <w:t>Pienākums sniegt pagaidu administratoram un bankrota administratoram to pienākumu izpildei nepieciešamo palīdzību (Igaunijas Bankrota likuma</w:t>
      </w:r>
      <w:r>
        <w:rPr>
          <w:spacing w:val="-10"/>
          <w:sz w:val="24"/>
        </w:rPr>
        <w:t> </w:t>
      </w:r>
      <w:r>
        <w:rPr>
          <w:sz w:val="24"/>
        </w:rPr>
        <w:t>87.pants),</w:t>
      </w:r>
    </w:p>
    <w:p>
      <w:pPr>
        <w:pStyle w:val="ListParagraph"/>
        <w:numPr>
          <w:ilvl w:val="0"/>
          <w:numId w:val="72"/>
        </w:numPr>
        <w:tabs>
          <w:tab w:pos="1340" w:val="left" w:leader="none"/>
        </w:tabs>
        <w:spacing w:line="240" w:lineRule="auto" w:before="0" w:after="0"/>
        <w:ind w:left="1340" w:right="404" w:hanging="360"/>
        <w:jc w:val="both"/>
        <w:rPr>
          <w:sz w:val="24"/>
        </w:rPr>
      </w:pPr>
      <w:r>
        <w:rPr>
          <w:sz w:val="24"/>
        </w:rPr>
        <w:t>Pēc bankrota pasludināšanas un zvēresta nodošanas parādnieks bez tiesas atļaujas nedrīkst izbraukt no Igaunijas (Igaunijas Bankrota likuma</w:t>
      </w:r>
      <w:r>
        <w:rPr>
          <w:spacing w:val="4"/>
          <w:sz w:val="24"/>
        </w:rPr>
        <w:t> </w:t>
      </w:r>
      <w:r>
        <w:rPr>
          <w:sz w:val="24"/>
        </w:rPr>
        <w:t>88.pants),</w:t>
      </w:r>
    </w:p>
    <w:p>
      <w:pPr>
        <w:pStyle w:val="ListParagraph"/>
        <w:numPr>
          <w:ilvl w:val="0"/>
          <w:numId w:val="72"/>
        </w:numPr>
        <w:tabs>
          <w:tab w:pos="1340" w:val="left" w:leader="none"/>
        </w:tabs>
        <w:spacing w:line="240" w:lineRule="auto" w:before="0" w:after="0"/>
        <w:ind w:left="1340" w:right="402" w:hanging="360"/>
        <w:jc w:val="both"/>
        <w:rPr>
          <w:sz w:val="24"/>
        </w:rPr>
      </w:pPr>
      <w:r>
        <w:rPr>
          <w:sz w:val="24"/>
        </w:rPr>
        <w:t>ja ir pamats uzskatīt, ka parādnieks var izvairīties no saistībām un </w:t>
      </w:r>
      <w:r>
        <w:rPr>
          <w:spacing w:val="-2"/>
          <w:sz w:val="24"/>
        </w:rPr>
        <w:t>pienākumiem, </w:t>
      </w:r>
      <w:r>
        <w:rPr>
          <w:sz w:val="24"/>
        </w:rPr>
        <w:t>kas noteikti Bankrota likumā, tiesa pēc administratora priekšlikuma vai pēc savas iniciatīvas var aizliegt parādniekam atstāt dzīvesvietu (Igaunijas Bankrota likuma 88.pants),</w:t>
      </w:r>
    </w:p>
    <w:p>
      <w:pPr>
        <w:pStyle w:val="ListParagraph"/>
        <w:numPr>
          <w:ilvl w:val="0"/>
          <w:numId w:val="72"/>
        </w:numPr>
        <w:tabs>
          <w:tab w:pos="1340" w:val="left" w:leader="none"/>
        </w:tabs>
        <w:spacing w:line="240" w:lineRule="auto" w:before="0" w:after="0"/>
        <w:ind w:left="1340" w:right="402" w:hanging="360"/>
        <w:jc w:val="both"/>
        <w:rPr>
          <w:sz w:val="24"/>
        </w:rPr>
      </w:pPr>
      <w:r>
        <w:rPr>
          <w:sz w:val="24"/>
        </w:rPr>
        <w:t>Atbilstoši Igaunijas Bankrota likuma 89.pantam, tiesa var uzlikt naudas sodu, noteikt viņam pienākumu obligāti piedalīties (</w:t>
      </w:r>
      <w:r>
        <w:rPr>
          <w:i/>
          <w:sz w:val="24"/>
        </w:rPr>
        <w:t>compelled attendance</w:t>
      </w:r>
      <w:r>
        <w:rPr>
          <w:sz w:val="24"/>
        </w:rPr>
        <w:t>) vai piemērot viņam arestu, ja tiesas rīkojums netiek ievērots nolūkā nodrošināt likumā noteikto saistību izpildi, proti, ja netiek pildīta kāda no zemāk minētajām prasībām</w:t>
      </w:r>
      <w:r>
        <w:rPr>
          <w:spacing w:val="-4"/>
          <w:sz w:val="24"/>
        </w:rPr>
        <w:t> </w:t>
      </w:r>
      <w:r>
        <w:rPr>
          <w:sz w:val="24"/>
        </w:rPr>
        <w:t>:</w:t>
      </w:r>
    </w:p>
    <w:p>
      <w:pPr>
        <w:pStyle w:val="ListParagraph"/>
        <w:numPr>
          <w:ilvl w:val="1"/>
          <w:numId w:val="72"/>
        </w:numPr>
        <w:tabs>
          <w:tab w:pos="2060" w:val="left" w:leader="none"/>
        </w:tabs>
        <w:spacing w:line="240" w:lineRule="auto" w:before="1" w:after="0"/>
        <w:ind w:left="2060" w:right="771" w:hanging="360"/>
        <w:jc w:val="left"/>
        <w:rPr>
          <w:sz w:val="24"/>
        </w:rPr>
      </w:pPr>
      <w:r>
        <w:rPr>
          <w:sz w:val="24"/>
        </w:rPr>
        <w:t>pienākuma sniegt informāciju neizpilde (Igaunijas Bankrota likuma 85. pants);</w:t>
      </w:r>
    </w:p>
    <w:p>
      <w:pPr>
        <w:pStyle w:val="ListParagraph"/>
        <w:numPr>
          <w:ilvl w:val="1"/>
          <w:numId w:val="72"/>
        </w:numPr>
        <w:tabs>
          <w:tab w:pos="2060" w:val="left" w:leader="none"/>
        </w:tabs>
        <w:spacing w:line="240" w:lineRule="auto" w:before="0" w:after="0"/>
        <w:ind w:left="2060" w:right="709" w:hanging="360"/>
        <w:jc w:val="left"/>
        <w:rPr>
          <w:sz w:val="24"/>
        </w:rPr>
      </w:pPr>
      <w:r>
        <w:rPr>
          <w:sz w:val="24"/>
        </w:rPr>
        <w:t>pienākuma piedalīties bankrota procedūrā neizpilde (Igaunijas Bankrota likuma 87.pants);</w:t>
      </w:r>
    </w:p>
    <w:p>
      <w:pPr>
        <w:pStyle w:val="ListParagraph"/>
        <w:numPr>
          <w:ilvl w:val="1"/>
          <w:numId w:val="72"/>
        </w:numPr>
        <w:tabs>
          <w:tab w:pos="2060" w:val="left" w:leader="none"/>
        </w:tabs>
        <w:spacing w:line="240" w:lineRule="auto" w:before="0" w:after="0"/>
        <w:ind w:left="2060" w:right="0" w:hanging="360"/>
        <w:jc w:val="left"/>
        <w:rPr>
          <w:sz w:val="24"/>
        </w:rPr>
      </w:pPr>
      <w:r>
        <w:rPr>
          <w:sz w:val="24"/>
        </w:rPr>
        <w:t>zvēresta pienākuma neizpilde (Igaunijas Bankrota likuma 86.pants);</w:t>
      </w:r>
    </w:p>
    <w:p>
      <w:pPr>
        <w:pStyle w:val="ListParagraph"/>
        <w:numPr>
          <w:ilvl w:val="1"/>
          <w:numId w:val="72"/>
        </w:numPr>
        <w:tabs>
          <w:tab w:pos="2060" w:val="left" w:leader="none"/>
        </w:tabs>
        <w:spacing w:line="240" w:lineRule="auto" w:before="0" w:after="0"/>
        <w:ind w:left="2060" w:right="1122" w:hanging="360"/>
        <w:jc w:val="left"/>
        <w:rPr>
          <w:sz w:val="24"/>
        </w:rPr>
      </w:pPr>
      <w:r>
        <w:rPr>
          <w:sz w:val="24"/>
        </w:rPr>
        <w:t>aizlieguma izbraukt no dzīvesvietas pārkāpums (Igaunijas </w:t>
      </w:r>
      <w:r>
        <w:rPr>
          <w:spacing w:val="-3"/>
          <w:sz w:val="24"/>
        </w:rPr>
        <w:t>Bankrota </w:t>
      </w:r>
      <w:r>
        <w:rPr>
          <w:sz w:val="24"/>
        </w:rPr>
        <w:t>likuma 88.pants);</w:t>
      </w:r>
    </w:p>
    <w:p>
      <w:pPr>
        <w:pStyle w:val="ListParagraph"/>
        <w:numPr>
          <w:ilvl w:val="1"/>
          <w:numId w:val="72"/>
        </w:numPr>
        <w:tabs>
          <w:tab w:pos="2060" w:val="left" w:leader="none"/>
        </w:tabs>
        <w:spacing w:line="240" w:lineRule="auto" w:before="0" w:after="0"/>
        <w:ind w:left="2060" w:right="446" w:hanging="360"/>
        <w:jc w:val="left"/>
        <w:rPr>
          <w:sz w:val="24"/>
        </w:rPr>
      </w:pPr>
      <w:r>
        <w:rPr>
          <w:sz w:val="24"/>
        </w:rPr>
        <w:t>aizlieguma atdot bankrotu īpašumu pārkāpums (Igaunijas Bankrota likuma 20.pants un 35. panta 1. punkta 3. un 4.</w:t>
      </w:r>
      <w:r>
        <w:rPr>
          <w:spacing w:val="-1"/>
          <w:sz w:val="24"/>
        </w:rPr>
        <w:t> </w:t>
      </w:r>
      <w:r>
        <w:rPr>
          <w:sz w:val="24"/>
        </w:rPr>
        <w:t>apakšpunkts);</w:t>
      </w:r>
    </w:p>
    <w:p>
      <w:pPr>
        <w:pStyle w:val="ListParagraph"/>
        <w:numPr>
          <w:ilvl w:val="1"/>
          <w:numId w:val="72"/>
        </w:numPr>
        <w:tabs>
          <w:tab w:pos="2059" w:val="left" w:leader="none"/>
          <w:tab w:pos="2060" w:val="left" w:leader="none"/>
        </w:tabs>
        <w:spacing w:line="240" w:lineRule="auto" w:before="0" w:after="0"/>
        <w:ind w:left="2060" w:right="981" w:hanging="360"/>
        <w:jc w:val="left"/>
        <w:rPr>
          <w:sz w:val="24"/>
        </w:rPr>
      </w:pPr>
      <w:r>
        <w:rPr>
          <w:sz w:val="24"/>
        </w:rPr>
        <w:t>būtiski pārkāpj no Bankrota likuma izrietošos pienākumus citā </w:t>
      </w:r>
      <w:r>
        <w:rPr>
          <w:spacing w:val="-4"/>
          <w:sz w:val="24"/>
        </w:rPr>
        <w:t>veidā, </w:t>
      </w:r>
      <w:r>
        <w:rPr>
          <w:sz w:val="24"/>
        </w:rPr>
        <w:t>tādējādi kaitējot bankrota īpašumam.</w:t>
      </w:r>
    </w:p>
    <w:p>
      <w:pPr>
        <w:pStyle w:val="ListParagraph"/>
        <w:numPr>
          <w:ilvl w:val="0"/>
          <w:numId w:val="72"/>
        </w:numPr>
        <w:tabs>
          <w:tab w:pos="1340" w:val="left" w:leader="none"/>
        </w:tabs>
        <w:spacing w:line="240" w:lineRule="auto" w:before="0" w:after="0"/>
        <w:ind w:left="1340" w:right="402" w:hanging="360"/>
        <w:jc w:val="both"/>
        <w:rPr>
          <w:sz w:val="24"/>
        </w:rPr>
      </w:pPr>
      <w:r>
        <w:rPr>
          <w:sz w:val="24"/>
        </w:rPr>
        <w:t>Parādnieks, kurš ir fiziska persona, nedrīkst darboties kā vienīgais īpašnieks, kā valdes</w:t>
      </w:r>
      <w:r>
        <w:rPr>
          <w:spacing w:val="-17"/>
          <w:sz w:val="24"/>
        </w:rPr>
        <w:t> </w:t>
      </w:r>
      <w:r>
        <w:rPr>
          <w:sz w:val="24"/>
        </w:rPr>
        <w:t>loceklis</w:t>
      </w:r>
      <w:r>
        <w:rPr>
          <w:spacing w:val="-11"/>
          <w:sz w:val="24"/>
        </w:rPr>
        <w:t> </w:t>
      </w:r>
      <w:r>
        <w:rPr>
          <w:sz w:val="24"/>
        </w:rPr>
        <w:t>juridiskā</w:t>
      </w:r>
      <w:r>
        <w:rPr>
          <w:spacing w:val="-16"/>
          <w:sz w:val="24"/>
        </w:rPr>
        <w:t> </w:t>
      </w:r>
      <w:r>
        <w:rPr>
          <w:sz w:val="24"/>
        </w:rPr>
        <w:t>personā</w:t>
      </w:r>
      <w:r>
        <w:rPr>
          <w:spacing w:val="-13"/>
          <w:sz w:val="24"/>
        </w:rPr>
        <w:t> </w:t>
      </w:r>
      <w:r>
        <w:rPr>
          <w:sz w:val="24"/>
        </w:rPr>
        <w:t>(</w:t>
      </w:r>
      <w:r>
        <w:rPr>
          <w:i/>
          <w:sz w:val="24"/>
        </w:rPr>
        <w:t>a</w:t>
      </w:r>
      <w:r>
        <w:rPr>
          <w:i/>
          <w:spacing w:val="-14"/>
          <w:sz w:val="24"/>
        </w:rPr>
        <w:t> </w:t>
      </w:r>
      <w:r>
        <w:rPr>
          <w:i/>
          <w:sz w:val="24"/>
        </w:rPr>
        <w:t>member</w:t>
      </w:r>
      <w:r>
        <w:rPr>
          <w:i/>
          <w:spacing w:val="-13"/>
          <w:sz w:val="24"/>
        </w:rPr>
        <w:t> </w:t>
      </w:r>
      <w:r>
        <w:rPr>
          <w:i/>
          <w:sz w:val="24"/>
        </w:rPr>
        <w:t>of</w:t>
      </w:r>
      <w:r>
        <w:rPr>
          <w:i/>
          <w:spacing w:val="-13"/>
          <w:sz w:val="24"/>
        </w:rPr>
        <w:t> </w:t>
      </w:r>
      <w:r>
        <w:rPr>
          <w:i/>
          <w:sz w:val="24"/>
        </w:rPr>
        <w:t>management</w:t>
      </w:r>
      <w:r>
        <w:rPr>
          <w:i/>
          <w:spacing w:val="-11"/>
          <w:sz w:val="24"/>
        </w:rPr>
        <w:t> </w:t>
      </w:r>
      <w:r>
        <w:rPr>
          <w:i/>
          <w:sz w:val="24"/>
        </w:rPr>
        <w:t>bogy</w:t>
      </w:r>
      <w:r>
        <w:rPr>
          <w:i/>
          <w:spacing w:val="-16"/>
          <w:sz w:val="24"/>
        </w:rPr>
        <w:t> </w:t>
      </w:r>
      <w:r>
        <w:rPr>
          <w:i/>
          <w:sz w:val="24"/>
        </w:rPr>
        <w:t>of</w:t>
      </w:r>
      <w:r>
        <w:rPr>
          <w:i/>
          <w:spacing w:val="-12"/>
          <w:sz w:val="24"/>
        </w:rPr>
        <w:t> </w:t>
      </w:r>
      <w:r>
        <w:rPr>
          <w:i/>
          <w:sz w:val="24"/>
        </w:rPr>
        <w:t>a</w:t>
      </w:r>
      <w:r>
        <w:rPr>
          <w:i/>
          <w:spacing w:val="-13"/>
          <w:sz w:val="24"/>
        </w:rPr>
        <w:t> </w:t>
      </w:r>
      <w:r>
        <w:rPr>
          <w:i/>
          <w:sz w:val="24"/>
        </w:rPr>
        <w:t>legal</w:t>
      </w:r>
      <w:r>
        <w:rPr>
          <w:i/>
          <w:spacing w:val="-18"/>
          <w:sz w:val="24"/>
        </w:rPr>
        <w:t> </w:t>
      </w:r>
      <w:r>
        <w:rPr>
          <w:i/>
          <w:sz w:val="24"/>
        </w:rPr>
        <w:t>person</w:t>
      </w:r>
      <w:r>
        <w:rPr>
          <w:sz w:val="24"/>
        </w:rPr>
        <w:t>), būt juridiskās personas likvidators vai prokūrists (</w:t>
      </w:r>
      <w:r>
        <w:rPr>
          <w:i/>
          <w:sz w:val="24"/>
        </w:rPr>
        <w:t>procurator</w:t>
      </w:r>
      <w:r>
        <w:rPr>
          <w:sz w:val="24"/>
        </w:rPr>
        <w:t>) laika posmā no bankrota procedūras pasludināšanas līdz bankrota procedūras beigām bez tiesas atļaujas (Igaunijas Bankrota likuma</w:t>
      </w:r>
      <w:r>
        <w:rPr>
          <w:spacing w:val="-1"/>
          <w:sz w:val="24"/>
        </w:rPr>
        <w:t> </w:t>
      </w:r>
      <w:r>
        <w:rPr>
          <w:sz w:val="24"/>
        </w:rPr>
        <w:t>91.pants).</w:t>
      </w:r>
    </w:p>
    <w:p>
      <w:pPr>
        <w:pStyle w:val="ListParagraph"/>
        <w:numPr>
          <w:ilvl w:val="0"/>
          <w:numId w:val="72"/>
        </w:numPr>
        <w:tabs>
          <w:tab w:pos="1340" w:val="left" w:leader="none"/>
        </w:tabs>
        <w:spacing w:line="228" w:lineRule="auto" w:before="11" w:after="0"/>
        <w:ind w:left="1340" w:right="404" w:hanging="360"/>
        <w:jc w:val="both"/>
        <w:rPr>
          <w:sz w:val="24"/>
        </w:rPr>
      </w:pPr>
      <w:r>
        <w:rPr>
          <w:sz w:val="24"/>
        </w:rPr>
        <w:t>Parādnieks ir tiesīgs iepazīties ar administratora materiāliem un tiesas materiāliem bankrota lietā (Igaunijas Bankrota likuma 91.</w:t>
      </w:r>
      <w:r>
        <w:rPr>
          <w:position w:val="9"/>
          <w:sz w:val="16"/>
        </w:rPr>
        <w:t>1</w:t>
      </w:r>
      <w:r>
        <w:rPr>
          <w:spacing w:val="17"/>
          <w:position w:val="9"/>
          <w:sz w:val="16"/>
        </w:rPr>
        <w:t> </w:t>
      </w:r>
      <w:r>
        <w:rPr>
          <w:sz w:val="24"/>
        </w:rPr>
        <w:t>pants).</w:t>
      </w:r>
    </w:p>
    <w:p>
      <w:pPr>
        <w:pStyle w:val="BodyText"/>
        <w:spacing w:before="1"/>
        <w:jc w:val="left"/>
      </w:pPr>
    </w:p>
    <w:p>
      <w:pPr>
        <w:pStyle w:val="ListParagraph"/>
        <w:numPr>
          <w:ilvl w:val="0"/>
          <w:numId w:val="69"/>
        </w:numPr>
        <w:tabs>
          <w:tab w:pos="1340" w:val="left" w:leader="none"/>
        </w:tabs>
        <w:spacing w:line="240" w:lineRule="auto" w:before="0" w:after="0"/>
        <w:ind w:left="620" w:right="401" w:firstLine="360"/>
        <w:jc w:val="both"/>
        <w:rPr>
          <w:sz w:val="24"/>
        </w:rPr>
      </w:pPr>
      <w:r>
        <w:rPr>
          <w:b/>
          <w:i/>
          <w:sz w:val="24"/>
        </w:rPr>
        <w:t>Bankrota</w:t>
      </w:r>
      <w:r>
        <w:rPr>
          <w:b/>
          <w:i/>
          <w:spacing w:val="-11"/>
          <w:sz w:val="24"/>
        </w:rPr>
        <w:t> </w:t>
      </w:r>
      <w:r>
        <w:rPr>
          <w:b/>
          <w:i/>
          <w:sz w:val="24"/>
        </w:rPr>
        <w:t>manta.</w:t>
      </w:r>
      <w:r>
        <w:rPr>
          <w:b/>
          <w:i/>
          <w:spacing w:val="-11"/>
          <w:sz w:val="24"/>
        </w:rPr>
        <w:t> </w:t>
      </w:r>
      <w:r>
        <w:rPr>
          <w:sz w:val="24"/>
        </w:rPr>
        <w:t>Pēc</w:t>
      </w:r>
      <w:r>
        <w:rPr>
          <w:spacing w:val="-8"/>
          <w:sz w:val="24"/>
        </w:rPr>
        <w:t> </w:t>
      </w:r>
      <w:r>
        <w:rPr>
          <w:sz w:val="24"/>
        </w:rPr>
        <w:t>bankrota</w:t>
      </w:r>
      <w:r>
        <w:rPr>
          <w:spacing w:val="-6"/>
          <w:sz w:val="24"/>
        </w:rPr>
        <w:t> </w:t>
      </w:r>
      <w:r>
        <w:rPr>
          <w:sz w:val="24"/>
        </w:rPr>
        <w:t>pasludināšanas</w:t>
      </w:r>
      <w:r>
        <w:rPr>
          <w:spacing w:val="-10"/>
          <w:sz w:val="24"/>
        </w:rPr>
        <w:t> </w:t>
      </w:r>
      <w:r>
        <w:rPr>
          <w:sz w:val="24"/>
        </w:rPr>
        <w:t>parādnieka</w:t>
      </w:r>
      <w:r>
        <w:rPr>
          <w:spacing w:val="-6"/>
          <w:sz w:val="24"/>
        </w:rPr>
        <w:t> </w:t>
      </w:r>
      <w:r>
        <w:rPr>
          <w:sz w:val="24"/>
        </w:rPr>
        <w:t>aktīvi</w:t>
      </w:r>
      <w:r>
        <w:rPr>
          <w:spacing w:val="-8"/>
          <w:sz w:val="24"/>
        </w:rPr>
        <w:t> </w:t>
      </w:r>
      <w:r>
        <w:rPr>
          <w:sz w:val="24"/>
        </w:rPr>
        <w:t>kļūst</w:t>
      </w:r>
      <w:r>
        <w:rPr>
          <w:spacing w:val="-8"/>
          <w:sz w:val="24"/>
        </w:rPr>
        <w:t> </w:t>
      </w:r>
      <w:r>
        <w:rPr>
          <w:sz w:val="24"/>
        </w:rPr>
        <w:t>par</w:t>
      </w:r>
      <w:r>
        <w:rPr>
          <w:spacing w:val="-5"/>
          <w:sz w:val="24"/>
        </w:rPr>
        <w:t> </w:t>
      </w:r>
      <w:r>
        <w:rPr>
          <w:sz w:val="24"/>
        </w:rPr>
        <w:t>bankrota mantu (</w:t>
      </w:r>
      <w:r>
        <w:rPr>
          <w:i/>
          <w:sz w:val="24"/>
        </w:rPr>
        <w:t>bankruptcy estate</w:t>
      </w:r>
      <w:r>
        <w:rPr>
          <w:sz w:val="24"/>
        </w:rPr>
        <w:t>) un tiek izmantoti bankrota procedūras norisei un kreditoru prasījumu apmierināšanai (Igaunijas Bankrota likuma Bankrota likuma 108.pants). Ja parādnieks ir fiziska persona, tai tiek atņemtas tiesības slēgt darījumus, kas attiecas uz bankrota aktīviem (Igaunijas Bankrota likuma Bankrota likuma 35.pants). Saskaņā ar Igaunijas Bankrota likuma 108.pantu par bankrota mantu ir uzskatāma:</w:t>
      </w:r>
    </w:p>
    <w:p>
      <w:pPr>
        <w:pStyle w:val="ListParagraph"/>
        <w:numPr>
          <w:ilvl w:val="0"/>
          <w:numId w:val="73"/>
        </w:numPr>
        <w:tabs>
          <w:tab w:pos="1340" w:val="left" w:leader="none"/>
        </w:tabs>
        <w:spacing w:line="240" w:lineRule="auto" w:before="0" w:after="0"/>
        <w:ind w:left="1340" w:right="0" w:hanging="360"/>
        <w:jc w:val="both"/>
        <w:rPr>
          <w:sz w:val="24"/>
        </w:rPr>
      </w:pPr>
      <w:r>
        <w:rPr>
          <w:sz w:val="24"/>
        </w:rPr>
        <w:t>parādnieka aktīvi bankrota pasludināšanas</w:t>
      </w:r>
      <w:r>
        <w:rPr>
          <w:spacing w:val="-9"/>
          <w:sz w:val="24"/>
        </w:rPr>
        <w:t> </w:t>
      </w:r>
      <w:r>
        <w:rPr>
          <w:sz w:val="24"/>
        </w:rPr>
        <w:t>laikā;</w:t>
      </w:r>
    </w:p>
    <w:p>
      <w:pPr>
        <w:pStyle w:val="ListParagraph"/>
        <w:numPr>
          <w:ilvl w:val="0"/>
          <w:numId w:val="73"/>
        </w:numPr>
        <w:tabs>
          <w:tab w:pos="1340" w:val="left" w:leader="none"/>
        </w:tabs>
        <w:spacing w:line="240" w:lineRule="auto" w:before="0" w:after="0"/>
        <w:ind w:left="1340" w:right="0" w:hanging="360"/>
        <w:jc w:val="both"/>
        <w:rPr>
          <w:sz w:val="24"/>
        </w:rPr>
      </w:pPr>
      <w:r>
        <w:rPr>
          <w:sz w:val="24"/>
        </w:rPr>
        <w:t>atgūtie vai atgrieztie</w:t>
      </w:r>
      <w:r>
        <w:rPr>
          <w:spacing w:val="-2"/>
          <w:sz w:val="24"/>
        </w:rPr>
        <w:t> </w:t>
      </w:r>
      <w:r>
        <w:rPr>
          <w:sz w:val="24"/>
        </w:rPr>
        <w:t>aktīvi;</w:t>
      </w:r>
    </w:p>
    <w:p>
      <w:pPr>
        <w:pStyle w:val="ListParagraph"/>
        <w:numPr>
          <w:ilvl w:val="0"/>
          <w:numId w:val="73"/>
        </w:numPr>
        <w:tabs>
          <w:tab w:pos="1340" w:val="left" w:leader="none"/>
        </w:tabs>
        <w:spacing w:line="240" w:lineRule="auto" w:before="0" w:after="0"/>
        <w:ind w:left="1340" w:right="2486" w:hanging="360"/>
        <w:jc w:val="left"/>
        <w:rPr>
          <w:sz w:val="24"/>
        </w:rPr>
      </w:pPr>
      <w:r>
        <w:rPr>
          <w:sz w:val="24"/>
        </w:rPr>
        <w:t>aktīvi, kurus parādnieks ir ieguvis bankrota procedūras laikā. Bankrota mantā netiek</w:t>
      </w:r>
      <w:r>
        <w:rPr>
          <w:spacing w:val="-1"/>
          <w:sz w:val="24"/>
        </w:rPr>
        <w:t> </w:t>
      </w:r>
      <w:r>
        <w:rPr>
          <w:sz w:val="24"/>
        </w:rPr>
        <w:t>iekļauts:</w:t>
      </w:r>
    </w:p>
    <w:p>
      <w:pPr>
        <w:pStyle w:val="ListParagraph"/>
        <w:numPr>
          <w:ilvl w:val="0"/>
          <w:numId w:val="74"/>
        </w:numPr>
        <w:tabs>
          <w:tab w:pos="1340" w:val="left" w:leader="none"/>
        </w:tabs>
        <w:spacing w:line="240" w:lineRule="auto" w:before="0" w:after="0"/>
        <w:ind w:left="1340" w:right="0" w:hanging="360"/>
        <w:jc w:val="left"/>
        <w:rPr>
          <w:sz w:val="24"/>
        </w:rPr>
      </w:pPr>
      <w:r>
        <w:rPr>
          <w:sz w:val="24"/>
        </w:rPr>
        <w:t>trešajām piederoša</w:t>
      </w:r>
      <w:r>
        <w:rPr>
          <w:spacing w:val="-3"/>
          <w:sz w:val="24"/>
        </w:rPr>
        <w:t> </w:t>
      </w:r>
      <w:r>
        <w:rPr>
          <w:sz w:val="24"/>
        </w:rPr>
        <w:t>manta;</w:t>
      </w:r>
    </w:p>
    <w:p>
      <w:pPr>
        <w:pStyle w:val="ListParagraph"/>
        <w:numPr>
          <w:ilvl w:val="0"/>
          <w:numId w:val="74"/>
        </w:numPr>
        <w:tabs>
          <w:tab w:pos="1340" w:val="left" w:leader="none"/>
        </w:tabs>
        <w:spacing w:line="240" w:lineRule="auto" w:before="1" w:after="0"/>
        <w:ind w:left="1340" w:right="0" w:hanging="360"/>
        <w:jc w:val="left"/>
        <w:rPr>
          <w:sz w:val="24"/>
        </w:rPr>
      </w:pPr>
      <w:r>
        <w:rPr>
          <w:sz w:val="24"/>
        </w:rPr>
        <w:t>aktīvi, uz kuriem saskaņā ar likumu nevar vērst</w:t>
      </w:r>
      <w:r>
        <w:rPr>
          <w:spacing w:val="-1"/>
          <w:sz w:val="24"/>
        </w:rPr>
        <w:t> </w:t>
      </w:r>
      <w:r>
        <w:rPr>
          <w:sz w:val="24"/>
        </w:rPr>
        <w:t>piedziņu.</w:t>
      </w:r>
    </w:p>
    <w:p>
      <w:pPr>
        <w:pStyle w:val="BodyText"/>
        <w:ind w:left="620" w:right="402" w:firstLine="720"/>
      </w:pPr>
      <w:r>
        <w:rPr/>
        <w:t>Mantu,</w:t>
      </w:r>
      <w:r>
        <w:rPr>
          <w:spacing w:val="-16"/>
        </w:rPr>
        <w:t> </w:t>
      </w:r>
      <w:r>
        <w:rPr/>
        <w:t>uz</w:t>
      </w:r>
      <w:r>
        <w:rPr>
          <w:spacing w:val="-13"/>
        </w:rPr>
        <w:t> </w:t>
      </w:r>
      <w:r>
        <w:rPr/>
        <w:t>kuru</w:t>
      </w:r>
      <w:r>
        <w:rPr>
          <w:spacing w:val="-15"/>
        </w:rPr>
        <w:t> </w:t>
      </w:r>
      <w:r>
        <w:rPr/>
        <w:t>nevar</w:t>
      </w:r>
      <w:r>
        <w:rPr>
          <w:spacing w:val="-15"/>
        </w:rPr>
        <w:t> </w:t>
      </w:r>
      <w:r>
        <w:rPr/>
        <w:t>vērst</w:t>
      </w:r>
      <w:r>
        <w:rPr>
          <w:spacing w:val="-15"/>
        </w:rPr>
        <w:t> </w:t>
      </w:r>
      <w:r>
        <w:rPr/>
        <w:t>piedziņu,</w:t>
      </w:r>
      <w:r>
        <w:rPr>
          <w:spacing w:val="-16"/>
        </w:rPr>
        <w:t> </w:t>
      </w:r>
      <w:r>
        <w:rPr/>
        <w:t>reglamentē</w:t>
      </w:r>
      <w:r>
        <w:rPr>
          <w:spacing w:val="-15"/>
        </w:rPr>
        <w:t> </w:t>
      </w:r>
      <w:r>
        <w:rPr/>
        <w:t>Izpildes</w:t>
      </w:r>
      <w:r>
        <w:rPr>
          <w:spacing w:val="-17"/>
        </w:rPr>
        <w:t> </w:t>
      </w:r>
      <w:r>
        <w:rPr/>
        <w:t>procedūras</w:t>
      </w:r>
      <w:r>
        <w:rPr>
          <w:spacing w:val="-15"/>
        </w:rPr>
        <w:t> </w:t>
      </w:r>
      <w:r>
        <w:rPr/>
        <w:t>kodekss</w:t>
      </w:r>
      <w:r>
        <w:rPr>
          <w:spacing w:val="-15"/>
        </w:rPr>
        <w:t> </w:t>
      </w:r>
      <w:r>
        <w:rPr/>
        <w:t>(</w:t>
      </w:r>
      <w:r>
        <w:rPr>
          <w:i/>
        </w:rPr>
        <w:t>Code </w:t>
      </w:r>
      <w:r>
        <w:rPr>
          <w:i/>
        </w:rPr>
        <w:t>of Enforcement procedure</w:t>
      </w:r>
      <w:r>
        <w:rPr/>
        <w:t>). Likumā ir sniegts neizsmeļošs tādu objektu saraksts, kuriem nav piemērojams arests. Galvenais tādu objektu saraksta izveides mērķis, kuriem nav piemērojams arests, ir nodrošināt parādniekam minimālu sociālo aizsardzību. Aizliegums pārdot lietas, kam nav piemērojams arests, izriet arī no nepieciešamības aizsargāt citas pamattiesības: tiesības brīvi izvēlēties darbības jomu, profesiju un amatu, tiesības nodarboties ar uzņēmējdarbību, tiesības uz izglītību, reliģijas brīvību, privātās un</w:t>
      </w:r>
      <w:r>
        <w:rPr>
          <w:spacing w:val="3"/>
        </w:rPr>
        <w:t> </w:t>
      </w:r>
      <w:r>
        <w:rPr/>
        <w:t>ģimenes</w:t>
      </w:r>
    </w:p>
    <w:p>
      <w:pPr>
        <w:spacing w:after="0"/>
        <w:sectPr>
          <w:pgSz w:w="11910" w:h="16840"/>
          <w:pgMar w:header="0" w:footer="1055" w:top="1340" w:bottom="1240" w:left="1180" w:right="1040"/>
        </w:sectPr>
      </w:pPr>
    </w:p>
    <w:p>
      <w:pPr>
        <w:pStyle w:val="BodyText"/>
        <w:spacing w:line="228" w:lineRule="auto" w:before="84"/>
        <w:ind w:left="260" w:right="764"/>
        <w:rPr>
          <w:sz w:val="16"/>
        </w:rPr>
      </w:pPr>
      <w:r>
        <w:rPr/>
        <w:t>dzīves aizsardzību utt. Turklāt noteiktu objektu arests ir pretrunā vispārpieņemtajiem morāles principiem.</w:t>
      </w:r>
      <w:r>
        <w:rPr>
          <w:position w:val="9"/>
          <w:sz w:val="16"/>
        </w:rPr>
        <w:t>318</w:t>
      </w:r>
    </w:p>
    <w:p>
      <w:pPr>
        <w:pStyle w:val="BodyText"/>
        <w:spacing w:line="237" w:lineRule="auto" w:before="4"/>
        <w:ind w:left="260" w:right="761" w:firstLine="720"/>
        <w:rPr>
          <w:sz w:val="16"/>
        </w:rPr>
      </w:pPr>
      <w:r>
        <w:rPr/>
        <w:t>Saskaņā ar Igaunijas tiesību aktiem ierobežojumi piemērojami arī attiecībā uz ienākumu arestu, un to galvenais mērķis ir nodrošināt parādniekam minimālos iztikas līdzekļus, kas nepieciešami sevis un savu apgādājamo personu uzturēšanai atbilstīgi pret debitoru vērstās tiesvedības nosacījumiem. Pastāv divu veidu ierobežojumi: daļa, kam</w:t>
      </w:r>
      <w:r>
        <w:rPr>
          <w:spacing w:val="-26"/>
        </w:rPr>
        <w:t> </w:t>
      </w:r>
      <w:r>
        <w:rPr/>
        <w:t>nav piemērojams arests un kam ir jāpaliek parādnieka lietošanā, un tā saucamie sociālie pabalsti, pirmais no kuriem nodrošina parādniekam minimālos iztikas līdzekļus, savukārt otrajā</w:t>
      </w:r>
      <w:r>
        <w:rPr>
          <w:spacing w:val="-11"/>
        </w:rPr>
        <w:t> </w:t>
      </w:r>
      <w:r>
        <w:rPr/>
        <w:t>daļā</w:t>
      </w:r>
      <w:r>
        <w:rPr>
          <w:spacing w:val="-8"/>
        </w:rPr>
        <w:t> </w:t>
      </w:r>
      <w:r>
        <w:rPr/>
        <w:t>ir</w:t>
      </w:r>
      <w:r>
        <w:rPr>
          <w:spacing w:val="-9"/>
        </w:rPr>
        <w:t> </w:t>
      </w:r>
      <w:r>
        <w:rPr/>
        <w:t>uzskaitītas</w:t>
      </w:r>
      <w:r>
        <w:rPr>
          <w:spacing w:val="-2"/>
        </w:rPr>
        <w:t> </w:t>
      </w:r>
      <w:r>
        <w:rPr>
          <w:i/>
        </w:rPr>
        <w:t>ad</w:t>
      </w:r>
      <w:r>
        <w:rPr>
          <w:i/>
          <w:spacing w:val="-9"/>
        </w:rPr>
        <w:t> </w:t>
      </w:r>
      <w:r>
        <w:rPr>
          <w:i/>
        </w:rPr>
        <w:t>hoc</w:t>
      </w:r>
      <w:r>
        <w:rPr>
          <w:i/>
          <w:spacing w:val="-1"/>
        </w:rPr>
        <w:t> </w:t>
      </w:r>
      <w:r>
        <w:rPr/>
        <w:t>summas,</w:t>
      </w:r>
      <w:r>
        <w:rPr>
          <w:spacing w:val="-8"/>
        </w:rPr>
        <w:t> </w:t>
      </w:r>
      <w:r>
        <w:rPr/>
        <w:t>kas</w:t>
      </w:r>
      <w:r>
        <w:rPr>
          <w:spacing w:val="-11"/>
        </w:rPr>
        <w:t> </w:t>
      </w:r>
      <w:r>
        <w:rPr/>
        <w:t>izmaksājamas</w:t>
      </w:r>
      <w:r>
        <w:rPr>
          <w:spacing w:val="-8"/>
        </w:rPr>
        <w:t> </w:t>
      </w:r>
      <w:r>
        <w:rPr/>
        <w:t>noteiktu</w:t>
      </w:r>
      <w:r>
        <w:rPr>
          <w:spacing w:val="-9"/>
        </w:rPr>
        <w:t> </w:t>
      </w:r>
      <w:r>
        <w:rPr/>
        <w:t>tiesību</w:t>
      </w:r>
      <w:r>
        <w:rPr>
          <w:spacing w:val="-8"/>
        </w:rPr>
        <w:t> </w:t>
      </w:r>
      <w:r>
        <w:rPr/>
        <w:t>aizsardzībai</w:t>
      </w:r>
      <w:r>
        <w:rPr>
          <w:spacing w:val="-8"/>
        </w:rPr>
        <w:t> </w:t>
      </w:r>
      <w:r>
        <w:rPr/>
        <w:t>un kuras nevar izmantot citu saistību segšanai. Tomēr noteiktos apstākļos iespējams daļējs sociālo pabalstu arests.</w:t>
      </w:r>
      <w:r>
        <w:rPr>
          <w:position w:val="9"/>
          <w:sz w:val="16"/>
        </w:rPr>
        <w:t>319</w:t>
      </w:r>
    </w:p>
    <w:p>
      <w:pPr>
        <w:pStyle w:val="ListParagraph"/>
        <w:numPr>
          <w:ilvl w:val="0"/>
          <w:numId w:val="69"/>
        </w:numPr>
        <w:tabs>
          <w:tab w:pos="968" w:val="left" w:leader="none"/>
        </w:tabs>
        <w:spacing w:line="237" w:lineRule="auto" w:before="10" w:after="0"/>
        <w:ind w:left="260" w:right="761" w:firstLine="427"/>
        <w:jc w:val="both"/>
        <w:rPr>
          <w:sz w:val="16"/>
        </w:rPr>
      </w:pPr>
      <w:r>
        <w:rPr>
          <w:b/>
          <w:i/>
          <w:sz w:val="24"/>
        </w:rPr>
        <w:t>Rīcība ar bankrota mantu. </w:t>
      </w:r>
      <w:r>
        <w:rPr>
          <w:sz w:val="24"/>
        </w:rPr>
        <w:t>Pēc bankrota pasludināšanas jebkāda parādnieka bankrotējušā parādnieka mantā ietilpstošo objektu pārdošana ir spēkā neesoša. Ja parādnieks ir pārdevis nākotnē gaidāmos prasījumus pirms bankrota pasludināšanas, pārdošana kļūst spēkā neesoša tad, kad bankrots tiek pasludināts attiecībā uz prasījumiem, kas radušies pēc bankrota pasludināšanas. Ja parādnieks ir fiziska persona, viņš var pārdot savu</w:t>
      </w:r>
      <w:r>
        <w:rPr>
          <w:spacing w:val="-12"/>
          <w:sz w:val="24"/>
        </w:rPr>
        <w:t> </w:t>
      </w:r>
      <w:r>
        <w:rPr>
          <w:sz w:val="24"/>
        </w:rPr>
        <w:t>mantu</w:t>
      </w:r>
      <w:r>
        <w:rPr>
          <w:spacing w:val="-11"/>
          <w:sz w:val="24"/>
        </w:rPr>
        <w:t> </w:t>
      </w:r>
      <w:r>
        <w:rPr>
          <w:sz w:val="24"/>
        </w:rPr>
        <w:t>ar</w:t>
      </w:r>
      <w:r>
        <w:rPr>
          <w:spacing w:val="-15"/>
          <w:sz w:val="24"/>
        </w:rPr>
        <w:t> </w:t>
      </w:r>
      <w:r>
        <w:rPr>
          <w:sz w:val="24"/>
        </w:rPr>
        <w:t>administratora</w:t>
      </w:r>
      <w:r>
        <w:rPr>
          <w:spacing w:val="-13"/>
          <w:sz w:val="24"/>
        </w:rPr>
        <w:t> </w:t>
      </w:r>
      <w:r>
        <w:rPr>
          <w:sz w:val="24"/>
        </w:rPr>
        <w:t>piekrišanu.</w:t>
      </w:r>
      <w:r>
        <w:rPr>
          <w:spacing w:val="-11"/>
          <w:sz w:val="24"/>
        </w:rPr>
        <w:t> </w:t>
      </w:r>
      <w:r>
        <w:rPr>
          <w:sz w:val="24"/>
        </w:rPr>
        <w:t>Jebkāda</w:t>
      </w:r>
      <w:r>
        <w:rPr>
          <w:spacing w:val="-12"/>
          <w:sz w:val="24"/>
        </w:rPr>
        <w:t> </w:t>
      </w:r>
      <w:r>
        <w:rPr>
          <w:sz w:val="24"/>
        </w:rPr>
        <w:t>pārdošana</w:t>
      </w:r>
      <w:r>
        <w:rPr>
          <w:spacing w:val="-11"/>
          <w:sz w:val="24"/>
        </w:rPr>
        <w:t> </w:t>
      </w:r>
      <w:r>
        <w:rPr>
          <w:sz w:val="24"/>
        </w:rPr>
        <w:t>bez</w:t>
      </w:r>
      <w:r>
        <w:rPr>
          <w:spacing w:val="-12"/>
          <w:sz w:val="24"/>
        </w:rPr>
        <w:t> </w:t>
      </w:r>
      <w:r>
        <w:rPr>
          <w:sz w:val="24"/>
        </w:rPr>
        <w:t>administratora</w:t>
      </w:r>
      <w:r>
        <w:rPr>
          <w:spacing w:val="-11"/>
          <w:sz w:val="24"/>
        </w:rPr>
        <w:t> </w:t>
      </w:r>
      <w:r>
        <w:rPr>
          <w:sz w:val="24"/>
        </w:rPr>
        <w:t>piekrišanas ir spēkā</w:t>
      </w:r>
      <w:r>
        <w:rPr>
          <w:spacing w:val="-3"/>
          <w:sz w:val="24"/>
        </w:rPr>
        <w:t> </w:t>
      </w:r>
      <w:r>
        <w:rPr>
          <w:sz w:val="24"/>
        </w:rPr>
        <w:t>neesoša.</w:t>
      </w:r>
      <w:r>
        <w:rPr>
          <w:position w:val="9"/>
          <w:sz w:val="16"/>
        </w:rPr>
        <w:t>320</w:t>
      </w:r>
    </w:p>
    <w:p>
      <w:pPr>
        <w:pStyle w:val="BodyText"/>
        <w:spacing w:line="237" w:lineRule="auto" w:before="4"/>
        <w:ind w:left="260" w:right="760" w:firstLine="720"/>
        <w:rPr>
          <w:sz w:val="16"/>
        </w:rPr>
      </w:pPr>
      <w:r>
        <w:rPr/>
        <w:t>Pēc bankrota pasludināšanas bankrotējušā parādnieka mantā iekļautu saistību pret parādnieku izpildi var akceptēt tikai administrators. Ja saistības tiek pildītas parādnieka labā, tiek uzskatīts, ka saistības ir izpildītas tikai tad, ja saistību izpildei nodotie aktīvi tiek saglabāti bankrotējušā parādnieka mantā vai ja šādas nodošanas rezultātā bankrotējušā parādnieka manta tiek palielināta. Ja saistības pret parādnieku ir izpildītas pirms paziņojuma par bankrotu publicēšanas, tiek uzskatīts, ka saistības ir izpildītas, ja persona, kura</w:t>
      </w:r>
      <w:r>
        <w:rPr>
          <w:spacing w:val="-12"/>
        </w:rPr>
        <w:t> </w:t>
      </w:r>
      <w:r>
        <w:rPr/>
        <w:t>šīs</w:t>
      </w:r>
      <w:r>
        <w:rPr>
          <w:spacing w:val="-7"/>
        </w:rPr>
        <w:t> </w:t>
      </w:r>
      <w:r>
        <w:rPr/>
        <w:t>saistības</w:t>
      </w:r>
      <w:r>
        <w:rPr>
          <w:spacing w:val="-12"/>
        </w:rPr>
        <w:t> </w:t>
      </w:r>
      <w:r>
        <w:rPr/>
        <w:t>ir</w:t>
      </w:r>
      <w:r>
        <w:rPr>
          <w:spacing w:val="-7"/>
        </w:rPr>
        <w:t> </w:t>
      </w:r>
      <w:r>
        <w:rPr/>
        <w:t>pildījusi,</w:t>
      </w:r>
      <w:r>
        <w:rPr>
          <w:spacing w:val="-10"/>
        </w:rPr>
        <w:t> </w:t>
      </w:r>
      <w:r>
        <w:rPr/>
        <w:t>nezināja</w:t>
      </w:r>
      <w:r>
        <w:rPr>
          <w:spacing w:val="-10"/>
        </w:rPr>
        <w:t> </w:t>
      </w:r>
      <w:r>
        <w:rPr/>
        <w:t>un</w:t>
      </w:r>
      <w:r>
        <w:rPr>
          <w:spacing w:val="-9"/>
        </w:rPr>
        <w:t> </w:t>
      </w:r>
      <w:r>
        <w:rPr/>
        <w:t>nevarēja</w:t>
      </w:r>
      <w:r>
        <w:rPr>
          <w:spacing w:val="-8"/>
        </w:rPr>
        <w:t> </w:t>
      </w:r>
      <w:r>
        <w:rPr/>
        <w:t>zināt</w:t>
      </w:r>
      <w:r>
        <w:rPr>
          <w:spacing w:val="-10"/>
        </w:rPr>
        <w:t> </w:t>
      </w:r>
      <w:r>
        <w:rPr/>
        <w:t>par</w:t>
      </w:r>
      <w:r>
        <w:rPr>
          <w:spacing w:val="-11"/>
        </w:rPr>
        <w:t> </w:t>
      </w:r>
      <w:r>
        <w:rPr/>
        <w:t>bankrota</w:t>
      </w:r>
      <w:r>
        <w:rPr>
          <w:spacing w:val="-10"/>
        </w:rPr>
        <w:t> </w:t>
      </w:r>
      <w:r>
        <w:rPr/>
        <w:t>pasludināšanu</w:t>
      </w:r>
      <w:r>
        <w:rPr>
          <w:spacing w:val="-10"/>
        </w:rPr>
        <w:t> </w:t>
      </w:r>
      <w:r>
        <w:rPr/>
        <w:t>saistību izpildes</w:t>
      </w:r>
      <w:r>
        <w:rPr>
          <w:spacing w:val="-3"/>
        </w:rPr>
        <w:t> </w:t>
      </w:r>
      <w:r>
        <w:rPr/>
        <w:t>laikā.</w:t>
      </w:r>
      <w:r>
        <w:rPr>
          <w:position w:val="9"/>
          <w:sz w:val="16"/>
        </w:rPr>
        <w:t>321</w:t>
      </w:r>
    </w:p>
    <w:p>
      <w:pPr>
        <w:pStyle w:val="BodyText"/>
        <w:spacing w:before="4"/>
        <w:ind w:left="260" w:right="762" w:firstLine="720"/>
      </w:pPr>
      <w:r>
        <w:rPr/>
        <w:t>Ja parādnieks ir pārsūdzējis spriedumu par bankrotu, parādnieka aktīvus nedrīkst pārdot bez parādnieka piekrišanas līdz iesniegtās apelācijas izskatīšanai apgabaltiesā. Šie ierobežojumi neattiecas uz tādu aktīvu pārdošanu, kuru vērtība strauji krītas vai kuru uzglabāšana vai saglabāšana ir pārāk dārga (Igaunijas Bankrota likuma 133.pants)</w:t>
      </w:r>
    </w:p>
    <w:p>
      <w:pPr>
        <w:pStyle w:val="BodyText"/>
        <w:spacing w:line="232" w:lineRule="auto" w:before="7"/>
        <w:ind w:left="260" w:right="761" w:firstLine="720"/>
        <w:rPr>
          <w:sz w:val="16"/>
        </w:rPr>
      </w:pPr>
      <w:r>
        <w:rPr/>
        <w:t>Iztikas</w:t>
      </w:r>
      <w:r>
        <w:rPr>
          <w:spacing w:val="-11"/>
        </w:rPr>
        <w:t> </w:t>
      </w:r>
      <w:r>
        <w:rPr/>
        <w:t>līdzekļu</w:t>
      </w:r>
      <w:r>
        <w:rPr>
          <w:spacing w:val="-11"/>
        </w:rPr>
        <w:t> </w:t>
      </w:r>
      <w:r>
        <w:rPr/>
        <w:t>saglabāšana:</w:t>
      </w:r>
      <w:r>
        <w:rPr>
          <w:spacing w:val="-13"/>
        </w:rPr>
        <w:t> </w:t>
      </w:r>
      <w:r>
        <w:rPr/>
        <w:t>no</w:t>
      </w:r>
      <w:r>
        <w:rPr>
          <w:spacing w:val="-11"/>
        </w:rPr>
        <w:t> </w:t>
      </w:r>
      <w:r>
        <w:rPr/>
        <w:t>parādnieka</w:t>
      </w:r>
      <w:r>
        <w:rPr>
          <w:spacing w:val="-13"/>
        </w:rPr>
        <w:t> </w:t>
      </w:r>
      <w:r>
        <w:rPr/>
        <w:t>mantas</w:t>
      </w:r>
      <w:r>
        <w:rPr>
          <w:spacing w:val="-8"/>
        </w:rPr>
        <w:t> </w:t>
      </w:r>
      <w:r>
        <w:rPr/>
        <w:t>divus</w:t>
      </w:r>
      <w:r>
        <w:rPr>
          <w:spacing w:val="-11"/>
        </w:rPr>
        <w:t> </w:t>
      </w:r>
      <w:r>
        <w:rPr/>
        <w:t>mēnešus</w:t>
      </w:r>
      <w:r>
        <w:rPr>
          <w:spacing w:val="-9"/>
        </w:rPr>
        <w:t> </w:t>
      </w:r>
      <w:r>
        <w:rPr/>
        <w:t>parādniekam</w:t>
      </w:r>
      <w:r>
        <w:rPr>
          <w:spacing w:val="-13"/>
        </w:rPr>
        <w:t> </w:t>
      </w:r>
      <w:r>
        <w:rPr/>
        <w:t>var tikt izmaksāts uzturēšanas izmaksu maksājums vai ilgāk, ja tiesa šo termiņu pagarina (Igaunijas Bankrota likuma</w:t>
      </w:r>
      <w:r>
        <w:rPr>
          <w:spacing w:val="2"/>
        </w:rPr>
        <w:t> </w:t>
      </w:r>
      <w:r>
        <w:rPr/>
        <w:t>147.pants).</w:t>
      </w:r>
      <w:r>
        <w:rPr>
          <w:position w:val="9"/>
          <w:sz w:val="16"/>
        </w:rPr>
        <w:t>322</w:t>
      </w:r>
    </w:p>
    <w:p>
      <w:pPr>
        <w:pStyle w:val="ListParagraph"/>
        <w:numPr>
          <w:ilvl w:val="0"/>
          <w:numId w:val="69"/>
        </w:numPr>
        <w:tabs>
          <w:tab w:pos="980" w:val="left" w:leader="none"/>
        </w:tabs>
        <w:spacing w:line="240" w:lineRule="auto" w:before="3" w:after="0"/>
        <w:ind w:left="260" w:right="761" w:firstLine="427"/>
        <w:jc w:val="both"/>
        <w:rPr>
          <w:sz w:val="24"/>
        </w:rPr>
      </w:pPr>
      <w:r>
        <w:rPr>
          <w:b/>
          <w:i/>
          <w:sz w:val="24"/>
        </w:rPr>
        <w:t>Godprātības</w:t>
      </w:r>
      <w:r>
        <w:rPr>
          <w:b/>
          <w:i/>
          <w:spacing w:val="-13"/>
          <w:sz w:val="24"/>
        </w:rPr>
        <w:t> </w:t>
      </w:r>
      <w:r>
        <w:rPr>
          <w:b/>
          <w:i/>
          <w:sz w:val="24"/>
        </w:rPr>
        <w:t>kritērijs.</w:t>
      </w:r>
      <w:r>
        <w:rPr>
          <w:b/>
          <w:i/>
          <w:spacing w:val="-14"/>
          <w:sz w:val="24"/>
        </w:rPr>
        <w:t> </w:t>
      </w:r>
      <w:r>
        <w:rPr>
          <w:sz w:val="24"/>
        </w:rPr>
        <w:t>Likumā</w:t>
      </w:r>
      <w:r>
        <w:rPr>
          <w:spacing w:val="-13"/>
          <w:sz w:val="24"/>
        </w:rPr>
        <w:t> </w:t>
      </w:r>
      <w:r>
        <w:rPr>
          <w:sz w:val="24"/>
        </w:rPr>
        <w:t>parādnieka</w:t>
      </w:r>
      <w:r>
        <w:rPr>
          <w:spacing w:val="-12"/>
          <w:sz w:val="24"/>
        </w:rPr>
        <w:t> </w:t>
      </w:r>
      <w:r>
        <w:rPr>
          <w:sz w:val="24"/>
        </w:rPr>
        <w:t>godprātības</w:t>
      </w:r>
      <w:r>
        <w:rPr>
          <w:spacing w:val="-13"/>
          <w:sz w:val="24"/>
        </w:rPr>
        <w:t> </w:t>
      </w:r>
      <w:r>
        <w:rPr>
          <w:sz w:val="24"/>
        </w:rPr>
        <w:t>kritērijs</w:t>
      </w:r>
      <w:r>
        <w:rPr>
          <w:spacing w:val="-10"/>
          <w:sz w:val="24"/>
        </w:rPr>
        <w:t> </w:t>
      </w:r>
      <w:r>
        <w:rPr>
          <w:sz w:val="24"/>
        </w:rPr>
        <w:t>kā</w:t>
      </w:r>
      <w:r>
        <w:rPr>
          <w:spacing w:val="-15"/>
          <w:sz w:val="24"/>
        </w:rPr>
        <w:t> </w:t>
      </w:r>
      <w:r>
        <w:rPr>
          <w:sz w:val="24"/>
        </w:rPr>
        <w:t>tāds</w:t>
      </w:r>
      <w:r>
        <w:rPr>
          <w:spacing w:val="-13"/>
          <w:sz w:val="24"/>
        </w:rPr>
        <w:t> </w:t>
      </w:r>
      <w:r>
        <w:rPr>
          <w:sz w:val="24"/>
        </w:rPr>
        <w:t>nav</w:t>
      </w:r>
      <w:r>
        <w:rPr>
          <w:spacing w:val="-12"/>
          <w:sz w:val="24"/>
        </w:rPr>
        <w:t> </w:t>
      </w:r>
      <w:r>
        <w:rPr>
          <w:sz w:val="24"/>
        </w:rPr>
        <w:t>norādīts, tomēr</w:t>
      </w:r>
      <w:r>
        <w:rPr>
          <w:spacing w:val="-5"/>
          <w:sz w:val="24"/>
        </w:rPr>
        <w:t> </w:t>
      </w:r>
      <w:r>
        <w:rPr>
          <w:sz w:val="24"/>
        </w:rPr>
        <w:t>kritēriji,</w:t>
      </w:r>
      <w:r>
        <w:rPr>
          <w:spacing w:val="-4"/>
          <w:sz w:val="24"/>
        </w:rPr>
        <w:t> </w:t>
      </w:r>
      <w:r>
        <w:rPr>
          <w:sz w:val="24"/>
        </w:rPr>
        <w:t>pēc</w:t>
      </w:r>
      <w:r>
        <w:rPr>
          <w:spacing w:val="-8"/>
          <w:sz w:val="24"/>
        </w:rPr>
        <w:t> </w:t>
      </w:r>
      <w:r>
        <w:rPr>
          <w:sz w:val="24"/>
        </w:rPr>
        <w:t>kā</w:t>
      </w:r>
      <w:r>
        <w:rPr>
          <w:spacing w:val="-4"/>
          <w:sz w:val="24"/>
        </w:rPr>
        <w:t> </w:t>
      </w:r>
      <w:r>
        <w:rPr>
          <w:sz w:val="24"/>
        </w:rPr>
        <w:t>izvērtē</w:t>
      </w:r>
      <w:r>
        <w:rPr>
          <w:spacing w:val="-4"/>
          <w:sz w:val="24"/>
        </w:rPr>
        <w:t> </w:t>
      </w:r>
      <w:r>
        <w:rPr>
          <w:sz w:val="24"/>
        </w:rPr>
        <w:t>parādnieka</w:t>
      </w:r>
      <w:r>
        <w:rPr>
          <w:spacing w:val="-2"/>
          <w:sz w:val="24"/>
        </w:rPr>
        <w:t> </w:t>
      </w:r>
      <w:r>
        <w:rPr>
          <w:sz w:val="24"/>
        </w:rPr>
        <w:t>godprātību</w:t>
      </w:r>
      <w:r>
        <w:rPr>
          <w:spacing w:val="-4"/>
          <w:sz w:val="24"/>
        </w:rPr>
        <w:t> </w:t>
      </w:r>
      <w:r>
        <w:rPr>
          <w:sz w:val="24"/>
        </w:rPr>
        <w:t>izriet</w:t>
      </w:r>
      <w:r>
        <w:rPr>
          <w:spacing w:val="-5"/>
          <w:sz w:val="24"/>
        </w:rPr>
        <w:t> </w:t>
      </w:r>
      <w:r>
        <w:rPr>
          <w:sz w:val="24"/>
        </w:rPr>
        <w:t>no</w:t>
      </w:r>
      <w:r>
        <w:rPr>
          <w:spacing w:val="-4"/>
          <w:sz w:val="24"/>
        </w:rPr>
        <w:t> </w:t>
      </w:r>
      <w:r>
        <w:rPr>
          <w:sz w:val="24"/>
        </w:rPr>
        <w:t>vairākām</w:t>
      </w:r>
      <w:r>
        <w:rPr>
          <w:spacing w:val="-1"/>
          <w:sz w:val="24"/>
        </w:rPr>
        <w:t> </w:t>
      </w:r>
      <w:r>
        <w:rPr>
          <w:sz w:val="24"/>
        </w:rPr>
        <w:t>Igaunijas</w:t>
      </w:r>
      <w:r>
        <w:rPr>
          <w:spacing w:val="-5"/>
          <w:sz w:val="24"/>
        </w:rPr>
        <w:t> </w:t>
      </w:r>
      <w:r>
        <w:rPr>
          <w:sz w:val="24"/>
        </w:rPr>
        <w:t>Bankrota likuma normām.</w:t>
      </w:r>
    </w:p>
    <w:p>
      <w:pPr>
        <w:pStyle w:val="BodyText"/>
        <w:ind w:left="260" w:right="763" w:firstLine="720"/>
      </w:pPr>
      <w:r>
        <w:rPr/>
        <w:t>Igaunijas Bankrota likuma 110.pantā ir uzskaitīti gadījumi, kuros parādnieka noslēgtie darījumi ir atzīstami par spēkā neesošiem. Tiesa atceļ noslēgtos darījumus, ja:</w:t>
      </w:r>
    </w:p>
    <w:p>
      <w:pPr>
        <w:pStyle w:val="ListParagraph"/>
        <w:numPr>
          <w:ilvl w:val="1"/>
          <w:numId w:val="69"/>
        </w:numPr>
        <w:tabs>
          <w:tab w:pos="1284" w:val="left" w:leader="none"/>
        </w:tabs>
        <w:spacing w:line="240" w:lineRule="auto" w:before="0" w:after="0"/>
        <w:ind w:left="260" w:right="763" w:firstLine="720"/>
        <w:jc w:val="both"/>
        <w:rPr>
          <w:sz w:val="24"/>
        </w:rPr>
      </w:pPr>
      <w:r>
        <w:rPr>
          <w:sz w:val="24"/>
        </w:rPr>
        <w:t>darījums noslēgts laikposmā no pagaidu administratora iecelšanas brīža līdz bankrota paziņošanai;</w:t>
      </w:r>
    </w:p>
    <w:p>
      <w:pPr>
        <w:pStyle w:val="BodyText"/>
        <w:jc w:val="left"/>
        <w:rPr>
          <w:sz w:val="20"/>
        </w:rPr>
      </w:pPr>
    </w:p>
    <w:p>
      <w:pPr>
        <w:pStyle w:val="BodyText"/>
        <w:jc w:val="left"/>
        <w:rPr>
          <w:sz w:val="20"/>
        </w:rPr>
      </w:pPr>
    </w:p>
    <w:p>
      <w:pPr>
        <w:pStyle w:val="BodyText"/>
        <w:spacing w:before="6"/>
        <w:jc w:val="left"/>
        <w:rPr>
          <w:sz w:val="20"/>
        </w:rPr>
      </w:pPr>
      <w:r>
        <w:rPr/>
        <w:pict>
          <v:shape style="position:absolute;margin-left:72pt;margin-top:14.094178pt;width:144pt;height:.1pt;mso-position-horizontal-relative:page;mso-position-vertical-relative:paragraph;z-index:-251494400;mso-wrap-distance-left:0;mso-wrap-distance-right:0" coordorigin="1440,282" coordsize="2880,0" path="m1440,282l4320,282e" filled="false" stroked="true" strokeweight=".600037pt" strokecolor="#000000">
            <v:path arrowok="t"/>
            <v:stroke dashstyle="solid"/>
            <w10:wrap type="topAndBottom"/>
          </v:shape>
        </w:pict>
      </w:r>
    </w:p>
    <w:p>
      <w:pPr>
        <w:spacing w:before="70"/>
        <w:ind w:left="260" w:right="0" w:firstLine="0"/>
        <w:jc w:val="left"/>
        <w:rPr>
          <w:sz w:val="20"/>
        </w:rPr>
      </w:pPr>
      <w:r>
        <w:rPr>
          <w:position w:val="7"/>
          <w:sz w:val="13"/>
        </w:rPr>
        <w:t>318</w:t>
      </w:r>
      <w:r>
        <w:rPr>
          <w:sz w:val="20"/>
        </w:rPr>
        <w:t>Maksātnespēja – Igaunija. Pieejams:</w:t>
      </w:r>
    </w:p>
    <w:p>
      <w:pPr>
        <w:spacing w:line="228" w:lineRule="exact" w:before="0"/>
        <w:ind w:left="310" w:right="0" w:firstLine="0"/>
        <w:jc w:val="left"/>
        <w:rPr>
          <w:sz w:val="20"/>
        </w:rPr>
      </w:pPr>
      <w:r>
        <w:rPr>
          <w:color w:val="0562C1"/>
          <w:sz w:val="20"/>
          <w:u w:val="single" w:color="0562C1"/>
        </w:rPr>
        <w:t>https://e-justice.europa.eu/content_insolvency-447-EE-lv.do?clang=lv</w:t>
      </w:r>
      <w:r>
        <w:rPr>
          <w:color w:val="0562C1"/>
          <w:sz w:val="20"/>
        </w:rPr>
        <w:t> </w:t>
      </w:r>
      <w:r>
        <w:rPr>
          <w:sz w:val="20"/>
        </w:rPr>
        <w:t>[aplūkots 2018.gada 15.oktobrī].</w:t>
      </w:r>
    </w:p>
    <w:p>
      <w:pPr>
        <w:spacing w:line="230" w:lineRule="exact" w:before="0"/>
        <w:ind w:left="260" w:right="0" w:firstLine="0"/>
        <w:jc w:val="left"/>
        <w:rPr>
          <w:sz w:val="20"/>
        </w:rPr>
      </w:pPr>
      <w:r>
        <w:rPr>
          <w:position w:val="7"/>
          <w:sz w:val="13"/>
        </w:rPr>
        <w:t>319</w:t>
      </w:r>
      <w:r>
        <w:rPr>
          <w:spacing w:val="17"/>
          <w:position w:val="7"/>
          <w:sz w:val="13"/>
        </w:rPr>
        <w:t> </w:t>
      </w:r>
      <w:r>
        <w:rPr>
          <w:sz w:val="20"/>
        </w:rPr>
        <w:t>Ibid.</w:t>
      </w:r>
    </w:p>
    <w:p>
      <w:pPr>
        <w:spacing w:line="230" w:lineRule="exact" w:before="0"/>
        <w:ind w:left="260" w:right="0" w:firstLine="0"/>
        <w:jc w:val="left"/>
        <w:rPr>
          <w:sz w:val="20"/>
        </w:rPr>
      </w:pPr>
      <w:r>
        <w:rPr>
          <w:position w:val="7"/>
          <w:sz w:val="13"/>
        </w:rPr>
        <w:t>320</w:t>
      </w:r>
      <w:r>
        <w:rPr>
          <w:spacing w:val="17"/>
          <w:position w:val="7"/>
          <w:sz w:val="13"/>
        </w:rPr>
        <w:t> </w:t>
      </w:r>
      <w:r>
        <w:rPr>
          <w:sz w:val="20"/>
        </w:rPr>
        <w:t>Ibid.</w:t>
      </w:r>
    </w:p>
    <w:p>
      <w:pPr>
        <w:spacing w:line="229" w:lineRule="exact" w:before="0"/>
        <w:ind w:left="260" w:right="0" w:firstLine="0"/>
        <w:jc w:val="left"/>
        <w:rPr>
          <w:sz w:val="20"/>
        </w:rPr>
      </w:pPr>
      <w:r>
        <w:rPr>
          <w:position w:val="7"/>
          <w:sz w:val="13"/>
        </w:rPr>
        <w:t>321</w:t>
      </w:r>
      <w:r>
        <w:rPr>
          <w:spacing w:val="17"/>
          <w:position w:val="7"/>
          <w:sz w:val="13"/>
        </w:rPr>
        <w:t> </w:t>
      </w:r>
      <w:r>
        <w:rPr>
          <w:sz w:val="20"/>
        </w:rPr>
        <w:t>Ibid.</w:t>
      </w:r>
    </w:p>
    <w:p>
      <w:pPr>
        <w:spacing w:line="240" w:lineRule="auto" w:before="0"/>
        <w:ind w:left="260" w:right="635" w:firstLine="0"/>
        <w:jc w:val="left"/>
        <w:rPr>
          <w:sz w:val="20"/>
        </w:rPr>
      </w:pPr>
      <w:r>
        <w:rPr>
          <w:position w:val="7"/>
          <w:sz w:val="13"/>
        </w:rPr>
        <w:t>322 </w:t>
      </w:r>
      <w:r>
        <w:rPr>
          <w:sz w:val="20"/>
        </w:rPr>
        <w:t>Study on a new approach to buiness failure and insolvency: Comperative legal analysis of the Member States’ relevant provisions and practices, 2016, p.298. Pieejams: </w:t>
      </w:r>
      <w:r>
        <w:rPr>
          <w:color w:val="0562C1"/>
          <w:sz w:val="20"/>
          <w:u w:val="single" w:color="0562C1"/>
        </w:rPr>
        <w:t>https://ec.europa.eu/info/sites/info/files/insolvency_study_2016_final_en.pdf</w:t>
      </w:r>
    </w:p>
    <w:p>
      <w:pPr>
        <w:spacing w:before="0"/>
        <w:ind w:left="260" w:right="0" w:firstLine="0"/>
        <w:jc w:val="left"/>
        <w:rPr>
          <w:sz w:val="20"/>
        </w:rPr>
      </w:pPr>
      <w:r>
        <w:rPr>
          <w:sz w:val="20"/>
        </w:rPr>
        <w:t>[aplūkots 2018.gada16.oktobrī].</w:t>
      </w:r>
    </w:p>
    <w:p>
      <w:pPr>
        <w:spacing w:after="0"/>
        <w:jc w:val="left"/>
        <w:rPr>
          <w:sz w:val="20"/>
        </w:rPr>
        <w:sectPr>
          <w:pgSz w:w="11910" w:h="16840"/>
          <w:pgMar w:header="0" w:footer="1055" w:top="1340" w:bottom="1240" w:left="1180" w:right="1040"/>
        </w:sectPr>
      </w:pPr>
    </w:p>
    <w:p>
      <w:pPr>
        <w:pStyle w:val="ListParagraph"/>
        <w:numPr>
          <w:ilvl w:val="1"/>
          <w:numId w:val="69"/>
        </w:numPr>
        <w:tabs>
          <w:tab w:pos="1617" w:val="left" w:leader="none"/>
        </w:tabs>
        <w:spacing w:line="240" w:lineRule="auto" w:before="73" w:after="0"/>
        <w:ind w:left="620" w:right="403" w:firstLine="720"/>
        <w:jc w:val="both"/>
        <w:rPr>
          <w:sz w:val="24"/>
        </w:rPr>
      </w:pPr>
      <w:r>
        <w:rPr>
          <w:sz w:val="24"/>
        </w:rPr>
        <w:t>darījums noslēgts viena gada laikā pirms pagaidu administratora iecelšanas, ja otra puse ir zinājusi vai tai vajadzēja zināt, ka darījums rada zaudējumus kreditoru interesēm;</w:t>
      </w:r>
    </w:p>
    <w:p>
      <w:pPr>
        <w:pStyle w:val="ListParagraph"/>
        <w:numPr>
          <w:ilvl w:val="1"/>
          <w:numId w:val="69"/>
        </w:numPr>
        <w:tabs>
          <w:tab w:pos="1610" w:val="left" w:leader="none"/>
        </w:tabs>
        <w:spacing w:line="240" w:lineRule="auto" w:before="0" w:after="0"/>
        <w:ind w:left="620" w:right="402" w:firstLine="720"/>
        <w:jc w:val="both"/>
        <w:rPr>
          <w:sz w:val="24"/>
        </w:rPr>
      </w:pPr>
      <w:r>
        <w:rPr>
          <w:sz w:val="24"/>
        </w:rPr>
        <w:t>darījums noslēgts pirms šā apakšnodaļas 2.punktā noteiktā termiņa uzsākšanas, ja darījums noslēgts trīs gadu laikā pirms pagaidu administratora iecelšanas un parādnieks ar darījumu tīši kaitējis kreditoru interesēm un darījuma otra puse zināja vai tai vajadzēja zināt, ka ar darījumu tiek aizskartas kreditoru</w:t>
      </w:r>
      <w:r>
        <w:rPr>
          <w:spacing w:val="-8"/>
          <w:sz w:val="24"/>
        </w:rPr>
        <w:t> </w:t>
      </w:r>
      <w:r>
        <w:rPr>
          <w:sz w:val="24"/>
        </w:rPr>
        <w:t>intereses;</w:t>
      </w:r>
    </w:p>
    <w:p>
      <w:pPr>
        <w:pStyle w:val="ListParagraph"/>
        <w:numPr>
          <w:ilvl w:val="1"/>
          <w:numId w:val="69"/>
        </w:numPr>
        <w:tabs>
          <w:tab w:pos="1617" w:val="left" w:leader="none"/>
        </w:tabs>
        <w:spacing w:line="240" w:lineRule="auto" w:before="0" w:after="0"/>
        <w:ind w:left="620" w:right="404" w:firstLine="720"/>
        <w:jc w:val="both"/>
        <w:rPr>
          <w:sz w:val="24"/>
        </w:rPr>
      </w:pPr>
      <w:r>
        <w:rPr>
          <w:sz w:val="24"/>
        </w:rPr>
        <w:t>darījums noslēgts piecu gadu laikā pirms pagaidu administratora iecelšanas, ja parādnieks ar darījumu tīši kaitējis kreditoru interesēm un darījuma otra puse bija</w:t>
      </w:r>
      <w:r>
        <w:rPr>
          <w:spacing w:val="-41"/>
          <w:sz w:val="24"/>
        </w:rPr>
        <w:t> </w:t>
      </w:r>
      <w:r>
        <w:rPr>
          <w:sz w:val="24"/>
        </w:rPr>
        <w:t>persona, kas saistīta ar parādnieku un zināja vai tai vajadzēja zināt par</w:t>
      </w:r>
      <w:r>
        <w:rPr>
          <w:spacing w:val="-7"/>
          <w:sz w:val="24"/>
        </w:rPr>
        <w:t> </w:t>
      </w:r>
      <w:r>
        <w:rPr>
          <w:sz w:val="24"/>
        </w:rPr>
        <w:t>zaudējumiem.</w:t>
      </w:r>
    </w:p>
    <w:p>
      <w:pPr>
        <w:pStyle w:val="BodyText"/>
        <w:jc w:val="left"/>
      </w:pPr>
    </w:p>
    <w:p>
      <w:pPr>
        <w:pStyle w:val="BodyText"/>
        <w:ind w:left="620" w:right="400" w:firstLine="720"/>
      </w:pPr>
      <w:r>
        <w:rPr/>
        <w:t>Tiek prezumēts, ka persona, kas ir saistīta ar parādnieku, zina, ka ar darījumu parādnieks ir aizskāris kreditoru intereses, t.i., darījumi ar ieinteresētajām personām. Par ieinteresētajām personām saskaņā ar Igaunijas Bankrota likuma 117.pantu tiek uzskatītas šādas personas:</w:t>
      </w:r>
    </w:p>
    <w:p>
      <w:pPr>
        <w:pStyle w:val="ListParagraph"/>
        <w:numPr>
          <w:ilvl w:val="0"/>
          <w:numId w:val="75"/>
        </w:numPr>
        <w:tabs>
          <w:tab w:pos="1687" w:val="left" w:leader="none"/>
        </w:tabs>
        <w:spacing w:line="240" w:lineRule="auto" w:before="1" w:after="0"/>
        <w:ind w:left="620" w:right="401" w:firstLine="720"/>
        <w:jc w:val="both"/>
        <w:rPr>
          <w:sz w:val="24"/>
        </w:rPr>
      </w:pPr>
      <w:r>
        <w:rPr>
          <w:sz w:val="24"/>
        </w:rPr>
        <w:t>parādnieka laulātais (arī tad, ja laulība noslēgta pēc atlīdzības darījuma noslēgšanas) un bijušais parādnieka laulātais, ja laulība šķirta viena gada laikā pirms darījuma</w:t>
      </w:r>
      <w:r>
        <w:rPr>
          <w:spacing w:val="-4"/>
          <w:sz w:val="24"/>
        </w:rPr>
        <w:t> </w:t>
      </w:r>
      <w:r>
        <w:rPr>
          <w:sz w:val="24"/>
        </w:rPr>
        <w:t>noslēgšanas;</w:t>
      </w:r>
    </w:p>
    <w:p>
      <w:pPr>
        <w:pStyle w:val="ListParagraph"/>
        <w:numPr>
          <w:ilvl w:val="0"/>
          <w:numId w:val="75"/>
        </w:numPr>
        <w:tabs>
          <w:tab w:pos="1605" w:val="left" w:leader="none"/>
        </w:tabs>
        <w:spacing w:line="240" w:lineRule="auto" w:before="0" w:after="0"/>
        <w:ind w:left="620" w:right="404" w:firstLine="720"/>
        <w:jc w:val="both"/>
        <w:rPr>
          <w:sz w:val="24"/>
        </w:rPr>
      </w:pPr>
      <w:r>
        <w:rPr>
          <w:sz w:val="24"/>
        </w:rPr>
        <w:t>personas, kas dzīvo kopējā mājsaimniecībā ar parādnieku vai dzīvojušas kopējā mājsaimniecībā ar parādnieku gada laikā pirms darījuma, kas pakļauts atgūšanai, noslēgšanai;</w:t>
      </w:r>
    </w:p>
    <w:p>
      <w:pPr>
        <w:pStyle w:val="ListParagraph"/>
        <w:numPr>
          <w:ilvl w:val="0"/>
          <w:numId w:val="75"/>
        </w:numPr>
        <w:tabs>
          <w:tab w:pos="1600" w:val="left" w:leader="none"/>
        </w:tabs>
        <w:spacing w:line="240" w:lineRule="auto" w:before="0" w:after="0"/>
        <w:ind w:left="1599" w:right="0" w:hanging="260"/>
        <w:jc w:val="both"/>
        <w:rPr>
          <w:sz w:val="24"/>
        </w:rPr>
      </w:pPr>
      <w:r>
        <w:rPr>
          <w:sz w:val="24"/>
        </w:rPr>
        <w:t>parādnieka augšupēji un pēcteči, un viņu</w:t>
      </w:r>
      <w:r>
        <w:rPr>
          <w:spacing w:val="-2"/>
          <w:sz w:val="24"/>
        </w:rPr>
        <w:t> </w:t>
      </w:r>
      <w:r>
        <w:rPr>
          <w:sz w:val="24"/>
        </w:rPr>
        <w:t>laulātie;</w:t>
      </w:r>
    </w:p>
    <w:p>
      <w:pPr>
        <w:pStyle w:val="ListParagraph"/>
        <w:numPr>
          <w:ilvl w:val="0"/>
          <w:numId w:val="75"/>
        </w:numPr>
        <w:tabs>
          <w:tab w:pos="1600" w:val="left" w:leader="none"/>
        </w:tabs>
        <w:spacing w:line="240" w:lineRule="auto" w:before="0" w:after="0"/>
        <w:ind w:left="1599" w:right="0" w:hanging="260"/>
        <w:jc w:val="both"/>
        <w:rPr>
          <w:sz w:val="24"/>
        </w:rPr>
      </w:pPr>
      <w:r>
        <w:rPr>
          <w:sz w:val="24"/>
        </w:rPr>
        <w:t>parādnieka māsas un brāļi, un viņu pēcnācēji un</w:t>
      </w:r>
      <w:r>
        <w:rPr>
          <w:spacing w:val="-1"/>
          <w:sz w:val="24"/>
        </w:rPr>
        <w:t> </w:t>
      </w:r>
      <w:r>
        <w:rPr>
          <w:sz w:val="24"/>
        </w:rPr>
        <w:t>laulātie;</w:t>
      </w:r>
    </w:p>
    <w:p>
      <w:pPr>
        <w:pStyle w:val="ListParagraph"/>
        <w:numPr>
          <w:ilvl w:val="0"/>
          <w:numId w:val="75"/>
        </w:numPr>
        <w:tabs>
          <w:tab w:pos="1600" w:val="left" w:leader="none"/>
        </w:tabs>
        <w:spacing w:line="240" w:lineRule="auto" w:before="0" w:after="0"/>
        <w:ind w:left="1599" w:right="0" w:hanging="260"/>
        <w:jc w:val="both"/>
        <w:rPr>
          <w:sz w:val="24"/>
        </w:rPr>
      </w:pPr>
      <w:r>
        <w:rPr>
          <w:sz w:val="24"/>
        </w:rPr>
        <w:t>parādnieka laulātā augšupējie, lejupējie, brāļi un māsas.</w:t>
      </w:r>
    </w:p>
    <w:p>
      <w:pPr>
        <w:pStyle w:val="BodyText"/>
        <w:jc w:val="left"/>
      </w:pPr>
    </w:p>
    <w:p>
      <w:pPr>
        <w:pStyle w:val="BodyText"/>
        <w:ind w:left="620" w:right="403" w:firstLine="720"/>
      </w:pPr>
      <w:r>
        <w:rPr/>
        <w:t>Godprātības kritērijs izriet arī no Igaunijas Bankrota likuma 89.panta, kas paredz, kādos gadījumos tiesa var uzlikt naudas sodu, noteikt parādniekam pienākumu obligāti piedalīties vai piemērot viņam arestu, ja tiesas rīkojums netiek ievērots nolūkā nodrošināt likumā noteikto saistību izpildi:</w:t>
      </w:r>
    </w:p>
    <w:p>
      <w:pPr>
        <w:pStyle w:val="ListParagraph"/>
        <w:numPr>
          <w:ilvl w:val="0"/>
          <w:numId w:val="76"/>
        </w:numPr>
        <w:tabs>
          <w:tab w:pos="1240" w:val="left" w:leader="none"/>
        </w:tabs>
        <w:spacing w:line="240" w:lineRule="auto" w:before="0" w:after="0"/>
        <w:ind w:left="1239" w:right="0" w:hanging="260"/>
        <w:jc w:val="left"/>
        <w:rPr>
          <w:sz w:val="24"/>
        </w:rPr>
      </w:pPr>
      <w:r>
        <w:rPr>
          <w:sz w:val="24"/>
        </w:rPr>
        <w:t>pienākuma sniegt informāciju neizpilde (Igaunijas Bankrota likuma 85.</w:t>
      </w:r>
      <w:r>
        <w:rPr>
          <w:spacing w:val="-3"/>
          <w:sz w:val="24"/>
        </w:rPr>
        <w:t> </w:t>
      </w:r>
      <w:r>
        <w:rPr>
          <w:sz w:val="24"/>
        </w:rPr>
        <w:t>pants);</w:t>
      </w:r>
    </w:p>
    <w:p>
      <w:pPr>
        <w:pStyle w:val="ListParagraph"/>
        <w:numPr>
          <w:ilvl w:val="0"/>
          <w:numId w:val="76"/>
        </w:numPr>
        <w:tabs>
          <w:tab w:pos="1240" w:val="left" w:leader="none"/>
        </w:tabs>
        <w:spacing w:line="240" w:lineRule="auto" w:before="0" w:after="0"/>
        <w:ind w:left="980" w:right="800" w:firstLine="0"/>
        <w:jc w:val="left"/>
        <w:rPr>
          <w:sz w:val="24"/>
        </w:rPr>
      </w:pPr>
      <w:r>
        <w:rPr>
          <w:sz w:val="24"/>
        </w:rPr>
        <w:t>pienākuma piedalīties bankrota procedūrā neizpilde (Igaunijas Bankrota likuma 87.pants);</w:t>
      </w:r>
    </w:p>
    <w:p>
      <w:pPr>
        <w:pStyle w:val="ListParagraph"/>
        <w:numPr>
          <w:ilvl w:val="0"/>
          <w:numId w:val="76"/>
        </w:numPr>
        <w:tabs>
          <w:tab w:pos="1240" w:val="left" w:leader="none"/>
        </w:tabs>
        <w:spacing w:line="240" w:lineRule="auto" w:before="0" w:after="0"/>
        <w:ind w:left="1239" w:right="0" w:hanging="260"/>
        <w:jc w:val="left"/>
        <w:rPr>
          <w:sz w:val="24"/>
        </w:rPr>
      </w:pPr>
      <w:r>
        <w:rPr>
          <w:sz w:val="24"/>
        </w:rPr>
        <w:t>zvēresta pienākuma neizpilde (Igaunijas Bankrota likuma</w:t>
      </w:r>
      <w:r>
        <w:rPr>
          <w:spacing w:val="-2"/>
          <w:sz w:val="24"/>
        </w:rPr>
        <w:t> </w:t>
      </w:r>
      <w:r>
        <w:rPr>
          <w:sz w:val="24"/>
        </w:rPr>
        <w:t>86.pants);</w:t>
      </w:r>
    </w:p>
    <w:p>
      <w:pPr>
        <w:pStyle w:val="ListParagraph"/>
        <w:numPr>
          <w:ilvl w:val="0"/>
          <w:numId w:val="76"/>
        </w:numPr>
        <w:tabs>
          <w:tab w:pos="1240" w:val="left" w:leader="none"/>
        </w:tabs>
        <w:spacing w:line="240" w:lineRule="auto" w:before="0" w:after="0"/>
        <w:ind w:left="980" w:right="1355" w:firstLine="0"/>
        <w:jc w:val="left"/>
        <w:rPr>
          <w:sz w:val="24"/>
        </w:rPr>
      </w:pPr>
      <w:r>
        <w:rPr>
          <w:sz w:val="24"/>
        </w:rPr>
        <w:t>aizlieguma izceļot no dzīvesvietas pārkāpums (Igaunijas Bankrota likuma 88.pants);</w:t>
      </w:r>
    </w:p>
    <w:p>
      <w:pPr>
        <w:pStyle w:val="ListParagraph"/>
        <w:numPr>
          <w:ilvl w:val="0"/>
          <w:numId w:val="76"/>
        </w:numPr>
        <w:tabs>
          <w:tab w:pos="1240" w:val="left" w:leader="none"/>
        </w:tabs>
        <w:spacing w:line="240" w:lineRule="auto" w:before="0" w:after="0"/>
        <w:ind w:left="980" w:right="1267" w:firstLine="0"/>
        <w:jc w:val="left"/>
        <w:rPr>
          <w:sz w:val="24"/>
        </w:rPr>
      </w:pPr>
      <w:r>
        <w:rPr>
          <w:sz w:val="24"/>
        </w:rPr>
        <w:t>aizlieguma atdot bankrotu īpašumu pārkāpums (Igaunijas Bankrota likuma 20.pants un 35. panta 1. punkta 3. un 4.</w:t>
      </w:r>
      <w:r>
        <w:rPr>
          <w:spacing w:val="-1"/>
          <w:sz w:val="24"/>
        </w:rPr>
        <w:t> </w:t>
      </w:r>
      <w:r>
        <w:rPr>
          <w:sz w:val="24"/>
        </w:rPr>
        <w:t>apakšpunkts);</w:t>
      </w:r>
    </w:p>
    <w:p>
      <w:pPr>
        <w:pStyle w:val="ListParagraph"/>
        <w:numPr>
          <w:ilvl w:val="0"/>
          <w:numId w:val="76"/>
        </w:numPr>
        <w:tabs>
          <w:tab w:pos="1240" w:val="left" w:leader="none"/>
        </w:tabs>
        <w:spacing w:line="240" w:lineRule="auto" w:before="0" w:after="0"/>
        <w:ind w:left="980" w:right="681" w:firstLine="0"/>
        <w:jc w:val="left"/>
        <w:rPr>
          <w:sz w:val="24"/>
        </w:rPr>
      </w:pPr>
      <w:r>
        <w:rPr>
          <w:sz w:val="24"/>
        </w:rPr>
        <w:t>būtiski tiek pārkāpti no Bankrota likuma izrietošie pienākumi citā veidā, </w:t>
      </w:r>
      <w:r>
        <w:rPr>
          <w:spacing w:val="-3"/>
          <w:sz w:val="24"/>
        </w:rPr>
        <w:t>tādējādi </w:t>
      </w:r>
      <w:r>
        <w:rPr>
          <w:sz w:val="24"/>
        </w:rPr>
        <w:t>kaitējot bankrota īpašumam.</w:t>
      </w:r>
    </w:p>
    <w:p>
      <w:pPr>
        <w:pStyle w:val="ListParagraph"/>
        <w:numPr>
          <w:ilvl w:val="0"/>
          <w:numId w:val="77"/>
        </w:numPr>
        <w:tabs>
          <w:tab w:pos="1340" w:val="left" w:leader="none"/>
        </w:tabs>
        <w:spacing w:line="237" w:lineRule="auto" w:before="2" w:after="0"/>
        <w:ind w:left="620" w:right="400" w:firstLine="360"/>
        <w:jc w:val="both"/>
        <w:rPr>
          <w:sz w:val="16"/>
        </w:rPr>
      </w:pPr>
      <w:r>
        <w:rPr>
          <w:b/>
          <w:i/>
          <w:sz w:val="24"/>
        </w:rPr>
        <w:t>Bankrota procedūras ilgums. </w:t>
      </w:r>
      <w:r>
        <w:rPr>
          <w:sz w:val="24"/>
        </w:rPr>
        <w:t>Bankrota procedūras īstenošana Igaunijā ir samērā ilga. Tādas procedūras ilgums, kas tiek izbeigta, nepasludinot bankrotu, vidēji ir 85 dienas fizisku personu gadījumā. Turklāt fizisku  personu  gadījumā vidēji  ir  nepieciešamas  455 dienas, lai sasniegtu sadales priekšlikumu (</w:t>
      </w:r>
      <w:r>
        <w:rPr>
          <w:i/>
          <w:sz w:val="24"/>
        </w:rPr>
        <w:t>distribution proposal</w:t>
      </w:r>
      <w:r>
        <w:rPr>
          <w:sz w:val="24"/>
        </w:rPr>
        <w:t>), pamatojoties uz kuru būtu iespējams veikt maksājumus kreditoriem.</w:t>
      </w:r>
      <w:r>
        <w:rPr>
          <w:position w:val="9"/>
          <w:sz w:val="16"/>
        </w:rPr>
        <w:t>323</w:t>
      </w:r>
    </w:p>
    <w:p>
      <w:pPr>
        <w:pStyle w:val="ListParagraph"/>
        <w:numPr>
          <w:ilvl w:val="0"/>
          <w:numId w:val="77"/>
        </w:numPr>
        <w:tabs>
          <w:tab w:pos="1340" w:val="left" w:leader="none"/>
        </w:tabs>
        <w:spacing w:line="240" w:lineRule="auto" w:before="0" w:after="0"/>
        <w:ind w:left="620" w:right="401" w:firstLine="360"/>
        <w:jc w:val="both"/>
        <w:rPr>
          <w:sz w:val="24"/>
        </w:rPr>
      </w:pPr>
      <w:r>
        <w:rPr>
          <w:b/>
          <w:i/>
          <w:sz w:val="24"/>
        </w:rPr>
        <w:t>Saistību</w:t>
      </w:r>
      <w:r>
        <w:rPr>
          <w:b/>
          <w:i/>
          <w:spacing w:val="-16"/>
          <w:sz w:val="24"/>
        </w:rPr>
        <w:t> </w:t>
      </w:r>
      <w:r>
        <w:rPr>
          <w:b/>
          <w:i/>
          <w:sz w:val="24"/>
        </w:rPr>
        <w:t>dzēšanas</w:t>
      </w:r>
      <w:r>
        <w:rPr>
          <w:b/>
          <w:i/>
          <w:spacing w:val="-15"/>
          <w:sz w:val="24"/>
        </w:rPr>
        <w:t> </w:t>
      </w:r>
      <w:r>
        <w:rPr>
          <w:b/>
          <w:i/>
          <w:sz w:val="24"/>
        </w:rPr>
        <w:t>procedūra.</w:t>
      </w:r>
      <w:r>
        <w:rPr>
          <w:b/>
          <w:i/>
          <w:spacing w:val="-17"/>
          <w:sz w:val="24"/>
        </w:rPr>
        <w:t> </w:t>
      </w:r>
      <w:r>
        <w:rPr>
          <w:sz w:val="24"/>
        </w:rPr>
        <w:t>Parādnieka</w:t>
      </w:r>
      <w:r>
        <w:rPr>
          <w:spacing w:val="-13"/>
          <w:sz w:val="24"/>
        </w:rPr>
        <w:t> </w:t>
      </w:r>
      <w:r>
        <w:rPr>
          <w:sz w:val="24"/>
        </w:rPr>
        <w:t>atbrīvošanu</w:t>
      </w:r>
      <w:r>
        <w:rPr>
          <w:spacing w:val="-15"/>
          <w:sz w:val="24"/>
        </w:rPr>
        <w:t> </w:t>
      </w:r>
      <w:r>
        <w:rPr>
          <w:sz w:val="24"/>
        </w:rPr>
        <w:t>no</w:t>
      </w:r>
      <w:r>
        <w:rPr>
          <w:spacing w:val="-16"/>
          <w:sz w:val="24"/>
        </w:rPr>
        <w:t> </w:t>
      </w:r>
      <w:r>
        <w:rPr>
          <w:sz w:val="24"/>
        </w:rPr>
        <w:t>saistībām</w:t>
      </w:r>
      <w:r>
        <w:rPr>
          <w:spacing w:val="-14"/>
          <w:sz w:val="24"/>
        </w:rPr>
        <w:t> </w:t>
      </w:r>
      <w:r>
        <w:rPr>
          <w:sz w:val="24"/>
        </w:rPr>
        <w:t>regulē</w:t>
      </w:r>
      <w:r>
        <w:rPr>
          <w:spacing w:val="-11"/>
          <w:sz w:val="24"/>
        </w:rPr>
        <w:t> </w:t>
      </w:r>
      <w:r>
        <w:rPr>
          <w:sz w:val="24"/>
        </w:rPr>
        <w:t>Igaunijas Bankrota likuma 11.nodaļa. Priekšnoteikums atbrīvošanai no saistībām bankrota procedūras ietvaros ir parādnieka lūgums. Parādnieks var iesniegt šo lūgumu arī</w:t>
      </w:r>
      <w:r>
        <w:rPr>
          <w:spacing w:val="-4"/>
          <w:sz w:val="24"/>
        </w:rPr>
        <w:t> </w:t>
      </w:r>
      <w:r>
        <w:rPr>
          <w:sz w:val="24"/>
        </w:rPr>
        <w:t>savā</w:t>
      </w:r>
    </w:p>
    <w:p>
      <w:pPr>
        <w:pStyle w:val="BodyText"/>
        <w:jc w:val="left"/>
        <w:rPr>
          <w:sz w:val="20"/>
        </w:rPr>
      </w:pPr>
    </w:p>
    <w:p>
      <w:pPr>
        <w:pStyle w:val="BodyText"/>
        <w:spacing w:before="3"/>
        <w:jc w:val="left"/>
        <w:rPr>
          <w:sz w:val="12"/>
        </w:rPr>
      </w:pPr>
      <w:r>
        <w:rPr/>
        <w:pict>
          <v:shape style="position:absolute;margin-left:90pt;margin-top:9.340364pt;width:144pt;height:.1pt;mso-position-horizontal-relative:page;mso-position-vertical-relative:paragraph;z-index:-251493376;mso-wrap-distance-left:0;mso-wrap-distance-right:0" coordorigin="1800,187" coordsize="2880,0" path="m1800,187l4680,187e" filled="false" stroked="true" strokeweight=".599991pt" strokecolor="#000000">
            <v:path arrowok="t"/>
            <v:stroke dashstyle="solid"/>
            <w10:wrap type="topAndBottom"/>
          </v:shape>
        </w:pict>
      </w:r>
    </w:p>
    <w:p>
      <w:pPr>
        <w:spacing w:before="70"/>
        <w:ind w:left="620" w:right="398" w:firstLine="0"/>
        <w:jc w:val="left"/>
        <w:rPr>
          <w:sz w:val="20"/>
        </w:rPr>
      </w:pPr>
      <w:r>
        <w:rPr>
          <w:position w:val="7"/>
          <w:sz w:val="13"/>
        </w:rPr>
        <w:t>323 </w:t>
      </w:r>
      <w:r>
        <w:rPr>
          <w:sz w:val="20"/>
        </w:rPr>
        <w:t>Maksātnespēja – Igaunija. Pieejams: </w:t>
      </w:r>
      <w:r>
        <w:rPr>
          <w:color w:val="0562C1"/>
          <w:sz w:val="20"/>
          <w:u w:val="single" w:color="0562C1"/>
        </w:rPr>
        <w:t>https://e-justice.europa.eu/content_insolvency-447-EE-</w:t>
      </w:r>
      <w:r>
        <w:rPr>
          <w:color w:val="0562C1"/>
          <w:sz w:val="20"/>
        </w:rPr>
        <w:t> </w:t>
      </w:r>
      <w:r>
        <w:rPr>
          <w:color w:val="0562C1"/>
          <w:sz w:val="20"/>
          <w:u w:val="single" w:color="0562C1"/>
        </w:rPr>
        <w:t>lv.do?clang=lv</w:t>
      </w:r>
      <w:r>
        <w:rPr>
          <w:color w:val="0562C1"/>
          <w:sz w:val="20"/>
        </w:rPr>
        <w:t> </w:t>
      </w:r>
      <w:r>
        <w:rPr>
          <w:sz w:val="20"/>
        </w:rPr>
        <w:t>[aplūkots 2018.gada 20.oktobrī].</w:t>
      </w:r>
    </w:p>
    <w:p>
      <w:pPr>
        <w:spacing w:after="0"/>
        <w:jc w:val="left"/>
        <w:rPr>
          <w:sz w:val="20"/>
        </w:rPr>
        <w:sectPr>
          <w:pgSz w:w="11910" w:h="16840"/>
          <w:pgMar w:header="0" w:footer="1055" w:top="1340" w:bottom="1240" w:left="1180" w:right="1040"/>
        </w:sectPr>
      </w:pPr>
    </w:p>
    <w:p>
      <w:pPr>
        <w:pStyle w:val="BodyText"/>
        <w:spacing w:before="73"/>
        <w:ind w:left="260" w:right="762"/>
      </w:pPr>
      <w:r>
        <w:rPr/>
        <w:t>bankrota</w:t>
      </w:r>
      <w:r>
        <w:rPr>
          <w:spacing w:val="-12"/>
        </w:rPr>
        <w:t> </w:t>
      </w:r>
      <w:r>
        <w:rPr/>
        <w:t>pieteikumā</w:t>
      </w:r>
      <w:r>
        <w:rPr>
          <w:spacing w:val="-12"/>
        </w:rPr>
        <w:t> </w:t>
      </w:r>
      <w:r>
        <w:rPr/>
        <w:t>vai</w:t>
      </w:r>
      <w:r>
        <w:rPr>
          <w:spacing w:val="-12"/>
        </w:rPr>
        <w:t> </w:t>
      </w:r>
      <w:r>
        <w:rPr/>
        <w:t>pēc</w:t>
      </w:r>
      <w:r>
        <w:rPr>
          <w:spacing w:val="-15"/>
        </w:rPr>
        <w:t> </w:t>
      </w:r>
      <w:r>
        <w:rPr/>
        <w:t>tam,</w:t>
      </w:r>
      <w:r>
        <w:rPr>
          <w:spacing w:val="-12"/>
        </w:rPr>
        <w:t> </w:t>
      </w:r>
      <w:r>
        <w:rPr/>
        <w:t>kad</w:t>
      </w:r>
      <w:r>
        <w:rPr>
          <w:spacing w:val="-13"/>
        </w:rPr>
        <w:t> </w:t>
      </w:r>
      <w:r>
        <w:rPr/>
        <w:t>kreditors</w:t>
      </w:r>
      <w:r>
        <w:rPr>
          <w:spacing w:val="-15"/>
        </w:rPr>
        <w:t> </w:t>
      </w:r>
      <w:r>
        <w:rPr/>
        <w:t>ir</w:t>
      </w:r>
      <w:r>
        <w:rPr>
          <w:spacing w:val="-12"/>
        </w:rPr>
        <w:t> </w:t>
      </w:r>
      <w:r>
        <w:rPr/>
        <w:t>iesniedzis</w:t>
      </w:r>
      <w:r>
        <w:rPr>
          <w:spacing w:val="-12"/>
        </w:rPr>
        <w:t> </w:t>
      </w:r>
      <w:r>
        <w:rPr/>
        <w:t>bankrota</w:t>
      </w:r>
      <w:r>
        <w:rPr>
          <w:spacing w:val="-11"/>
        </w:rPr>
        <w:t> </w:t>
      </w:r>
      <w:r>
        <w:rPr/>
        <w:t>pieteikumu</w:t>
      </w:r>
      <w:r>
        <w:rPr>
          <w:spacing w:val="-12"/>
        </w:rPr>
        <w:t> </w:t>
      </w:r>
      <w:r>
        <w:rPr/>
        <w:t>(Igaunijas Bankrota likuma 170.pants). Par šo parādnieka pieteikumu kreditors var iesniegt iebildumus.</w:t>
      </w:r>
    </w:p>
    <w:p>
      <w:pPr>
        <w:pStyle w:val="BodyText"/>
        <w:ind w:left="980"/>
      </w:pPr>
      <w:r>
        <w:rPr/>
        <w:t>Tiesa var neuzsākt procedūru par parādnieka atbrīvošanu no saistībām, ja:</w:t>
      </w:r>
    </w:p>
    <w:p>
      <w:pPr>
        <w:pStyle w:val="ListParagraph"/>
        <w:numPr>
          <w:ilvl w:val="0"/>
          <w:numId w:val="78"/>
        </w:numPr>
        <w:tabs>
          <w:tab w:pos="1238" w:val="left" w:leader="none"/>
        </w:tabs>
        <w:spacing w:line="240" w:lineRule="auto" w:before="0" w:after="0"/>
        <w:ind w:left="260" w:right="762" w:firstLine="720"/>
        <w:jc w:val="both"/>
        <w:rPr>
          <w:sz w:val="24"/>
        </w:rPr>
      </w:pPr>
      <w:r>
        <w:rPr>
          <w:sz w:val="24"/>
        </w:rPr>
        <w:t>parādnieks ir ticis notiesāts par bankrota pārkāpumu vai noziedzīgu</w:t>
      </w:r>
      <w:r>
        <w:rPr>
          <w:spacing w:val="-31"/>
          <w:sz w:val="24"/>
        </w:rPr>
        <w:t> </w:t>
      </w:r>
      <w:r>
        <w:rPr>
          <w:sz w:val="24"/>
        </w:rPr>
        <w:t>nodarījumu, kas saistīts ar izpildes procedūru, Kriminālkodeksa § 380-3811 minēto noziedzīgu nodarījumu;</w:t>
      </w:r>
    </w:p>
    <w:p>
      <w:pPr>
        <w:pStyle w:val="ListParagraph"/>
        <w:numPr>
          <w:ilvl w:val="0"/>
          <w:numId w:val="78"/>
        </w:numPr>
        <w:tabs>
          <w:tab w:pos="1252" w:val="left" w:leader="none"/>
        </w:tabs>
        <w:spacing w:line="240" w:lineRule="auto" w:before="0" w:after="0"/>
        <w:ind w:left="260" w:right="762" w:firstLine="720"/>
        <w:jc w:val="both"/>
        <w:rPr>
          <w:sz w:val="24"/>
        </w:rPr>
      </w:pPr>
      <w:r>
        <w:rPr>
          <w:sz w:val="24"/>
        </w:rPr>
        <w:t>iepriekšējo trīs gadu laikā pirms pagaidu administratora iecelšanas vai pēc tam parādnieks</w:t>
      </w:r>
      <w:r>
        <w:rPr>
          <w:spacing w:val="-4"/>
          <w:sz w:val="24"/>
        </w:rPr>
        <w:t> </w:t>
      </w:r>
      <w:r>
        <w:rPr>
          <w:sz w:val="24"/>
        </w:rPr>
        <w:t>tīši</w:t>
      </w:r>
      <w:r>
        <w:rPr>
          <w:spacing w:val="-4"/>
          <w:sz w:val="24"/>
        </w:rPr>
        <w:t> </w:t>
      </w:r>
      <w:r>
        <w:rPr>
          <w:sz w:val="24"/>
        </w:rPr>
        <w:t>vai</w:t>
      </w:r>
      <w:r>
        <w:rPr>
          <w:spacing w:val="-4"/>
          <w:sz w:val="24"/>
        </w:rPr>
        <w:t> </w:t>
      </w:r>
      <w:r>
        <w:rPr>
          <w:sz w:val="24"/>
        </w:rPr>
        <w:t>rupjas</w:t>
      </w:r>
      <w:r>
        <w:rPr>
          <w:spacing w:val="-1"/>
          <w:sz w:val="24"/>
        </w:rPr>
        <w:t> </w:t>
      </w:r>
      <w:r>
        <w:rPr>
          <w:sz w:val="24"/>
        </w:rPr>
        <w:t>nolaidības</w:t>
      </w:r>
      <w:r>
        <w:rPr>
          <w:spacing w:val="-4"/>
          <w:sz w:val="24"/>
        </w:rPr>
        <w:t> </w:t>
      </w:r>
      <w:r>
        <w:rPr>
          <w:sz w:val="24"/>
        </w:rPr>
        <w:t>dēļ</w:t>
      </w:r>
      <w:r>
        <w:rPr>
          <w:spacing w:val="-6"/>
          <w:sz w:val="24"/>
        </w:rPr>
        <w:t> </w:t>
      </w:r>
      <w:r>
        <w:rPr>
          <w:sz w:val="24"/>
        </w:rPr>
        <w:t>ir</w:t>
      </w:r>
      <w:r>
        <w:rPr>
          <w:spacing w:val="-2"/>
          <w:sz w:val="24"/>
        </w:rPr>
        <w:t> </w:t>
      </w:r>
      <w:r>
        <w:rPr>
          <w:sz w:val="24"/>
        </w:rPr>
        <w:t>sniedzis</w:t>
      </w:r>
      <w:r>
        <w:rPr>
          <w:spacing w:val="-4"/>
          <w:sz w:val="24"/>
        </w:rPr>
        <w:t> </w:t>
      </w:r>
      <w:r>
        <w:rPr>
          <w:sz w:val="24"/>
        </w:rPr>
        <w:t>nepareizu</w:t>
      </w:r>
      <w:r>
        <w:rPr>
          <w:spacing w:val="-4"/>
          <w:sz w:val="24"/>
        </w:rPr>
        <w:t> </w:t>
      </w:r>
      <w:r>
        <w:rPr>
          <w:sz w:val="24"/>
        </w:rPr>
        <w:t>vai</w:t>
      </w:r>
      <w:r>
        <w:rPr>
          <w:spacing w:val="-4"/>
          <w:sz w:val="24"/>
        </w:rPr>
        <w:t> </w:t>
      </w:r>
      <w:r>
        <w:rPr>
          <w:sz w:val="24"/>
        </w:rPr>
        <w:t>nepilnīgu</w:t>
      </w:r>
      <w:r>
        <w:rPr>
          <w:spacing w:val="-4"/>
          <w:sz w:val="24"/>
        </w:rPr>
        <w:t> </w:t>
      </w:r>
      <w:r>
        <w:rPr>
          <w:sz w:val="24"/>
        </w:rPr>
        <w:t>informāciju</w:t>
      </w:r>
      <w:r>
        <w:rPr>
          <w:spacing w:val="-4"/>
          <w:sz w:val="24"/>
        </w:rPr>
        <w:t> </w:t>
      </w:r>
      <w:r>
        <w:rPr>
          <w:sz w:val="24"/>
        </w:rPr>
        <w:t>par savu</w:t>
      </w:r>
      <w:r>
        <w:rPr>
          <w:spacing w:val="-11"/>
          <w:sz w:val="24"/>
        </w:rPr>
        <w:t> </w:t>
      </w:r>
      <w:r>
        <w:rPr>
          <w:sz w:val="24"/>
        </w:rPr>
        <w:t>finansiālo</w:t>
      </w:r>
      <w:r>
        <w:rPr>
          <w:spacing w:val="-11"/>
          <w:sz w:val="24"/>
        </w:rPr>
        <w:t> </w:t>
      </w:r>
      <w:r>
        <w:rPr>
          <w:sz w:val="24"/>
        </w:rPr>
        <w:t>stāvokli,</w:t>
      </w:r>
      <w:r>
        <w:rPr>
          <w:spacing w:val="-11"/>
          <w:sz w:val="24"/>
        </w:rPr>
        <w:t> </w:t>
      </w:r>
      <w:r>
        <w:rPr>
          <w:sz w:val="24"/>
        </w:rPr>
        <w:t>lai</w:t>
      </w:r>
      <w:r>
        <w:rPr>
          <w:spacing w:val="-11"/>
          <w:sz w:val="24"/>
        </w:rPr>
        <w:t> </w:t>
      </w:r>
      <w:r>
        <w:rPr>
          <w:sz w:val="24"/>
        </w:rPr>
        <w:t>saņemtu</w:t>
      </w:r>
      <w:r>
        <w:rPr>
          <w:spacing w:val="-11"/>
          <w:sz w:val="24"/>
        </w:rPr>
        <w:t> </w:t>
      </w:r>
      <w:r>
        <w:rPr>
          <w:sz w:val="24"/>
        </w:rPr>
        <w:t>pabalstus</w:t>
      </w:r>
      <w:r>
        <w:rPr>
          <w:spacing w:val="-11"/>
          <w:sz w:val="24"/>
        </w:rPr>
        <w:t> </w:t>
      </w:r>
      <w:r>
        <w:rPr>
          <w:sz w:val="24"/>
        </w:rPr>
        <w:t>vai</w:t>
      </w:r>
      <w:r>
        <w:rPr>
          <w:spacing w:val="-15"/>
          <w:sz w:val="24"/>
        </w:rPr>
        <w:t> </w:t>
      </w:r>
      <w:r>
        <w:rPr>
          <w:sz w:val="24"/>
        </w:rPr>
        <w:t>citas</w:t>
      </w:r>
      <w:r>
        <w:rPr>
          <w:spacing w:val="-11"/>
          <w:sz w:val="24"/>
        </w:rPr>
        <w:t> </w:t>
      </w:r>
      <w:r>
        <w:rPr>
          <w:sz w:val="24"/>
        </w:rPr>
        <w:t>priekšrocības</w:t>
      </w:r>
      <w:r>
        <w:rPr>
          <w:spacing w:val="-10"/>
          <w:sz w:val="24"/>
        </w:rPr>
        <w:t> </w:t>
      </w:r>
      <w:r>
        <w:rPr>
          <w:sz w:val="24"/>
        </w:rPr>
        <w:t>no</w:t>
      </w:r>
      <w:r>
        <w:rPr>
          <w:spacing w:val="-11"/>
          <w:sz w:val="24"/>
        </w:rPr>
        <w:t> </w:t>
      </w:r>
      <w:r>
        <w:rPr>
          <w:sz w:val="24"/>
        </w:rPr>
        <w:t>valsts,</w:t>
      </w:r>
      <w:r>
        <w:rPr>
          <w:spacing w:val="-11"/>
          <w:sz w:val="24"/>
        </w:rPr>
        <w:t> </w:t>
      </w:r>
      <w:r>
        <w:rPr>
          <w:sz w:val="24"/>
        </w:rPr>
        <w:t>pašvaldības vai izvairījies no nodokļu</w:t>
      </w:r>
      <w:r>
        <w:rPr>
          <w:spacing w:val="-3"/>
          <w:sz w:val="24"/>
        </w:rPr>
        <w:t> </w:t>
      </w:r>
      <w:r>
        <w:rPr>
          <w:sz w:val="24"/>
        </w:rPr>
        <w:t>nomaksas;</w:t>
      </w:r>
    </w:p>
    <w:p>
      <w:pPr>
        <w:pStyle w:val="ListParagraph"/>
        <w:numPr>
          <w:ilvl w:val="0"/>
          <w:numId w:val="78"/>
        </w:numPr>
        <w:tabs>
          <w:tab w:pos="1267" w:val="left" w:leader="none"/>
        </w:tabs>
        <w:spacing w:line="240" w:lineRule="auto" w:before="0" w:after="0"/>
        <w:ind w:left="260" w:right="761" w:firstLine="720"/>
        <w:jc w:val="both"/>
        <w:rPr>
          <w:sz w:val="24"/>
        </w:rPr>
      </w:pPr>
      <w:r>
        <w:rPr>
          <w:sz w:val="24"/>
        </w:rPr>
        <w:t>iepriekšējo desmit gadu laikā pirms pagaidu administratora iecelšanas tiesa ir nolēmusi atbrīvot parādnieku no saistībām vai noraidījusi parādnieka lūgumu atbrīvot no saistībām, kas radušies parādnieka izdarīta bankrota pārkāpuma</w:t>
      </w:r>
      <w:r>
        <w:rPr>
          <w:spacing w:val="-4"/>
          <w:sz w:val="24"/>
        </w:rPr>
        <w:t> </w:t>
      </w:r>
      <w:r>
        <w:rPr>
          <w:sz w:val="24"/>
        </w:rPr>
        <w:t>dēļ;</w:t>
      </w:r>
    </w:p>
    <w:p>
      <w:pPr>
        <w:pStyle w:val="ListParagraph"/>
        <w:numPr>
          <w:ilvl w:val="0"/>
          <w:numId w:val="78"/>
        </w:numPr>
        <w:tabs>
          <w:tab w:pos="1236" w:val="left" w:leader="none"/>
        </w:tabs>
        <w:spacing w:line="240" w:lineRule="auto" w:before="1" w:after="0"/>
        <w:ind w:left="260" w:right="763" w:firstLine="720"/>
        <w:jc w:val="both"/>
        <w:rPr>
          <w:sz w:val="24"/>
        </w:rPr>
      </w:pPr>
      <w:r>
        <w:rPr>
          <w:sz w:val="24"/>
        </w:rPr>
        <w:t>iepriekšējā</w:t>
      </w:r>
      <w:r>
        <w:rPr>
          <w:spacing w:val="-6"/>
          <w:sz w:val="24"/>
        </w:rPr>
        <w:t> </w:t>
      </w:r>
      <w:r>
        <w:rPr>
          <w:sz w:val="24"/>
        </w:rPr>
        <w:t>gadā</w:t>
      </w:r>
      <w:r>
        <w:rPr>
          <w:spacing w:val="-8"/>
          <w:sz w:val="24"/>
        </w:rPr>
        <w:t> </w:t>
      </w:r>
      <w:r>
        <w:rPr>
          <w:sz w:val="24"/>
        </w:rPr>
        <w:t>pirms</w:t>
      </w:r>
      <w:r>
        <w:rPr>
          <w:spacing w:val="-3"/>
          <w:sz w:val="24"/>
        </w:rPr>
        <w:t> </w:t>
      </w:r>
      <w:r>
        <w:rPr>
          <w:sz w:val="24"/>
        </w:rPr>
        <w:t>pagaidu</w:t>
      </w:r>
      <w:r>
        <w:rPr>
          <w:spacing w:val="-5"/>
          <w:sz w:val="24"/>
        </w:rPr>
        <w:t> </w:t>
      </w:r>
      <w:r>
        <w:rPr>
          <w:sz w:val="24"/>
        </w:rPr>
        <w:t>administratora</w:t>
      </w:r>
      <w:r>
        <w:rPr>
          <w:spacing w:val="-5"/>
          <w:sz w:val="24"/>
        </w:rPr>
        <w:t> </w:t>
      </w:r>
      <w:r>
        <w:rPr>
          <w:sz w:val="24"/>
        </w:rPr>
        <w:t>iecelšanas</w:t>
      </w:r>
      <w:r>
        <w:rPr>
          <w:spacing w:val="-5"/>
          <w:sz w:val="24"/>
        </w:rPr>
        <w:t> </w:t>
      </w:r>
      <w:r>
        <w:rPr>
          <w:sz w:val="24"/>
        </w:rPr>
        <w:t>vai</w:t>
      </w:r>
      <w:r>
        <w:rPr>
          <w:spacing w:val="-7"/>
          <w:sz w:val="24"/>
        </w:rPr>
        <w:t> </w:t>
      </w:r>
      <w:r>
        <w:rPr>
          <w:sz w:val="24"/>
        </w:rPr>
        <w:t>pēc</w:t>
      </w:r>
      <w:r>
        <w:rPr>
          <w:spacing w:val="-5"/>
          <w:sz w:val="24"/>
        </w:rPr>
        <w:t> </w:t>
      </w:r>
      <w:r>
        <w:rPr>
          <w:sz w:val="24"/>
        </w:rPr>
        <w:t>tam</w:t>
      </w:r>
      <w:r>
        <w:rPr>
          <w:spacing w:val="-7"/>
          <w:sz w:val="24"/>
        </w:rPr>
        <w:t> </w:t>
      </w:r>
      <w:r>
        <w:rPr>
          <w:sz w:val="24"/>
        </w:rPr>
        <w:t>parādnieks apzināti</w:t>
      </w:r>
      <w:r>
        <w:rPr>
          <w:spacing w:val="-6"/>
          <w:sz w:val="24"/>
        </w:rPr>
        <w:t> </w:t>
      </w:r>
      <w:r>
        <w:rPr>
          <w:sz w:val="24"/>
        </w:rPr>
        <w:t>vai</w:t>
      </w:r>
      <w:r>
        <w:rPr>
          <w:spacing w:val="-10"/>
          <w:sz w:val="24"/>
        </w:rPr>
        <w:t> </w:t>
      </w:r>
      <w:r>
        <w:rPr>
          <w:sz w:val="24"/>
        </w:rPr>
        <w:t>rupjas</w:t>
      </w:r>
      <w:r>
        <w:rPr>
          <w:spacing w:val="-9"/>
          <w:sz w:val="24"/>
        </w:rPr>
        <w:t> </w:t>
      </w:r>
      <w:r>
        <w:rPr>
          <w:sz w:val="24"/>
        </w:rPr>
        <w:t>nolaidības</w:t>
      </w:r>
      <w:r>
        <w:rPr>
          <w:spacing w:val="-8"/>
          <w:sz w:val="24"/>
        </w:rPr>
        <w:t> </w:t>
      </w:r>
      <w:r>
        <w:rPr>
          <w:sz w:val="24"/>
        </w:rPr>
        <w:t>dēļ</w:t>
      </w:r>
      <w:r>
        <w:rPr>
          <w:spacing w:val="-10"/>
          <w:sz w:val="24"/>
        </w:rPr>
        <w:t> </w:t>
      </w:r>
      <w:r>
        <w:rPr>
          <w:sz w:val="24"/>
        </w:rPr>
        <w:t>ir</w:t>
      </w:r>
      <w:r>
        <w:rPr>
          <w:spacing w:val="-7"/>
          <w:sz w:val="24"/>
        </w:rPr>
        <w:t> </w:t>
      </w:r>
      <w:r>
        <w:rPr>
          <w:sz w:val="24"/>
        </w:rPr>
        <w:t>kavēta</w:t>
      </w:r>
      <w:r>
        <w:rPr>
          <w:spacing w:val="-6"/>
          <w:sz w:val="24"/>
        </w:rPr>
        <w:t> </w:t>
      </w:r>
      <w:r>
        <w:rPr>
          <w:sz w:val="24"/>
        </w:rPr>
        <w:t>kreditoru</w:t>
      </w:r>
      <w:r>
        <w:rPr>
          <w:spacing w:val="-8"/>
          <w:sz w:val="24"/>
        </w:rPr>
        <w:t> </w:t>
      </w:r>
      <w:r>
        <w:rPr>
          <w:sz w:val="24"/>
        </w:rPr>
        <w:t>prasījumu</w:t>
      </w:r>
      <w:r>
        <w:rPr>
          <w:spacing w:val="-9"/>
          <w:sz w:val="24"/>
        </w:rPr>
        <w:t> </w:t>
      </w:r>
      <w:r>
        <w:rPr>
          <w:sz w:val="24"/>
        </w:rPr>
        <w:t>apmierināšana.</w:t>
      </w:r>
      <w:r>
        <w:rPr>
          <w:spacing w:val="-8"/>
          <w:sz w:val="24"/>
        </w:rPr>
        <w:t> </w:t>
      </w:r>
      <w:r>
        <w:rPr>
          <w:sz w:val="24"/>
        </w:rPr>
        <w:t>Arī</w:t>
      </w:r>
      <w:r>
        <w:rPr>
          <w:spacing w:val="-10"/>
          <w:sz w:val="24"/>
        </w:rPr>
        <w:t> </w:t>
      </w:r>
      <w:r>
        <w:rPr>
          <w:sz w:val="24"/>
        </w:rPr>
        <w:t>līdzekļu izšķērdēšanu uzskata par zaudējumiem, kas nodarīti kreditoru</w:t>
      </w:r>
      <w:r>
        <w:rPr>
          <w:spacing w:val="-8"/>
          <w:sz w:val="24"/>
        </w:rPr>
        <w:t> </w:t>
      </w:r>
      <w:r>
        <w:rPr>
          <w:sz w:val="24"/>
        </w:rPr>
        <w:t>interesēm;</w:t>
      </w:r>
    </w:p>
    <w:p>
      <w:pPr>
        <w:pStyle w:val="ListParagraph"/>
        <w:numPr>
          <w:ilvl w:val="0"/>
          <w:numId w:val="78"/>
        </w:numPr>
        <w:tabs>
          <w:tab w:pos="1274" w:val="left" w:leader="none"/>
        </w:tabs>
        <w:spacing w:line="240" w:lineRule="auto" w:before="0" w:after="0"/>
        <w:ind w:left="260" w:right="764" w:firstLine="720"/>
        <w:jc w:val="both"/>
        <w:rPr>
          <w:sz w:val="24"/>
        </w:rPr>
      </w:pPr>
      <w:r>
        <w:rPr>
          <w:sz w:val="24"/>
        </w:rPr>
        <w:t>parādnieks tīši vai rupjas nolaidības dēļ ir iesniedzis nepareizu vai nepilnīgu informāciju par saistībām, kas attiecas uz tā aktīviem, ienākumiem, kreditoriem vai saistībām vai pārkāpti citi Bankrota likumā paredzētie</w:t>
      </w:r>
      <w:r>
        <w:rPr>
          <w:spacing w:val="1"/>
          <w:sz w:val="24"/>
        </w:rPr>
        <w:t> </w:t>
      </w:r>
      <w:r>
        <w:rPr>
          <w:sz w:val="24"/>
        </w:rPr>
        <w:t>pienākumi.</w:t>
      </w:r>
    </w:p>
    <w:p>
      <w:pPr>
        <w:pStyle w:val="BodyText"/>
        <w:ind w:left="260" w:right="763" w:firstLine="720"/>
      </w:pPr>
      <w:r>
        <w:rPr/>
        <w:t>Apstāklis, ka parādnieks iepriekš ir pieprasījis pārstrukturēt savus parādus un pārstrukturēšanas process ir izbeigts, nevar būt par šķērsli, lai uzsāktu procedūru par parādnieka atbrīvošanu no saistībām.</w:t>
      </w:r>
    </w:p>
    <w:p>
      <w:pPr>
        <w:pStyle w:val="BodyText"/>
        <w:ind w:left="260" w:right="763" w:firstLine="720"/>
      </w:pPr>
      <w:r>
        <w:rPr/>
        <w:t>Igaunijas Bankrota likums paredz iespēju pārsūdzēt nolēmumu, ar kuru atteikts uzsākt procedūru par parādnieka atbrīvošanu no saistībām.</w:t>
      </w:r>
    </w:p>
    <w:p>
      <w:pPr>
        <w:pStyle w:val="ListParagraph"/>
        <w:numPr>
          <w:ilvl w:val="0"/>
          <w:numId w:val="77"/>
        </w:numPr>
        <w:tabs>
          <w:tab w:pos="968" w:val="left" w:leader="none"/>
        </w:tabs>
        <w:spacing w:line="240" w:lineRule="auto" w:before="0" w:after="0"/>
        <w:ind w:left="260" w:right="762" w:firstLine="427"/>
        <w:jc w:val="both"/>
        <w:rPr>
          <w:sz w:val="24"/>
        </w:rPr>
      </w:pPr>
      <w:r>
        <w:rPr>
          <w:b/>
          <w:i/>
          <w:sz w:val="24"/>
        </w:rPr>
        <w:t>Uzticamais pārstāvis. </w:t>
      </w:r>
      <w:r>
        <w:rPr>
          <w:sz w:val="24"/>
        </w:rPr>
        <w:t>Ja tiesa uzsāk procedūru par parādnieka atbrīvošanu no saistībām, tiesa ieceļ uzticamu pārstāvi (</w:t>
      </w:r>
      <w:r>
        <w:rPr>
          <w:i/>
          <w:sz w:val="24"/>
        </w:rPr>
        <w:t>trusted representative</w:t>
      </w:r>
      <w:r>
        <w:rPr>
          <w:sz w:val="24"/>
        </w:rPr>
        <w:t>) pēc kreditoru kopsapulces priekšlikuma,</w:t>
      </w:r>
      <w:r>
        <w:rPr>
          <w:spacing w:val="-17"/>
          <w:sz w:val="24"/>
        </w:rPr>
        <w:t> </w:t>
      </w:r>
      <w:r>
        <w:rPr>
          <w:sz w:val="24"/>
        </w:rPr>
        <w:t>kuram</w:t>
      </w:r>
      <w:r>
        <w:rPr>
          <w:spacing w:val="-19"/>
          <w:sz w:val="24"/>
        </w:rPr>
        <w:t> </w:t>
      </w:r>
      <w:r>
        <w:rPr>
          <w:sz w:val="24"/>
        </w:rPr>
        <w:t>parādnieks</w:t>
      </w:r>
      <w:r>
        <w:rPr>
          <w:spacing w:val="-16"/>
          <w:sz w:val="24"/>
        </w:rPr>
        <w:t> </w:t>
      </w:r>
      <w:r>
        <w:rPr>
          <w:sz w:val="24"/>
        </w:rPr>
        <w:t>veic</w:t>
      </w:r>
      <w:r>
        <w:rPr>
          <w:spacing w:val="-17"/>
          <w:sz w:val="24"/>
        </w:rPr>
        <w:t> </w:t>
      </w:r>
      <w:r>
        <w:rPr>
          <w:sz w:val="24"/>
        </w:rPr>
        <w:t>maksājumus,</w:t>
      </w:r>
      <w:r>
        <w:rPr>
          <w:spacing w:val="-14"/>
          <w:sz w:val="24"/>
        </w:rPr>
        <w:t> </w:t>
      </w:r>
      <w:r>
        <w:rPr>
          <w:sz w:val="24"/>
        </w:rPr>
        <w:t>kas</w:t>
      </w:r>
      <w:r>
        <w:rPr>
          <w:spacing w:val="-19"/>
          <w:sz w:val="24"/>
        </w:rPr>
        <w:t> </w:t>
      </w:r>
      <w:r>
        <w:rPr>
          <w:sz w:val="24"/>
        </w:rPr>
        <w:t>paredzēti</w:t>
      </w:r>
      <w:r>
        <w:rPr>
          <w:spacing w:val="-13"/>
          <w:sz w:val="24"/>
        </w:rPr>
        <w:t> </w:t>
      </w:r>
      <w:r>
        <w:rPr>
          <w:sz w:val="24"/>
        </w:rPr>
        <w:t>Igaunijas</w:t>
      </w:r>
      <w:r>
        <w:rPr>
          <w:spacing w:val="-14"/>
          <w:sz w:val="24"/>
        </w:rPr>
        <w:t> </w:t>
      </w:r>
      <w:r>
        <w:rPr>
          <w:sz w:val="24"/>
        </w:rPr>
        <w:t>Bankrota</w:t>
      </w:r>
      <w:r>
        <w:rPr>
          <w:spacing w:val="-17"/>
          <w:sz w:val="24"/>
        </w:rPr>
        <w:t> </w:t>
      </w:r>
      <w:r>
        <w:rPr>
          <w:sz w:val="24"/>
        </w:rPr>
        <w:t>likuma 173.panta trešajā un sestajā daļā,</w:t>
      </w:r>
      <w:r>
        <w:rPr>
          <w:spacing w:val="-3"/>
          <w:sz w:val="24"/>
        </w:rPr>
        <w:t> </w:t>
      </w:r>
      <w:r>
        <w:rPr>
          <w:sz w:val="24"/>
        </w:rPr>
        <w:t>t.i.:</w:t>
      </w:r>
    </w:p>
    <w:p>
      <w:pPr>
        <w:pStyle w:val="ListParagraph"/>
        <w:numPr>
          <w:ilvl w:val="0"/>
          <w:numId w:val="79"/>
        </w:numPr>
        <w:tabs>
          <w:tab w:pos="980" w:val="left" w:leader="none"/>
        </w:tabs>
        <w:spacing w:line="240" w:lineRule="auto" w:before="0" w:after="0"/>
        <w:ind w:left="980" w:right="762" w:hanging="360"/>
        <w:jc w:val="both"/>
        <w:rPr>
          <w:sz w:val="24"/>
        </w:rPr>
      </w:pPr>
      <w:r>
        <w:rPr>
          <w:sz w:val="24"/>
        </w:rPr>
        <w:t>prasības par parādnieka ienākumiem, kas saņemtas no darba vai pakalpojumu attiecībām vai kādām citām līdzīgām attiecībām vai ienākumi no</w:t>
      </w:r>
      <w:r>
        <w:rPr>
          <w:spacing w:val="-25"/>
          <w:sz w:val="24"/>
        </w:rPr>
        <w:t> </w:t>
      </w:r>
      <w:r>
        <w:rPr>
          <w:sz w:val="24"/>
        </w:rPr>
        <w:t>uzņēmējdarbības, tiek nodoti uzticamajam pārstāvim. Uzticamais pārstāvis paziņo personām, kurām ir pienākums veikt</w:t>
      </w:r>
      <w:r>
        <w:rPr>
          <w:spacing w:val="1"/>
          <w:sz w:val="24"/>
        </w:rPr>
        <w:t> </w:t>
      </w:r>
      <w:r>
        <w:rPr>
          <w:sz w:val="24"/>
        </w:rPr>
        <w:t>maksājumus;</w:t>
      </w:r>
    </w:p>
    <w:p>
      <w:pPr>
        <w:pStyle w:val="ListParagraph"/>
        <w:numPr>
          <w:ilvl w:val="0"/>
          <w:numId w:val="79"/>
        </w:numPr>
        <w:tabs>
          <w:tab w:pos="980" w:val="left" w:leader="none"/>
        </w:tabs>
        <w:spacing w:line="240" w:lineRule="auto" w:before="0" w:after="0"/>
        <w:ind w:left="980" w:right="0" w:hanging="360"/>
        <w:jc w:val="both"/>
        <w:rPr>
          <w:sz w:val="24"/>
        </w:rPr>
      </w:pPr>
      <w:r>
        <w:rPr>
          <w:sz w:val="24"/>
        </w:rPr>
        <w:t>mantojuma ienākumus.</w:t>
      </w:r>
    </w:p>
    <w:p>
      <w:pPr>
        <w:pStyle w:val="BodyText"/>
        <w:ind w:left="260" w:right="768" w:firstLine="720"/>
      </w:pPr>
      <w:r>
        <w:rPr/>
        <w:t>Pēc kreditora pamatota pieprasījuma tiesa var noteikt uzticamajam pārstāvim pārbaudīt, vai parādnieks pilda savus pienākumus.</w:t>
      </w:r>
    </w:p>
    <w:p>
      <w:pPr>
        <w:pStyle w:val="BodyText"/>
        <w:ind w:left="260" w:right="763" w:firstLine="720"/>
      </w:pPr>
      <w:r>
        <w:rPr/>
        <w:t>Procedūras beigās uzticamais pārstāvis iesniedz tiesā ziņojumu par parādnieka atbrīvošanu no saistībām.</w:t>
      </w:r>
    </w:p>
    <w:p>
      <w:pPr>
        <w:pStyle w:val="Heading4"/>
        <w:numPr>
          <w:ilvl w:val="0"/>
          <w:numId w:val="77"/>
        </w:numPr>
        <w:tabs>
          <w:tab w:pos="968" w:val="left" w:leader="none"/>
        </w:tabs>
        <w:spacing w:line="240" w:lineRule="auto" w:before="5" w:after="0"/>
        <w:ind w:left="687" w:right="762" w:hanging="12"/>
        <w:jc w:val="both"/>
      </w:pPr>
      <w:r>
        <w:rPr>
          <w:i/>
        </w:rPr>
        <w:t>Parādnieka pienākumi saistību dzēšanas procedūras laikā (Igaunijas Bankrota </w:t>
      </w:r>
      <w:r>
        <w:rPr/>
        <w:t>likuma 173.p.):</w:t>
      </w:r>
    </w:p>
    <w:p>
      <w:pPr>
        <w:pStyle w:val="ListParagraph"/>
        <w:numPr>
          <w:ilvl w:val="0"/>
          <w:numId w:val="80"/>
        </w:numPr>
        <w:tabs>
          <w:tab w:pos="968" w:val="left" w:leader="none"/>
        </w:tabs>
        <w:spacing w:line="240" w:lineRule="auto" w:before="0" w:after="0"/>
        <w:ind w:left="967" w:right="765" w:hanging="281"/>
        <w:jc w:val="both"/>
        <w:rPr>
          <w:sz w:val="24"/>
        </w:rPr>
      </w:pPr>
      <w:r>
        <w:rPr>
          <w:sz w:val="24"/>
        </w:rPr>
        <w:t>parādniekam ir pienākums veikt samērīgi ienesīgu darbu vai meklēt šādu darbu, ja tā</w:t>
      </w:r>
      <w:r>
        <w:rPr>
          <w:spacing w:val="-1"/>
          <w:sz w:val="24"/>
        </w:rPr>
        <w:t> </w:t>
      </w:r>
      <w:r>
        <w:rPr>
          <w:sz w:val="24"/>
        </w:rPr>
        <w:t>nav,</w:t>
      </w:r>
    </w:p>
    <w:p>
      <w:pPr>
        <w:pStyle w:val="ListParagraph"/>
        <w:numPr>
          <w:ilvl w:val="0"/>
          <w:numId w:val="80"/>
        </w:numPr>
        <w:tabs>
          <w:tab w:pos="968" w:val="left" w:leader="none"/>
        </w:tabs>
        <w:spacing w:line="240" w:lineRule="auto" w:before="0" w:after="0"/>
        <w:ind w:left="967" w:right="764" w:hanging="281"/>
        <w:jc w:val="both"/>
        <w:rPr>
          <w:sz w:val="24"/>
        </w:rPr>
      </w:pPr>
      <w:r>
        <w:rPr>
          <w:sz w:val="24"/>
        </w:rPr>
        <w:t>parādnieks nekavējoties paziņo tiesai un uzticamajam pārstāvim, ja viņš vai viņa maina dzīvesvietu,</w:t>
      </w:r>
    </w:p>
    <w:p>
      <w:pPr>
        <w:pStyle w:val="ListParagraph"/>
        <w:numPr>
          <w:ilvl w:val="0"/>
          <w:numId w:val="80"/>
        </w:numPr>
        <w:tabs>
          <w:tab w:pos="968" w:val="left" w:leader="none"/>
        </w:tabs>
        <w:spacing w:line="240" w:lineRule="auto" w:before="0" w:after="0"/>
        <w:ind w:left="967" w:right="764" w:hanging="281"/>
        <w:jc w:val="both"/>
        <w:rPr>
          <w:sz w:val="24"/>
        </w:rPr>
      </w:pPr>
      <w:r>
        <w:rPr>
          <w:sz w:val="24"/>
        </w:rPr>
        <w:t>parādnieks</w:t>
      </w:r>
      <w:r>
        <w:rPr>
          <w:spacing w:val="-13"/>
          <w:sz w:val="24"/>
        </w:rPr>
        <w:t> </w:t>
      </w:r>
      <w:r>
        <w:rPr>
          <w:sz w:val="24"/>
        </w:rPr>
        <w:t>neslēpj</w:t>
      </w:r>
      <w:r>
        <w:rPr>
          <w:spacing w:val="-13"/>
          <w:sz w:val="24"/>
        </w:rPr>
        <w:t> </w:t>
      </w:r>
      <w:r>
        <w:rPr>
          <w:sz w:val="24"/>
        </w:rPr>
        <w:t>saņemtos</w:t>
      </w:r>
      <w:r>
        <w:rPr>
          <w:spacing w:val="-13"/>
          <w:sz w:val="24"/>
        </w:rPr>
        <w:t> </w:t>
      </w:r>
      <w:r>
        <w:rPr>
          <w:sz w:val="24"/>
        </w:rPr>
        <w:t>ienākumus</w:t>
      </w:r>
      <w:r>
        <w:rPr>
          <w:spacing w:val="-13"/>
          <w:sz w:val="24"/>
        </w:rPr>
        <w:t> </w:t>
      </w:r>
      <w:r>
        <w:rPr>
          <w:sz w:val="24"/>
        </w:rPr>
        <w:t>vai</w:t>
      </w:r>
      <w:r>
        <w:rPr>
          <w:spacing w:val="-15"/>
          <w:sz w:val="24"/>
        </w:rPr>
        <w:t> </w:t>
      </w:r>
      <w:r>
        <w:rPr>
          <w:sz w:val="24"/>
        </w:rPr>
        <w:t>aktīvus</w:t>
      </w:r>
      <w:r>
        <w:rPr>
          <w:spacing w:val="-16"/>
          <w:sz w:val="24"/>
        </w:rPr>
        <w:t> </w:t>
      </w:r>
      <w:r>
        <w:rPr>
          <w:sz w:val="24"/>
        </w:rPr>
        <w:t>un</w:t>
      </w:r>
      <w:r>
        <w:rPr>
          <w:spacing w:val="-13"/>
          <w:sz w:val="24"/>
        </w:rPr>
        <w:t> </w:t>
      </w:r>
      <w:r>
        <w:rPr>
          <w:sz w:val="24"/>
        </w:rPr>
        <w:t>sniedz</w:t>
      </w:r>
      <w:r>
        <w:rPr>
          <w:spacing w:val="-13"/>
          <w:sz w:val="24"/>
        </w:rPr>
        <w:t> </w:t>
      </w:r>
      <w:r>
        <w:rPr>
          <w:sz w:val="24"/>
        </w:rPr>
        <w:t>informāciju</w:t>
      </w:r>
      <w:r>
        <w:rPr>
          <w:spacing w:val="-11"/>
          <w:sz w:val="24"/>
        </w:rPr>
        <w:t> </w:t>
      </w:r>
      <w:r>
        <w:rPr>
          <w:sz w:val="24"/>
        </w:rPr>
        <w:t>pēc</w:t>
      </w:r>
      <w:r>
        <w:rPr>
          <w:spacing w:val="-17"/>
          <w:sz w:val="24"/>
        </w:rPr>
        <w:t> </w:t>
      </w:r>
      <w:r>
        <w:rPr>
          <w:sz w:val="24"/>
        </w:rPr>
        <w:t>tiesas vai uzticamā pārstāvja lūguma par darba meklējumiem, par ienākumiem un</w:t>
      </w:r>
      <w:r>
        <w:rPr>
          <w:spacing w:val="-14"/>
          <w:sz w:val="24"/>
        </w:rPr>
        <w:t> </w:t>
      </w:r>
      <w:r>
        <w:rPr>
          <w:sz w:val="24"/>
        </w:rPr>
        <w:t>mantu,</w:t>
      </w:r>
    </w:p>
    <w:p>
      <w:pPr>
        <w:pStyle w:val="ListParagraph"/>
        <w:numPr>
          <w:ilvl w:val="0"/>
          <w:numId w:val="80"/>
        </w:numPr>
        <w:tabs>
          <w:tab w:pos="968" w:val="left" w:leader="none"/>
        </w:tabs>
        <w:spacing w:line="240" w:lineRule="auto" w:before="0" w:after="0"/>
        <w:ind w:left="967" w:right="764" w:hanging="281"/>
        <w:jc w:val="both"/>
        <w:rPr>
          <w:sz w:val="24"/>
        </w:rPr>
      </w:pPr>
      <w:r>
        <w:rPr>
          <w:sz w:val="24"/>
        </w:rPr>
        <w:t>naudas līdzekļi, kas pienākas no darba devēja vai pakalpojumu attiecībām vai</w:t>
      </w:r>
      <w:r>
        <w:rPr>
          <w:spacing w:val="-15"/>
          <w:sz w:val="24"/>
        </w:rPr>
        <w:t> </w:t>
      </w:r>
      <w:r>
        <w:rPr>
          <w:sz w:val="24"/>
        </w:rPr>
        <w:t>kāda cita</w:t>
      </w:r>
      <w:r>
        <w:rPr>
          <w:spacing w:val="-12"/>
          <w:sz w:val="24"/>
        </w:rPr>
        <w:t> </w:t>
      </w:r>
      <w:r>
        <w:rPr>
          <w:sz w:val="24"/>
        </w:rPr>
        <w:t>līdzīga</w:t>
      </w:r>
      <w:r>
        <w:rPr>
          <w:spacing w:val="-12"/>
          <w:sz w:val="24"/>
        </w:rPr>
        <w:t> </w:t>
      </w:r>
      <w:r>
        <w:rPr>
          <w:sz w:val="24"/>
        </w:rPr>
        <w:t>attiecības</w:t>
      </w:r>
      <w:r>
        <w:rPr>
          <w:spacing w:val="-12"/>
          <w:sz w:val="24"/>
        </w:rPr>
        <w:t> </w:t>
      </w:r>
      <w:r>
        <w:rPr>
          <w:sz w:val="24"/>
        </w:rPr>
        <w:t>vai</w:t>
      </w:r>
      <w:r>
        <w:rPr>
          <w:spacing w:val="-11"/>
          <w:sz w:val="24"/>
        </w:rPr>
        <w:t> </w:t>
      </w:r>
      <w:r>
        <w:rPr>
          <w:sz w:val="24"/>
        </w:rPr>
        <w:t>ienākumi</w:t>
      </w:r>
      <w:r>
        <w:rPr>
          <w:spacing w:val="-9"/>
          <w:sz w:val="24"/>
        </w:rPr>
        <w:t> </w:t>
      </w:r>
      <w:r>
        <w:rPr>
          <w:sz w:val="24"/>
        </w:rPr>
        <w:t>no</w:t>
      </w:r>
      <w:r>
        <w:rPr>
          <w:spacing w:val="-12"/>
          <w:sz w:val="24"/>
        </w:rPr>
        <w:t> </w:t>
      </w:r>
      <w:r>
        <w:rPr>
          <w:sz w:val="24"/>
        </w:rPr>
        <w:t>uzņēmējdarbības</w:t>
      </w:r>
      <w:r>
        <w:rPr>
          <w:spacing w:val="-13"/>
          <w:sz w:val="24"/>
        </w:rPr>
        <w:t> </w:t>
      </w:r>
      <w:r>
        <w:rPr>
          <w:sz w:val="24"/>
        </w:rPr>
        <w:t>tiek</w:t>
      </w:r>
      <w:r>
        <w:rPr>
          <w:spacing w:val="-12"/>
          <w:sz w:val="24"/>
        </w:rPr>
        <w:t> </w:t>
      </w:r>
      <w:r>
        <w:rPr>
          <w:sz w:val="24"/>
        </w:rPr>
        <w:t>pārskaitīti</w:t>
      </w:r>
      <w:r>
        <w:rPr>
          <w:spacing w:val="-12"/>
          <w:sz w:val="24"/>
        </w:rPr>
        <w:t> </w:t>
      </w:r>
      <w:r>
        <w:rPr>
          <w:sz w:val="24"/>
        </w:rPr>
        <w:t>uzticamajam pārstāvim. Uzticamais pārstāvis nodod 25 procentus no šiem ienākumiem parādniekam. Ņemot vērā apstākļus, tiesa var noteikt atšķirīgu likmi.</w:t>
      </w:r>
      <w:r>
        <w:rPr>
          <w:spacing w:val="-15"/>
          <w:sz w:val="24"/>
        </w:rPr>
        <w:t> </w:t>
      </w:r>
      <w:r>
        <w:rPr>
          <w:sz w:val="24"/>
        </w:rPr>
        <w:t>Uzticamajam</w:t>
      </w:r>
    </w:p>
    <w:p>
      <w:pPr>
        <w:spacing w:after="0" w:line="240" w:lineRule="auto"/>
        <w:jc w:val="both"/>
        <w:rPr>
          <w:sz w:val="24"/>
        </w:rPr>
        <w:sectPr>
          <w:pgSz w:w="11910" w:h="16840"/>
          <w:pgMar w:header="0" w:footer="1055" w:top="1340" w:bottom="1240" w:left="1180" w:right="1040"/>
        </w:sectPr>
      </w:pPr>
    </w:p>
    <w:p>
      <w:pPr>
        <w:pStyle w:val="BodyText"/>
        <w:spacing w:before="73"/>
        <w:ind w:left="1327" w:right="406"/>
      </w:pPr>
      <w:r>
        <w:rPr/>
        <w:t>pārstāvim netiek pārskaitīti ienākumi, uz kuriem saskaņā ar likumu nevar vērst piedziņu.</w:t>
      </w:r>
    </w:p>
    <w:p>
      <w:pPr>
        <w:pStyle w:val="ListParagraph"/>
        <w:numPr>
          <w:ilvl w:val="0"/>
          <w:numId w:val="80"/>
        </w:numPr>
        <w:tabs>
          <w:tab w:pos="1328" w:val="left" w:leader="none"/>
        </w:tabs>
        <w:spacing w:line="240" w:lineRule="auto" w:before="0" w:after="0"/>
        <w:ind w:left="1327" w:right="406" w:hanging="281"/>
        <w:jc w:val="both"/>
        <w:rPr>
          <w:sz w:val="24"/>
        </w:rPr>
      </w:pPr>
      <w:r>
        <w:rPr>
          <w:sz w:val="24"/>
        </w:rPr>
        <w:t>Parādniekam jāpārskaita uzticamajam pārstāvim puse no saņemto aktīvu vērtības, kas saņemti mantojumā (</w:t>
      </w:r>
      <w:r>
        <w:rPr>
          <w:i/>
          <w:sz w:val="24"/>
        </w:rPr>
        <w:t>assets received by</w:t>
      </w:r>
      <w:r>
        <w:rPr>
          <w:i/>
          <w:spacing w:val="-2"/>
          <w:sz w:val="24"/>
        </w:rPr>
        <w:t> </w:t>
      </w:r>
      <w:r>
        <w:rPr>
          <w:i/>
          <w:sz w:val="24"/>
        </w:rPr>
        <w:t>succession</w:t>
      </w:r>
      <w:r>
        <w:rPr>
          <w:sz w:val="24"/>
        </w:rPr>
        <w:t>).</w:t>
      </w:r>
    </w:p>
    <w:p>
      <w:pPr>
        <w:pStyle w:val="ListParagraph"/>
        <w:numPr>
          <w:ilvl w:val="0"/>
          <w:numId w:val="77"/>
        </w:numPr>
        <w:tabs>
          <w:tab w:pos="1340" w:val="left" w:leader="none"/>
        </w:tabs>
        <w:spacing w:line="240" w:lineRule="auto" w:before="0" w:after="0"/>
        <w:ind w:left="620" w:right="401" w:firstLine="360"/>
        <w:jc w:val="both"/>
        <w:rPr>
          <w:sz w:val="24"/>
        </w:rPr>
      </w:pPr>
      <w:r>
        <w:rPr>
          <w:b/>
          <w:i/>
          <w:sz w:val="24"/>
        </w:rPr>
        <w:t>Tiesas lēmums par parādnieka atbrīvošanu no saistībām. </w:t>
      </w:r>
      <w:r>
        <w:rPr>
          <w:sz w:val="24"/>
        </w:rPr>
        <w:t>Parādniekam tiesā jāiesniedz lūgums atbrīvot no saistībām, kuras nav izpildītas bankrota procedūras laikā, taču tiesa par šo var lemt tad, kad ir pagājuši pieci gadi pēc procedūras par parādnieka atbrīvošanu no saistībām uzsākšanas, tomēr, ņemot vērā apstākļus, tiesa var</w:t>
      </w:r>
      <w:r>
        <w:rPr>
          <w:spacing w:val="44"/>
          <w:sz w:val="24"/>
        </w:rPr>
        <w:t> </w:t>
      </w:r>
      <w:r>
        <w:rPr>
          <w:sz w:val="24"/>
        </w:rPr>
        <w:t>atbrīvot parādnieku, kurš pienācīgi pildījis savus pienākumus no saistībām, ātrāk, bet ne ātrāk kā trīs gadus pēc procedūras par parādnieka atbrīvošanu no saistībām</w:t>
      </w:r>
      <w:r>
        <w:rPr>
          <w:spacing w:val="-4"/>
          <w:sz w:val="24"/>
        </w:rPr>
        <w:t> </w:t>
      </w:r>
      <w:r>
        <w:rPr>
          <w:sz w:val="24"/>
        </w:rPr>
        <w:t>uzsākšanas.</w:t>
      </w:r>
    </w:p>
    <w:p>
      <w:pPr>
        <w:pStyle w:val="BodyText"/>
        <w:spacing w:line="237" w:lineRule="auto" w:before="3"/>
        <w:ind w:left="620" w:right="400" w:firstLine="720"/>
      </w:pPr>
      <w:r>
        <w:rPr/>
        <w:t>Ņemot vērā apstākļus, tiesa personu, kura savus pienākumus ir pildījusi pienācīgi, var atbrīvot pirms piecu gadu termiņa notecējuma, bet ne agrāk kā pēc trim gadiem sākot no procesa uzsākšanas, it īpaši, ja parādnieks ir pienācīgi izpildījis savas saistības procesa laikā un lielā mērā ir apmierinājis kreditoru prasības.</w:t>
      </w:r>
      <w:r>
        <w:rPr>
          <w:position w:val="9"/>
          <w:sz w:val="16"/>
        </w:rPr>
        <w:t>324 </w:t>
      </w:r>
      <w:r>
        <w:rPr/>
        <w:t>Ja tiesa konstatē, ka parādnieka atbrīvošana no saistībām nav pamatota, tā var pagarināt procedūru un noteikt termiņu parādniekam, pēc kura beigām lūgums atbrīvot no saistībām tiek pārskatīts. Šis termiņš kopumā nedrīkst pārsniegt septiņus gadus no procedūras sākšanas dienas.</w:t>
      </w:r>
    </w:p>
    <w:p>
      <w:pPr>
        <w:pStyle w:val="BodyText"/>
        <w:spacing w:before="2"/>
        <w:ind w:left="1340"/>
      </w:pPr>
      <w:r>
        <w:rPr/>
        <w:t>Tiesa neatbrīvo parādnieku no savām saistībām, ja:</w:t>
      </w:r>
    </w:p>
    <w:p>
      <w:pPr>
        <w:pStyle w:val="ListParagraph"/>
        <w:numPr>
          <w:ilvl w:val="1"/>
          <w:numId w:val="77"/>
        </w:numPr>
        <w:tabs>
          <w:tab w:pos="1600" w:val="left" w:leader="none"/>
        </w:tabs>
        <w:spacing w:line="240" w:lineRule="auto" w:before="0" w:after="0"/>
        <w:ind w:left="1599" w:right="0" w:hanging="260"/>
        <w:jc w:val="both"/>
        <w:rPr>
          <w:sz w:val="24"/>
        </w:rPr>
      </w:pPr>
      <w:r>
        <w:rPr>
          <w:sz w:val="24"/>
        </w:rPr>
        <w:t>parādnieks ir ticis notiesāts par bankrota</w:t>
      </w:r>
      <w:r>
        <w:rPr>
          <w:spacing w:val="-6"/>
          <w:sz w:val="24"/>
        </w:rPr>
        <w:t> </w:t>
      </w:r>
      <w:r>
        <w:rPr>
          <w:sz w:val="24"/>
        </w:rPr>
        <w:t>pārkāpumu;</w:t>
      </w:r>
    </w:p>
    <w:p>
      <w:pPr>
        <w:pStyle w:val="ListParagraph"/>
        <w:numPr>
          <w:ilvl w:val="1"/>
          <w:numId w:val="77"/>
        </w:numPr>
        <w:tabs>
          <w:tab w:pos="1680" w:val="left" w:leader="none"/>
        </w:tabs>
        <w:spacing w:line="240" w:lineRule="auto" w:before="0" w:after="0"/>
        <w:ind w:left="620" w:right="405" w:firstLine="720"/>
        <w:jc w:val="both"/>
        <w:rPr>
          <w:sz w:val="24"/>
        </w:rPr>
      </w:pPr>
      <w:r>
        <w:rPr>
          <w:sz w:val="24"/>
        </w:rPr>
        <w:t>parādnieks ir tīši, apzināti pārkāpis Igaunijas Bankrota likuma 173.pantā noteiktos pienākumus un tādējādi ir aizskāris kreditoru</w:t>
      </w:r>
      <w:r>
        <w:rPr>
          <w:spacing w:val="-1"/>
          <w:sz w:val="24"/>
        </w:rPr>
        <w:t> </w:t>
      </w:r>
      <w:r>
        <w:rPr>
          <w:sz w:val="24"/>
        </w:rPr>
        <w:t>intereses.</w:t>
      </w:r>
    </w:p>
    <w:p>
      <w:pPr>
        <w:pStyle w:val="BodyText"/>
        <w:ind w:left="620" w:right="404" w:firstLine="720"/>
      </w:pPr>
      <w:r>
        <w:rPr/>
        <w:t>Tiesa nedrīkst atteikties atbrīvot personu no tās saistībām pirms tā nav</w:t>
      </w:r>
      <w:r>
        <w:rPr>
          <w:spacing w:val="-29"/>
        </w:rPr>
        <w:t> </w:t>
      </w:r>
      <w:r>
        <w:rPr/>
        <w:t>uzklausījusi uzticamo pārstāvi, parādnieku un kreditorus, kuri ir lūguši, lai tos uzklausa.</w:t>
      </w:r>
    </w:p>
    <w:p>
      <w:pPr>
        <w:pStyle w:val="BodyText"/>
        <w:ind w:left="620" w:right="401" w:firstLine="720"/>
      </w:pPr>
      <w:r>
        <w:rPr/>
        <w:t>Parādnieks iesniedz informāciju par savu pienākumu izpildi tiesā ar zvērestu. Ja parādnieks neiesniedz informāciju tiesas noteiktajā termiņā, tiesa atsakās atbrīvot parādnieku no atlikušajām saistībām.</w:t>
      </w:r>
    </w:p>
    <w:p>
      <w:pPr>
        <w:pStyle w:val="ListParagraph"/>
        <w:numPr>
          <w:ilvl w:val="0"/>
          <w:numId w:val="77"/>
        </w:numPr>
        <w:tabs>
          <w:tab w:pos="1340" w:val="left" w:leader="none"/>
        </w:tabs>
        <w:spacing w:line="240" w:lineRule="auto" w:before="0" w:after="0"/>
        <w:ind w:left="620" w:right="402" w:firstLine="360"/>
        <w:jc w:val="both"/>
        <w:rPr>
          <w:sz w:val="24"/>
        </w:rPr>
      </w:pPr>
      <w:r>
        <w:rPr>
          <w:b/>
          <w:i/>
          <w:sz w:val="24"/>
        </w:rPr>
        <w:t>Lēmuma par parādnieka atbrīvošanu no saistībām atcelšana. </w:t>
      </w:r>
      <w:r>
        <w:rPr>
          <w:sz w:val="24"/>
        </w:rPr>
        <w:t>Pēc kreditora pieteikumu tiesa var atcelt lēmumu par atbrīvošanu no saistībām viena gada laikā no tā pieņemšanas brīža, ja kļūst zināms, ka parādnieks ir apzināti pārkāpis savus pienākumus šajā procedūrā un tādējādi ir būtiski traucējis kreditoru prasījumu</w:t>
      </w:r>
      <w:r>
        <w:rPr>
          <w:spacing w:val="-5"/>
          <w:sz w:val="24"/>
        </w:rPr>
        <w:t> </w:t>
      </w:r>
      <w:r>
        <w:rPr>
          <w:sz w:val="24"/>
        </w:rPr>
        <w:t>apmierināšanai.</w:t>
      </w:r>
    </w:p>
    <w:p>
      <w:pPr>
        <w:pStyle w:val="BodyText"/>
        <w:ind w:left="620" w:right="403" w:firstLine="720"/>
      </w:pPr>
      <w:r>
        <w:rPr/>
        <w:t>Minēto pieteikumu kreditors var iesniegt tikai tad, ja par šādu parādnieka pārkāpumu tas ir uzzinājis tikai pēc tam, kad tiesa ir pieņēmusi lēmumu par parādnieka atbrīvošanu no saistībām.</w:t>
      </w:r>
    </w:p>
    <w:p>
      <w:pPr>
        <w:pStyle w:val="BodyText"/>
        <w:ind w:left="620" w:right="402" w:firstLine="720"/>
      </w:pPr>
      <w:r>
        <w:rPr/>
        <w:t>Pirms lēmuma pieņemšanas tiesa uzklusa parādnieku un pārstāvi. Par kreditora pieteikumu</w:t>
      </w:r>
      <w:r>
        <w:rPr>
          <w:spacing w:val="-14"/>
        </w:rPr>
        <w:t> </w:t>
      </w:r>
      <w:r>
        <w:rPr/>
        <w:t>atcelt</w:t>
      </w:r>
      <w:r>
        <w:rPr>
          <w:spacing w:val="-13"/>
        </w:rPr>
        <w:t> </w:t>
      </w:r>
      <w:r>
        <w:rPr/>
        <w:t>lēmumu</w:t>
      </w:r>
      <w:r>
        <w:rPr>
          <w:spacing w:val="-13"/>
        </w:rPr>
        <w:t> </w:t>
      </w:r>
      <w:r>
        <w:rPr/>
        <w:t>par</w:t>
      </w:r>
      <w:r>
        <w:rPr>
          <w:spacing w:val="-18"/>
        </w:rPr>
        <w:t> </w:t>
      </w:r>
      <w:r>
        <w:rPr/>
        <w:t>atbrīvošanu</w:t>
      </w:r>
      <w:r>
        <w:rPr>
          <w:spacing w:val="-13"/>
        </w:rPr>
        <w:t> </w:t>
      </w:r>
      <w:r>
        <w:rPr/>
        <w:t>no</w:t>
      </w:r>
      <w:r>
        <w:rPr>
          <w:spacing w:val="-13"/>
        </w:rPr>
        <w:t> </w:t>
      </w:r>
      <w:r>
        <w:rPr/>
        <w:t>saistībām</w:t>
      </w:r>
      <w:r>
        <w:rPr>
          <w:spacing w:val="-14"/>
        </w:rPr>
        <w:t> </w:t>
      </w:r>
      <w:r>
        <w:rPr/>
        <w:t>parādnieks</w:t>
      </w:r>
      <w:r>
        <w:rPr>
          <w:spacing w:val="-13"/>
        </w:rPr>
        <w:t> </w:t>
      </w:r>
      <w:r>
        <w:rPr/>
        <w:t>un</w:t>
      </w:r>
      <w:r>
        <w:rPr>
          <w:spacing w:val="-13"/>
        </w:rPr>
        <w:t> </w:t>
      </w:r>
      <w:r>
        <w:rPr/>
        <w:t>kreditors</w:t>
      </w:r>
      <w:r>
        <w:rPr>
          <w:spacing w:val="-17"/>
        </w:rPr>
        <w:t> </w:t>
      </w:r>
      <w:r>
        <w:rPr/>
        <w:t>var</w:t>
      </w:r>
      <w:r>
        <w:rPr>
          <w:spacing w:val="-13"/>
        </w:rPr>
        <w:t> </w:t>
      </w:r>
      <w:r>
        <w:rPr/>
        <w:t>iesniegt apelāciju. Tiesas lēmums par lēmuma par parādnieka atbrīvošanu no saistībām atcelšanu tiek publicēts oficiālajā</w:t>
      </w:r>
      <w:r>
        <w:rPr>
          <w:spacing w:val="-1"/>
        </w:rPr>
        <w:t> </w:t>
      </w:r>
      <w:r>
        <w:rPr/>
        <w:t>izdevumā.</w:t>
      </w:r>
    </w:p>
    <w:p>
      <w:pPr>
        <w:pStyle w:val="BodyText"/>
        <w:spacing w:before="5"/>
        <w:jc w:val="left"/>
      </w:pPr>
    </w:p>
    <w:p>
      <w:pPr>
        <w:pStyle w:val="Heading4"/>
        <w:numPr>
          <w:ilvl w:val="1"/>
          <w:numId w:val="68"/>
        </w:numPr>
        <w:tabs>
          <w:tab w:pos="1401" w:val="left" w:leader="none"/>
        </w:tabs>
        <w:spacing w:line="240" w:lineRule="auto" w:before="0" w:after="0"/>
        <w:ind w:left="1340" w:right="403" w:hanging="360"/>
        <w:jc w:val="both"/>
      </w:pPr>
      <w:r>
        <w:rPr>
          <w:i/>
        </w:rPr>
        <w:t>Parādu pārstrukturēšanas procedūra (Parādu pārstrukturēšanas un </w:t>
      </w:r>
      <w:r>
        <w:rPr/>
        <w:t>aizsardzības likums jeb Debt Restructuring and Debt Protection Act, spēkā no 2011.gada)</w:t>
      </w:r>
    </w:p>
    <w:p>
      <w:pPr>
        <w:pStyle w:val="BodyText"/>
        <w:spacing w:before="7"/>
        <w:jc w:val="left"/>
        <w:rPr>
          <w:b/>
          <w:i/>
          <w:sz w:val="23"/>
        </w:rPr>
      </w:pPr>
    </w:p>
    <w:p>
      <w:pPr>
        <w:pStyle w:val="ListParagraph"/>
        <w:numPr>
          <w:ilvl w:val="2"/>
          <w:numId w:val="68"/>
        </w:numPr>
        <w:tabs>
          <w:tab w:pos="2060" w:val="left" w:leader="none"/>
        </w:tabs>
        <w:spacing w:line="240" w:lineRule="auto" w:before="0" w:after="0"/>
        <w:ind w:left="620" w:right="407" w:firstLine="720"/>
        <w:jc w:val="both"/>
        <w:rPr>
          <w:sz w:val="24"/>
        </w:rPr>
      </w:pPr>
      <w:r>
        <w:rPr>
          <w:b/>
          <w:i/>
          <w:sz w:val="24"/>
        </w:rPr>
        <w:t>Vispārīgs apraksts</w:t>
      </w:r>
      <w:r>
        <w:rPr>
          <w:sz w:val="24"/>
        </w:rPr>
        <w:t>. Igaunijā parādu pārstrukturēšanu regulē Parādu pārstrukturēšanas likums (Debt Restructuring and Debt Protection Act), kurš </w:t>
      </w:r>
      <w:r>
        <w:rPr>
          <w:spacing w:val="-6"/>
          <w:sz w:val="24"/>
        </w:rPr>
        <w:t>ir </w:t>
      </w:r>
      <w:r>
        <w:rPr>
          <w:sz w:val="24"/>
        </w:rPr>
        <w:t>piemērojams tikai fiziskajām</w:t>
      </w:r>
      <w:r>
        <w:rPr>
          <w:spacing w:val="-1"/>
          <w:sz w:val="24"/>
        </w:rPr>
        <w:t> </w:t>
      </w:r>
      <w:r>
        <w:rPr>
          <w:sz w:val="24"/>
        </w:rPr>
        <w:t>personām.</w:t>
      </w:r>
    </w:p>
    <w:p>
      <w:pPr>
        <w:pStyle w:val="BodyText"/>
        <w:jc w:val="left"/>
        <w:rPr>
          <w:sz w:val="20"/>
        </w:rPr>
      </w:pPr>
    </w:p>
    <w:p>
      <w:pPr>
        <w:pStyle w:val="BodyText"/>
        <w:spacing w:before="6"/>
        <w:jc w:val="left"/>
        <w:rPr>
          <w:sz w:val="20"/>
        </w:rPr>
      </w:pPr>
      <w:r>
        <w:rPr/>
        <w:pict>
          <v:shape style="position:absolute;margin-left:90pt;margin-top:14.048924pt;width:144pt;height:.1pt;mso-position-horizontal-relative:page;mso-position-vertical-relative:paragraph;z-index:-251492352;mso-wrap-distance-left:0;mso-wrap-distance-right:0" coordorigin="1800,281" coordsize="2880,0" path="m1800,281l4680,281e" filled="false" stroked="true" strokeweight=".599991pt" strokecolor="#000000">
            <v:path arrowok="t"/>
            <v:stroke dashstyle="solid"/>
            <w10:wrap type="topAndBottom"/>
          </v:shape>
        </w:pict>
      </w:r>
    </w:p>
    <w:p>
      <w:pPr>
        <w:spacing w:before="70"/>
        <w:ind w:left="620" w:right="398" w:firstLine="0"/>
        <w:jc w:val="left"/>
        <w:rPr>
          <w:sz w:val="20"/>
        </w:rPr>
      </w:pPr>
      <w:r>
        <w:rPr>
          <w:position w:val="7"/>
          <w:sz w:val="13"/>
        </w:rPr>
        <w:t>324 </w:t>
      </w:r>
      <w:r>
        <w:rPr>
          <w:sz w:val="20"/>
        </w:rPr>
        <w:t>Study on a new approach to business failure and insolvency: Comperative legal analysis of the Member States’ relevant provisions and practices, 2016, p.291. Pieejams: </w:t>
      </w:r>
      <w:r>
        <w:rPr>
          <w:color w:val="0562C1"/>
          <w:sz w:val="20"/>
          <w:u w:val="single" w:color="0562C1"/>
        </w:rPr>
        <w:t>https://ec.europa.eu/info/sites/info/files/insolvency_study_2016_final_en.pdf</w:t>
      </w:r>
    </w:p>
    <w:p>
      <w:pPr>
        <w:spacing w:before="1"/>
        <w:ind w:left="620" w:right="0" w:firstLine="0"/>
        <w:jc w:val="left"/>
        <w:rPr>
          <w:sz w:val="20"/>
        </w:rPr>
      </w:pPr>
      <w:r>
        <w:rPr>
          <w:sz w:val="20"/>
        </w:rPr>
        <w:t>[aplūkots 2018.gada 15.oktobrī].</w:t>
      </w:r>
    </w:p>
    <w:p>
      <w:pPr>
        <w:spacing w:after="0"/>
        <w:jc w:val="left"/>
        <w:rPr>
          <w:sz w:val="20"/>
        </w:rPr>
        <w:sectPr>
          <w:pgSz w:w="11910" w:h="16840"/>
          <w:pgMar w:header="0" w:footer="1055" w:top="1340" w:bottom="1240" w:left="1180" w:right="1040"/>
        </w:sectPr>
      </w:pPr>
    </w:p>
    <w:p>
      <w:pPr>
        <w:pStyle w:val="BodyText"/>
        <w:spacing w:before="73"/>
        <w:ind w:left="260" w:right="762" w:firstLine="993"/>
      </w:pPr>
      <w:r>
        <w:rPr/>
        <w:t>Parāda pārstrukturēšanas procedūras mērķis ir atvieglot tādas fiziskas personas parādu pārstrukturēšanu, kurai ir maksātspējas problēmas (parādnieks), lai pārvarētu šīs maksātspējas problēmas un izvairītos no bankrota procedūras (Parādu pārstrukturēšanas likuma 1.pants). Uzskatāms, ka parādniekam ir maksātnespējas problēmas, ja parādnieks nespēj vai nevarēs izpildīt savas saistības brīdī, kad iestāsies termiņš to izpildei.</w:t>
      </w:r>
    </w:p>
    <w:p>
      <w:pPr>
        <w:pStyle w:val="BodyText"/>
        <w:ind w:left="260" w:right="764" w:firstLine="780"/>
      </w:pPr>
      <w:r>
        <w:rPr/>
        <w:t>Parāda pārstrukturēšanas procedūra ļauj parādniekam pārstrukturēt savas finanšu saistības</w:t>
      </w:r>
      <w:r>
        <w:rPr>
          <w:spacing w:val="-11"/>
        </w:rPr>
        <w:t> </w:t>
      </w:r>
      <w:r>
        <w:rPr/>
        <w:t>(personīgās</w:t>
      </w:r>
      <w:r>
        <w:rPr>
          <w:spacing w:val="-10"/>
        </w:rPr>
        <w:t> </w:t>
      </w:r>
      <w:r>
        <w:rPr/>
        <w:t>parādsaistības),</w:t>
      </w:r>
      <w:r>
        <w:rPr>
          <w:spacing w:val="-11"/>
        </w:rPr>
        <w:t> </w:t>
      </w:r>
      <w:r>
        <w:rPr/>
        <w:t>pagarinot</w:t>
      </w:r>
      <w:r>
        <w:rPr>
          <w:spacing w:val="-8"/>
        </w:rPr>
        <w:t> </w:t>
      </w:r>
      <w:r>
        <w:rPr/>
        <w:t>saistību</w:t>
      </w:r>
      <w:r>
        <w:rPr>
          <w:spacing w:val="-11"/>
        </w:rPr>
        <w:t> </w:t>
      </w:r>
      <w:r>
        <w:rPr/>
        <w:t>izpildes</w:t>
      </w:r>
      <w:r>
        <w:rPr>
          <w:spacing w:val="-10"/>
        </w:rPr>
        <w:t> </w:t>
      </w:r>
      <w:r>
        <w:rPr/>
        <w:t>termiņu,</w:t>
      </w:r>
      <w:r>
        <w:rPr>
          <w:spacing w:val="-10"/>
        </w:rPr>
        <w:t> </w:t>
      </w:r>
      <w:r>
        <w:rPr/>
        <w:t>pildot</w:t>
      </w:r>
      <w:r>
        <w:rPr>
          <w:spacing w:val="-9"/>
        </w:rPr>
        <w:t> </w:t>
      </w:r>
      <w:r>
        <w:rPr/>
        <w:t>saistības</w:t>
      </w:r>
      <w:r>
        <w:rPr>
          <w:spacing w:val="-12"/>
        </w:rPr>
        <w:t> </w:t>
      </w:r>
      <w:r>
        <w:rPr/>
        <w:t>pa daļām vai samazinot saistību</w:t>
      </w:r>
      <w:r>
        <w:rPr>
          <w:spacing w:val="-2"/>
        </w:rPr>
        <w:t> </w:t>
      </w:r>
      <w:r>
        <w:rPr/>
        <w:t>apmēru.</w:t>
      </w:r>
    </w:p>
    <w:p>
      <w:pPr>
        <w:pStyle w:val="BodyText"/>
        <w:ind w:left="260" w:right="765" w:firstLine="720"/>
      </w:pPr>
      <w:r>
        <w:rPr/>
        <w:t>Parādnieks sedz visas ar to saistītās izmaksas, ieskaitot tiesas nodevas un konsultanta pakalpojuma izmaksas.</w:t>
      </w:r>
    </w:p>
    <w:p>
      <w:pPr>
        <w:pStyle w:val="BodyText"/>
        <w:spacing w:line="237" w:lineRule="auto" w:before="3"/>
        <w:ind w:left="260" w:right="761" w:firstLine="720"/>
        <w:rPr>
          <w:sz w:val="16"/>
        </w:rPr>
      </w:pPr>
      <w:r>
        <w:rPr/>
        <w:t>Šajā procedūrā tiesai ir vadošā un uzraudzības loma, līdzsvarojot kreditora un parādnieka intereses. Šī procedūra ir alternatīva bankrota procedūrai, kuras mērķis ir novērst nepieciešamību pēc bankrota procedūras uzsākšanas. Procedūra ir līdzīga un balstīta uz pārstrukturēšanas procedūrām, kas tiek piemērotas juridiskām personām (</w:t>
      </w:r>
      <w:r>
        <w:rPr>
          <w:i/>
        </w:rPr>
        <w:t>corporate debtors</w:t>
      </w:r>
      <w:r>
        <w:rPr/>
        <w:t>), kā noteikts likumā par reorganizāciju (</w:t>
      </w:r>
      <w:r>
        <w:rPr>
          <w:i/>
        </w:rPr>
        <w:t>Reorganisation Act)</w:t>
      </w:r>
      <w:r>
        <w:rPr/>
        <w:t>, taču tajā ņemta vērā parādnieku veidu atšķirīgā būtība.</w:t>
      </w:r>
      <w:r>
        <w:rPr>
          <w:position w:val="9"/>
          <w:sz w:val="16"/>
        </w:rPr>
        <w:t>325</w:t>
      </w:r>
    </w:p>
    <w:p>
      <w:pPr>
        <w:pStyle w:val="BodyText"/>
        <w:spacing w:line="235" w:lineRule="auto" w:before="3"/>
        <w:ind w:left="260" w:right="763" w:firstLine="720"/>
        <w:rPr>
          <w:sz w:val="16"/>
        </w:rPr>
      </w:pPr>
      <w:r>
        <w:rPr/>
        <w:t>Vispārējais princips parāda pārstrukturēšanas procedūrā ir tāds, ka kreditoriem nevajadzētu būt ievērojami sliktākā situācijā nekā tie būtu, pārdodot parādnieka esošos aktīvus</w:t>
      </w:r>
      <w:r>
        <w:rPr>
          <w:spacing w:val="-13"/>
        </w:rPr>
        <w:t> </w:t>
      </w:r>
      <w:r>
        <w:rPr/>
        <w:t>bankrota</w:t>
      </w:r>
      <w:r>
        <w:rPr>
          <w:spacing w:val="-12"/>
        </w:rPr>
        <w:t> </w:t>
      </w:r>
      <w:r>
        <w:rPr/>
        <w:t>procedūras</w:t>
      </w:r>
      <w:r>
        <w:rPr>
          <w:spacing w:val="-12"/>
        </w:rPr>
        <w:t> </w:t>
      </w:r>
      <w:r>
        <w:rPr/>
        <w:t>ietvaros</w:t>
      </w:r>
      <w:r>
        <w:rPr>
          <w:spacing w:val="-11"/>
        </w:rPr>
        <w:t> </w:t>
      </w:r>
      <w:r>
        <w:rPr/>
        <w:t>un</w:t>
      </w:r>
      <w:r>
        <w:rPr>
          <w:spacing w:val="-13"/>
        </w:rPr>
        <w:t> </w:t>
      </w:r>
      <w:r>
        <w:rPr/>
        <w:t>saņemot</w:t>
      </w:r>
      <w:r>
        <w:rPr>
          <w:spacing w:val="-10"/>
        </w:rPr>
        <w:t> </w:t>
      </w:r>
      <w:r>
        <w:rPr/>
        <w:t>maksājumus</w:t>
      </w:r>
      <w:r>
        <w:rPr>
          <w:spacing w:val="-13"/>
        </w:rPr>
        <w:t> </w:t>
      </w:r>
      <w:r>
        <w:rPr/>
        <w:t>saistību</w:t>
      </w:r>
      <w:r>
        <w:rPr>
          <w:spacing w:val="-13"/>
        </w:rPr>
        <w:t> </w:t>
      </w:r>
      <w:r>
        <w:rPr/>
        <w:t>dzēšanas</w:t>
      </w:r>
      <w:r>
        <w:rPr>
          <w:spacing w:val="-15"/>
        </w:rPr>
        <w:t> </w:t>
      </w:r>
      <w:r>
        <w:rPr/>
        <w:t>procedūras ietvaros.</w:t>
      </w:r>
      <w:r>
        <w:rPr>
          <w:position w:val="9"/>
          <w:sz w:val="16"/>
        </w:rPr>
        <w:t>326</w:t>
      </w:r>
    </w:p>
    <w:p>
      <w:pPr>
        <w:pStyle w:val="BodyText"/>
        <w:spacing w:line="237" w:lineRule="auto" w:before="5"/>
        <w:ind w:left="260" w:right="762" w:firstLine="720"/>
        <w:rPr>
          <w:sz w:val="16"/>
        </w:rPr>
      </w:pPr>
      <w:r>
        <w:rPr/>
        <w:t>Procedūras mērķis bija piedāvāt fiziskām personām iespēju pārstrukturēt parādus un palīdzēt atrisināt maksātnespējas problēmas, tomēr praksē sniegtā aizsardzība šķiet nepietiekama. Saskaņā ar Tieslietu ministrijas statistiku no 2009. gada aprīļa līdz 2013. gada novembrim tiesās tika iesniegti tikai 102 pārstrukturēšanas pieteikumi, no kuriem 92 tika nodoti turpmākai izskatīšanai (</w:t>
      </w:r>
      <w:r>
        <w:rPr>
          <w:i/>
        </w:rPr>
        <w:t>proceeded to processing</w:t>
      </w:r>
      <w:r>
        <w:rPr/>
        <w:t>). No tiem tiesa pilnībā vai daļēji apstiprināja tikai septiņus.</w:t>
      </w:r>
      <w:r>
        <w:rPr>
          <w:position w:val="9"/>
          <w:sz w:val="16"/>
        </w:rPr>
        <w:t>327</w:t>
      </w:r>
    </w:p>
    <w:p>
      <w:pPr>
        <w:pStyle w:val="ListParagraph"/>
        <w:numPr>
          <w:ilvl w:val="2"/>
          <w:numId w:val="68"/>
        </w:numPr>
        <w:tabs>
          <w:tab w:pos="1700" w:val="left" w:leader="none"/>
        </w:tabs>
        <w:spacing w:line="240" w:lineRule="auto" w:before="0" w:after="0"/>
        <w:ind w:left="260" w:right="761" w:firstLine="720"/>
        <w:jc w:val="both"/>
        <w:rPr>
          <w:sz w:val="24"/>
        </w:rPr>
      </w:pPr>
      <w:r>
        <w:rPr>
          <w:b/>
          <w:i/>
          <w:sz w:val="24"/>
        </w:rPr>
        <w:t>Priekšnoteikumi procedūras sākšanai. </w:t>
      </w:r>
      <w:r>
        <w:rPr>
          <w:sz w:val="24"/>
        </w:rPr>
        <w:t>Parādu pārstrukturēšanas likuma (</w:t>
      </w:r>
      <w:r>
        <w:rPr>
          <w:i/>
          <w:sz w:val="24"/>
        </w:rPr>
        <w:t>Debt Restructuring and Debt Protection Act</w:t>
      </w:r>
      <w:r>
        <w:rPr>
          <w:sz w:val="24"/>
        </w:rPr>
        <w:t>) 4.pants nosaka, ka parādu</w:t>
      </w:r>
      <w:r>
        <w:rPr>
          <w:spacing w:val="-33"/>
          <w:sz w:val="24"/>
        </w:rPr>
        <w:t> </w:t>
      </w:r>
      <w:r>
        <w:rPr>
          <w:sz w:val="24"/>
        </w:rPr>
        <w:t>pārstrukturēšanas pieteikumu var iesniegt parādnieks, kura dzīvesvieta ir Igaunija un kurš ir uzturējies Igaunijā ne mazāk kā divus gadus pirms parāda pārstrukturēšnas pieteikuma</w:t>
      </w:r>
      <w:r>
        <w:rPr>
          <w:spacing w:val="-15"/>
          <w:sz w:val="24"/>
        </w:rPr>
        <w:t> </w:t>
      </w:r>
      <w:r>
        <w:rPr>
          <w:sz w:val="24"/>
        </w:rPr>
        <w:t>iesniegšanas.</w:t>
      </w:r>
    </w:p>
    <w:p>
      <w:pPr>
        <w:pStyle w:val="ListParagraph"/>
        <w:numPr>
          <w:ilvl w:val="0"/>
          <w:numId w:val="81"/>
        </w:numPr>
        <w:tabs>
          <w:tab w:pos="980" w:val="left" w:leader="none"/>
        </w:tabs>
        <w:spacing w:line="240" w:lineRule="auto" w:before="0" w:after="0"/>
        <w:ind w:left="980" w:right="0" w:hanging="360"/>
        <w:jc w:val="both"/>
        <w:rPr>
          <w:sz w:val="24"/>
        </w:rPr>
      </w:pPr>
      <w:r>
        <w:rPr>
          <w:sz w:val="24"/>
          <w:u w:val="single"/>
        </w:rPr>
        <w:t>Pieteikuma iesniegšana tiesā.</w:t>
      </w:r>
      <w:r>
        <w:rPr>
          <w:sz w:val="24"/>
        </w:rPr>
        <w:t> Pieteikumā norādāma šāda</w:t>
      </w:r>
      <w:r>
        <w:rPr>
          <w:spacing w:val="-1"/>
          <w:sz w:val="24"/>
        </w:rPr>
        <w:t> </w:t>
      </w:r>
      <w:r>
        <w:rPr>
          <w:sz w:val="24"/>
        </w:rPr>
        <w:t>informācija:</w:t>
      </w:r>
    </w:p>
    <w:p>
      <w:pPr>
        <w:pStyle w:val="ListParagraph"/>
        <w:numPr>
          <w:ilvl w:val="1"/>
          <w:numId w:val="81"/>
        </w:numPr>
        <w:tabs>
          <w:tab w:pos="1392" w:val="left" w:leader="none"/>
          <w:tab w:pos="1393" w:val="left" w:leader="none"/>
        </w:tabs>
        <w:spacing w:line="240" w:lineRule="auto" w:before="0" w:after="0"/>
        <w:ind w:left="1392" w:right="0" w:hanging="426"/>
        <w:jc w:val="left"/>
        <w:rPr>
          <w:sz w:val="24"/>
        </w:rPr>
      </w:pPr>
      <w:r>
        <w:rPr>
          <w:sz w:val="24"/>
        </w:rPr>
        <w:t>parādnieka skaidrojums maksātspējas problēmām un to iemesliem;</w:t>
      </w:r>
    </w:p>
    <w:p>
      <w:pPr>
        <w:pStyle w:val="ListParagraph"/>
        <w:numPr>
          <w:ilvl w:val="1"/>
          <w:numId w:val="81"/>
        </w:numPr>
        <w:tabs>
          <w:tab w:pos="1392" w:val="left" w:leader="none"/>
          <w:tab w:pos="1393" w:val="left" w:leader="none"/>
        </w:tabs>
        <w:spacing w:line="240" w:lineRule="auto" w:before="0" w:after="0"/>
        <w:ind w:left="1392" w:right="0" w:hanging="426"/>
        <w:jc w:val="left"/>
        <w:rPr>
          <w:sz w:val="24"/>
        </w:rPr>
      </w:pPr>
      <w:r>
        <w:rPr>
          <w:sz w:val="24"/>
        </w:rPr>
        <w:t>vai parādnieks ir darījis un ko darījis, lai novērstu maksātspējas</w:t>
      </w:r>
      <w:r>
        <w:rPr>
          <w:spacing w:val="-3"/>
          <w:sz w:val="24"/>
        </w:rPr>
        <w:t> </w:t>
      </w:r>
      <w:r>
        <w:rPr>
          <w:sz w:val="24"/>
        </w:rPr>
        <w:t>problēmas;</w:t>
      </w:r>
    </w:p>
    <w:p>
      <w:pPr>
        <w:pStyle w:val="ListParagraph"/>
        <w:numPr>
          <w:ilvl w:val="1"/>
          <w:numId w:val="81"/>
        </w:numPr>
        <w:tabs>
          <w:tab w:pos="1392" w:val="left" w:leader="none"/>
          <w:tab w:pos="1393" w:val="left" w:leader="none"/>
        </w:tabs>
        <w:spacing w:line="240" w:lineRule="auto" w:before="0" w:after="0"/>
        <w:ind w:left="1392" w:right="0" w:hanging="426"/>
        <w:jc w:val="left"/>
        <w:rPr>
          <w:sz w:val="24"/>
        </w:rPr>
      </w:pPr>
      <w:r>
        <w:rPr>
          <w:sz w:val="24"/>
        </w:rPr>
        <w:t>parādnieka pieprasītie parāda pārstrukturēšanas</w:t>
      </w:r>
      <w:r>
        <w:rPr>
          <w:spacing w:val="-4"/>
          <w:sz w:val="24"/>
        </w:rPr>
        <w:t> </w:t>
      </w:r>
      <w:r>
        <w:rPr>
          <w:sz w:val="24"/>
        </w:rPr>
        <w:t>pasākumi;</w:t>
      </w:r>
    </w:p>
    <w:p>
      <w:pPr>
        <w:pStyle w:val="ListParagraph"/>
        <w:numPr>
          <w:ilvl w:val="1"/>
          <w:numId w:val="81"/>
        </w:numPr>
        <w:tabs>
          <w:tab w:pos="1393" w:val="left" w:leader="none"/>
        </w:tabs>
        <w:spacing w:line="240" w:lineRule="auto" w:before="0" w:after="0"/>
        <w:ind w:left="1392" w:right="763" w:hanging="425"/>
        <w:jc w:val="both"/>
        <w:rPr>
          <w:sz w:val="24"/>
        </w:rPr>
      </w:pPr>
      <w:r>
        <w:rPr>
          <w:sz w:val="24"/>
        </w:rPr>
        <w:t>parādnieka paskaidrojums par parādnieka spēju pildīt savas saistības, tādējādi novērst maksātnespēju parādu pārstrukturēšanas pasākumu veikšanas gadījumā;</w:t>
      </w:r>
    </w:p>
    <w:p>
      <w:pPr>
        <w:pStyle w:val="ListParagraph"/>
        <w:numPr>
          <w:ilvl w:val="1"/>
          <w:numId w:val="81"/>
        </w:numPr>
        <w:tabs>
          <w:tab w:pos="1393" w:val="left" w:leader="none"/>
        </w:tabs>
        <w:spacing w:line="240" w:lineRule="auto" w:before="0" w:after="0"/>
        <w:ind w:left="1392" w:right="764" w:hanging="425"/>
        <w:jc w:val="both"/>
        <w:rPr>
          <w:sz w:val="24"/>
        </w:rPr>
      </w:pPr>
      <w:r>
        <w:rPr>
          <w:sz w:val="24"/>
        </w:rPr>
        <w:t>parādnieka apstiprinājums, ka parādnieks nezina par apstākļiem, kas varētu kavēt parāda pārstrukturēšanu, un ka parādnieks izpildīs šā likuma 21.pantā paredzētos</w:t>
      </w:r>
      <w:r>
        <w:rPr>
          <w:spacing w:val="-1"/>
          <w:sz w:val="24"/>
        </w:rPr>
        <w:t> </w:t>
      </w:r>
      <w:r>
        <w:rPr>
          <w:sz w:val="24"/>
        </w:rPr>
        <w:t>pienākumus;</w:t>
      </w:r>
    </w:p>
    <w:p>
      <w:pPr>
        <w:pStyle w:val="ListParagraph"/>
        <w:numPr>
          <w:ilvl w:val="1"/>
          <w:numId w:val="81"/>
        </w:numPr>
        <w:tabs>
          <w:tab w:pos="1393" w:val="left" w:leader="none"/>
        </w:tabs>
        <w:spacing w:line="240" w:lineRule="auto" w:before="0" w:after="0"/>
        <w:ind w:left="1392" w:right="0" w:hanging="426"/>
        <w:jc w:val="both"/>
        <w:rPr>
          <w:sz w:val="24"/>
        </w:rPr>
      </w:pPr>
      <w:r>
        <w:rPr>
          <w:sz w:val="24"/>
        </w:rPr>
        <w:t>parādnieka viedoklis par nepieciešamību iecelt konsultantu;</w:t>
      </w:r>
    </w:p>
    <w:p>
      <w:pPr>
        <w:pStyle w:val="ListParagraph"/>
        <w:numPr>
          <w:ilvl w:val="1"/>
          <w:numId w:val="81"/>
        </w:numPr>
        <w:tabs>
          <w:tab w:pos="1393" w:val="left" w:leader="none"/>
        </w:tabs>
        <w:spacing w:line="240" w:lineRule="auto" w:before="0" w:after="0"/>
        <w:ind w:left="1392" w:right="0" w:hanging="426"/>
        <w:jc w:val="both"/>
        <w:rPr>
          <w:sz w:val="24"/>
        </w:rPr>
      </w:pPr>
      <w:r>
        <w:rPr>
          <w:sz w:val="24"/>
        </w:rPr>
        <w:t>informācija, kas ļauj pārbaudīt, vai ir veikta valsts nodevas</w:t>
      </w:r>
      <w:r>
        <w:rPr>
          <w:spacing w:val="-2"/>
          <w:sz w:val="24"/>
        </w:rPr>
        <w:t> </w:t>
      </w:r>
      <w:r>
        <w:rPr>
          <w:sz w:val="24"/>
        </w:rPr>
        <w:t>samaksa.</w:t>
      </w:r>
    </w:p>
    <w:p>
      <w:pPr>
        <w:pStyle w:val="BodyText"/>
        <w:jc w:val="left"/>
        <w:rPr>
          <w:sz w:val="20"/>
        </w:rPr>
      </w:pPr>
    </w:p>
    <w:p>
      <w:pPr>
        <w:pStyle w:val="BodyText"/>
        <w:spacing w:before="7"/>
        <w:jc w:val="left"/>
        <w:rPr>
          <w:sz w:val="28"/>
        </w:rPr>
      </w:pPr>
      <w:r>
        <w:rPr/>
        <w:pict>
          <v:shape style="position:absolute;margin-left:72pt;margin-top:18.713060pt;width:144pt;height:.1pt;mso-position-horizontal-relative:page;mso-position-vertical-relative:paragraph;z-index:-251491328;mso-wrap-distance-left:0;mso-wrap-distance-right:0" coordorigin="1440,374" coordsize="2880,0" path="m1440,374l4320,374e" filled="false" stroked="true" strokeweight=".600037pt" strokecolor="#000000">
            <v:path arrowok="t"/>
            <v:stroke dashstyle="solid"/>
            <w10:wrap type="topAndBottom"/>
          </v:shape>
        </w:pict>
      </w:r>
    </w:p>
    <w:p>
      <w:pPr>
        <w:spacing w:line="249" w:lineRule="auto" w:before="58"/>
        <w:ind w:left="260" w:right="882" w:firstLine="0"/>
        <w:jc w:val="left"/>
        <w:rPr>
          <w:sz w:val="20"/>
        </w:rPr>
      </w:pPr>
      <w:r>
        <w:rPr>
          <w:position w:val="9"/>
          <w:sz w:val="16"/>
        </w:rPr>
        <w:t>325 </w:t>
      </w:r>
      <w:r>
        <w:rPr>
          <w:sz w:val="20"/>
        </w:rPr>
        <w:t>Viimsalu S. The Over-Indebtedness Regulatory System in the Light of the Changing Economic Landscape. JURIDICA INTERNATIONAL XVII/2010.</w:t>
      </w:r>
    </w:p>
    <w:p>
      <w:pPr>
        <w:spacing w:line="221" w:lineRule="exact" w:before="0"/>
        <w:ind w:left="260" w:right="0" w:firstLine="0"/>
        <w:jc w:val="both"/>
        <w:rPr>
          <w:sz w:val="20"/>
        </w:rPr>
      </w:pPr>
      <w:r>
        <w:rPr>
          <w:position w:val="7"/>
          <w:sz w:val="13"/>
        </w:rPr>
        <w:t>326 </w:t>
      </w:r>
      <w:r>
        <w:rPr>
          <w:sz w:val="20"/>
        </w:rPr>
        <w:t>Saarma T. Principles of Debt Restructuring and Restrictions, on Initiation of Debt Restructuring</w:t>
      </w:r>
    </w:p>
    <w:p>
      <w:pPr>
        <w:spacing w:line="227" w:lineRule="exact" w:before="0"/>
        <w:ind w:left="260" w:right="0" w:firstLine="0"/>
        <w:jc w:val="both"/>
        <w:rPr>
          <w:sz w:val="20"/>
        </w:rPr>
      </w:pPr>
      <w:r>
        <w:rPr>
          <w:sz w:val="20"/>
        </w:rPr>
        <w:t>Proceedings. Juridica International XX/2013</w:t>
      </w:r>
    </w:p>
    <w:p>
      <w:pPr>
        <w:spacing w:line="240" w:lineRule="auto" w:before="0"/>
        <w:ind w:left="260" w:right="762" w:firstLine="0"/>
        <w:jc w:val="both"/>
        <w:rPr>
          <w:sz w:val="20"/>
        </w:rPr>
      </w:pPr>
      <w:r>
        <w:rPr>
          <w:position w:val="7"/>
          <w:sz w:val="13"/>
        </w:rPr>
        <w:t>327 </w:t>
      </w:r>
      <w:r>
        <w:rPr>
          <w:sz w:val="20"/>
        </w:rPr>
        <w:t>Sein K. (Dr. iur., Docent of Civil Law University of Tartu), Volens U. (Dr. iur., Lecturer of Civil Law University</w:t>
      </w:r>
      <w:r>
        <w:rPr>
          <w:spacing w:val="-11"/>
          <w:sz w:val="20"/>
        </w:rPr>
        <w:t> </w:t>
      </w:r>
      <w:r>
        <w:rPr>
          <w:sz w:val="20"/>
        </w:rPr>
        <w:t>of</w:t>
      </w:r>
      <w:r>
        <w:rPr>
          <w:spacing w:val="-11"/>
          <w:sz w:val="20"/>
        </w:rPr>
        <w:t> </w:t>
      </w:r>
      <w:r>
        <w:rPr>
          <w:sz w:val="20"/>
        </w:rPr>
        <w:t>Tartu</w:t>
      </w:r>
      <w:r>
        <w:rPr>
          <w:spacing w:val="-10"/>
          <w:sz w:val="20"/>
        </w:rPr>
        <w:t> </w:t>
      </w:r>
      <w:r>
        <w:rPr>
          <w:sz w:val="20"/>
        </w:rPr>
        <w:t>Specialist</w:t>
      </w:r>
      <w:r>
        <w:rPr>
          <w:spacing w:val="-7"/>
          <w:sz w:val="20"/>
        </w:rPr>
        <w:t> </w:t>
      </w:r>
      <w:r>
        <w:rPr>
          <w:sz w:val="20"/>
        </w:rPr>
        <w:t>Counsel,</w:t>
      </w:r>
      <w:r>
        <w:rPr>
          <w:spacing w:val="-9"/>
          <w:sz w:val="20"/>
        </w:rPr>
        <w:t> </w:t>
      </w:r>
      <w:r>
        <w:rPr>
          <w:sz w:val="20"/>
        </w:rPr>
        <w:t>Sorainen</w:t>
      </w:r>
      <w:r>
        <w:rPr>
          <w:spacing w:val="-8"/>
          <w:sz w:val="20"/>
        </w:rPr>
        <w:t> </w:t>
      </w:r>
      <w:r>
        <w:rPr>
          <w:sz w:val="20"/>
        </w:rPr>
        <w:t>Law</w:t>
      </w:r>
      <w:r>
        <w:rPr>
          <w:spacing w:val="-11"/>
          <w:sz w:val="20"/>
        </w:rPr>
        <w:t> </w:t>
      </w:r>
      <w:r>
        <w:rPr>
          <w:sz w:val="20"/>
        </w:rPr>
        <w:t>Firm)</w:t>
      </w:r>
      <w:r>
        <w:rPr>
          <w:spacing w:val="-5"/>
          <w:sz w:val="20"/>
        </w:rPr>
        <w:t> </w:t>
      </w:r>
      <w:r>
        <w:rPr>
          <w:sz w:val="20"/>
        </w:rPr>
        <w:t>Legal</w:t>
      </w:r>
      <w:r>
        <w:rPr>
          <w:spacing w:val="-10"/>
          <w:sz w:val="20"/>
        </w:rPr>
        <w:t> </w:t>
      </w:r>
      <w:r>
        <w:rPr>
          <w:sz w:val="20"/>
        </w:rPr>
        <w:t>Problems</w:t>
      </w:r>
      <w:r>
        <w:rPr>
          <w:spacing w:val="-9"/>
          <w:sz w:val="20"/>
        </w:rPr>
        <w:t> </w:t>
      </w:r>
      <w:r>
        <w:rPr>
          <w:sz w:val="20"/>
        </w:rPr>
        <w:t>and</w:t>
      </w:r>
      <w:r>
        <w:rPr>
          <w:spacing w:val="-7"/>
          <w:sz w:val="20"/>
        </w:rPr>
        <w:t> </w:t>
      </w:r>
      <w:r>
        <w:rPr>
          <w:sz w:val="20"/>
        </w:rPr>
        <w:t>Regulations</w:t>
      </w:r>
      <w:r>
        <w:rPr>
          <w:spacing w:val="-11"/>
          <w:sz w:val="20"/>
        </w:rPr>
        <w:t> </w:t>
      </w:r>
      <w:r>
        <w:rPr>
          <w:sz w:val="20"/>
        </w:rPr>
        <w:t>related</w:t>
      </w:r>
      <w:r>
        <w:rPr>
          <w:spacing w:val="-8"/>
          <w:sz w:val="20"/>
        </w:rPr>
        <w:t> </w:t>
      </w:r>
      <w:r>
        <w:rPr>
          <w:sz w:val="20"/>
        </w:rPr>
        <w:t>to</w:t>
      </w:r>
      <w:r>
        <w:rPr>
          <w:spacing w:val="-7"/>
          <w:sz w:val="20"/>
        </w:rPr>
        <w:t> </w:t>
      </w:r>
      <w:r>
        <w:rPr>
          <w:sz w:val="20"/>
        </w:rPr>
        <w:t>Easy- access Non-secured Consumer Loans in Estonia. Juridica international 22/2014.</w:t>
      </w:r>
    </w:p>
    <w:p>
      <w:pPr>
        <w:spacing w:after="0" w:line="240" w:lineRule="auto"/>
        <w:jc w:val="both"/>
        <w:rPr>
          <w:sz w:val="20"/>
        </w:rPr>
        <w:sectPr>
          <w:pgSz w:w="11910" w:h="16840"/>
          <w:pgMar w:header="0" w:footer="1055" w:top="1340" w:bottom="1240" w:left="1180" w:right="1040"/>
        </w:sectPr>
      </w:pPr>
    </w:p>
    <w:p>
      <w:pPr>
        <w:pStyle w:val="BodyText"/>
        <w:spacing w:before="73"/>
        <w:ind w:left="620" w:right="401" w:firstLine="720"/>
      </w:pPr>
      <w:r>
        <w:rPr/>
        <w:t>Laulātie var iesniegt kopīgu pieteikumu. Ja pieteikumu iesniedz viens no laulātajiem, laulātajam pieteikumā ir jānorāda otra laulātā informācija un ja otrajam laulātajam ir arī maksātspējas problēmas, jāpaskaidro, kāpēc pieteikums nav iesniegts kopīgi. Tas attiecas arī uz gadījumu, kad laulība ir šķirta, bet kopīpašums nav sadalīts.</w:t>
      </w:r>
    </w:p>
    <w:p>
      <w:pPr>
        <w:pStyle w:val="BodyText"/>
        <w:jc w:val="left"/>
      </w:pPr>
    </w:p>
    <w:p>
      <w:pPr>
        <w:pStyle w:val="ListParagraph"/>
        <w:numPr>
          <w:ilvl w:val="0"/>
          <w:numId w:val="81"/>
        </w:numPr>
        <w:tabs>
          <w:tab w:pos="1340" w:val="left" w:leader="none"/>
        </w:tabs>
        <w:spacing w:line="240" w:lineRule="auto" w:before="0" w:after="0"/>
        <w:ind w:left="1340" w:right="403" w:hanging="360"/>
        <w:jc w:val="both"/>
        <w:rPr>
          <w:sz w:val="24"/>
        </w:rPr>
      </w:pPr>
      <w:r>
        <w:rPr>
          <w:sz w:val="24"/>
        </w:rPr>
        <w:t>Kopā ar pieteikumu jāiesniedz </w:t>
      </w:r>
      <w:r>
        <w:rPr>
          <w:sz w:val="24"/>
          <w:u w:val="single"/>
        </w:rPr>
        <w:t>parāda pārstrukturēšanas plāns</w:t>
      </w:r>
      <w:r>
        <w:rPr>
          <w:sz w:val="24"/>
        </w:rPr>
        <w:t> (11.pants), kas apliecina spēju maksāt vismaz daļu no parādiem. Plānā</w:t>
      </w:r>
      <w:r>
        <w:rPr>
          <w:spacing w:val="-2"/>
          <w:sz w:val="24"/>
        </w:rPr>
        <w:t> </w:t>
      </w:r>
      <w:r>
        <w:rPr>
          <w:sz w:val="24"/>
        </w:rPr>
        <w:t>jānorāda:</w:t>
      </w:r>
    </w:p>
    <w:p>
      <w:pPr>
        <w:pStyle w:val="ListParagraph"/>
        <w:numPr>
          <w:ilvl w:val="1"/>
          <w:numId w:val="81"/>
        </w:numPr>
        <w:tabs>
          <w:tab w:pos="1753" w:val="left" w:leader="none"/>
        </w:tabs>
        <w:spacing w:line="240" w:lineRule="auto" w:before="0" w:after="0"/>
        <w:ind w:left="1752" w:right="0" w:hanging="426"/>
        <w:jc w:val="both"/>
        <w:rPr>
          <w:sz w:val="24"/>
        </w:rPr>
      </w:pPr>
      <w:r>
        <w:rPr>
          <w:sz w:val="24"/>
        </w:rPr>
        <w:t>saistības, kuras paredzēts pārstrukturēt un pārstrukturēšanas</w:t>
      </w:r>
      <w:r>
        <w:rPr>
          <w:spacing w:val="-6"/>
          <w:sz w:val="24"/>
        </w:rPr>
        <w:t> </w:t>
      </w:r>
      <w:r>
        <w:rPr>
          <w:sz w:val="24"/>
        </w:rPr>
        <w:t>veids;</w:t>
      </w:r>
    </w:p>
    <w:p>
      <w:pPr>
        <w:pStyle w:val="ListParagraph"/>
        <w:numPr>
          <w:ilvl w:val="1"/>
          <w:numId w:val="81"/>
        </w:numPr>
        <w:tabs>
          <w:tab w:pos="1753" w:val="left" w:leader="none"/>
        </w:tabs>
        <w:spacing w:line="240" w:lineRule="auto" w:before="0" w:after="0"/>
        <w:ind w:left="1752" w:right="0" w:hanging="426"/>
        <w:jc w:val="both"/>
        <w:rPr>
          <w:sz w:val="24"/>
        </w:rPr>
      </w:pPr>
      <w:r>
        <w:rPr>
          <w:sz w:val="24"/>
        </w:rPr>
        <w:t>pārstrukturēšanas plāna īstenošanas</w:t>
      </w:r>
      <w:r>
        <w:rPr>
          <w:spacing w:val="-7"/>
          <w:sz w:val="24"/>
        </w:rPr>
        <w:t> </w:t>
      </w:r>
      <w:r>
        <w:rPr>
          <w:sz w:val="24"/>
        </w:rPr>
        <w:t>termiņš.</w:t>
      </w:r>
    </w:p>
    <w:p>
      <w:pPr>
        <w:pStyle w:val="BodyText"/>
        <w:ind w:left="620" w:right="403" w:firstLine="720"/>
      </w:pPr>
      <w:r>
        <w:rPr/>
        <w:t>Parādu pārstrukturēšanas procedūrā ir iespējas pārstrukturēt arī saistības, kuru izpildes termiņš ir iestājies parādu pārstrukturēšanas pieteikuma iesniegšanas brīdī.</w:t>
      </w:r>
    </w:p>
    <w:p>
      <w:pPr>
        <w:pStyle w:val="BodyText"/>
        <w:ind w:left="620" w:right="404" w:firstLine="720"/>
      </w:pPr>
      <w:r>
        <w:rPr/>
        <w:t>Ja parādnieks iesniedz pieteikumu tikai atsevišķu parādu pārstrukturēšanai vai dažādu parādu pārstrukturēšanu citā apjomā, parādniekam pieteikumā ir jāpaskaidro atšķirīgā attieksme pret kreditoriem.</w:t>
      </w:r>
    </w:p>
    <w:p>
      <w:pPr>
        <w:pStyle w:val="BodyText"/>
        <w:spacing w:before="1"/>
        <w:ind w:left="620" w:right="405" w:firstLine="720"/>
      </w:pPr>
      <w:r>
        <w:rPr/>
        <w:t>Parāda pārstrukturēšanas plāns nav jāpievieno parāda pārstrukturēšanas pieteikumam, ja parādnieks pieprasa plāna izstrādi, izmantojot konsultantu.</w:t>
      </w:r>
    </w:p>
    <w:p>
      <w:pPr>
        <w:pStyle w:val="BodyText"/>
        <w:spacing w:before="11"/>
        <w:jc w:val="left"/>
        <w:rPr>
          <w:sz w:val="23"/>
        </w:rPr>
      </w:pPr>
    </w:p>
    <w:p>
      <w:pPr>
        <w:pStyle w:val="ListParagraph"/>
        <w:numPr>
          <w:ilvl w:val="0"/>
          <w:numId w:val="81"/>
        </w:numPr>
        <w:tabs>
          <w:tab w:pos="1340" w:val="left" w:leader="none"/>
        </w:tabs>
        <w:spacing w:line="240" w:lineRule="auto" w:before="0" w:after="0"/>
        <w:ind w:left="1340" w:right="0" w:hanging="360"/>
        <w:jc w:val="both"/>
        <w:rPr>
          <w:sz w:val="24"/>
        </w:rPr>
      </w:pPr>
      <w:r>
        <w:rPr>
          <w:sz w:val="24"/>
        </w:rPr>
        <w:t>Papildus pieteikumam </w:t>
      </w:r>
      <w:r>
        <w:rPr>
          <w:sz w:val="24"/>
          <w:u w:val="single"/>
        </w:rPr>
        <w:t>jāpievieno šāda</w:t>
      </w:r>
      <w:r>
        <w:rPr>
          <w:spacing w:val="1"/>
          <w:sz w:val="24"/>
          <w:u w:val="single"/>
        </w:rPr>
        <w:t> </w:t>
      </w:r>
      <w:r>
        <w:rPr>
          <w:sz w:val="24"/>
          <w:u w:val="single"/>
        </w:rPr>
        <w:t>informācija</w:t>
      </w:r>
      <w:r>
        <w:rPr>
          <w:sz w:val="24"/>
        </w:rPr>
        <w:t>:</w:t>
      </w:r>
    </w:p>
    <w:p>
      <w:pPr>
        <w:pStyle w:val="ListParagraph"/>
        <w:numPr>
          <w:ilvl w:val="1"/>
          <w:numId w:val="81"/>
        </w:numPr>
        <w:tabs>
          <w:tab w:pos="1700" w:val="left" w:leader="none"/>
        </w:tabs>
        <w:spacing w:line="240" w:lineRule="auto" w:before="0" w:after="0"/>
        <w:ind w:left="1700" w:right="401" w:hanging="360"/>
        <w:jc w:val="both"/>
        <w:rPr>
          <w:sz w:val="24"/>
        </w:rPr>
      </w:pPr>
      <w:r>
        <w:rPr>
          <w:sz w:val="24"/>
        </w:rPr>
        <w:t>pieteikuma iesniegšanas laikā parādniekam un kopīgā mājsaimniecībā </w:t>
      </w:r>
      <w:r>
        <w:rPr>
          <w:spacing w:val="-3"/>
          <w:sz w:val="24"/>
        </w:rPr>
        <w:t>esošo </w:t>
      </w:r>
      <w:r>
        <w:rPr>
          <w:sz w:val="24"/>
        </w:rPr>
        <w:t>ģimenes locekļu aktīvu, īpašuma un visu ienākumu saraksts, norādot katra aktīva posteņa vērtību un to kopīgas īpašumtiesības un kopīgas īpašumtiesības vai kolektīvās tiesības (aktīvu</w:t>
      </w:r>
      <w:r>
        <w:rPr>
          <w:spacing w:val="-1"/>
          <w:sz w:val="24"/>
        </w:rPr>
        <w:t> </w:t>
      </w:r>
      <w:r>
        <w:rPr>
          <w:sz w:val="24"/>
        </w:rPr>
        <w:t>saraksts);</w:t>
      </w:r>
    </w:p>
    <w:p>
      <w:pPr>
        <w:pStyle w:val="ListParagraph"/>
        <w:numPr>
          <w:ilvl w:val="1"/>
          <w:numId w:val="81"/>
        </w:numPr>
        <w:tabs>
          <w:tab w:pos="1700" w:val="left" w:leader="none"/>
        </w:tabs>
        <w:spacing w:line="240" w:lineRule="auto" w:before="0" w:after="0"/>
        <w:ind w:left="1700" w:right="401" w:hanging="360"/>
        <w:jc w:val="both"/>
        <w:rPr>
          <w:sz w:val="24"/>
        </w:rPr>
      </w:pPr>
      <w:r>
        <w:rPr>
          <w:sz w:val="24"/>
        </w:rPr>
        <w:t>parādnieka finansiālo saistību saraksts pieteikuma iesniegšanas brīdī, norādot visu kreditoru vārdu un kontaktinformāciju, paredzamās galvenās un nodrošinājuma summas, kā arī atsevišķi norādot visus kārtējos izdevumus (mājokļa izdevumus, uzturēšanas saistības utt.) un visas saistības (parādu saraksts);</w:t>
      </w:r>
    </w:p>
    <w:p>
      <w:pPr>
        <w:pStyle w:val="ListParagraph"/>
        <w:numPr>
          <w:ilvl w:val="1"/>
          <w:numId w:val="81"/>
        </w:numPr>
        <w:tabs>
          <w:tab w:pos="1700" w:val="left" w:leader="none"/>
        </w:tabs>
        <w:spacing w:line="240" w:lineRule="auto" w:before="0" w:after="0"/>
        <w:ind w:left="1700" w:right="404" w:hanging="360"/>
        <w:jc w:val="both"/>
        <w:rPr>
          <w:sz w:val="24"/>
        </w:rPr>
      </w:pPr>
      <w:r>
        <w:rPr>
          <w:sz w:val="24"/>
        </w:rPr>
        <w:t>parādnieka nodokļu deklarāciju un pēdējo trīs gadu bankas kontu izrakstu kopijas un dokumentu kopijas (aizdevuma līgumi utt.), kas ir par pamatu saistībām.</w:t>
      </w:r>
    </w:p>
    <w:p>
      <w:pPr>
        <w:pStyle w:val="BodyText"/>
        <w:ind w:left="620" w:right="403" w:firstLine="720"/>
      </w:pPr>
      <w:r>
        <w:rPr/>
        <w:t>Ja piecu gadu laikā pirms pieteikuma iesniegšanas parādnieks ir nodevis trešajai pusei nekustamo īpašumu, reģistrētu kustamo mantu vai tiesību vai dāvināto vai aizdoto naudu, kas pārsniedz 3000 eiro, tas jānorāda aktīvu sarakstā. Darījumi, kas atbilst šiem kritērijiem un ir noslēgti ar personām, kas saistītas ar parādnieku Bankrota likuma 117. panta izpratnē (ieinteresētās personas), jānorāda atsevišķi.</w:t>
      </w:r>
    </w:p>
    <w:p>
      <w:pPr>
        <w:pStyle w:val="BodyText"/>
        <w:spacing w:before="1"/>
        <w:ind w:left="620" w:right="401" w:firstLine="720"/>
      </w:pPr>
      <w:r>
        <w:rPr/>
        <w:t>Ja parādnieks neatzīst nekādas pretenzijas, parādnieks to norāda parādsaistību sarakstā, kā arī norāda visus parādus, kas ir saistīti ar tiesvedību vai citu procesu. Parādniekam aktīvu sarakstā jānorāda, vai ir uzsākta tiesvedība vai cita procedūra, tostarp izpildes</w:t>
      </w:r>
      <w:r>
        <w:rPr>
          <w:spacing w:val="-8"/>
        </w:rPr>
        <w:t> </w:t>
      </w:r>
      <w:r>
        <w:rPr/>
        <w:t>process,</w:t>
      </w:r>
      <w:r>
        <w:rPr>
          <w:spacing w:val="-5"/>
        </w:rPr>
        <w:t> </w:t>
      </w:r>
      <w:r>
        <w:rPr/>
        <w:t>attiecībā</w:t>
      </w:r>
      <w:r>
        <w:rPr>
          <w:spacing w:val="-4"/>
        </w:rPr>
        <w:t> </w:t>
      </w:r>
      <w:r>
        <w:rPr/>
        <w:t>uz</w:t>
      </w:r>
      <w:r>
        <w:rPr>
          <w:spacing w:val="-4"/>
        </w:rPr>
        <w:t> </w:t>
      </w:r>
      <w:r>
        <w:rPr/>
        <w:t>jebkuru</w:t>
      </w:r>
      <w:r>
        <w:rPr>
          <w:spacing w:val="-4"/>
        </w:rPr>
        <w:t> </w:t>
      </w:r>
      <w:r>
        <w:rPr/>
        <w:t>aktīvu</w:t>
      </w:r>
      <w:r>
        <w:rPr>
          <w:spacing w:val="-5"/>
        </w:rPr>
        <w:t> </w:t>
      </w:r>
      <w:r>
        <w:rPr/>
        <w:t>vai</w:t>
      </w:r>
      <w:r>
        <w:rPr>
          <w:spacing w:val="-5"/>
        </w:rPr>
        <w:t> </w:t>
      </w:r>
      <w:r>
        <w:rPr/>
        <w:t>īpašumu</w:t>
      </w:r>
      <w:r>
        <w:rPr>
          <w:spacing w:val="-5"/>
        </w:rPr>
        <w:t> </w:t>
      </w:r>
      <w:r>
        <w:rPr/>
        <w:t>un</w:t>
      </w:r>
      <w:r>
        <w:rPr>
          <w:spacing w:val="-5"/>
        </w:rPr>
        <w:t> </w:t>
      </w:r>
      <w:r>
        <w:rPr/>
        <w:t>kādi</w:t>
      </w:r>
      <w:r>
        <w:rPr>
          <w:spacing w:val="-1"/>
        </w:rPr>
        <w:t> </w:t>
      </w:r>
      <w:r>
        <w:rPr/>
        <w:t>aktīvi</w:t>
      </w:r>
      <w:r>
        <w:rPr>
          <w:spacing w:val="-3"/>
        </w:rPr>
        <w:t> </w:t>
      </w:r>
      <w:r>
        <w:rPr/>
        <w:t>vai</w:t>
      </w:r>
      <w:r>
        <w:rPr>
          <w:spacing w:val="-7"/>
        </w:rPr>
        <w:t> </w:t>
      </w:r>
      <w:r>
        <w:rPr/>
        <w:t>kāds</w:t>
      </w:r>
      <w:r>
        <w:rPr>
          <w:spacing w:val="-5"/>
        </w:rPr>
        <w:t> </w:t>
      </w:r>
      <w:r>
        <w:rPr/>
        <w:t>īpašums</w:t>
      </w:r>
      <w:r>
        <w:rPr>
          <w:spacing w:val="-5"/>
        </w:rPr>
        <w:t> </w:t>
      </w:r>
      <w:r>
        <w:rPr/>
        <w:t>ir pakļauts šādai</w:t>
      </w:r>
      <w:r>
        <w:rPr>
          <w:spacing w:val="1"/>
        </w:rPr>
        <w:t> </w:t>
      </w:r>
      <w:r>
        <w:rPr/>
        <w:t>procedūrai.</w:t>
      </w:r>
    </w:p>
    <w:p>
      <w:pPr>
        <w:pStyle w:val="BodyText"/>
        <w:spacing w:before="4"/>
        <w:jc w:val="left"/>
      </w:pPr>
    </w:p>
    <w:p>
      <w:pPr>
        <w:pStyle w:val="ListParagraph"/>
        <w:numPr>
          <w:ilvl w:val="0"/>
          <w:numId w:val="81"/>
        </w:numPr>
        <w:tabs>
          <w:tab w:pos="1340" w:val="left" w:leader="none"/>
        </w:tabs>
        <w:spacing w:line="235" w:lineRule="auto" w:before="0" w:after="0"/>
        <w:ind w:left="1340" w:right="402" w:hanging="360"/>
        <w:jc w:val="both"/>
        <w:rPr>
          <w:sz w:val="24"/>
        </w:rPr>
      </w:pPr>
      <w:r>
        <w:rPr>
          <w:sz w:val="24"/>
        </w:rPr>
        <w:t>Parādniekam</w:t>
      </w:r>
      <w:r>
        <w:rPr>
          <w:spacing w:val="-14"/>
          <w:sz w:val="24"/>
        </w:rPr>
        <w:t> </w:t>
      </w:r>
      <w:r>
        <w:rPr>
          <w:sz w:val="24"/>
        </w:rPr>
        <w:t>pirms</w:t>
      </w:r>
      <w:r>
        <w:rPr>
          <w:spacing w:val="-11"/>
          <w:sz w:val="24"/>
        </w:rPr>
        <w:t> </w:t>
      </w:r>
      <w:r>
        <w:rPr>
          <w:sz w:val="24"/>
        </w:rPr>
        <w:t>parāda</w:t>
      </w:r>
      <w:r>
        <w:rPr>
          <w:spacing w:val="-11"/>
          <w:sz w:val="24"/>
        </w:rPr>
        <w:t> </w:t>
      </w:r>
      <w:r>
        <w:rPr>
          <w:sz w:val="24"/>
        </w:rPr>
        <w:t>pārstrukturēšanas</w:t>
      </w:r>
      <w:r>
        <w:rPr>
          <w:spacing w:val="-11"/>
          <w:sz w:val="24"/>
        </w:rPr>
        <w:t> </w:t>
      </w:r>
      <w:r>
        <w:rPr>
          <w:sz w:val="24"/>
        </w:rPr>
        <w:t>pieteikuma</w:t>
      </w:r>
      <w:r>
        <w:rPr>
          <w:spacing w:val="-13"/>
          <w:sz w:val="24"/>
        </w:rPr>
        <w:t> </w:t>
      </w:r>
      <w:r>
        <w:rPr>
          <w:sz w:val="24"/>
        </w:rPr>
        <w:t>iesniegšanas</w:t>
      </w:r>
      <w:r>
        <w:rPr>
          <w:spacing w:val="-11"/>
          <w:sz w:val="24"/>
        </w:rPr>
        <w:t> </w:t>
      </w:r>
      <w:r>
        <w:rPr>
          <w:sz w:val="24"/>
        </w:rPr>
        <w:t>tiesā</w:t>
      </w:r>
      <w:r>
        <w:rPr>
          <w:spacing w:val="-11"/>
          <w:sz w:val="24"/>
        </w:rPr>
        <w:t> </w:t>
      </w:r>
      <w:r>
        <w:rPr>
          <w:sz w:val="24"/>
        </w:rPr>
        <w:t>ir</w:t>
      </w:r>
      <w:r>
        <w:rPr>
          <w:spacing w:val="-11"/>
          <w:sz w:val="24"/>
        </w:rPr>
        <w:t> </w:t>
      </w:r>
      <w:r>
        <w:rPr>
          <w:sz w:val="24"/>
          <w:u w:val="single"/>
        </w:rPr>
        <w:t>jāveic nepieciešamie pasākumi, lai pārstrukturētu parādu ārpustiesas kārtībā</w:t>
      </w:r>
      <w:r>
        <w:rPr>
          <w:sz w:val="24"/>
        </w:rPr>
        <w:t>.</w:t>
      </w:r>
      <w:r>
        <w:rPr>
          <w:position w:val="9"/>
          <w:sz w:val="16"/>
        </w:rPr>
        <w:t>328 </w:t>
      </w:r>
      <w:r>
        <w:rPr>
          <w:sz w:val="24"/>
        </w:rPr>
        <w:t>Atbilstoši Igaunijas tiesu praksei, daži neskaidri e-pasta ziņojumi vai dažas tikšanās nav pietiekamas,</w:t>
      </w:r>
      <w:r>
        <w:rPr>
          <w:spacing w:val="-9"/>
          <w:sz w:val="24"/>
        </w:rPr>
        <w:t> </w:t>
      </w:r>
      <w:r>
        <w:rPr>
          <w:sz w:val="24"/>
        </w:rPr>
        <w:t>un</w:t>
      </w:r>
      <w:r>
        <w:rPr>
          <w:spacing w:val="-8"/>
          <w:sz w:val="24"/>
        </w:rPr>
        <w:t> </w:t>
      </w:r>
      <w:r>
        <w:rPr>
          <w:sz w:val="24"/>
        </w:rPr>
        <w:t>parādniekam</w:t>
      </w:r>
      <w:r>
        <w:rPr>
          <w:spacing w:val="-11"/>
          <w:sz w:val="24"/>
        </w:rPr>
        <w:t> </w:t>
      </w:r>
      <w:r>
        <w:rPr>
          <w:sz w:val="24"/>
        </w:rPr>
        <w:t>ir</w:t>
      </w:r>
      <w:r>
        <w:rPr>
          <w:spacing w:val="-8"/>
          <w:sz w:val="24"/>
        </w:rPr>
        <w:t> </w:t>
      </w:r>
      <w:r>
        <w:rPr>
          <w:sz w:val="24"/>
        </w:rPr>
        <w:t>jāiesniedz</w:t>
      </w:r>
      <w:r>
        <w:rPr>
          <w:spacing w:val="-7"/>
          <w:sz w:val="24"/>
        </w:rPr>
        <w:t> </w:t>
      </w:r>
      <w:r>
        <w:rPr>
          <w:sz w:val="24"/>
        </w:rPr>
        <w:t>kreditoriem</w:t>
      </w:r>
      <w:r>
        <w:rPr>
          <w:spacing w:val="-10"/>
          <w:sz w:val="24"/>
        </w:rPr>
        <w:t> </w:t>
      </w:r>
      <w:r>
        <w:rPr>
          <w:sz w:val="24"/>
        </w:rPr>
        <w:t>visi</w:t>
      </w:r>
      <w:r>
        <w:rPr>
          <w:spacing w:val="-9"/>
          <w:sz w:val="24"/>
        </w:rPr>
        <w:t> </w:t>
      </w:r>
      <w:r>
        <w:rPr>
          <w:sz w:val="24"/>
        </w:rPr>
        <w:t>argumenti,</w:t>
      </w:r>
      <w:r>
        <w:rPr>
          <w:spacing w:val="-8"/>
          <w:sz w:val="24"/>
        </w:rPr>
        <w:t> </w:t>
      </w:r>
      <w:r>
        <w:rPr>
          <w:sz w:val="24"/>
        </w:rPr>
        <w:t>pamatojoties</w:t>
      </w:r>
    </w:p>
    <w:p>
      <w:pPr>
        <w:pStyle w:val="BodyText"/>
        <w:jc w:val="left"/>
        <w:rPr>
          <w:sz w:val="20"/>
        </w:rPr>
      </w:pPr>
    </w:p>
    <w:p>
      <w:pPr>
        <w:pStyle w:val="BodyText"/>
        <w:spacing w:before="7"/>
        <w:jc w:val="left"/>
        <w:rPr>
          <w:sz w:val="25"/>
        </w:rPr>
      </w:pPr>
    </w:p>
    <w:p>
      <w:pPr>
        <w:spacing w:before="94"/>
        <w:ind w:left="620" w:right="398" w:firstLine="0"/>
        <w:jc w:val="left"/>
        <w:rPr>
          <w:sz w:val="20"/>
        </w:rPr>
      </w:pPr>
      <w:r>
        <w:rPr>
          <w:position w:val="7"/>
          <w:sz w:val="13"/>
        </w:rPr>
        <w:t>328 </w:t>
      </w:r>
      <w:r>
        <w:rPr>
          <w:sz w:val="20"/>
        </w:rPr>
        <w:t>Study on a new approach to business failure and insolvency: Comperative legal analysis of the Member States’ relevant provisions and practices, 2016, p.319. Pieejams: </w:t>
      </w:r>
      <w:r>
        <w:rPr>
          <w:color w:val="0562C1"/>
          <w:sz w:val="20"/>
          <w:u w:val="single" w:color="0562C1"/>
        </w:rPr>
        <w:t>https://ec.europa.eu/info/sites/info/files/insolvency_study_2016_final_en.pdf</w:t>
      </w:r>
    </w:p>
    <w:p>
      <w:pPr>
        <w:spacing w:before="1"/>
        <w:ind w:left="620" w:right="0" w:firstLine="0"/>
        <w:jc w:val="left"/>
        <w:rPr>
          <w:sz w:val="20"/>
        </w:rPr>
      </w:pPr>
      <w:r>
        <w:rPr>
          <w:sz w:val="20"/>
        </w:rPr>
        <w:t>[aplūkots 2018.gada 16.oktobrī].</w:t>
      </w:r>
    </w:p>
    <w:p>
      <w:pPr>
        <w:spacing w:after="0"/>
        <w:jc w:val="left"/>
        <w:rPr>
          <w:sz w:val="20"/>
        </w:rPr>
        <w:sectPr>
          <w:footerReference w:type="default" r:id="rId78"/>
          <w:footerReference w:type="even" r:id="rId79"/>
          <w:pgSz w:w="11910" w:h="16840"/>
          <w:pgMar w:footer="1165" w:header="0" w:top="1340" w:bottom="1360" w:left="1180" w:right="1040"/>
        </w:sectPr>
      </w:pPr>
    </w:p>
    <w:p>
      <w:pPr>
        <w:pStyle w:val="BodyText"/>
        <w:spacing w:line="228" w:lineRule="auto" w:before="84"/>
        <w:ind w:left="980" w:right="763"/>
        <w:rPr>
          <w:sz w:val="16"/>
        </w:rPr>
      </w:pPr>
      <w:r>
        <w:rPr/>
        <w:t>uz kuriem kreditoram būtu jāpiekrīt parādnieka priekšlikumam par vienošanās panākšanu par parāda pārstrukturēšanu ārpustiesas kārtībā.</w:t>
      </w:r>
      <w:r>
        <w:rPr>
          <w:position w:val="9"/>
          <w:sz w:val="16"/>
        </w:rPr>
        <w:t>329</w:t>
      </w:r>
    </w:p>
    <w:p>
      <w:pPr>
        <w:pStyle w:val="BodyText"/>
        <w:spacing w:before="2"/>
        <w:ind w:left="260" w:right="761" w:firstLine="720"/>
        <w:rPr>
          <w:sz w:val="16"/>
        </w:rPr>
      </w:pPr>
      <w:r>
        <w:rPr/>
        <w:t>Nosakot šādu priekšnoteikumu, ir ņemta vērā Rietumeiropas valstu prakse, kur uzsvars tiek likts uz konsultēšanu par parādiem (</w:t>
      </w:r>
      <w:r>
        <w:rPr>
          <w:i/>
        </w:rPr>
        <w:t>debt-counselling service</w:t>
      </w:r>
      <w:r>
        <w:rPr/>
        <w:t>). Konsultācijas mērķis ir parādnieka ekonomiskā izglītība, tostarp padomdevēja palīdzība parādu nokārtošanā, dzīvesveida pielāgošana un parādnieka rehabilitācijas nodrošināšana. Prakse atšķiras dažādās Rietumeiropas valstīs, bet parasti ir nepieciešams, lai parādnieks piedalītos parādu konsultēšanā un sarunās ar kreditoriem, mēģinot atrisināt problēmas ārpustiesas kārtībā. Šajā sakarā Igaunijā pastāv nevalstiska organizācija Eesti Võlanõustajate Liit (Igaunijas parādu padomnieku asociācija), taču nav informācijas par tās darbības rezultātiem, tādēļ nav iespējams novērtēt parāda konsultēšanas sistēmas darbību. Igaunijā ir pausts arī tāds viedoklis, ka parādu konsultēšanai vajadzētu būt valsts nodrošinātam sociālam pakalpojumam, lai panāktu efektīvu ārpustiesas risinājumu starp parādnieku un kreditoru.</w:t>
      </w:r>
      <w:r>
        <w:rPr>
          <w:position w:val="9"/>
          <w:sz w:val="16"/>
        </w:rPr>
        <w:t>330</w:t>
      </w:r>
    </w:p>
    <w:p>
      <w:pPr>
        <w:pStyle w:val="BodyText"/>
        <w:spacing w:before="7"/>
        <w:jc w:val="left"/>
        <w:rPr>
          <w:sz w:val="22"/>
        </w:rPr>
      </w:pPr>
    </w:p>
    <w:p>
      <w:pPr>
        <w:pStyle w:val="ListParagraph"/>
        <w:numPr>
          <w:ilvl w:val="0"/>
          <w:numId w:val="81"/>
        </w:numPr>
        <w:tabs>
          <w:tab w:pos="980" w:val="left" w:leader="none"/>
        </w:tabs>
        <w:spacing w:line="240" w:lineRule="auto" w:before="1" w:after="0"/>
        <w:ind w:left="980" w:right="762" w:hanging="360"/>
        <w:jc w:val="both"/>
        <w:rPr>
          <w:sz w:val="24"/>
        </w:rPr>
      </w:pPr>
      <w:r>
        <w:rPr>
          <w:sz w:val="24"/>
        </w:rPr>
        <w:t>Parādu pārstrukturēšanas pieteikuma veidlapas, aktīvu saraksts, parādu saraksts un pārstrukturēšanas</w:t>
      </w:r>
      <w:r>
        <w:rPr>
          <w:spacing w:val="-15"/>
          <w:sz w:val="24"/>
        </w:rPr>
        <w:t> </w:t>
      </w:r>
      <w:r>
        <w:rPr>
          <w:sz w:val="24"/>
        </w:rPr>
        <w:t>plāns</w:t>
      </w:r>
      <w:r>
        <w:rPr>
          <w:spacing w:val="-10"/>
          <w:sz w:val="24"/>
        </w:rPr>
        <w:t> </w:t>
      </w:r>
      <w:r>
        <w:rPr>
          <w:sz w:val="24"/>
        </w:rPr>
        <w:t>tiek</w:t>
      </w:r>
      <w:r>
        <w:rPr>
          <w:spacing w:val="-11"/>
          <w:sz w:val="24"/>
        </w:rPr>
        <w:t> </w:t>
      </w:r>
      <w:r>
        <w:rPr>
          <w:sz w:val="24"/>
        </w:rPr>
        <w:t>noteikti</w:t>
      </w:r>
      <w:r>
        <w:rPr>
          <w:spacing w:val="-12"/>
          <w:sz w:val="24"/>
        </w:rPr>
        <w:t> </w:t>
      </w:r>
      <w:r>
        <w:rPr>
          <w:sz w:val="24"/>
        </w:rPr>
        <w:t>ar</w:t>
      </w:r>
      <w:r>
        <w:rPr>
          <w:spacing w:val="-11"/>
          <w:sz w:val="24"/>
        </w:rPr>
        <w:t> </w:t>
      </w:r>
      <w:r>
        <w:rPr>
          <w:sz w:val="24"/>
        </w:rPr>
        <w:t>tieslietu</w:t>
      </w:r>
      <w:r>
        <w:rPr>
          <w:spacing w:val="-12"/>
          <w:sz w:val="24"/>
        </w:rPr>
        <w:t> </w:t>
      </w:r>
      <w:r>
        <w:rPr>
          <w:sz w:val="24"/>
        </w:rPr>
        <w:t>ministra</w:t>
      </w:r>
      <w:r>
        <w:rPr>
          <w:spacing w:val="-15"/>
          <w:sz w:val="24"/>
        </w:rPr>
        <w:t> </w:t>
      </w:r>
      <w:r>
        <w:rPr>
          <w:sz w:val="24"/>
        </w:rPr>
        <w:t>rīkojumu,</w:t>
      </w:r>
      <w:r>
        <w:rPr>
          <w:spacing w:val="-11"/>
          <w:sz w:val="24"/>
        </w:rPr>
        <w:t> </w:t>
      </w:r>
      <w:r>
        <w:rPr>
          <w:sz w:val="24"/>
        </w:rPr>
        <w:t>un</w:t>
      </w:r>
      <w:r>
        <w:rPr>
          <w:spacing w:val="-12"/>
          <w:sz w:val="24"/>
        </w:rPr>
        <w:t> </w:t>
      </w:r>
      <w:r>
        <w:rPr>
          <w:sz w:val="24"/>
        </w:rPr>
        <w:t>parādniekiem ir jāizmanto šīs veidlapas</w:t>
      </w:r>
      <w:r>
        <w:rPr>
          <w:spacing w:val="-1"/>
          <w:sz w:val="24"/>
        </w:rPr>
        <w:t> </w:t>
      </w:r>
      <w:r>
        <w:rPr>
          <w:sz w:val="24"/>
        </w:rPr>
        <w:t>(13.pants).</w:t>
      </w:r>
    </w:p>
    <w:p>
      <w:pPr>
        <w:pStyle w:val="BodyText"/>
        <w:spacing w:before="11"/>
        <w:jc w:val="left"/>
        <w:rPr>
          <w:sz w:val="23"/>
        </w:rPr>
      </w:pPr>
    </w:p>
    <w:p>
      <w:pPr>
        <w:pStyle w:val="BodyText"/>
        <w:ind w:left="260" w:right="765" w:firstLine="720"/>
      </w:pPr>
      <w:r>
        <w:rPr/>
        <w:t>Ja papildus parāda pārstrukturēšanas pieteikumam tiesā ir iesniegts bankrota pieteikums, tas tiek apvienots vienā procesā. Taču tiesa pirmo izskata parādu pārstrukturēšanas pieteikumu pat, ja tas iesniegts pēc bankrota pieteikuma.</w:t>
      </w:r>
    </w:p>
    <w:p>
      <w:pPr>
        <w:pStyle w:val="BodyText"/>
        <w:jc w:val="left"/>
      </w:pPr>
    </w:p>
    <w:p>
      <w:pPr>
        <w:pStyle w:val="ListParagraph"/>
        <w:numPr>
          <w:ilvl w:val="2"/>
          <w:numId w:val="68"/>
        </w:numPr>
        <w:tabs>
          <w:tab w:pos="1700" w:val="left" w:leader="none"/>
        </w:tabs>
        <w:spacing w:line="240" w:lineRule="auto" w:before="0" w:after="0"/>
        <w:ind w:left="1700" w:right="0" w:hanging="720"/>
        <w:jc w:val="both"/>
        <w:rPr>
          <w:sz w:val="24"/>
        </w:rPr>
      </w:pPr>
      <w:r>
        <w:rPr>
          <w:b/>
          <w:i/>
          <w:sz w:val="24"/>
        </w:rPr>
        <w:t>Ierobežojumi. </w:t>
      </w:r>
      <w:r>
        <w:rPr>
          <w:sz w:val="24"/>
        </w:rPr>
        <w:t>Tiesa nepieņem parāda pārstrukturēšanas pieteikumu,</w:t>
      </w:r>
      <w:r>
        <w:rPr>
          <w:spacing w:val="-4"/>
          <w:sz w:val="24"/>
        </w:rPr>
        <w:t> </w:t>
      </w:r>
      <w:r>
        <w:rPr>
          <w:sz w:val="24"/>
        </w:rPr>
        <w:t>ja:</w:t>
      </w:r>
    </w:p>
    <w:p>
      <w:pPr>
        <w:pStyle w:val="ListParagraph"/>
        <w:numPr>
          <w:ilvl w:val="0"/>
          <w:numId w:val="82"/>
        </w:numPr>
        <w:tabs>
          <w:tab w:pos="1340" w:val="left" w:leader="none"/>
        </w:tabs>
        <w:spacing w:line="240" w:lineRule="auto" w:before="0" w:after="0"/>
        <w:ind w:left="1340" w:right="0" w:hanging="360"/>
        <w:jc w:val="both"/>
        <w:rPr>
          <w:sz w:val="24"/>
        </w:rPr>
      </w:pPr>
      <w:r>
        <w:rPr>
          <w:sz w:val="24"/>
        </w:rPr>
        <w:t>ir pasludināts parādnieka bankrots;</w:t>
      </w:r>
    </w:p>
    <w:p>
      <w:pPr>
        <w:pStyle w:val="ListParagraph"/>
        <w:numPr>
          <w:ilvl w:val="0"/>
          <w:numId w:val="82"/>
        </w:numPr>
        <w:tabs>
          <w:tab w:pos="1340" w:val="left" w:leader="none"/>
        </w:tabs>
        <w:spacing w:line="240" w:lineRule="auto" w:before="0" w:after="0"/>
        <w:ind w:left="1340" w:right="763" w:hanging="360"/>
        <w:jc w:val="both"/>
        <w:rPr>
          <w:sz w:val="24"/>
        </w:rPr>
      </w:pPr>
      <w:r>
        <w:rPr>
          <w:sz w:val="24"/>
        </w:rPr>
        <w:t>pēdējo desmit gadu laikā pirms pieteikuma iesniegšanas tiesa ir apmierinājusi parādnieka</w:t>
      </w:r>
      <w:r>
        <w:rPr>
          <w:spacing w:val="-17"/>
          <w:sz w:val="24"/>
        </w:rPr>
        <w:t> </w:t>
      </w:r>
      <w:r>
        <w:rPr>
          <w:sz w:val="24"/>
        </w:rPr>
        <w:t>parāda</w:t>
      </w:r>
      <w:r>
        <w:rPr>
          <w:spacing w:val="-13"/>
          <w:sz w:val="24"/>
        </w:rPr>
        <w:t> </w:t>
      </w:r>
      <w:r>
        <w:rPr>
          <w:sz w:val="24"/>
        </w:rPr>
        <w:t>pārstrukturēšanas</w:t>
      </w:r>
      <w:r>
        <w:rPr>
          <w:spacing w:val="-17"/>
          <w:sz w:val="24"/>
        </w:rPr>
        <w:t> </w:t>
      </w:r>
      <w:r>
        <w:rPr>
          <w:sz w:val="24"/>
        </w:rPr>
        <w:t>pieteikumu</w:t>
      </w:r>
      <w:r>
        <w:rPr>
          <w:spacing w:val="-11"/>
          <w:sz w:val="24"/>
        </w:rPr>
        <w:t> </w:t>
      </w:r>
      <w:r>
        <w:rPr>
          <w:sz w:val="24"/>
        </w:rPr>
        <w:t>vai</w:t>
      </w:r>
      <w:r>
        <w:rPr>
          <w:spacing w:val="-14"/>
          <w:sz w:val="24"/>
        </w:rPr>
        <w:t> </w:t>
      </w:r>
      <w:r>
        <w:rPr>
          <w:sz w:val="24"/>
        </w:rPr>
        <w:t>pieteikumu</w:t>
      </w:r>
      <w:r>
        <w:rPr>
          <w:spacing w:val="-12"/>
          <w:sz w:val="24"/>
        </w:rPr>
        <w:t> </w:t>
      </w:r>
      <w:r>
        <w:rPr>
          <w:sz w:val="24"/>
        </w:rPr>
        <w:t>par</w:t>
      </w:r>
      <w:r>
        <w:rPr>
          <w:spacing w:val="-17"/>
          <w:sz w:val="24"/>
        </w:rPr>
        <w:t> </w:t>
      </w:r>
      <w:r>
        <w:rPr>
          <w:sz w:val="24"/>
        </w:rPr>
        <w:t>atbrīvošanu no saistībām bankrota procedūras</w:t>
      </w:r>
      <w:r>
        <w:rPr>
          <w:spacing w:val="-4"/>
          <w:sz w:val="24"/>
        </w:rPr>
        <w:t> </w:t>
      </w:r>
      <w:r>
        <w:rPr>
          <w:sz w:val="24"/>
        </w:rPr>
        <w:t>ietvaros;</w:t>
      </w:r>
    </w:p>
    <w:p>
      <w:pPr>
        <w:pStyle w:val="ListParagraph"/>
        <w:numPr>
          <w:ilvl w:val="0"/>
          <w:numId w:val="82"/>
        </w:numPr>
        <w:tabs>
          <w:tab w:pos="1340" w:val="left" w:leader="none"/>
        </w:tabs>
        <w:spacing w:line="240" w:lineRule="auto" w:before="0" w:after="0"/>
        <w:ind w:left="1340" w:right="764" w:hanging="360"/>
        <w:jc w:val="both"/>
        <w:rPr>
          <w:sz w:val="24"/>
        </w:rPr>
      </w:pPr>
      <w:r>
        <w:rPr>
          <w:sz w:val="24"/>
        </w:rPr>
        <w:t>parādniekam nav maksātspējas problēmu vai tās var acīmredzami pārvarēt bez parādu pārstrukturēšanas, cita starpā pārdodot parādnieka aktīvus, lai segtu parādus tādā apjomā, kādā to pamatoti var gaidīt no</w:t>
      </w:r>
      <w:r>
        <w:rPr>
          <w:spacing w:val="-5"/>
          <w:sz w:val="24"/>
        </w:rPr>
        <w:t> </w:t>
      </w:r>
      <w:r>
        <w:rPr>
          <w:sz w:val="24"/>
        </w:rPr>
        <w:t>parādnieka;</w:t>
      </w:r>
    </w:p>
    <w:p>
      <w:pPr>
        <w:pStyle w:val="ListParagraph"/>
        <w:numPr>
          <w:ilvl w:val="0"/>
          <w:numId w:val="82"/>
        </w:numPr>
        <w:tabs>
          <w:tab w:pos="1340" w:val="left" w:leader="none"/>
        </w:tabs>
        <w:spacing w:line="240" w:lineRule="auto" w:before="0" w:after="0"/>
        <w:ind w:left="260" w:right="1933" w:firstLine="720"/>
        <w:jc w:val="both"/>
        <w:rPr>
          <w:sz w:val="24"/>
        </w:rPr>
      </w:pPr>
      <w:r>
        <w:rPr>
          <w:sz w:val="24"/>
        </w:rPr>
        <w:t>pieteikums vai tā pielikumi neatbilst likumā noteiktajām prasībām. Tiesa var atteikties pieņemt parāda pārstrukturēšanas pieteikumu,</w:t>
      </w:r>
      <w:r>
        <w:rPr>
          <w:spacing w:val="-2"/>
          <w:sz w:val="24"/>
        </w:rPr>
        <w:t> </w:t>
      </w:r>
      <w:r>
        <w:rPr>
          <w:sz w:val="24"/>
        </w:rPr>
        <w:t>ja:</w:t>
      </w:r>
    </w:p>
    <w:p>
      <w:pPr>
        <w:pStyle w:val="ListParagraph"/>
        <w:numPr>
          <w:ilvl w:val="0"/>
          <w:numId w:val="83"/>
        </w:numPr>
        <w:tabs>
          <w:tab w:pos="1340" w:val="left" w:leader="none"/>
        </w:tabs>
        <w:spacing w:line="240" w:lineRule="auto" w:before="0" w:after="0"/>
        <w:ind w:left="1340" w:right="761" w:hanging="360"/>
        <w:jc w:val="both"/>
        <w:rPr>
          <w:sz w:val="24"/>
        </w:rPr>
      </w:pPr>
      <w:r>
        <w:rPr>
          <w:sz w:val="24"/>
        </w:rPr>
        <w:t>parādnieka piedāvātā parādsaistību pārstrukturēšanas plāna apstiprināšana vai īstenošana ir maz ticama, ņemot vērā cita starpā parādnieka maksātspēju trīs gadu laikā pirms parāda pārstrukturēšanas pieteikuma iesniegšanas un parādnieka spēju pamatoti iesaistīties parāda pārstrukturēšanas plāna spēkā esamības laikā peļņu nesošā darbībā, ņemot vērā parādnieka vecumu, profesiju un izglītību;</w:t>
      </w:r>
    </w:p>
    <w:p>
      <w:pPr>
        <w:pStyle w:val="ListParagraph"/>
        <w:numPr>
          <w:ilvl w:val="0"/>
          <w:numId w:val="83"/>
        </w:numPr>
        <w:tabs>
          <w:tab w:pos="1340" w:val="left" w:leader="none"/>
        </w:tabs>
        <w:spacing w:line="240" w:lineRule="auto" w:before="1" w:after="0"/>
        <w:ind w:left="1340" w:right="764" w:hanging="360"/>
        <w:jc w:val="both"/>
        <w:rPr>
          <w:sz w:val="24"/>
        </w:rPr>
      </w:pPr>
      <w:r>
        <w:rPr>
          <w:sz w:val="24"/>
        </w:rPr>
        <w:t>parādnieks pirms parāda pārstrukturēšanas ieteikuma iesniegšanas tiesā nav veicis nepieciešamos pasākumus, lai pārstrukturētu parādu ārpustiesas</w:t>
      </w:r>
      <w:r>
        <w:rPr>
          <w:spacing w:val="-6"/>
          <w:sz w:val="24"/>
        </w:rPr>
        <w:t> </w:t>
      </w:r>
      <w:r>
        <w:rPr>
          <w:sz w:val="24"/>
        </w:rPr>
        <w:t>kārtībā;</w:t>
      </w:r>
    </w:p>
    <w:p>
      <w:pPr>
        <w:pStyle w:val="ListParagraph"/>
        <w:numPr>
          <w:ilvl w:val="0"/>
          <w:numId w:val="83"/>
        </w:numPr>
        <w:tabs>
          <w:tab w:pos="1340" w:val="left" w:leader="none"/>
        </w:tabs>
        <w:spacing w:line="240" w:lineRule="auto" w:before="0" w:after="0"/>
        <w:ind w:left="1340" w:right="763" w:hanging="360"/>
        <w:jc w:val="both"/>
        <w:rPr>
          <w:sz w:val="24"/>
        </w:rPr>
      </w:pPr>
      <w:r>
        <w:rPr>
          <w:sz w:val="24"/>
        </w:rPr>
        <w:t>parādnieks tīši vai rupjas nolaidības dēļ ir iesniedzis būtiski nepareizu vai nepilnīgu informāciju par saviem aktīviem, ienākumiem, kreditoriem </w:t>
      </w:r>
      <w:r>
        <w:rPr>
          <w:spacing w:val="-4"/>
          <w:sz w:val="24"/>
        </w:rPr>
        <w:t>vai</w:t>
      </w:r>
      <w:r>
        <w:rPr>
          <w:spacing w:val="52"/>
          <w:sz w:val="24"/>
        </w:rPr>
        <w:t> </w:t>
      </w:r>
      <w:r>
        <w:rPr>
          <w:sz w:val="24"/>
        </w:rPr>
        <w:t>saistībām;</w:t>
      </w:r>
    </w:p>
    <w:p>
      <w:pPr>
        <w:pStyle w:val="BodyText"/>
        <w:jc w:val="left"/>
        <w:rPr>
          <w:sz w:val="20"/>
        </w:rPr>
      </w:pPr>
    </w:p>
    <w:p>
      <w:pPr>
        <w:pStyle w:val="BodyText"/>
        <w:spacing w:before="5"/>
        <w:jc w:val="left"/>
        <w:rPr>
          <w:sz w:val="20"/>
        </w:rPr>
      </w:pPr>
      <w:r>
        <w:rPr/>
        <w:pict>
          <v:shape style="position:absolute;margin-left:72pt;margin-top:14.045999pt;width:144pt;height:.1pt;mso-position-horizontal-relative:page;mso-position-vertical-relative:paragraph;z-index:-251490304;mso-wrap-distance-left:0;mso-wrap-distance-right:0" coordorigin="1440,281" coordsize="2880,0" path="m1440,281l4320,281e" filled="false" stroked="true" strokeweight=".600037pt" strokecolor="#000000">
            <v:path arrowok="t"/>
            <v:stroke dashstyle="solid"/>
            <w10:wrap type="topAndBottom"/>
          </v:shape>
        </w:pict>
      </w:r>
    </w:p>
    <w:p>
      <w:pPr>
        <w:spacing w:before="70"/>
        <w:ind w:left="260" w:right="635" w:firstLine="0"/>
        <w:jc w:val="left"/>
        <w:rPr>
          <w:sz w:val="20"/>
        </w:rPr>
      </w:pPr>
      <w:r>
        <w:rPr>
          <w:position w:val="7"/>
          <w:sz w:val="13"/>
        </w:rPr>
        <w:t>329 </w:t>
      </w:r>
      <w:r>
        <w:rPr>
          <w:sz w:val="20"/>
        </w:rPr>
        <w:t>Saarma T. Principles of Debt Restructuring and Restrictions, on Initiation of Debt Restructuring Proceedings. Juridica International</w:t>
      </w:r>
      <w:r>
        <w:rPr>
          <w:spacing w:val="-2"/>
          <w:sz w:val="20"/>
        </w:rPr>
        <w:t> </w:t>
      </w:r>
      <w:r>
        <w:rPr>
          <w:sz w:val="20"/>
        </w:rPr>
        <w:t>XX/2013</w:t>
      </w:r>
    </w:p>
    <w:p>
      <w:pPr>
        <w:spacing w:line="240" w:lineRule="auto" w:before="0"/>
        <w:ind w:left="260" w:right="635" w:firstLine="0"/>
        <w:jc w:val="left"/>
        <w:rPr>
          <w:sz w:val="20"/>
        </w:rPr>
      </w:pPr>
      <w:r>
        <w:rPr>
          <w:position w:val="7"/>
          <w:sz w:val="13"/>
        </w:rPr>
        <w:t>330 </w:t>
      </w:r>
      <w:r>
        <w:rPr>
          <w:sz w:val="20"/>
        </w:rPr>
        <w:t>Saarma T. Principles of Debt Restructuring and Restrictions, on Initiation of Debt Restructuring Proceedings. Juridica International</w:t>
      </w:r>
      <w:r>
        <w:rPr>
          <w:spacing w:val="-2"/>
          <w:sz w:val="20"/>
        </w:rPr>
        <w:t> </w:t>
      </w:r>
      <w:r>
        <w:rPr>
          <w:sz w:val="20"/>
        </w:rPr>
        <w:t>XX/2013</w:t>
      </w:r>
    </w:p>
    <w:p>
      <w:pPr>
        <w:spacing w:after="0" w:line="240" w:lineRule="auto"/>
        <w:jc w:val="left"/>
        <w:rPr>
          <w:sz w:val="20"/>
        </w:rPr>
        <w:sectPr>
          <w:pgSz w:w="11910" w:h="16840"/>
          <w:pgMar w:header="0" w:footer="1055" w:top="1340" w:bottom="1240" w:left="1180" w:right="1040"/>
        </w:sectPr>
      </w:pPr>
    </w:p>
    <w:p>
      <w:pPr>
        <w:pStyle w:val="ListParagraph"/>
        <w:numPr>
          <w:ilvl w:val="0"/>
          <w:numId w:val="83"/>
        </w:numPr>
        <w:tabs>
          <w:tab w:pos="1700" w:val="left" w:leader="none"/>
        </w:tabs>
        <w:spacing w:line="240" w:lineRule="auto" w:before="73" w:after="0"/>
        <w:ind w:left="1700" w:right="402" w:hanging="360"/>
        <w:jc w:val="both"/>
        <w:rPr>
          <w:sz w:val="24"/>
        </w:rPr>
      </w:pPr>
      <w:r>
        <w:rPr>
          <w:sz w:val="24"/>
        </w:rPr>
        <w:t>parādnieks</w:t>
      </w:r>
      <w:r>
        <w:rPr>
          <w:spacing w:val="-11"/>
          <w:sz w:val="24"/>
        </w:rPr>
        <w:t> </w:t>
      </w:r>
      <w:r>
        <w:rPr>
          <w:sz w:val="24"/>
        </w:rPr>
        <w:t>atsakās</w:t>
      </w:r>
      <w:r>
        <w:rPr>
          <w:spacing w:val="-13"/>
          <w:sz w:val="24"/>
        </w:rPr>
        <w:t> </w:t>
      </w:r>
      <w:r>
        <w:rPr>
          <w:sz w:val="24"/>
        </w:rPr>
        <w:t>nodot</w:t>
      </w:r>
      <w:r>
        <w:rPr>
          <w:spacing w:val="-11"/>
          <w:sz w:val="24"/>
        </w:rPr>
        <w:t> </w:t>
      </w:r>
      <w:r>
        <w:rPr>
          <w:sz w:val="24"/>
        </w:rPr>
        <w:t>zvērestu</w:t>
      </w:r>
      <w:r>
        <w:rPr>
          <w:spacing w:val="-13"/>
          <w:sz w:val="24"/>
        </w:rPr>
        <w:t> </w:t>
      </w:r>
      <w:r>
        <w:rPr>
          <w:sz w:val="24"/>
        </w:rPr>
        <w:t>par</w:t>
      </w:r>
      <w:r>
        <w:rPr>
          <w:spacing w:val="-12"/>
          <w:sz w:val="24"/>
        </w:rPr>
        <w:t> </w:t>
      </w:r>
      <w:r>
        <w:rPr>
          <w:sz w:val="24"/>
        </w:rPr>
        <w:t>iesniegtās</w:t>
      </w:r>
      <w:r>
        <w:rPr>
          <w:spacing w:val="-16"/>
          <w:sz w:val="24"/>
        </w:rPr>
        <w:t> </w:t>
      </w:r>
      <w:r>
        <w:rPr>
          <w:sz w:val="24"/>
        </w:rPr>
        <w:t>informācijas</w:t>
      </w:r>
      <w:r>
        <w:rPr>
          <w:spacing w:val="-13"/>
          <w:sz w:val="24"/>
        </w:rPr>
        <w:t> </w:t>
      </w:r>
      <w:r>
        <w:rPr>
          <w:sz w:val="24"/>
        </w:rPr>
        <w:t>patiesumu</w:t>
      </w:r>
      <w:r>
        <w:rPr>
          <w:spacing w:val="-12"/>
          <w:sz w:val="24"/>
        </w:rPr>
        <w:t> </w:t>
      </w:r>
      <w:r>
        <w:rPr>
          <w:sz w:val="24"/>
        </w:rPr>
        <w:t>vai</w:t>
      </w:r>
      <w:r>
        <w:rPr>
          <w:spacing w:val="-11"/>
          <w:sz w:val="24"/>
        </w:rPr>
        <w:t> </w:t>
      </w:r>
      <w:r>
        <w:rPr>
          <w:sz w:val="24"/>
        </w:rPr>
        <w:t>pēc tiesas pieprasījuma sniegt papildu</w:t>
      </w:r>
      <w:r>
        <w:rPr>
          <w:spacing w:val="-4"/>
          <w:sz w:val="24"/>
        </w:rPr>
        <w:t> </w:t>
      </w:r>
      <w:r>
        <w:rPr>
          <w:sz w:val="24"/>
        </w:rPr>
        <w:t>informāciju;</w:t>
      </w:r>
    </w:p>
    <w:p>
      <w:pPr>
        <w:pStyle w:val="ListParagraph"/>
        <w:numPr>
          <w:ilvl w:val="0"/>
          <w:numId w:val="83"/>
        </w:numPr>
        <w:tabs>
          <w:tab w:pos="1700" w:val="left" w:leader="none"/>
        </w:tabs>
        <w:spacing w:line="240" w:lineRule="auto" w:before="0" w:after="0"/>
        <w:ind w:left="1700" w:right="401" w:hanging="360"/>
        <w:jc w:val="both"/>
        <w:rPr>
          <w:sz w:val="24"/>
        </w:rPr>
      </w:pPr>
      <w:r>
        <w:rPr>
          <w:sz w:val="24"/>
        </w:rPr>
        <w:t>parādnieks ir ticis notiesāts par noziedzīgu nodarījumu, kas saistīts ar bankrota procedūru vai izpildes procedūru, nodokļu noziegumu vai noziedzīgu nodarījumu, kas noteikts Kriminālkodeksa 380.-3811. punktā, un soda dati </w:t>
      </w:r>
      <w:r>
        <w:rPr>
          <w:spacing w:val="-4"/>
          <w:sz w:val="24"/>
        </w:rPr>
        <w:t>nav </w:t>
      </w:r>
      <w:r>
        <w:rPr>
          <w:sz w:val="24"/>
        </w:rPr>
        <w:t>svītroti no sodu</w:t>
      </w:r>
      <w:r>
        <w:rPr>
          <w:spacing w:val="-1"/>
          <w:sz w:val="24"/>
        </w:rPr>
        <w:t> </w:t>
      </w:r>
      <w:r>
        <w:rPr>
          <w:sz w:val="24"/>
        </w:rPr>
        <w:t>reģistra;</w:t>
      </w:r>
    </w:p>
    <w:p>
      <w:pPr>
        <w:pStyle w:val="ListParagraph"/>
        <w:numPr>
          <w:ilvl w:val="0"/>
          <w:numId w:val="83"/>
        </w:numPr>
        <w:tabs>
          <w:tab w:pos="1700" w:val="left" w:leader="none"/>
        </w:tabs>
        <w:spacing w:line="240" w:lineRule="auto" w:before="0" w:after="0"/>
        <w:ind w:left="1700" w:right="401" w:hanging="360"/>
        <w:jc w:val="both"/>
        <w:rPr>
          <w:sz w:val="24"/>
        </w:rPr>
      </w:pPr>
      <w:r>
        <w:rPr>
          <w:sz w:val="24"/>
        </w:rPr>
        <w:t>pēdējo trīs gadu laikā pirms pieteikuma iesniegšanas vai pēc pieteikuma iesniegšanas parādnieks tīši vai rupjas neuzmanības dēļ ir iesniedzis nepareizu vai nepilnīgu informāciju par savu finansiālo stāvokli, lai saņemtu atbalstu vai citus pabalstus no valsts, pašvaldības vai fonda vai lai izvairītos no nodokļu nomaksas;</w:t>
      </w:r>
    </w:p>
    <w:p>
      <w:pPr>
        <w:pStyle w:val="ListParagraph"/>
        <w:numPr>
          <w:ilvl w:val="0"/>
          <w:numId w:val="83"/>
        </w:numPr>
        <w:tabs>
          <w:tab w:pos="1700" w:val="left" w:leader="none"/>
        </w:tabs>
        <w:spacing w:line="240" w:lineRule="auto" w:before="0" w:after="0"/>
        <w:ind w:left="1700" w:right="403" w:hanging="360"/>
        <w:jc w:val="both"/>
        <w:rPr>
          <w:sz w:val="24"/>
        </w:rPr>
      </w:pPr>
      <w:r>
        <w:rPr>
          <w:sz w:val="24"/>
        </w:rPr>
        <w:t>parādnieks ir iepriekš apzināti slēdzis darījumus, kas nodara kaitējumu kreditoriem.</w:t>
      </w:r>
    </w:p>
    <w:p>
      <w:pPr>
        <w:pStyle w:val="ListParagraph"/>
        <w:numPr>
          <w:ilvl w:val="2"/>
          <w:numId w:val="68"/>
        </w:numPr>
        <w:tabs>
          <w:tab w:pos="2060" w:val="left" w:leader="none"/>
        </w:tabs>
        <w:spacing w:line="240" w:lineRule="auto" w:before="1" w:after="0"/>
        <w:ind w:left="620" w:right="403" w:firstLine="720"/>
        <w:jc w:val="both"/>
        <w:rPr>
          <w:sz w:val="24"/>
        </w:rPr>
      </w:pPr>
      <w:r>
        <w:rPr>
          <w:b/>
          <w:i/>
          <w:sz w:val="24"/>
        </w:rPr>
        <w:t>Konsultants. </w:t>
      </w:r>
      <w:r>
        <w:rPr>
          <w:sz w:val="24"/>
        </w:rPr>
        <w:t>Tiesa, pamatojoties uz parādnieka pieteikumu vai pēc sava ieskata, var iecelt konsultantu, lai nodrošinātu procesa atbilstību prasībām vai lai identificētu parādnieka finansiālo stāvokli, kā arī, ja tas nepārprotami vienkāršo vai paātrina pieteikuma izskatīšanu vai nodrošina labāku parādnieka vai kreditoru interešu aizsardzību. Tiesa var iecelt konsultantu arī pēc tam, kad parādu pārstrukturēšanas pieteikums ir atzīts par</w:t>
      </w:r>
      <w:r>
        <w:rPr>
          <w:spacing w:val="-1"/>
          <w:sz w:val="24"/>
        </w:rPr>
        <w:t> </w:t>
      </w:r>
      <w:r>
        <w:rPr>
          <w:sz w:val="24"/>
        </w:rPr>
        <w:t>pieņemamu.</w:t>
      </w:r>
    </w:p>
    <w:p>
      <w:pPr>
        <w:pStyle w:val="BodyText"/>
        <w:ind w:left="620" w:right="402" w:firstLine="720"/>
      </w:pPr>
      <w:r>
        <w:rPr/>
        <w:t>Par konsultantu var tikt noteikta persona ar atbilstošām zināšanām un pieredzi. Konsultanta</w:t>
      </w:r>
      <w:r>
        <w:rPr>
          <w:spacing w:val="-9"/>
        </w:rPr>
        <w:t> </w:t>
      </w:r>
      <w:r>
        <w:rPr/>
        <w:t>uzdevums</w:t>
      </w:r>
      <w:r>
        <w:rPr>
          <w:spacing w:val="-5"/>
        </w:rPr>
        <w:t> </w:t>
      </w:r>
      <w:r>
        <w:rPr/>
        <w:t>ir</w:t>
      </w:r>
      <w:r>
        <w:rPr>
          <w:spacing w:val="-10"/>
        </w:rPr>
        <w:t> </w:t>
      </w:r>
      <w:r>
        <w:rPr/>
        <w:t>informēt</w:t>
      </w:r>
      <w:r>
        <w:rPr>
          <w:spacing w:val="-8"/>
        </w:rPr>
        <w:t> </w:t>
      </w:r>
      <w:r>
        <w:rPr/>
        <w:t>tiesu</w:t>
      </w:r>
      <w:r>
        <w:rPr>
          <w:spacing w:val="-8"/>
        </w:rPr>
        <w:t> </w:t>
      </w:r>
      <w:r>
        <w:rPr/>
        <w:t>un</w:t>
      </w:r>
      <w:r>
        <w:rPr>
          <w:spacing w:val="-9"/>
        </w:rPr>
        <w:t> </w:t>
      </w:r>
      <w:r>
        <w:rPr/>
        <w:t>kreditorus</w:t>
      </w:r>
      <w:r>
        <w:rPr>
          <w:spacing w:val="-8"/>
        </w:rPr>
        <w:t> </w:t>
      </w:r>
      <w:r>
        <w:rPr/>
        <w:t>par</w:t>
      </w:r>
      <w:r>
        <w:rPr>
          <w:spacing w:val="-11"/>
        </w:rPr>
        <w:t> </w:t>
      </w:r>
      <w:r>
        <w:rPr/>
        <w:t>parādnieka</w:t>
      </w:r>
      <w:r>
        <w:rPr>
          <w:spacing w:val="-8"/>
        </w:rPr>
        <w:t> </w:t>
      </w:r>
      <w:r>
        <w:rPr/>
        <w:t>finansiālo</w:t>
      </w:r>
      <w:r>
        <w:rPr>
          <w:spacing w:val="-8"/>
        </w:rPr>
        <w:t> </w:t>
      </w:r>
      <w:r>
        <w:rPr/>
        <w:t>stāvokli</w:t>
      </w:r>
      <w:r>
        <w:rPr>
          <w:spacing w:val="-8"/>
        </w:rPr>
        <w:t> </w:t>
      </w:r>
      <w:r>
        <w:rPr/>
        <w:t>un iespējām pārvarēt maksātspējas problēmas, dot padomu un sniegt palīdzību parādniekam parāda pārstrukturēšanas procedūrā, un pārbaudīt kreditora prasījumu likumību un parādnieka veikto darījumu likumību un</w:t>
      </w:r>
      <w:r>
        <w:rPr>
          <w:spacing w:val="-3"/>
        </w:rPr>
        <w:t> </w:t>
      </w:r>
      <w:r>
        <w:rPr/>
        <w:t>saprātīgumu.</w:t>
      </w:r>
    </w:p>
    <w:p>
      <w:pPr>
        <w:pStyle w:val="ListParagraph"/>
        <w:numPr>
          <w:ilvl w:val="2"/>
          <w:numId w:val="68"/>
        </w:numPr>
        <w:tabs>
          <w:tab w:pos="2060" w:val="left" w:leader="none"/>
        </w:tabs>
        <w:spacing w:line="240" w:lineRule="auto" w:before="0" w:after="0"/>
        <w:ind w:left="620" w:right="404" w:firstLine="720"/>
        <w:jc w:val="both"/>
        <w:rPr>
          <w:sz w:val="24"/>
        </w:rPr>
      </w:pPr>
      <w:r>
        <w:rPr>
          <w:b/>
          <w:i/>
          <w:sz w:val="24"/>
        </w:rPr>
        <w:t>Sagatavošanas tiesvedība </w:t>
      </w:r>
      <w:r>
        <w:rPr>
          <w:sz w:val="24"/>
        </w:rPr>
        <w:t>– laikposms no parāda pārstrukturēšanas pieteikuma iesniegšanas līdz parāda pārstrukturēšanas plāna</w:t>
      </w:r>
      <w:r>
        <w:rPr>
          <w:spacing w:val="-6"/>
          <w:sz w:val="24"/>
        </w:rPr>
        <w:t> </w:t>
      </w:r>
      <w:r>
        <w:rPr>
          <w:sz w:val="24"/>
        </w:rPr>
        <w:t>apstiprināšanai.</w:t>
      </w:r>
    </w:p>
    <w:p>
      <w:pPr>
        <w:pStyle w:val="BodyText"/>
        <w:ind w:left="620" w:right="405" w:firstLine="720"/>
      </w:pPr>
      <w:r>
        <w:rPr/>
        <w:t>Ja parāda pārstrukturēšanas pieteikums tiek pieņemts, līdz reorganizācijas plāna apstiprināšanai vai pārstrukturēšanas procedūras izbeigšanai:</w:t>
      </w:r>
    </w:p>
    <w:p>
      <w:pPr>
        <w:pStyle w:val="ListParagraph"/>
        <w:numPr>
          <w:ilvl w:val="0"/>
          <w:numId w:val="84"/>
        </w:numPr>
        <w:tabs>
          <w:tab w:pos="1700" w:val="left" w:leader="none"/>
        </w:tabs>
        <w:spacing w:line="240" w:lineRule="auto" w:before="0" w:after="0"/>
        <w:ind w:left="1700" w:right="404" w:hanging="360"/>
        <w:jc w:val="both"/>
        <w:rPr>
          <w:sz w:val="24"/>
        </w:rPr>
      </w:pPr>
      <w:r>
        <w:rPr>
          <w:sz w:val="24"/>
        </w:rPr>
        <w:t>tiek apturēts nokavējuma procentu, līgumsoda aprēķins līdz pārstrukturēšanas plāna apstiprināšanai vai pārstrukturēšanas procedūras izbeigšanai. Tas neattiecas uz prasījumiem, kuru pārstrukturēšana nav pieprasīta;</w:t>
      </w:r>
    </w:p>
    <w:p>
      <w:pPr>
        <w:pStyle w:val="ListParagraph"/>
        <w:numPr>
          <w:ilvl w:val="0"/>
          <w:numId w:val="84"/>
        </w:numPr>
        <w:tabs>
          <w:tab w:pos="1700" w:val="left" w:leader="none"/>
        </w:tabs>
        <w:spacing w:line="240" w:lineRule="auto" w:before="0" w:after="0"/>
        <w:ind w:left="1700" w:right="401" w:hanging="360"/>
        <w:jc w:val="both"/>
        <w:rPr>
          <w:sz w:val="24"/>
        </w:rPr>
      </w:pPr>
      <w:r>
        <w:rPr>
          <w:sz w:val="24"/>
        </w:rPr>
        <w:t>kreditors nevar, pamatojoties uz finansiāla rakstura saistību pārkāpumu, kas noticis pirms parāda pārstrukturēšanas pieteikuma iesniegšanas dienas, izbeigt līgumu,</w:t>
      </w:r>
      <w:r>
        <w:rPr>
          <w:spacing w:val="-13"/>
          <w:sz w:val="24"/>
        </w:rPr>
        <w:t> </w:t>
      </w:r>
      <w:r>
        <w:rPr>
          <w:sz w:val="24"/>
        </w:rPr>
        <w:t>kurš</w:t>
      </w:r>
      <w:r>
        <w:rPr>
          <w:spacing w:val="-16"/>
          <w:sz w:val="24"/>
        </w:rPr>
        <w:t> </w:t>
      </w:r>
      <w:r>
        <w:rPr>
          <w:sz w:val="24"/>
        </w:rPr>
        <w:t>ir</w:t>
      </w:r>
      <w:r>
        <w:rPr>
          <w:spacing w:val="-11"/>
          <w:sz w:val="24"/>
        </w:rPr>
        <w:t> </w:t>
      </w:r>
      <w:r>
        <w:rPr>
          <w:sz w:val="24"/>
        </w:rPr>
        <w:t>noslēgts</w:t>
      </w:r>
      <w:r>
        <w:rPr>
          <w:spacing w:val="-11"/>
          <w:sz w:val="24"/>
        </w:rPr>
        <w:t> </w:t>
      </w:r>
      <w:r>
        <w:rPr>
          <w:sz w:val="24"/>
        </w:rPr>
        <w:t>ar</w:t>
      </w:r>
      <w:r>
        <w:rPr>
          <w:spacing w:val="-16"/>
          <w:sz w:val="24"/>
        </w:rPr>
        <w:t> </w:t>
      </w:r>
      <w:r>
        <w:rPr>
          <w:sz w:val="24"/>
        </w:rPr>
        <w:t>parādnieku</w:t>
      </w:r>
      <w:r>
        <w:rPr>
          <w:spacing w:val="-12"/>
          <w:sz w:val="24"/>
        </w:rPr>
        <w:t> </w:t>
      </w:r>
      <w:r>
        <w:rPr>
          <w:sz w:val="24"/>
        </w:rPr>
        <w:t>un</w:t>
      </w:r>
      <w:r>
        <w:rPr>
          <w:spacing w:val="-13"/>
          <w:sz w:val="24"/>
        </w:rPr>
        <w:t> </w:t>
      </w:r>
      <w:r>
        <w:rPr>
          <w:sz w:val="24"/>
        </w:rPr>
        <w:t>no</w:t>
      </w:r>
      <w:r>
        <w:rPr>
          <w:spacing w:val="-13"/>
          <w:sz w:val="24"/>
        </w:rPr>
        <w:t> </w:t>
      </w:r>
      <w:r>
        <w:rPr>
          <w:sz w:val="24"/>
        </w:rPr>
        <w:t>kura</w:t>
      </w:r>
      <w:r>
        <w:rPr>
          <w:spacing w:val="-16"/>
          <w:sz w:val="24"/>
        </w:rPr>
        <w:t> </w:t>
      </w:r>
      <w:r>
        <w:rPr>
          <w:sz w:val="24"/>
        </w:rPr>
        <w:t>izriet</w:t>
      </w:r>
      <w:r>
        <w:rPr>
          <w:spacing w:val="-13"/>
          <w:sz w:val="24"/>
        </w:rPr>
        <w:t> </w:t>
      </w:r>
      <w:r>
        <w:rPr>
          <w:sz w:val="24"/>
        </w:rPr>
        <w:t>prasījums,</w:t>
      </w:r>
      <w:r>
        <w:rPr>
          <w:spacing w:val="-13"/>
          <w:sz w:val="24"/>
        </w:rPr>
        <w:t> </w:t>
      </w:r>
      <w:r>
        <w:rPr>
          <w:sz w:val="24"/>
        </w:rPr>
        <w:t>ko</w:t>
      </w:r>
      <w:r>
        <w:rPr>
          <w:spacing w:val="-12"/>
          <w:sz w:val="24"/>
        </w:rPr>
        <w:t> </w:t>
      </w:r>
      <w:r>
        <w:rPr>
          <w:sz w:val="24"/>
        </w:rPr>
        <w:t>parādnieks cenšas pārstrukturēt, vai atteikties šā iemesla dēļ pildīt savas</w:t>
      </w:r>
      <w:r>
        <w:rPr>
          <w:spacing w:val="-3"/>
          <w:sz w:val="24"/>
        </w:rPr>
        <w:t> </w:t>
      </w:r>
      <w:r>
        <w:rPr>
          <w:sz w:val="24"/>
        </w:rPr>
        <w:t>saistības;</w:t>
      </w:r>
    </w:p>
    <w:p>
      <w:pPr>
        <w:pStyle w:val="ListParagraph"/>
        <w:numPr>
          <w:ilvl w:val="0"/>
          <w:numId w:val="84"/>
        </w:numPr>
        <w:tabs>
          <w:tab w:pos="1700" w:val="left" w:leader="none"/>
        </w:tabs>
        <w:spacing w:line="240" w:lineRule="auto" w:before="0" w:after="0"/>
        <w:ind w:left="1700" w:right="403" w:hanging="360"/>
        <w:jc w:val="both"/>
        <w:rPr>
          <w:sz w:val="24"/>
        </w:rPr>
      </w:pPr>
      <w:r>
        <w:rPr>
          <w:sz w:val="24"/>
        </w:rPr>
        <w:t>jebkāda vienošanās, saskaņā ar kuru kreditors var izbeigt līgumu, kad ir iesniegts parāda pārstrukturēšanas pieteikums vai apstiprināts parāda pārstrukturēšanas plāns, ir spēkā</w:t>
      </w:r>
      <w:r>
        <w:rPr>
          <w:spacing w:val="-4"/>
          <w:sz w:val="24"/>
        </w:rPr>
        <w:t> </w:t>
      </w:r>
      <w:r>
        <w:rPr>
          <w:sz w:val="24"/>
        </w:rPr>
        <w:t>neesoša;</w:t>
      </w:r>
    </w:p>
    <w:p>
      <w:pPr>
        <w:pStyle w:val="ListParagraph"/>
        <w:numPr>
          <w:ilvl w:val="0"/>
          <w:numId w:val="84"/>
        </w:numPr>
        <w:tabs>
          <w:tab w:pos="1700" w:val="left" w:leader="none"/>
        </w:tabs>
        <w:spacing w:line="237" w:lineRule="auto" w:before="2" w:after="0"/>
        <w:ind w:left="1700" w:right="401" w:hanging="360"/>
        <w:jc w:val="both"/>
        <w:rPr>
          <w:sz w:val="16"/>
        </w:rPr>
      </w:pPr>
      <w:r>
        <w:rPr>
          <w:sz w:val="24"/>
        </w:rPr>
        <w:t>tiesa aptur naudas iekasēšanas izpildes procedūru (vai piespiedu izpildi) pret debitora</w:t>
      </w:r>
      <w:r>
        <w:rPr>
          <w:spacing w:val="-16"/>
          <w:sz w:val="24"/>
        </w:rPr>
        <w:t> </w:t>
      </w:r>
      <w:r>
        <w:rPr>
          <w:sz w:val="24"/>
        </w:rPr>
        <w:t>aktīviem</w:t>
      </w:r>
      <w:r>
        <w:rPr>
          <w:spacing w:val="-13"/>
          <w:sz w:val="24"/>
        </w:rPr>
        <w:t> </w:t>
      </w:r>
      <w:r>
        <w:rPr>
          <w:sz w:val="24"/>
        </w:rPr>
        <w:t>līdz</w:t>
      </w:r>
      <w:r>
        <w:rPr>
          <w:spacing w:val="-12"/>
          <w:sz w:val="24"/>
        </w:rPr>
        <w:t> </w:t>
      </w:r>
      <w:r>
        <w:rPr>
          <w:sz w:val="24"/>
        </w:rPr>
        <w:t>parāda</w:t>
      </w:r>
      <w:r>
        <w:rPr>
          <w:spacing w:val="-13"/>
          <w:sz w:val="24"/>
        </w:rPr>
        <w:t> </w:t>
      </w:r>
      <w:r>
        <w:rPr>
          <w:sz w:val="24"/>
        </w:rPr>
        <w:t>pārstrukturēšanas</w:t>
      </w:r>
      <w:r>
        <w:rPr>
          <w:spacing w:val="-13"/>
          <w:sz w:val="24"/>
        </w:rPr>
        <w:t> </w:t>
      </w:r>
      <w:r>
        <w:rPr>
          <w:sz w:val="24"/>
        </w:rPr>
        <w:t>plāna</w:t>
      </w:r>
      <w:r>
        <w:rPr>
          <w:spacing w:val="-13"/>
          <w:sz w:val="24"/>
        </w:rPr>
        <w:t> </w:t>
      </w:r>
      <w:r>
        <w:rPr>
          <w:sz w:val="24"/>
        </w:rPr>
        <w:t>apstiprināšanai</w:t>
      </w:r>
      <w:r>
        <w:rPr>
          <w:spacing w:val="-12"/>
          <w:sz w:val="24"/>
        </w:rPr>
        <w:t> </w:t>
      </w:r>
      <w:r>
        <w:rPr>
          <w:sz w:val="24"/>
        </w:rPr>
        <w:t>vai</w:t>
      </w:r>
      <w:r>
        <w:rPr>
          <w:spacing w:val="-13"/>
          <w:sz w:val="24"/>
        </w:rPr>
        <w:t> </w:t>
      </w:r>
      <w:r>
        <w:rPr>
          <w:sz w:val="24"/>
        </w:rPr>
        <w:t>parāda pārstrukturēšanas procedūras noslēgšanai. Tiesa var arī apturēt tiesvedību par finansiāla rakstura prasījumu pret debitoru, par kuru vēl nav pieņemts nolēmums; atcelt pasākumus prasības nodrošināšanai, tostarp bankas konta arestu; un aizliegt kreditoriem īstenot viņu tiesības, kas izriet no parādnieka sniegtā nodrošinājuma, tostarp pārdot vai pieprasīt pārdot apķīlāto</w:t>
      </w:r>
      <w:r>
        <w:rPr>
          <w:spacing w:val="-5"/>
          <w:sz w:val="24"/>
        </w:rPr>
        <w:t> </w:t>
      </w:r>
      <w:r>
        <w:rPr>
          <w:sz w:val="24"/>
        </w:rPr>
        <w:t>objektu.</w:t>
      </w:r>
      <w:r>
        <w:rPr>
          <w:position w:val="9"/>
          <w:sz w:val="16"/>
        </w:rPr>
        <w:t>331</w:t>
      </w:r>
    </w:p>
    <w:p>
      <w:pPr>
        <w:pStyle w:val="BodyText"/>
        <w:spacing w:before="2"/>
        <w:ind w:left="620" w:right="401" w:firstLine="720"/>
      </w:pPr>
      <w:r>
        <w:rPr/>
        <w:t>Pēc pieteikuma pieņemšanas tiesa pārstrukturēšanas plānu nosūta tajā</w:t>
      </w:r>
      <w:r>
        <w:rPr>
          <w:spacing w:val="-27"/>
        </w:rPr>
        <w:t> </w:t>
      </w:r>
      <w:r>
        <w:rPr/>
        <w:t>norādītajiem kreditoriem, kuri var izteikt viedokli par plānu (2 – 4 nedēļas pēc tā nosūtīšanas)</w:t>
      </w:r>
      <w:r>
        <w:rPr>
          <w:spacing w:val="4"/>
        </w:rPr>
        <w:t> </w:t>
      </w:r>
      <w:r>
        <w:rPr>
          <w:spacing w:val="-5"/>
        </w:rPr>
        <w:t>Ja</w:t>
      </w:r>
    </w:p>
    <w:p>
      <w:pPr>
        <w:pStyle w:val="BodyText"/>
        <w:jc w:val="left"/>
        <w:rPr>
          <w:sz w:val="20"/>
        </w:rPr>
      </w:pPr>
    </w:p>
    <w:p>
      <w:pPr>
        <w:pStyle w:val="BodyText"/>
        <w:spacing w:before="7"/>
        <w:jc w:val="left"/>
        <w:rPr>
          <w:sz w:val="12"/>
        </w:rPr>
      </w:pPr>
      <w:r>
        <w:rPr/>
        <w:pict>
          <v:shape style="position:absolute;margin-left:90pt;margin-top:9.516341pt;width:144pt;height:.1pt;mso-position-horizontal-relative:page;mso-position-vertical-relative:paragraph;z-index:-251489280;mso-wrap-distance-left:0;mso-wrap-distance-right:0" coordorigin="1800,190" coordsize="2880,0" path="m1800,190l4680,190e" filled="false" stroked="true" strokeweight=".599991pt" strokecolor="#000000">
            <v:path arrowok="t"/>
            <v:stroke dashstyle="solid"/>
            <w10:wrap type="topAndBottom"/>
          </v:shape>
        </w:pict>
      </w:r>
    </w:p>
    <w:p>
      <w:pPr>
        <w:tabs>
          <w:tab w:pos="1069" w:val="left" w:leader="none"/>
          <w:tab w:pos="2510" w:val="left" w:leader="none"/>
          <w:tab w:pos="2866" w:val="left" w:leader="none"/>
          <w:tab w:pos="3827" w:val="left" w:leader="none"/>
          <w:tab w:pos="4858" w:val="left" w:leader="none"/>
        </w:tabs>
        <w:spacing w:before="70"/>
        <w:ind w:left="620" w:right="408" w:firstLine="0"/>
        <w:jc w:val="left"/>
        <w:rPr>
          <w:sz w:val="20"/>
        </w:rPr>
      </w:pPr>
      <w:r>
        <w:rPr>
          <w:position w:val="7"/>
          <w:sz w:val="13"/>
        </w:rPr>
        <w:t>331</w:t>
        <w:tab/>
      </w:r>
      <w:r>
        <w:rPr>
          <w:sz w:val="20"/>
        </w:rPr>
        <w:t>Maksātnespēja</w:t>
        <w:tab/>
        <w:t>–</w:t>
        <w:tab/>
        <w:t>Igaunija.</w:t>
        <w:tab/>
        <w:t>Pieejams:</w:t>
        <w:tab/>
      </w:r>
      <w:r>
        <w:rPr>
          <w:color w:val="0562C1"/>
          <w:w w:val="95"/>
          <w:sz w:val="20"/>
          <w:u w:val="single" w:color="0562C1"/>
        </w:rPr>
        <w:t>https://e-justice.europa.eu/content_insolvency-447-EE-</w:t>
      </w:r>
      <w:r>
        <w:rPr>
          <w:color w:val="0562C1"/>
          <w:w w:val="95"/>
          <w:sz w:val="20"/>
        </w:rPr>
        <w:t> </w:t>
      </w:r>
      <w:r>
        <w:rPr>
          <w:color w:val="0562C1"/>
          <w:sz w:val="20"/>
          <w:u w:val="single" w:color="0562C1"/>
        </w:rPr>
        <w:t>lv.do?clang=lv</w:t>
      </w:r>
      <w:r>
        <w:rPr>
          <w:color w:val="0562C1"/>
          <w:sz w:val="20"/>
        </w:rPr>
        <w:t> </w:t>
      </w:r>
      <w:r>
        <w:rPr>
          <w:sz w:val="20"/>
        </w:rPr>
        <w:t>[aplūkots 2018.gada</w:t>
      </w:r>
      <w:r>
        <w:rPr>
          <w:spacing w:val="-4"/>
          <w:sz w:val="20"/>
        </w:rPr>
        <w:t> </w:t>
      </w:r>
      <w:r>
        <w:rPr>
          <w:sz w:val="20"/>
        </w:rPr>
        <w:t>15.oktobrī].</w:t>
      </w:r>
    </w:p>
    <w:p>
      <w:pPr>
        <w:spacing w:after="0"/>
        <w:jc w:val="left"/>
        <w:rPr>
          <w:sz w:val="20"/>
        </w:rPr>
        <w:sectPr>
          <w:footerReference w:type="default" r:id="rId80"/>
          <w:footerReference w:type="even" r:id="rId81"/>
          <w:pgSz w:w="11910" w:h="16840"/>
          <w:pgMar w:footer="1055" w:header="0" w:top="1340" w:bottom="1240" w:left="1180" w:right="1040"/>
          <w:pgNumType w:start="131"/>
        </w:sectPr>
      </w:pPr>
    </w:p>
    <w:p>
      <w:pPr>
        <w:pStyle w:val="BodyText"/>
        <w:spacing w:before="73"/>
        <w:ind w:left="260" w:right="764"/>
      </w:pPr>
      <w:r>
        <w:rPr/>
        <w:t>kreditors nepiekrīt informācijai, kas norādīta parādu sarakstā, tas par to informē tiesu. Pretējā gadījumā tiek uzskatīts, ka kreditors piekrīt plānā norādītajam.</w:t>
      </w:r>
    </w:p>
    <w:p>
      <w:pPr>
        <w:pStyle w:val="ListParagraph"/>
        <w:numPr>
          <w:ilvl w:val="2"/>
          <w:numId w:val="68"/>
        </w:numPr>
        <w:tabs>
          <w:tab w:pos="1700" w:val="left" w:leader="none"/>
        </w:tabs>
        <w:spacing w:line="240" w:lineRule="auto" w:before="0" w:after="0"/>
        <w:ind w:left="260" w:right="760" w:firstLine="720"/>
        <w:jc w:val="both"/>
        <w:rPr>
          <w:sz w:val="24"/>
        </w:rPr>
      </w:pPr>
      <w:r>
        <w:rPr>
          <w:b/>
          <w:i/>
          <w:sz w:val="24"/>
        </w:rPr>
        <w:t>Pārstrukturēšanas plāna apstiprināšana. </w:t>
      </w:r>
      <w:r>
        <w:rPr>
          <w:sz w:val="24"/>
        </w:rPr>
        <w:t>Tiesa apstiprina parādnieka iesniegto pārstrukturēšanas plānu, ja neviens kreditors vai parādnieks to noteiktā termiņā nav</w:t>
      </w:r>
      <w:r>
        <w:rPr>
          <w:spacing w:val="-1"/>
          <w:sz w:val="24"/>
        </w:rPr>
        <w:t> </w:t>
      </w:r>
      <w:r>
        <w:rPr>
          <w:sz w:val="24"/>
        </w:rPr>
        <w:t>apstrīdējis.</w:t>
      </w:r>
    </w:p>
    <w:p>
      <w:pPr>
        <w:pStyle w:val="BodyText"/>
        <w:ind w:left="260" w:right="761" w:firstLine="720"/>
      </w:pPr>
      <w:r>
        <w:rPr/>
        <w:t>Tiesa var arī apstiprināt pārstrukturēšanas plānu, ja vismaz puse kreditoru no prasījumiem,</w:t>
      </w:r>
      <w:r>
        <w:rPr>
          <w:spacing w:val="-5"/>
        </w:rPr>
        <w:t> </w:t>
      </w:r>
      <w:r>
        <w:rPr/>
        <w:t>kas</w:t>
      </w:r>
      <w:r>
        <w:rPr>
          <w:spacing w:val="-7"/>
        </w:rPr>
        <w:t> </w:t>
      </w:r>
      <w:r>
        <w:rPr/>
        <w:t>nav</w:t>
      </w:r>
      <w:r>
        <w:rPr>
          <w:spacing w:val="-3"/>
        </w:rPr>
        <w:t> </w:t>
      </w:r>
      <w:r>
        <w:rPr/>
        <w:t>nodrošināti</w:t>
      </w:r>
      <w:r>
        <w:rPr>
          <w:spacing w:val="-5"/>
        </w:rPr>
        <w:t> </w:t>
      </w:r>
      <w:r>
        <w:rPr/>
        <w:t>ar</w:t>
      </w:r>
      <w:r>
        <w:rPr>
          <w:spacing w:val="-8"/>
        </w:rPr>
        <w:t> </w:t>
      </w:r>
      <w:r>
        <w:rPr/>
        <w:t>ķīlu,</w:t>
      </w:r>
      <w:r>
        <w:rPr>
          <w:spacing w:val="-3"/>
        </w:rPr>
        <w:t> </w:t>
      </w:r>
      <w:r>
        <w:rPr/>
        <w:t>apstiprina</w:t>
      </w:r>
      <w:r>
        <w:rPr>
          <w:spacing w:val="-4"/>
        </w:rPr>
        <w:t> </w:t>
      </w:r>
      <w:r>
        <w:rPr/>
        <w:t>parāda</w:t>
      </w:r>
      <w:r>
        <w:rPr>
          <w:spacing w:val="-5"/>
        </w:rPr>
        <w:t> </w:t>
      </w:r>
      <w:r>
        <w:rPr/>
        <w:t>pārstrukturēšanu,</w:t>
      </w:r>
      <w:r>
        <w:rPr>
          <w:spacing w:val="-3"/>
        </w:rPr>
        <w:t> </w:t>
      </w:r>
      <w:r>
        <w:rPr/>
        <w:t>un</w:t>
      </w:r>
      <w:r>
        <w:rPr>
          <w:spacing w:val="-5"/>
        </w:rPr>
        <w:t> </w:t>
      </w:r>
      <w:r>
        <w:rPr/>
        <w:t>saskaņā</w:t>
      </w:r>
      <w:r>
        <w:rPr>
          <w:spacing w:val="-5"/>
        </w:rPr>
        <w:t> </w:t>
      </w:r>
      <w:r>
        <w:rPr/>
        <w:t>ar pārstrukturēšanas plānu kreditors, kurš iesniedza iebildumus pret pārstrukturēšanas plānu, netiek nostādīts ievērojami sliktākā situācijā nekā citi kreditori, ja vien nav pamatota iemesla dot priekšroku kādam</w:t>
      </w:r>
      <w:r>
        <w:rPr>
          <w:spacing w:val="-3"/>
        </w:rPr>
        <w:t> </w:t>
      </w:r>
      <w:r>
        <w:rPr/>
        <w:t>kreditoram.</w:t>
      </w:r>
    </w:p>
    <w:p>
      <w:pPr>
        <w:pStyle w:val="BodyText"/>
        <w:ind w:left="260" w:right="766" w:firstLine="708"/>
      </w:pPr>
      <w:r>
        <w:rPr/>
        <w:t>Tiesa var apstiprināt arī pārstrukturēšanas plānu, kuru kreditori nav apstiprinājuši vai apstiprinājuši kreditori mazākā apjomā, ja tiesa konstatē, ka:</w:t>
      </w:r>
    </w:p>
    <w:p>
      <w:pPr>
        <w:pStyle w:val="ListParagraph"/>
        <w:numPr>
          <w:ilvl w:val="0"/>
          <w:numId w:val="85"/>
        </w:numPr>
        <w:tabs>
          <w:tab w:pos="1394" w:val="left" w:leader="none"/>
        </w:tabs>
        <w:spacing w:line="240" w:lineRule="auto" w:before="1" w:after="0"/>
        <w:ind w:left="1392" w:right="765" w:hanging="425"/>
        <w:jc w:val="both"/>
        <w:rPr>
          <w:sz w:val="24"/>
        </w:rPr>
      </w:pPr>
      <w:r>
        <w:rPr>
          <w:sz w:val="24"/>
        </w:rPr>
        <w:t>parāda pārstrukturēšana ir pamatota, ņemot vērā pušu likumīgās intereses un tiesības;</w:t>
      </w:r>
    </w:p>
    <w:p>
      <w:pPr>
        <w:pStyle w:val="ListParagraph"/>
        <w:numPr>
          <w:ilvl w:val="0"/>
          <w:numId w:val="85"/>
        </w:numPr>
        <w:tabs>
          <w:tab w:pos="1394" w:val="left" w:leader="none"/>
        </w:tabs>
        <w:spacing w:line="240" w:lineRule="auto" w:before="0" w:after="0"/>
        <w:ind w:left="1392" w:right="764" w:hanging="425"/>
        <w:jc w:val="both"/>
        <w:rPr>
          <w:sz w:val="24"/>
        </w:rPr>
      </w:pPr>
      <w:r>
        <w:rPr>
          <w:sz w:val="24"/>
        </w:rPr>
        <w:t>saskaņā ar pārstrukturēšanas plānu nevienu kreditoru nenostāda ievērojami sliktākā situācijā nekā citus kreditorus, ja vien nav pamatota iemesla </w:t>
      </w:r>
      <w:r>
        <w:rPr>
          <w:spacing w:val="-4"/>
          <w:sz w:val="24"/>
        </w:rPr>
        <w:t>dot </w:t>
      </w:r>
      <w:r>
        <w:rPr>
          <w:sz w:val="24"/>
        </w:rPr>
        <w:t>priekšroku kādam</w:t>
      </w:r>
      <w:r>
        <w:rPr>
          <w:spacing w:val="-1"/>
          <w:sz w:val="24"/>
        </w:rPr>
        <w:t> </w:t>
      </w:r>
      <w:r>
        <w:rPr>
          <w:sz w:val="24"/>
        </w:rPr>
        <w:t>kreditoram.</w:t>
      </w:r>
    </w:p>
    <w:p>
      <w:pPr>
        <w:pStyle w:val="BodyText"/>
        <w:ind w:left="967"/>
      </w:pPr>
      <w:r>
        <w:rPr/>
        <w:t>Tiesa var atteikties apstiprināt pārstrukturēšanas plānu, ja:</w:t>
      </w:r>
    </w:p>
    <w:p>
      <w:pPr>
        <w:pStyle w:val="ListParagraph"/>
        <w:numPr>
          <w:ilvl w:val="0"/>
          <w:numId w:val="86"/>
        </w:numPr>
        <w:tabs>
          <w:tab w:pos="1394" w:val="left" w:leader="none"/>
        </w:tabs>
        <w:spacing w:line="240" w:lineRule="auto" w:before="0" w:after="0"/>
        <w:ind w:left="1392" w:right="763" w:hanging="425"/>
        <w:jc w:val="both"/>
        <w:rPr>
          <w:sz w:val="24"/>
        </w:rPr>
      </w:pPr>
      <w:r>
        <w:rPr>
          <w:sz w:val="24"/>
        </w:rPr>
        <w:t>parādniekam nav nekādu maksātspējas problēmu vai tās acīmredzami </w:t>
      </w:r>
      <w:r>
        <w:rPr>
          <w:spacing w:val="-4"/>
          <w:sz w:val="24"/>
        </w:rPr>
        <w:t>var </w:t>
      </w:r>
      <w:r>
        <w:rPr>
          <w:sz w:val="24"/>
        </w:rPr>
        <w:t>pārvarēt</w:t>
      </w:r>
      <w:r>
        <w:rPr>
          <w:spacing w:val="-8"/>
          <w:sz w:val="24"/>
        </w:rPr>
        <w:t> </w:t>
      </w:r>
      <w:r>
        <w:rPr>
          <w:sz w:val="24"/>
        </w:rPr>
        <w:t>bez</w:t>
      </w:r>
      <w:r>
        <w:rPr>
          <w:spacing w:val="-7"/>
          <w:sz w:val="24"/>
        </w:rPr>
        <w:t> </w:t>
      </w:r>
      <w:r>
        <w:rPr>
          <w:sz w:val="24"/>
        </w:rPr>
        <w:t>parādu</w:t>
      </w:r>
      <w:r>
        <w:rPr>
          <w:spacing w:val="-7"/>
          <w:sz w:val="24"/>
        </w:rPr>
        <w:t> </w:t>
      </w:r>
      <w:r>
        <w:rPr>
          <w:sz w:val="24"/>
        </w:rPr>
        <w:t>pārstrukturēšanas,</w:t>
      </w:r>
      <w:r>
        <w:rPr>
          <w:spacing w:val="-5"/>
          <w:sz w:val="24"/>
        </w:rPr>
        <w:t> </w:t>
      </w:r>
      <w:r>
        <w:rPr>
          <w:sz w:val="24"/>
        </w:rPr>
        <w:t>cita</w:t>
      </w:r>
      <w:r>
        <w:rPr>
          <w:spacing w:val="-6"/>
          <w:sz w:val="24"/>
        </w:rPr>
        <w:t> </w:t>
      </w:r>
      <w:r>
        <w:rPr>
          <w:sz w:val="24"/>
        </w:rPr>
        <w:t>starpā</w:t>
      </w:r>
      <w:r>
        <w:rPr>
          <w:spacing w:val="-6"/>
          <w:sz w:val="24"/>
        </w:rPr>
        <w:t> </w:t>
      </w:r>
      <w:r>
        <w:rPr>
          <w:sz w:val="24"/>
        </w:rPr>
        <w:t>pārdodot</w:t>
      </w:r>
      <w:r>
        <w:rPr>
          <w:spacing w:val="-5"/>
          <w:sz w:val="24"/>
        </w:rPr>
        <w:t> </w:t>
      </w:r>
      <w:r>
        <w:rPr>
          <w:sz w:val="24"/>
        </w:rPr>
        <w:t>parādnieka</w:t>
      </w:r>
      <w:r>
        <w:rPr>
          <w:spacing w:val="-10"/>
          <w:sz w:val="24"/>
        </w:rPr>
        <w:t> </w:t>
      </w:r>
      <w:r>
        <w:rPr>
          <w:sz w:val="24"/>
        </w:rPr>
        <w:t>aktīvus, lai segtu parādus tādā apjomā, kādā to pamatoti var sagaidīt no</w:t>
      </w:r>
      <w:r>
        <w:rPr>
          <w:spacing w:val="-7"/>
          <w:sz w:val="24"/>
        </w:rPr>
        <w:t> </w:t>
      </w:r>
      <w:r>
        <w:rPr>
          <w:sz w:val="24"/>
        </w:rPr>
        <w:t>parādnieka;</w:t>
      </w:r>
    </w:p>
    <w:p>
      <w:pPr>
        <w:pStyle w:val="ListParagraph"/>
        <w:numPr>
          <w:ilvl w:val="0"/>
          <w:numId w:val="86"/>
        </w:numPr>
        <w:tabs>
          <w:tab w:pos="1394" w:val="left" w:leader="none"/>
        </w:tabs>
        <w:spacing w:line="240" w:lineRule="auto" w:before="0" w:after="0"/>
        <w:ind w:left="1392" w:right="767" w:hanging="425"/>
        <w:jc w:val="both"/>
        <w:rPr>
          <w:sz w:val="24"/>
        </w:rPr>
      </w:pPr>
      <w:r>
        <w:rPr>
          <w:sz w:val="24"/>
        </w:rPr>
        <w:t>pārstrukturēšanas plāna īstenošana ir maz ticama, ņemot vērā parādnieka finansiālo</w:t>
      </w:r>
      <w:r>
        <w:rPr>
          <w:spacing w:val="-1"/>
          <w:sz w:val="24"/>
        </w:rPr>
        <w:t> </w:t>
      </w:r>
      <w:r>
        <w:rPr>
          <w:sz w:val="24"/>
        </w:rPr>
        <w:t>stāvokli;</w:t>
      </w:r>
    </w:p>
    <w:p>
      <w:pPr>
        <w:pStyle w:val="ListParagraph"/>
        <w:numPr>
          <w:ilvl w:val="0"/>
          <w:numId w:val="86"/>
        </w:numPr>
        <w:tabs>
          <w:tab w:pos="1394" w:val="left" w:leader="none"/>
        </w:tabs>
        <w:spacing w:line="240" w:lineRule="auto" w:before="0" w:after="0"/>
        <w:ind w:left="1392" w:right="764" w:hanging="425"/>
        <w:jc w:val="both"/>
        <w:rPr>
          <w:sz w:val="24"/>
        </w:rPr>
      </w:pPr>
      <w:r>
        <w:rPr>
          <w:sz w:val="24"/>
        </w:rPr>
        <w:t>parādnieks tīši vai rupjas nolaidības dēļ ir sniedzis būtiski nepareizu vai nepilnīgu informāciju par savu finansiālo stāvokli, kreditoriem vai</w:t>
      </w:r>
      <w:r>
        <w:rPr>
          <w:spacing w:val="-5"/>
          <w:sz w:val="24"/>
        </w:rPr>
        <w:t> </w:t>
      </w:r>
      <w:r>
        <w:rPr>
          <w:sz w:val="24"/>
        </w:rPr>
        <w:t>saistībām;</w:t>
      </w:r>
    </w:p>
    <w:p>
      <w:pPr>
        <w:pStyle w:val="ListParagraph"/>
        <w:numPr>
          <w:ilvl w:val="0"/>
          <w:numId w:val="86"/>
        </w:numPr>
        <w:tabs>
          <w:tab w:pos="1394" w:val="left" w:leader="none"/>
        </w:tabs>
        <w:spacing w:line="240" w:lineRule="auto" w:before="0" w:after="0"/>
        <w:ind w:left="1392" w:right="764" w:hanging="425"/>
        <w:jc w:val="both"/>
        <w:rPr>
          <w:sz w:val="24"/>
        </w:rPr>
      </w:pPr>
      <w:r>
        <w:rPr>
          <w:sz w:val="24"/>
        </w:rPr>
        <w:t>pieteikuma par uzņēmuma reorganizāciju iesniegšanas gadījumā tā turpmāka ilgtspējīga pārvaldība pēc reorganizācijas, saprātīgi raugoties, nav</w:t>
      </w:r>
      <w:r>
        <w:rPr>
          <w:spacing w:val="-9"/>
          <w:sz w:val="24"/>
        </w:rPr>
        <w:t> </w:t>
      </w:r>
      <w:r>
        <w:rPr>
          <w:sz w:val="24"/>
        </w:rPr>
        <w:t>iespējama.</w:t>
      </w:r>
    </w:p>
    <w:p>
      <w:pPr>
        <w:pStyle w:val="BodyText"/>
        <w:ind w:left="260" w:right="764" w:firstLine="720"/>
      </w:pPr>
      <w:r>
        <w:rPr/>
        <w:t>Parādnieks var iesniegt apelāciju par lēmumu par plāna apstiprināšanu vai neapstiprināšanu.</w:t>
      </w:r>
    </w:p>
    <w:p>
      <w:pPr>
        <w:pStyle w:val="BodyText"/>
        <w:spacing w:line="237" w:lineRule="auto" w:before="2"/>
        <w:ind w:left="260" w:right="761" w:firstLine="720"/>
        <w:rPr>
          <w:sz w:val="16"/>
        </w:rPr>
      </w:pPr>
      <w:r>
        <w:rPr/>
        <w:t>Igaunijā viens no šķēršļiem pārstrukturēšanas plāna apstiprināšanai ir apstāklis, ka personai ienākumi, ieskaitot iespējamos nākotnes ienākumus, nav pietiekami, </w:t>
      </w:r>
      <w:r>
        <w:rPr>
          <w:spacing w:val="-4"/>
        </w:rPr>
        <w:t>lai </w:t>
      </w:r>
      <w:r>
        <w:rPr/>
        <w:t>apmierinātu kreditoru prasījumus apmērā, kas būtu tiem apmierinošs. Tā rezultātā parādnieku</w:t>
      </w:r>
      <w:r>
        <w:rPr>
          <w:spacing w:val="-9"/>
        </w:rPr>
        <w:t> </w:t>
      </w:r>
      <w:r>
        <w:rPr/>
        <w:t>priekšlikumi</w:t>
      </w:r>
      <w:r>
        <w:rPr>
          <w:spacing w:val="-8"/>
        </w:rPr>
        <w:t> </w:t>
      </w:r>
      <w:r>
        <w:rPr/>
        <w:t>kreditoriem</w:t>
      </w:r>
      <w:r>
        <w:rPr>
          <w:spacing w:val="-11"/>
        </w:rPr>
        <w:t> </w:t>
      </w:r>
      <w:r>
        <w:rPr/>
        <w:t>(it</w:t>
      </w:r>
      <w:r>
        <w:rPr>
          <w:spacing w:val="-11"/>
        </w:rPr>
        <w:t> </w:t>
      </w:r>
      <w:r>
        <w:rPr/>
        <w:t>īpaši</w:t>
      </w:r>
      <w:r>
        <w:rPr>
          <w:spacing w:val="-11"/>
        </w:rPr>
        <w:t> </w:t>
      </w:r>
      <w:r>
        <w:rPr/>
        <w:t>nodrošinātajiem</w:t>
      </w:r>
      <w:r>
        <w:rPr>
          <w:spacing w:val="-11"/>
        </w:rPr>
        <w:t> </w:t>
      </w:r>
      <w:r>
        <w:rPr/>
        <w:t>kreditoriem)</w:t>
      </w:r>
      <w:r>
        <w:rPr>
          <w:spacing w:val="-9"/>
        </w:rPr>
        <w:t> </w:t>
      </w:r>
      <w:r>
        <w:rPr/>
        <w:t>lielākoties</w:t>
      </w:r>
      <w:r>
        <w:rPr>
          <w:spacing w:val="-13"/>
        </w:rPr>
        <w:t> </w:t>
      </w:r>
      <w:r>
        <w:rPr/>
        <w:t>šķiet nepieņemami. Piemēram, parādnieki ir iesnieguši priekšlikumus, saskaņā ar kuriem viņi pildītu savas saistības tik mazā apmērā, ka tā nebūtu parādu pārstrukturēšana, bet pēc būtības</w:t>
      </w:r>
      <w:r>
        <w:rPr>
          <w:spacing w:val="-9"/>
        </w:rPr>
        <w:t> </w:t>
      </w:r>
      <w:r>
        <w:rPr/>
        <w:t>parādu</w:t>
      </w:r>
      <w:r>
        <w:rPr>
          <w:spacing w:val="-9"/>
        </w:rPr>
        <w:t> </w:t>
      </w:r>
      <w:r>
        <w:rPr/>
        <w:t>dzēšana.</w:t>
      </w:r>
      <w:r>
        <w:rPr>
          <w:spacing w:val="-11"/>
        </w:rPr>
        <w:t> </w:t>
      </w:r>
      <w:r>
        <w:rPr/>
        <w:t>Citā</w:t>
      </w:r>
      <w:r>
        <w:rPr>
          <w:spacing w:val="-9"/>
        </w:rPr>
        <w:t> </w:t>
      </w:r>
      <w:r>
        <w:rPr/>
        <w:t>gadījumā</w:t>
      </w:r>
      <w:r>
        <w:rPr>
          <w:spacing w:val="-10"/>
        </w:rPr>
        <w:t> </w:t>
      </w:r>
      <w:r>
        <w:rPr/>
        <w:t>ir</w:t>
      </w:r>
      <w:r>
        <w:rPr>
          <w:spacing w:val="-7"/>
        </w:rPr>
        <w:t> </w:t>
      </w:r>
      <w:r>
        <w:rPr/>
        <w:t>parādnieki,</w:t>
      </w:r>
      <w:r>
        <w:rPr>
          <w:spacing w:val="-9"/>
        </w:rPr>
        <w:t> </w:t>
      </w:r>
      <w:r>
        <w:rPr/>
        <w:t>kas</w:t>
      </w:r>
      <w:r>
        <w:rPr>
          <w:spacing w:val="-9"/>
        </w:rPr>
        <w:t> </w:t>
      </w:r>
      <w:r>
        <w:rPr/>
        <w:t>sastāda</w:t>
      </w:r>
      <w:r>
        <w:rPr>
          <w:spacing w:val="-11"/>
        </w:rPr>
        <w:t> </w:t>
      </w:r>
      <w:r>
        <w:rPr/>
        <w:t>pieteikumu,</w:t>
      </w:r>
      <w:r>
        <w:rPr>
          <w:spacing w:val="-8"/>
        </w:rPr>
        <w:t> </w:t>
      </w:r>
      <w:r>
        <w:rPr/>
        <w:t>kurā</w:t>
      </w:r>
      <w:r>
        <w:rPr>
          <w:spacing w:val="-9"/>
        </w:rPr>
        <w:t> </w:t>
      </w:r>
      <w:r>
        <w:rPr/>
        <w:t>norādīts, ka tie vēlas kreditoru prasījumu apmierināšanai novirzīt visus ienākumus, neņemot vērā</w:t>
      </w:r>
      <w:r>
        <w:rPr>
          <w:spacing w:val="-34"/>
        </w:rPr>
        <w:t> </w:t>
      </w:r>
      <w:r>
        <w:rPr/>
        <w:t>to ikdienas izdevumus.</w:t>
      </w:r>
      <w:r>
        <w:rPr>
          <w:position w:val="9"/>
          <w:sz w:val="16"/>
        </w:rPr>
        <w:t>332</w:t>
      </w:r>
    </w:p>
    <w:p>
      <w:pPr>
        <w:pStyle w:val="ListParagraph"/>
        <w:numPr>
          <w:ilvl w:val="2"/>
          <w:numId w:val="68"/>
        </w:numPr>
        <w:tabs>
          <w:tab w:pos="1700" w:val="left" w:leader="none"/>
        </w:tabs>
        <w:spacing w:line="240" w:lineRule="auto" w:before="8" w:after="0"/>
        <w:ind w:left="260" w:right="763" w:firstLine="720"/>
        <w:jc w:val="both"/>
        <w:rPr>
          <w:sz w:val="24"/>
        </w:rPr>
      </w:pPr>
      <w:r>
        <w:rPr>
          <w:b/>
          <w:i/>
          <w:sz w:val="24"/>
        </w:rPr>
        <w:t>Pārstrukturēšanas plāna apstiprināšanas sekas. </w:t>
      </w:r>
      <w:r>
        <w:rPr>
          <w:sz w:val="24"/>
        </w:rPr>
        <w:t>Pārstrukturēšanas plānā norādītās sekas kļūst spēkā esošas attiecībā uz parādnieku un uz personu, kuras tiesības ar šo plānu tiek</w:t>
      </w:r>
      <w:r>
        <w:rPr>
          <w:spacing w:val="-1"/>
          <w:sz w:val="24"/>
        </w:rPr>
        <w:t> </w:t>
      </w:r>
      <w:r>
        <w:rPr>
          <w:sz w:val="24"/>
        </w:rPr>
        <w:t>ietekmētas.</w:t>
      </w:r>
    </w:p>
    <w:p>
      <w:pPr>
        <w:pStyle w:val="BodyText"/>
        <w:ind w:left="260" w:right="760" w:firstLine="720"/>
      </w:pPr>
      <w:r>
        <w:rPr/>
        <w:t>Tiesas apstiprinātam plānam ir izpildu dokumenta spēks attiecībā uz tajā norādītajām pārstrukturējamām prasībām. Ja plāns paredz saistību izpildes termiņa pagarinājumu, tad plānā norādītajā termiņa laikā nevar prasīt to piespiedu izpildīšanu, kā arī pārstrukturēšanas plāna darbības laikā attiecībā uz tajā norādītajām saistībām nevar iesniegt bankrota pieteikumu.</w:t>
      </w:r>
    </w:p>
    <w:p>
      <w:pPr>
        <w:pStyle w:val="BodyText"/>
        <w:jc w:val="left"/>
        <w:rPr>
          <w:sz w:val="20"/>
        </w:rPr>
      </w:pPr>
    </w:p>
    <w:p>
      <w:pPr>
        <w:pStyle w:val="BodyText"/>
        <w:jc w:val="left"/>
        <w:rPr>
          <w:sz w:val="20"/>
        </w:rPr>
      </w:pPr>
    </w:p>
    <w:p>
      <w:pPr>
        <w:pStyle w:val="BodyText"/>
        <w:spacing w:before="6"/>
        <w:jc w:val="left"/>
        <w:rPr>
          <w:sz w:val="16"/>
        </w:rPr>
      </w:pPr>
      <w:r>
        <w:rPr/>
        <w:pict>
          <v:shape style="position:absolute;margin-left:72pt;margin-top:11.792123pt;width:144pt;height:.1pt;mso-position-horizontal-relative:page;mso-position-vertical-relative:paragraph;z-index:-251488256;mso-wrap-distance-left:0;mso-wrap-distance-right:0" coordorigin="1440,236" coordsize="2880,0" path="m1440,236l4320,236e" filled="false" stroked="true" strokeweight=".599991pt" strokecolor="#000000">
            <v:path arrowok="t"/>
            <v:stroke dashstyle="solid"/>
            <w10:wrap type="topAndBottom"/>
          </v:shape>
        </w:pict>
      </w:r>
    </w:p>
    <w:p>
      <w:pPr>
        <w:spacing w:before="70"/>
        <w:ind w:left="260" w:right="635" w:firstLine="0"/>
        <w:jc w:val="left"/>
        <w:rPr>
          <w:sz w:val="20"/>
        </w:rPr>
      </w:pPr>
      <w:r>
        <w:rPr>
          <w:position w:val="7"/>
          <w:sz w:val="13"/>
        </w:rPr>
        <w:t>332 </w:t>
      </w:r>
      <w:r>
        <w:rPr>
          <w:sz w:val="20"/>
        </w:rPr>
        <w:t>Saarma T. Principles of Debt Restructuring and Restrictions, on Initiation of Debt Restructuring Proceedings. Juridica International XX/2013</w:t>
      </w:r>
    </w:p>
    <w:p>
      <w:pPr>
        <w:spacing w:after="0"/>
        <w:jc w:val="left"/>
        <w:rPr>
          <w:sz w:val="20"/>
        </w:rPr>
        <w:sectPr>
          <w:pgSz w:w="11910" w:h="16840"/>
          <w:pgMar w:header="0" w:footer="1055" w:top="1340" w:bottom="1240" w:left="1180" w:right="1040"/>
        </w:sectPr>
      </w:pPr>
    </w:p>
    <w:p>
      <w:pPr>
        <w:pStyle w:val="BodyText"/>
        <w:spacing w:before="73"/>
        <w:ind w:left="620" w:right="400" w:firstLine="720"/>
      </w:pPr>
      <w:r>
        <w:rPr/>
        <w:t>Plāna darbības laikā kreditoriem nav tiesību iesniegt prasību attiecībā uz plānā norādīto saistību izpildi. Savukārt attiecībā uz saistībām, kuras neregulē pārstrukturēšanas plāns, tiek turpināta tiesvedība un izpildes procedūra. Tāpat pārstrukturēšanas plāna apstiprināšana neierobežo kreditora tiesības apstrīdēt tiesā saistības, kas nav atzītas pārstrukturēšanas plānā.</w:t>
      </w:r>
    </w:p>
    <w:p>
      <w:pPr>
        <w:pStyle w:val="BodyText"/>
        <w:ind w:left="620" w:right="404" w:firstLine="720"/>
      </w:pPr>
      <w:r>
        <w:rPr/>
        <w:t>Ja tiesa konstatē, ka, ņemot vērā pārstrukturēšanas plāna saturu, ir pamats parādnieku pasludināt par bankrotējušu, tiesa atceļ pārstrukturēšanas plānu un izbeidz pārstrukturēšanas</w:t>
      </w:r>
      <w:r>
        <w:rPr>
          <w:spacing w:val="-13"/>
        </w:rPr>
        <w:t> </w:t>
      </w:r>
      <w:r>
        <w:rPr/>
        <w:t>procedūru.</w:t>
      </w:r>
      <w:r>
        <w:rPr>
          <w:spacing w:val="-11"/>
        </w:rPr>
        <w:t> </w:t>
      </w:r>
      <w:r>
        <w:rPr/>
        <w:t>Parādnieks</w:t>
      </w:r>
      <w:r>
        <w:rPr>
          <w:spacing w:val="-11"/>
        </w:rPr>
        <w:t> </w:t>
      </w:r>
      <w:r>
        <w:rPr/>
        <w:t>un</w:t>
      </w:r>
      <w:r>
        <w:rPr>
          <w:spacing w:val="-10"/>
        </w:rPr>
        <w:t> </w:t>
      </w:r>
      <w:r>
        <w:rPr/>
        <w:t>kreditors,</w:t>
      </w:r>
      <w:r>
        <w:rPr>
          <w:spacing w:val="-11"/>
        </w:rPr>
        <w:t> </w:t>
      </w:r>
      <w:r>
        <w:rPr/>
        <w:t>kurš</w:t>
      </w:r>
      <w:r>
        <w:rPr>
          <w:spacing w:val="-11"/>
        </w:rPr>
        <w:t> </w:t>
      </w:r>
      <w:r>
        <w:rPr/>
        <w:t>iesniedzis</w:t>
      </w:r>
      <w:r>
        <w:rPr>
          <w:spacing w:val="-11"/>
        </w:rPr>
        <w:t> </w:t>
      </w:r>
      <w:r>
        <w:rPr/>
        <w:t>bankrota</w:t>
      </w:r>
      <w:r>
        <w:rPr>
          <w:spacing w:val="-10"/>
        </w:rPr>
        <w:t> </w:t>
      </w:r>
      <w:r>
        <w:rPr/>
        <w:t>pieteikumu, var šo tiesas lēmumu</w:t>
      </w:r>
      <w:r>
        <w:rPr>
          <w:spacing w:val="-3"/>
        </w:rPr>
        <w:t> </w:t>
      </w:r>
      <w:r>
        <w:rPr/>
        <w:t>pārsūdzēt.</w:t>
      </w:r>
    </w:p>
    <w:p>
      <w:pPr>
        <w:pStyle w:val="BodyText"/>
        <w:ind w:left="620" w:right="403" w:firstLine="720"/>
      </w:pPr>
      <w:r>
        <w:rPr/>
        <w:t>Tiesa uzrauga plāna izpildi. Katru reizi, kad ir pagājis gads no pārstrukturēšanas plāna apstiprināšanas, parādnieks vai konsultants iesniedz tiesai un kreditoriem ziņojumu par</w:t>
      </w:r>
      <w:r>
        <w:rPr>
          <w:spacing w:val="-12"/>
        </w:rPr>
        <w:t> </w:t>
      </w:r>
      <w:r>
        <w:rPr/>
        <w:t>parādnieka</w:t>
      </w:r>
      <w:r>
        <w:rPr>
          <w:spacing w:val="-9"/>
        </w:rPr>
        <w:t> </w:t>
      </w:r>
      <w:r>
        <w:rPr/>
        <w:t>finansiālo</w:t>
      </w:r>
      <w:r>
        <w:rPr>
          <w:spacing w:val="-10"/>
        </w:rPr>
        <w:t> </w:t>
      </w:r>
      <w:r>
        <w:rPr/>
        <w:t>stāvokli</w:t>
      </w:r>
      <w:r>
        <w:rPr>
          <w:spacing w:val="-9"/>
        </w:rPr>
        <w:t> </w:t>
      </w:r>
      <w:r>
        <w:rPr/>
        <w:t>un</w:t>
      </w:r>
      <w:r>
        <w:rPr>
          <w:spacing w:val="-10"/>
        </w:rPr>
        <w:t> </w:t>
      </w:r>
      <w:r>
        <w:rPr/>
        <w:t>pārstrukturēšanas</w:t>
      </w:r>
      <w:r>
        <w:rPr>
          <w:spacing w:val="-9"/>
        </w:rPr>
        <w:t> </w:t>
      </w:r>
      <w:r>
        <w:rPr/>
        <w:t>plāna</w:t>
      </w:r>
      <w:r>
        <w:rPr>
          <w:spacing w:val="-12"/>
        </w:rPr>
        <w:t> </w:t>
      </w:r>
      <w:r>
        <w:rPr/>
        <w:t>izpildi,</w:t>
      </w:r>
      <w:r>
        <w:rPr>
          <w:spacing w:val="-9"/>
        </w:rPr>
        <w:t> </w:t>
      </w:r>
      <w:r>
        <w:rPr/>
        <w:t>ja</w:t>
      </w:r>
      <w:r>
        <w:rPr>
          <w:spacing w:val="-10"/>
        </w:rPr>
        <w:t> </w:t>
      </w:r>
      <w:r>
        <w:rPr/>
        <w:t>vien</w:t>
      </w:r>
      <w:r>
        <w:rPr>
          <w:spacing w:val="-9"/>
        </w:rPr>
        <w:t> </w:t>
      </w:r>
      <w:r>
        <w:rPr/>
        <w:t>tiesa</w:t>
      </w:r>
      <w:r>
        <w:rPr>
          <w:spacing w:val="-12"/>
        </w:rPr>
        <w:t> </w:t>
      </w:r>
      <w:r>
        <w:rPr/>
        <w:t>nenolemj citādi.</w:t>
      </w:r>
      <w:r>
        <w:rPr>
          <w:spacing w:val="-11"/>
        </w:rPr>
        <w:t> </w:t>
      </w:r>
      <w:r>
        <w:rPr/>
        <w:t>Tiesa</w:t>
      </w:r>
      <w:r>
        <w:rPr>
          <w:spacing w:val="-13"/>
        </w:rPr>
        <w:t> </w:t>
      </w:r>
      <w:r>
        <w:rPr/>
        <w:t>jebkurā</w:t>
      </w:r>
      <w:r>
        <w:rPr>
          <w:spacing w:val="-14"/>
        </w:rPr>
        <w:t> </w:t>
      </w:r>
      <w:r>
        <w:rPr/>
        <w:t>laikā</w:t>
      </w:r>
      <w:r>
        <w:rPr>
          <w:spacing w:val="-9"/>
        </w:rPr>
        <w:t> </w:t>
      </w:r>
      <w:r>
        <w:rPr/>
        <w:t>var</w:t>
      </w:r>
      <w:r>
        <w:rPr>
          <w:spacing w:val="-11"/>
        </w:rPr>
        <w:t> </w:t>
      </w:r>
      <w:r>
        <w:rPr/>
        <w:t>pieprasīt,</w:t>
      </w:r>
      <w:r>
        <w:rPr>
          <w:spacing w:val="-11"/>
        </w:rPr>
        <w:t> </w:t>
      </w:r>
      <w:r>
        <w:rPr/>
        <w:t>lai</w:t>
      </w:r>
      <w:r>
        <w:rPr>
          <w:spacing w:val="-11"/>
        </w:rPr>
        <w:t> </w:t>
      </w:r>
      <w:r>
        <w:rPr/>
        <w:t>parādnieks</w:t>
      </w:r>
      <w:r>
        <w:rPr>
          <w:spacing w:val="-10"/>
        </w:rPr>
        <w:t> </w:t>
      </w:r>
      <w:r>
        <w:rPr/>
        <w:t>vai</w:t>
      </w:r>
      <w:r>
        <w:rPr>
          <w:spacing w:val="-11"/>
        </w:rPr>
        <w:t> </w:t>
      </w:r>
      <w:r>
        <w:rPr/>
        <w:t>konsultants</w:t>
      </w:r>
      <w:r>
        <w:rPr>
          <w:spacing w:val="-11"/>
        </w:rPr>
        <w:t> </w:t>
      </w:r>
      <w:r>
        <w:rPr/>
        <w:t>iesniedz</w:t>
      </w:r>
      <w:r>
        <w:rPr>
          <w:spacing w:val="-10"/>
        </w:rPr>
        <w:t> </w:t>
      </w:r>
      <w:r>
        <w:rPr/>
        <w:t>pārskatu</w:t>
      </w:r>
      <w:r>
        <w:rPr>
          <w:spacing w:val="-10"/>
        </w:rPr>
        <w:t> </w:t>
      </w:r>
      <w:r>
        <w:rPr/>
        <w:t>par pārstrukturēšanas plāna īstenošanu un padomdevējs vai eksperts to pārbaudītu uz parādnieka</w:t>
      </w:r>
      <w:r>
        <w:rPr>
          <w:spacing w:val="-3"/>
        </w:rPr>
        <w:t> </w:t>
      </w:r>
      <w:r>
        <w:rPr/>
        <w:t>rēķina.</w:t>
      </w:r>
    </w:p>
    <w:p>
      <w:pPr>
        <w:pStyle w:val="BodyText"/>
        <w:spacing w:before="1"/>
        <w:ind w:left="620" w:right="401" w:firstLine="720"/>
      </w:pPr>
      <w:r>
        <w:rPr/>
        <w:t>Parādnieks, konsultants vai kreditors apstākļu maiņas gadījumā, it īpaši gadījumā, ja būtiski mainās parādnieka finansiālais stāvoklis vai ja parādnieka faktiskā finansiālā situācija kļūst acīmredzama, var iesniegt tiesai pieprasījumu pārskatīt pārstrukturēšanas plānu vai tā īstenošanas termiņu. Pārstrukturēšanas plānu var arī pārskatīt, pamatojoties</w:t>
      </w:r>
      <w:r>
        <w:rPr>
          <w:spacing w:val="-37"/>
        </w:rPr>
        <w:t> </w:t>
      </w:r>
      <w:r>
        <w:rPr/>
        <w:t>uz tiesas lēmumu, kas pieņemts attiecībā uz prasības derīgumu vai</w:t>
      </w:r>
      <w:r>
        <w:rPr>
          <w:spacing w:val="-4"/>
        </w:rPr>
        <w:t> </w:t>
      </w:r>
      <w:r>
        <w:rPr/>
        <w:t>summu.</w:t>
      </w:r>
    </w:p>
    <w:p>
      <w:pPr>
        <w:pStyle w:val="BodyText"/>
        <w:ind w:left="620" w:right="401" w:firstLine="720"/>
      </w:pPr>
      <w:r>
        <w:rPr/>
        <w:t>Pārstrukturēšanas plānu var attiecināt arī uz prasībām, kuras bija jāizmaksā pēc parāda pārstrukturēšanas lūguma iesniegšanas vai pēc pārstrukturēšanas plāna apstiprināšanas, ja tie balstīti uz darījumu, kas noslēgts pirms šī laika. Cita starpā pārstrukturēšanas plānu var attiecināt arī uz prasībām, kas paliek pēc ķīlas objekta pārdošanas.</w:t>
      </w:r>
    </w:p>
    <w:p>
      <w:pPr>
        <w:pStyle w:val="BodyText"/>
        <w:ind w:left="620" w:right="403" w:firstLine="720"/>
      </w:pPr>
      <w:r>
        <w:rPr/>
        <w:t>Pārstrukturēšanas plānu var pagarināt attiecībā uz saistībām, kuru izpildes termiņš iestājās pēc parāda pārstrukturēšanas pieteikuma iesniegšanas vai pēc pārstrukturēšanas plāna apstiprināšanas, ja tie balstīti uz darījumu, kas noslēgts pirms šī laika.</w:t>
      </w:r>
    </w:p>
    <w:p>
      <w:pPr>
        <w:pStyle w:val="ListParagraph"/>
        <w:numPr>
          <w:ilvl w:val="2"/>
          <w:numId w:val="68"/>
        </w:numPr>
        <w:tabs>
          <w:tab w:pos="2060" w:val="left" w:leader="none"/>
        </w:tabs>
        <w:spacing w:line="240" w:lineRule="auto" w:before="0" w:after="0"/>
        <w:ind w:left="620" w:right="405" w:firstLine="720"/>
        <w:jc w:val="both"/>
        <w:rPr>
          <w:sz w:val="24"/>
        </w:rPr>
      </w:pPr>
      <w:r>
        <w:rPr>
          <w:b/>
          <w:i/>
          <w:sz w:val="24"/>
        </w:rPr>
        <w:t>Parāda pārstrukturēšanas procedūras noslēgšana un tās sekas. </w:t>
      </w:r>
      <w:r>
        <w:rPr>
          <w:sz w:val="24"/>
        </w:rPr>
        <w:t>Parāda pārstrukturēšanas procedūras izbeigšanas</w:t>
      </w:r>
      <w:r>
        <w:rPr>
          <w:spacing w:val="-7"/>
          <w:sz w:val="24"/>
        </w:rPr>
        <w:t> </w:t>
      </w:r>
      <w:r>
        <w:rPr>
          <w:sz w:val="24"/>
        </w:rPr>
        <w:t>veidi:</w:t>
      </w:r>
    </w:p>
    <w:p>
      <w:pPr>
        <w:pStyle w:val="ListParagraph"/>
        <w:numPr>
          <w:ilvl w:val="0"/>
          <w:numId w:val="87"/>
        </w:numPr>
        <w:tabs>
          <w:tab w:pos="1340" w:val="left" w:leader="none"/>
        </w:tabs>
        <w:spacing w:line="240" w:lineRule="auto" w:before="0" w:after="0"/>
        <w:ind w:left="1340" w:right="0" w:hanging="360"/>
        <w:jc w:val="both"/>
        <w:rPr>
          <w:sz w:val="24"/>
        </w:rPr>
      </w:pPr>
      <w:r>
        <w:rPr>
          <w:sz w:val="24"/>
        </w:rPr>
        <w:t>tiek noraidīts parāda pārstrukturēšanas</w:t>
      </w:r>
      <w:r>
        <w:rPr>
          <w:spacing w:val="-1"/>
          <w:sz w:val="24"/>
        </w:rPr>
        <w:t> </w:t>
      </w:r>
      <w:r>
        <w:rPr>
          <w:sz w:val="24"/>
        </w:rPr>
        <w:t>pieteikums;</w:t>
      </w:r>
    </w:p>
    <w:p>
      <w:pPr>
        <w:pStyle w:val="ListParagraph"/>
        <w:numPr>
          <w:ilvl w:val="0"/>
          <w:numId w:val="87"/>
        </w:numPr>
        <w:tabs>
          <w:tab w:pos="1340" w:val="left" w:leader="none"/>
        </w:tabs>
        <w:spacing w:line="240" w:lineRule="auto" w:before="0" w:after="0"/>
        <w:ind w:left="1340" w:right="0" w:hanging="360"/>
        <w:jc w:val="both"/>
        <w:rPr>
          <w:sz w:val="24"/>
        </w:rPr>
      </w:pPr>
      <w:r>
        <w:rPr>
          <w:sz w:val="24"/>
        </w:rPr>
        <w:t>pārstrukturēšanas plāns tiek</w:t>
      </w:r>
      <w:r>
        <w:rPr>
          <w:spacing w:val="-4"/>
          <w:sz w:val="24"/>
        </w:rPr>
        <w:t> </w:t>
      </w:r>
      <w:r>
        <w:rPr>
          <w:sz w:val="24"/>
        </w:rPr>
        <w:t>izbeigts:</w:t>
      </w:r>
    </w:p>
    <w:p>
      <w:pPr>
        <w:pStyle w:val="ListParagraph"/>
        <w:numPr>
          <w:ilvl w:val="1"/>
          <w:numId w:val="87"/>
        </w:numPr>
        <w:tabs>
          <w:tab w:pos="1897" w:val="left" w:leader="none"/>
        </w:tabs>
        <w:spacing w:line="240" w:lineRule="auto" w:before="0" w:after="0"/>
        <w:ind w:left="1896" w:right="402" w:hanging="569"/>
        <w:jc w:val="both"/>
        <w:rPr>
          <w:sz w:val="24"/>
        </w:rPr>
      </w:pPr>
      <w:r>
        <w:rPr>
          <w:sz w:val="24"/>
        </w:rPr>
        <w:t>plāns</w:t>
      </w:r>
      <w:r>
        <w:rPr>
          <w:spacing w:val="-5"/>
          <w:sz w:val="24"/>
        </w:rPr>
        <w:t> </w:t>
      </w:r>
      <w:r>
        <w:rPr>
          <w:sz w:val="24"/>
        </w:rPr>
        <w:t>tiks</w:t>
      </w:r>
      <w:r>
        <w:rPr>
          <w:spacing w:val="-5"/>
          <w:sz w:val="24"/>
        </w:rPr>
        <w:t> </w:t>
      </w:r>
      <w:r>
        <w:rPr>
          <w:sz w:val="24"/>
        </w:rPr>
        <w:t>anulēts,</w:t>
      </w:r>
      <w:r>
        <w:rPr>
          <w:spacing w:val="-5"/>
          <w:sz w:val="24"/>
        </w:rPr>
        <w:t> </w:t>
      </w:r>
      <w:r>
        <w:rPr>
          <w:sz w:val="24"/>
        </w:rPr>
        <w:t>pamatojoties</w:t>
      </w:r>
      <w:r>
        <w:rPr>
          <w:spacing w:val="-5"/>
          <w:sz w:val="24"/>
        </w:rPr>
        <w:t> </w:t>
      </w:r>
      <w:r>
        <w:rPr>
          <w:sz w:val="24"/>
        </w:rPr>
        <w:t>uz</w:t>
      </w:r>
      <w:r>
        <w:rPr>
          <w:spacing w:val="-4"/>
          <w:sz w:val="24"/>
        </w:rPr>
        <w:t> </w:t>
      </w:r>
      <w:r>
        <w:rPr>
          <w:sz w:val="24"/>
        </w:rPr>
        <w:t>parādnieka</w:t>
      </w:r>
      <w:r>
        <w:rPr>
          <w:spacing w:val="-3"/>
          <w:sz w:val="24"/>
        </w:rPr>
        <w:t> </w:t>
      </w:r>
      <w:r>
        <w:rPr>
          <w:sz w:val="24"/>
        </w:rPr>
        <w:t>pieteikumu</w:t>
      </w:r>
      <w:r>
        <w:rPr>
          <w:spacing w:val="-5"/>
          <w:sz w:val="24"/>
        </w:rPr>
        <w:t> </w:t>
      </w:r>
      <w:r>
        <w:rPr>
          <w:sz w:val="24"/>
        </w:rPr>
        <w:t>vai</w:t>
      </w:r>
      <w:r>
        <w:rPr>
          <w:spacing w:val="-5"/>
          <w:sz w:val="24"/>
        </w:rPr>
        <w:t> </w:t>
      </w:r>
      <w:r>
        <w:rPr>
          <w:sz w:val="24"/>
        </w:rPr>
        <w:t>situācijā,</w:t>
      </w:r>
      <w:r>
        <w:rPr>
          <w:spacing w:val="-5"/>
          <w:sz w:val="24"/>
        </w:rPr>
        <w:t> </w:t>
      </w:r>
      <w:r>
        <w:rPr>
          <w:sz w:val="24"/>
        </w:rPr>
        <w:t>kad</w:t>
      </w:r>
      <w:r>
        <w:rPr>
          <w:spacing w:val="-5"/>
          <w:sz w:val="24"/>
        </w:rPr>
        <w:t> </w:t>
      </w:r>
      <w:r>
        <w:rPr>
          <w:sz w:val="24"/>
        </w:rPr>
        <w:t>ir pasludināts parādnieka</w:t>
      </w:r>
      <w:r>
        <w:rPr>
          <w:spacing w:val="-3"/>
          <w:sz w:val="24"/>
        </w:rPr>
        <w:t> </w:t>
      </w:r>
      <w:r>
        <w:rPr>
          <w:sz w:val="24"/>
        </w:rPr>
        <w:t>bankrots;</w:t>
      </w:r>
    </w:p>
    <w:p>
      <w:pPr>
        <w:pStyle w:val="ListParagraph"/>
        <w:numPr>
          <w:ilvl w:val="1"/>
          <w:numId w:val="87"/>
        </w:numPr>
        <w:tabs>
          <w:tab w:pos="1897" w:val="left" w:leader="none"/>
        </w:tabs>
        <w:spacing w:line="240" w:lineRule="auto" w:before="0" w:after="0"/>
        <w:ind w:left="1896" w:right="0" w:hanging="570"/>
        <w:jc w:val="both"/>
        <w:rPr>
          <w:sz w:val="24"/>
        </w:rPr>
      </w:pPr>
      <w:r>
        <w:rPr>
          <w:sz w:val="24"/>
        </w:rPr>
        <w:t>tiesa var atcelt pārstrukturēšanas plānu,</w:t>
      </w:r>
      <w:r>
        <w:rPr>
          <w:spacing w:val="-5"/>
          <w:sz w:val="24"/>
        </w:rPr>
        <w:t> </w:t>
      </w:r>
      <w:r>
        <w:rPr>
          <w:sz w:val="24"/>
        </w:rPr>
        <w:t>ja</w:t>
      </w:r>
    </w:p>
    <w:p>
      <w:pPr>
        <w:pStyle w:val="BodyText"/>
        <w:ind w:left="1896"/>
      </w:pPr>
      <w:r>
        <w:rPr/>
        <w:t>(aa) būtiskā apmērā parādnieks neizpilda plānā ietvertās saistības;</w:t>
      </w:r>
    </w:p>
    <w:p>
      <w:pPr>
        <w:pStyle w:val="BodyText"/>
        <w:ind w:left="2463" w:right="405" w:hanging="567"/>
      </w:pPr>
      <w:r>
        <w:rPr/>
        <w:t>(bb) ja ir pagājusi vismaz puse no plāna darbības termiņa un ir acīmredzams, ka parādnieks nespēj pildīt plānā norādītās saistības;</w:t>
      </w:r>
    </w:p>
    <w:p>
      <w:pPr>
        <w:pStyle w:val="BodyText"/>
        <w:ind w:left="2463" w:right="405" w:hanging="567"/>
      </w:pPr>
      <w:r>
        <w:rPr/>
        <w:t>(cc)</w:t>
      </w:r>
      <w:r>
        <w:rPr>
          <w:spacing w:val="53"/>
        </w:rPr>
        <w:t> </w:t>
      </w:r>
      <w:r>
        <w:rPr/>
        <w:t>parādnieks nav maksātnespējīgs vai pārvarējis maksātspējas problēmas, un kreditora prasījumu pārstrukturēšana vairs nav taisnīga attiecībā uz kreditoriem sakarā ar būtiskām apstākļu maiņām;</w:t>
      </w:r>
    </w:p>
    <w:p>
      <w:pPr>
        <w:pStyle w:val="BodyText"/>
        <w:ind w:left="2463" w:right="403" w:hanging="567"/>
      </w:pPr>
      <w:r>
        <w:rPr/>
        <w:t>(dd) parādnieks tīši vai rupjas nolaidības dēļ ir iesniedzis būtiski nepareizu vai nepilnīgu informāciju par saviem aktīviem, ienākumiem, kreditoriem vai saistībām;</w:t>
      </w:r>
    </w:p>
    <w:p>
      <w:pPr>
        <w:pStyle w:val="BodyText"/>
        <w:ind w:left="2463" w:right="402" w:hanging="567"/>
      </w:pPr>
      <w:r>
        <w:rPr/>
        <w:t>(ee) parādnieks ir veicis maksājumus kreditoriem, kas nav norādīti pārstrukturēšanas plānā, tādējādi nopietni kaitējot citu kreditoru interesēm;</w:t>
      </w:r>
    </w:p>
    <w:p>
      <w:pPr>
        <w:pStyle w:val="BodyText"/>
        <w:ind w:left="2463" w:right="403" w:hanging="567"/>
      </w:pPr>
      <w:r>
        <w:rPr/>
        <w:t>(ff) parādnieks nesniedz palīdzību tiesai vai konsultantam, pildot uzraudzības pienākumus, vai arī nesniedz uzraudzības pienākumu pildīšanai nepieciešamo</w:t>
      </w:r>
      <w:r>
        <w:rPr>
          <w:spacing w:val="-1"/>
        </w:rPr>
        <w:t> </w:t>
      </w:r>
      <w:r>
        <w:rPr/>
        <w:t>informāciju;</w:t>
      </w:r>
    </w:p>
    <w:p>
      <w:pPr>
        <w:spacing w:after="0"/>
        <w:sectPr>
          <w:pgSz w:w="11910" w:h="16840"/>
          <w:pgMar w:header="0" w:footer="1055" w:top="1340" w:bottom="1240" w:left="1180" w:right="1040"/>
        </w:sectPr>
      </w:pPr>
    </w:p>
    <w:p>
      <w:pPr>
        <w:pStyle w:val="BodyText"/>
        <w:spacing w:before="73"/>
        <w:ind w:left="2103" w:right="762" w:hanging="567"/>
      </w:pPr>
      <w:r>
        <w:rPr/>
        <w:t>(gg) parādnieks nesamaksā tiesas noteiktu summu, kuru tiesa noteikusi, lai segtu konsultanta vai eksperta atalgojumu un izdevumus.</w:t>
      </w:r>
    </w:p>
    <w:p>
      <w:pPr>
        <w:pStyle w:val="ListParagraph"/>
        <w:numPr>
          <w:ilvl w:val="0"/>
          <w:numId w:val="87"/>
        </w:numPr>
        <w:tabs>
          <w:tab w:pos="980" w:val="left" w:leader="none"/>
        </w:tabs>
        <w:spacing w:line="240" w:lineRule="auto" w:before="0" w:after="0"/>
        <w:ind w:left="980" w:right="0" w:hanging="360"/>
        <w:jc w:val="both"/>
        <w:rPr>
          <w:sz w:val="24"/>
        </w:rPr>
      </w:pPr>
      <w:r>
        <w:rPr>
          <w:sz w:val="24"/>
        </w:rPr>
        <w:t>beidzies pārstrukturēšanas plānā norādītais plāna īstenošanas</w:t>
      </w:r>
      <w:r>
        <w:rPr>
          <w:spacing w:val="-9"/>
          <w:sz w:val="24"/>
        </w:rPr>
        <w:t> </w:t>
      </w:r>
      <w:r>
        <w:rPr>
          <w:sz w:val="24"/>
        </w:rPr>
        <w:t>termiņš:</w:t>
      </w:r>
    </w:p>
    <w:p>
      <w:pPr>
        <w:pStyle w:val="ListParagraph"/>
        <w:numPr>
          <w:ilvl w:val="1"/>
          <w:numId w:val="87"/>
        </w:numPr>
        <w:tabs>
          <w:tab w:pos="1537" w:val="left" w:leader="none"/>
        </w:tabs>
        <w:spacing w:line="240" w:lineRule="auto" w:before="0" w:after="0"/>
        <w:ind w:left="1536" w:right="761" w:hanging="569"/>
        <w:jc w:val="both"/>
        <w:rPr>
          <w:sz w:val="24"/>
        </w:rPr>
      </w:pPr>
      <w:r>
        <w:rPr>
          <w:sz w:val="24"/>
        </w:rPr>
        <w:t>pēc</w:t>
      </w:r>
      <w:r>
        <w:rPr>
          <w:spacing w:val="-12"/>
          <w:sz w:val="24"/>
        </w:rPr>
        <w:t> </w:t>
      </w:r>
      <w:r>
        <w:rPr>
          <w:sz w:val="24"/>
        </w:rPr>
        <w:t>pārstrukturēšanas</w:t>
      </w:r>
      <w:r>
        <w:rPr>
          <w:spacing w:val="-12"/>
          <w:sz w:val="24"/>
        </w:rPr>
        <w:t> </w:t>
      </w:r>
      <w:r>
        <w:rPr>
          <w:sz w:val="24"/>
        </w:rPr>
        <w:t>plāna</w:t>
      </w:r>
      <w:r>
        <w:rPr>
          <w:spacing w:val="-10"/>
          <w:sz w:val="24"/>
        </w:rPr>
        <w:t> </w:t>
      </w:r>
      <w:r>
        <w:rPr>
          <w:sz w:val="24"/>
        </w:rPr>
        <w:t>termiņa</w:t>
      </w:r>
      <w:r>
        <w:rPr>
          <w:spacing w:val="-9"/>
          <w:sz w:val="24"/>
        </w:rPr>
        <w:t> </w:t>
      </w:r>
      <w:r>
        <w:rPr>
          <w:sz w:val="24"/>
        </w:rPr>
        <w:t>beigām</w:t>
      </w:r>
      <w:r>
        <w:rPr>
          <w:spacing w:val="-10"/>
          <w:sz w:val="24"/>
        </w:rPr>
        <w:t> </w:t>
      </w:r>
      <w:r>
        <w:rPr>
          <w:sz w:val="24"/>
        </w:rPr>
        <w:t>kreditors</w:t>
      </w:r>
      <w:r>
        <w:rPr>
          <w:spacing w:val="-10"/>
          <w:sz w:val="24"/>
        </w:rPr>
        <w:t> </w:t>
      </w:r>
      <w:r>
        <w:rPr>
          <w:sz w:val="24"/>
        </w:rPr>
        <w:t>var</w:t>
      </w:r>
      <w:r>
        <w:rPr>
          <w:spacing w:val="-7"/>
          <w:sz w:val="24"/>
        </w:rPr>
        <w:t> </w:t>
      </w:r>
      <w:r>
        <w:rPr>
          <w:sz w:val="24"/>
        </w:rPr>
        <w:t>realizēt</w:t>
      </w:r>
      <w:r>
        <w:rPr>
          <w:spacing w:val="-10"/>
          <w:sz w:val="24"/>
        </w:rPr>
        <w:t> </w:t>
      </w:r>
      <w:r>
        <w:rPr>
          <w:sz w:val="24"/>
        </w:rPr>
        <w:t>prasību,</w:t>
      </w:r>
      <w:r>
        <w:rPr>
          <w:spacing w:val="-10"/>
          <w:sz w:val="24"/>
        </w:rPr>
        <w:t> </w:t>
      </w:r>
      <w:r>
        <w:rPr>
          <w:sz w:val="24"/>
        </w:rPr>
        <w:t>kas pārstrukturēta pārstrukturēšanas plānā, tikai tiktāl, ciktāl tas ir saskaņots, bet nav īstenots saskaņā ar pārstrukturēšanas</w:t>
      </w:r>
      <w:r>
        <w:rPr>
          <w:spacing w:val="-4"/>
          <w:sz w:val="24"/>
        </w:rPr>
        <w:t> </w:t>
      </w:r>
      <w:r>
        <w:rPr>
          <w:sz w:val="24"/>
        </w:rPr>
        <w:t>plānu;</w:t>
      </w:r>
    </w:p>
    <w:p>
      <w:pPr>
        <w:pStyle w:val="ListParagraph"/>
        <w:numPr>
          <w:ilvl w:val="1"/>
          <w:numId w:val="87"/>
        </w:numPr>
        <w:tabs>
          <w:tab w:pos="1537" w:val="left" w:leader="none"/>
        </w:tabs>
        <w:spacing w:line="240" w:lineRule="auto" w:before="0" w:after="0"/>
        <w:ind w:left="1536" w:right="761" w:hanging="569"/>
        <w:jc w:val="both"/>
        <w:rPr>
          <w:sz w:val="24"/>
        </w:rPr>
      </w:pPr>
      <w:r>
        <w:rPr>
          <w:sz w:val="24"/>
        </w:rPr>
        <w:t>pārstrukturēšanas procedūra beigsies arī tad, ja parādnieks pirms pārstrukturēšanas plāna īstenošanas termiņa beigām ir izpildījis visas pārstrukturēšanas plānā norādītās</w:t>
      </w:r>
      <w:r>
        <w:rPr>
          <w:spacing w:val="-4"/>
          <w:sz w:val="24"/>
        </w:rPr>
        <w:t> </w:t>
      </w:r>
      <w:r>
        <w:rPr>
          <w:sz w:val="24"/>
        </w:rPr>
        <w:t>saistības.</w:t>
      </w:r>
    </w:p>
    <w:p>
      <w:pPr>
        <w:pStyle w:val="BodyText"/>
        <w:spacing w:before="5"/>
        <w:jc w:val="left"/>
      </w:pPr>
    </w:p>
    <w:p>
      <w:pPr>
        <w:pStyle w:val="Heading4"/>
        <w:numPr>
          <w:ilvl w:val="1"/>
          <w:numId w:val="68"/>
        </w:numPr>
        <w:tabs>
          <w:tab w:pos="982" w:val="left" w:leader="none"/>
        </w:tabs>
        <w:spacing w:line="240" w:lineRule="auto" w:before="0" w:after="0"/>
        <w:ind w:left="980" w:right="762" w:hanging="360"/>
        <w:jc w:val="left"/>
      </w:pPr>
      <w:r>
        <w:rPr>
          <w:i/>
        </w:rPr>
        <w:t>Priekšlikumi attiecībā uz tiesisko regulējumu, ko Latvija varētu pārņemt no </w:t>
      </w:r>
      <w:r>
        <w:rPr/>
        <w:t>Igaunijas</w:t>
      </w:r>
    </w:p>
    <w:p>
      <w:pPr>
        <w:pStyle w:val="BodyText"/>
        <w:spacing w:before="7"/>
        <w:jc w:val="left"/>
        <w:rPr>
          <w:b/>
          <w:i/>
          <w:sz w:val="23"/>
        </w:rPr>
      </w:pPr>
    </w:p>
    <w:p>
      <w:pPr>
        <w:pStyle w:val="ListParagraph"/>
        <w:numPr>
          <w:ilvl w:val="0"/>
          <w:numId w:val="88"/>
        </w:numPr>
        <w:tabs>
          <w:tab w:pos="980" w:val="left" w:leader="none"/>
        </w:tabs>
        <w:spacing w:line="240" w:lineRule="auto" w:before="0" w:after="0"/>
        <w:ind w:left="980" w:right="762" w:hanging="360"/>
        <w:jc w:val="both"/>
        <w:rPr>
          <w:sz w:val="24"/>
        </w:rPr>
      </w:pPr>
      <w:r>
        <w:rPr>
          <w:sz w:val="24"/>
        </w:rPr>
        <w:t>Noteikt tiesības fiziskās personas maksātnespējas procesa pieteikumu iesniegt arī kreditoram. Ņemot vērā to, ka atbilstoši Latvijas Maksātnespējas likuma regulējumam saistību dzēšanas procedūra nevar norisināties bez parādnieka iniciatīvas, idejiski varētu tikt pārņemts arī Vācijas tiesiskais regulējums, atbilstoši kuram pēc kreditora pieteikuma iesniegšanas parādniekam ir tiesības pašam iesniegt savu pieteikumu, bet, ja parādnieks to neizdara, pēc kreditora iniciatīvas tiek īstenota tikai bankrota procedūra, pārdodot parādniekam piederošo mantu un sedzot no iegūtajiem līdzekļiem kreditoru prasījumus, taču nedzēšot bankrota procedūras ietvaros nesegtās saistības (plašāks apraksts par Vācijas tiesisko regulējumu norādīts pētījuma IV.nodaļas 4.1.punkta C.apakšpunktā).</w:t>
      </w:r>
    </w:p>
    <w:p>
      <w:pPr>
        <w:pStyle w:val="BodyText"/>
        <w:jc w:val="left"/>
      </w:pPr>
    </w:p>
    <w:p>
      <w:pPr>
        <w:pStyle w:val="ListParagraph"/>
        <w:numPr>
          <w:ilvl w:val="0"/>
          <w:numId w:val="88"/>
        </w:numPr>
        <w:tabs>
          <w:tab w:pos="980" w:val="left" w:leader="none"/>
        </w:tabs>
        <w:spacing w:line="240" w:lineRule="auto" w:before="0" w:after="0"/>
        <w:ind w:left="980" w:right="760" w:hanging="360"/>
        <w:jc w:val="both"/>
        <w:rPr>
          <w:sz w:val="24"/>
        </w:rPr>
      </w:pPr>
      <w:r>
        <w:rPr>
          <w:sz w:val="24"/>
        </w:rPr>
        <w:t>Pagarināt tā saucamo “aizdomu periodu” no 3 uz 5 gadiem to darījumu apstrīdēšanai, ko parādnieks ir noslēdzis ar ieinteresēto personu (atbilstoši anketās norādītajam aizvien biežāk tiek uzsākti maksātnespējas procesi tieši 3 gadus pēc tam, kad manta atsavināta ieinteresētajām personām, līdz ar to 5 gadu termiņa noteikšana varētu mazināt šādu negodprātīgu maksātnespējas procesu</w:t>
      </w:r>
      <w:r>
        <w:rPr>
          <w:spacing w:val="-7"/>
          <w:sz w:val="24"/>
        </w:rPr>
        <w:t> </w:t>
      </w:r>
      <w:r>
        <w:rPr>
          <w:sz w:val="24"/>
        </w:rPr>
        <w:t>skaitu).</w:t>
      </w:r>
    </w:p>
    <w:p>
      <w:pPr>
        <w:pStyle w:val="BodyText"/>
        <w:jc w:val="left"/>
      </w:pPr>
    </w:p>
    <w:p>
      <w:pPr>
        <w:pStyle w:val="ListParagraph"/>
        <w:numPr>
          <w:ilvl w:val="0"/>
          <w:numId w:val="88"/>
        </w:numPr>
        <w:tabs>
          <w:tab w:pos="980" w:val="left" w:leader="none"/>
        </w:tabs>
        <w:spacing w:line="240" w:lineRule="auto" w:before="0" w:after="0"/>
        <w:ind w:left="980" w:right="762" w:hanging="360"/>
        <w:jc w:val="both"/>
        <w:rPr>
          <w:sz w:val="24"/>
        </w:rPr>
      </w:pPr>
      <w:r>
        <w:rPr>
          <w:sz w:val="24"/>
        </w:rPr>
        <w:t>Ieviest tā saucamo plūstošā saistību dzēšanas plāna modeli, tas ir, noteikt</w:t>
      </w:r>
      <w:r>
        <w:rPr>
          <w:spacing w:val="-21"/>
          <w:sz w:val="24"/>
        </w:rPr>
        <w:t> </w:t>
      </w:r>
      <w:r>
        <w:rPr>
          <w:sz w:val="24"/>
        </w:rPr>
        <w:t>vispārējo termiņu, kuru tiesa var samazināt, ja parādnieks pienācīgi pilda savas saistības </w:t>
      </w:r>
      <w:r>
        <w:rPr>
          <w:spacing w:val="-7"/>
          <w:sz w:val="24"/>
        </w:rPr>
        <w:t>un </w:t>
      </w:r>
      <w:r>
        <w:rPr>
          <w:sz w:val="24"/>
        </w:rPr>
        <w:t>Maksātnespējas likumā noteiktos pienākumus, vai pagarināt, ja parādnieks to </w:t>
      </w:r>
      <w:r>
        <w:rPr>
          <w:spacing w:val="-4"/>
          <w:sz w:val="24"/>
        </w:rPr>
        <w:t>dara </w:t>
      </w:r>
      <w:r>
        <w:rPr>
          <w:sz w:val="24"/>
        </w:rPr>
        <w:t>nepienācīgi.</w:t>
      </w:r>
    </w:p>
    <w:p>
      <w:pPr>
        <w:pStyle w:val="BodyText"/>
        <w:jc w:val="left"/>
      </w:pPr>
    </w:p>
    <w:p>
      <w:pPr>
        <w:pStyle w:val="ListParagraph"/>
        <w:numPr>
          <w:ilvl w:val="0"/>
          <w:numId w:val="88"/>
        </w:numPr>
        <w:tabs>
          <w:tab w:pos="980" w:val="left" w:leader="none"/>
        </w:tabs>
        <w:spacing w:line="240" w:lineRule="auto" w:before="1" w:after="0"/>
        <w:ind w:left="980" w:right="766" w:hanging="360"/>
        <w:jc w:val="both"/>
        <w:rPr>
          <w:sz w:val="24"/>
        </w:rPr>
      </w:pPr>
      <w:r>
        <w:rPr>
          <w:sz w:val="24"/>
        </w:rPr>
        <w:t>Paplašināt pārsūdzamo tiesas nolēmumu loku (piemēram, lēmumu par maksātnespējas procesa izbeigšanu, nepiemērojot saistību dzēšanas</w:t>
      </w:r>
      <w:r>
        <w:rPr>
          <w:spacing w:val="-5"/>
          <w:sz w:val="24"/>
        </w:rPr>
        <w:t> </w:t>
      </w:r>
      <w:r>
        <w:rPr>
          <w:sz w:val="24"/>
        </w:rPr>
        <w:t>procedūru).</w:t>
      </w:r>
    </w:p>
    <w:p>
      <w:pPr>
        <w:pStyle w:val="BodyText"/>
        <w:spacing w:before="11"/>
        <w:jc w:val="left"/>
        <w:rPr>
          <w:sz w:val="23"/>
        </w:rPr>
      </w:pPr>
    </w:p>
    <w:p>
      <w:pPr>
        <w:pStyle w:val="ListParagraph"/>
        <w:numPr>
          <w:ilvl w:val="0"/>
          <w:numId w:val="88"/>
        </w:numPr>
        <w:tabs>
          <w:tab w:pos="980" w:val="left" w:leader="none"/>
        </w:tabs>
        <w:spacing w:line="240" w:lineRule="auto" w:before="0" w:after="0"/>
        <w:ind w:left="980" w:right="762" w:hanging="360"/>
        <w:jc w:val="both"/>
        <w:rPr>
          <w:sz w:val="24"/>
        </w:rPr>
      </w:pPr>
      <w:r>
        <w:rPr>
          <w:sz w:val="24"/>
        </w:rPr>
        <w:t>Paredzēt iespēju atcelt lēmumu par saistību dzēšanu, pamatojoties uz kreditora pieteikumu, ja pēc saistību dzēšanas ir kļuvis zināms, ka parādnieks nav pildījis likumā paredzētos pienākumus, aizskarot kreditora tiesības uz prasījuma</w:t>
      </w:r>
      <w:r>
        <w:rPr>
          <w:spacing w:val="-6"/>
          <w:sz w:val="24"/>
        </w:rPr>
        <w:t> </w:t>
      </w:r>
      <w:r>
        <w:rPr>
          <w:sz w:val="24"/>
        </w:rPr>
        <w:t>segšanu.</w:t>
      </w:r>
    </w:p>
    <w:p>
      <w:pPr>
        <w:spacing w:after="0" w:line="240" w:lineRule="auto"/>
        <w:jc w:val="both"/>
        <w:rPr>
          <w:sz w:val="24"/>
        </w:rPr>
        <w:sectPr>
          <w:pgSz w:w="11910" w:h="16840"/>
          <w:pgMar w:header="0" w:footer="1055" w:top="1340" w:bottom="1240" w:left="1180" w:right="1040"/>
        </w:sectPr>
      </w:pPr>
    </w:p>
    <w:p>
      <w:pPr>
        <w:pStyle w:val="Heading2"/>
        <w:numPr>
          <w:ilvl w:val="1"/>
          <w:numId w:val="67"/>
        </w:numPr>
        <w:tabs>
          <w:tab w:pos="4650" w:val="left" w:leader="none"/>
        </w:tabs>
        <w:spacing w:line="240" w:lineRule="auto" w:before="59" w:after="0"/>
        <w:ind w:left="4650" w:right="0" w:hanging="4438"/>
        <w:jc w:val="left"/>
      </w:pPr>
      <w:bookmarkStart w:name="_TOC_250039" w:id="39"/>
      <w:bookmarkEnd w:id="39"/>
      <w:r>
        <w:rPr/>
        <w:t>Dānija</w:t>
      </w:r>
    </w:p>
    <w:p>
      <w:pPr>
        <w:pStyle w:val="BodyText"/>
        <w:spacing w:before="1"/>
        <w:jc w:val="left"/>
        <w:rPr>
          <w:b/>
          <w:sz w:val="16"/>
        </w:rPr>
      </w:pPr>
    </w:p>
    <w:p>
      <w:pPr>
        <w:pStyle w:val="Heading4"/>
        <w:numPr>
          <w:ilvl w:val="1"/>
          <w:numId w:val="89"/>
        </w:numPr>
        <w:tabs>
          <w:tab w:pos="1753" w:val="left" w:leader="none"/>
        </w:tabs>
        <w:spacing w:line="240" w:lineRule="auto" w:before="90" w:after="0"/>
        <w:ind w:left="1752" w:right="0" w:hanging="426"/>
        <w:jc w:val="left"/>
        <w:rPr>
          <w:i/>
        </w:rPr>
      </w:pPr>
      <w:bookmarkStart w:name="_TOC_250038" w:id="40"/>
      <w:r>
        <w:rPr>
          <w:i/>
        </w:rPr>
        <w:t>Vispārīgs</w:t>
      </w:r>
      <w:r>
        <w:rPr>
          <w:i/>
          <w:spacing w:val="-1"/>
        </w:rPr>
        <w:t> </w:t>
      </w:r>
      <w:bookmarkEnd w:id="40"/>
      <w:r>
        <w:rPr>
          <w:i/>
        </w:rPr>
        <w:t>apraksts</w:t>
      </w:r>
    </w:p>
    <w:p>
      <w:pPr>
        <w:pStyle w:val="BodyText"/>
        <w:spacing w:before="8"/>
        <w:jc w:val="left"/>
        <w:rPr>
          <w:b/>
          <w:i/>
          <w:sz w:val="23"/>
        </w:rPr>
      </w:pPr>
    </w:p>
    <w:p>
      <w:pPr>
        <w:pStyle w:val="BodyText"/>
        <w:spacing w:line="237" w:lineRule="auto" w:before="1"/>
        <w:ind w:left="620" w:right="402" w:firstLine="720"/>
      </w:pPr>
      <w:r>
        <w:rPr/>
        <w:t>Dānijā nav strikti nošķirts fiziskās un juridiskās personas maksātnespējas process. Pastāv</w:t>
      </w:r>
      <w:r>
        <w:rPr>
          <w:spacing w:val="-9"/>
        </w:rPr>
        <w:t> </w:t>
      </w:r>
      <w:r>
        <w:rPr/>
        <w:t>trīs</w:t>
      </w:r>
      <w:r>
        <w:rPr>
          <w:spacing w:val="-8"/>
        </w:rPr>
        <w:t> </w:t>
      </w:r>
      <w:r>
        <w:rPr/>
        <w:t>dažādi</w:t>
      </w:r>
      <w:r>
        <w:rPr>
          <w:spacing w:val="-6"/>
        </w:rPr>
        <w:t> </w:t>
      </w:r>
      <w:r>
        <w:rPr/>
        <w:t>procedūras</w:t>
      </w:r>
      <w:r>
        <w:rPr>
          <w:spacing w:val="-8"/>
        </w:rPr>
        <w:t> </w:t>
      </w:r>
      <w:r>
        <w:rPr/>
        <w:t>veidi:</w:t>
      </w:r>
      <w:r>
        <w:rPr>
          <w:spacing w:val="-8"/>
        </w:rPr>
        <w:t> </w:t>
      </w:r>
      <w:r>
        <w:rPr/>
        <w:t>bankrota</w:t>
      </w:r>
      <w:r>
        <w:rPr>
          <w:spacing w:val="-7"/>
        </w:rPr>
        <w:t> </w:t>
      </w:r>
      <w:r>
        <w:rPr/>
        <w:t>procedūra,</w:t>
      </w:r>
      <w:r>
        <w:rPr>
          <w:spacing w:val="-10"/>
        </w:rPr>
        <w:t> </w:t>
      </w:r>
      <w:r>
        <w:rPr/>
        <w:t>parādu</w:t>
      </w:r>
      <w:r>
        <w:rPr>
          <w:spacing w:val="-9"/>
        </w:rPr>
        <w:t> </w:t>
      </w:r>
      <w:r>
        <w:rPr/>
        <w:t>restrukturizācija</w:t>
      </w:r>
      <w:r>
        <w:rPr>
          <w:spacing w:val="-8"/>
        </w:rPr>
        <w:t> </w:t>
      </w:r>
      <w:r>
        <w:rPr/>
        <w:t>un</w:t>
      </w:r>
      <w:r>
        <w:rPr>
          <w:spacing w:val="-8"/>
        </w:rPr>
        <w:t> </w:t>
      </w:r>
      <w:r>
        <w:rPr/>
        <w:t>parādu atlaišana pēc plāna izpildes. Parādu restrukturizācija (</w:t>
      </w:r>
      <w:r>
        <w:rPr>
          <w:i/>
        </w:rPr>
        <w:t>debt restructuring</w:t>
      </w:r>
      <w:r>
        <w:rPr/>
        <w:t>) ir pieejama gan juridiskām, gan fiziskām personām, tomēr </w:t>
      </w:r>
      <w:r>
        <w:rPr>
          <w:i/>
        </w:rPr>
        <w:t>debt restructuring </w:t>
      </w:r>
      <w:r>
        <w:rPr/>
        <w:t>ir pieejama tikai </w:t>
      </w:r>
      <w:r>
        <w:rPr>
          <w:spacing w:val="-3"/>
        </w:rPr>
        <w:t>tādām </w:t>
      </w:r>
      <w:r>
        <w:rPr/>
        <w:t>fiziskajām personām, kas ir uzņēmēji (</w:t>
      </w:r>
      <w:r>
        <w:rPr>
          <w:i/>
        </w:rPr>
        <w:t>entrepreneurs</w:t>
      </w:r>
      <w:r>
        <w:rPr/>
        <w:t>), savukārt bankrota procedūra un parādu atlaišana/dzēšana (</w:t>
      </w:r>
      <w:r>
        <w:rPr>
          <w:i/>
        </w:rPr>
        <w:t>debt rescheduling</w:t>
      </w:r>
      <w:r>
        <w:rPr/>
        <w:t>) ir iespējama gan fiziskajām personām, kas ir uzņēmēji (</w:t>
      </w:r>
      <w:r>
        <w:rPr>
          <w:i/>
        </w:rPr>
        <w:t>entrepreneurs</w:t>
      </w:r>
      <w:r>
        <w:rPr/>
        <w:t>), gan patērētājiem (</w:t>
      </w:r>
      <w:r>
        <w:rPr>
          <w:i/>
        </w:rPr>
        <w:t>consumers</w:t>
      </w:r>
      <w:r>
        <w:rPr/>
        <w:t>).</w:t>
      </w:r>
      <w:r>
        <w:rPr>
          <w:position w:val="9"/>
          <w:sz w:val="16"/>
        </w:rPr>
        <w:t>333 </w:t>
      </w:r>
      <w:r>
        <w:rPr/>
        <w:t>Lai arī vienošanās par parādu dzēšanu/atlaišanu</w:t>
      </w:r>
      <w:r>
        <w:rPr>
          <w:spacing w:val="-6"/>
        </w:rPr>
        <w:t> </w:t>
      </w:r>
      <w:r>
        <w:rPr/>
        <w:t>ir</w:t>
      </w:r>
      <w:r>
        <w:rPr>
          <w:spacing w:val="-5"/>
        </w:rPr>
        <w:t> </w:t>
      </w:r>
      <w:r>
        <w:rPr/>
        <w:t>regulēta</w:t>
      </w:r>
      <w:r>
        <w:rPr>
          <w:spacing w:val="-9"/>
        </w:rPr>
        <w:t> </w:t>
      </w:r>
      <w:r>
        <w:rPr/>
        <w:t>Dānijas</w:t>
      </w:r>
      <w:r>
        <w:rPr>
          <w:spacing w:val="-4"/>
        </w:rPr>
        <w:t> </w:t>
      </w:r>
      <w:r>
        <w:rPr/>
        <w:t>Bankrota</w:t>
      </w:r>
      <w:r>
        <w:rPr>
          <w:spacing w:val="-5"/>
        </w:rPr>
        <w:t> </w:t>
      </w:r>
      <w:r>
        <w:rPr/>
        <w:t>likumā,</w:t>
      </w:r>
      <w:r>
        <w:rPr>
          <w:spacing w:val="-6"/>
        </w:rPr>
        <w:t> </w:t>
      </w:r>
      <w:r>
        <w:rPr/>
        <w:t>tomēr</w:t>
      </w:r>
      <w:r>
        <w:rPr>
          <w:spacing w:val="-6"/>
        </w:rPr>
        <w:t> </w:t>
      </w:r>
      <w:r>
        <w:rPr/>
        <w:t>tā</w:t>
      </w:r>
      <w:r>
        <w:rPr>
          <w:spacing w:val="-8"/>
        </w:rPr>
        <w:t> </w:t>
      </w:r>
      <w:r>
        <w:rPr/>
        <w:t>ir</w:t>
      </w:r>
      <w:r>
        <w:rPr>
          <w:spacing w:val="-2"/>
        </w:rPr>
        <w:t> </w:t>
      </w:r>
      <w:r>
        <w:rPr/>
        <w:t>atsevišķa</w:t>
      </w:r>
      <w:r>
        <w:rPr>
          <w:spacing w:val="-4"/>
        </w:rPr>
        <w:t> </w:t>
      </w:r>
      <w:r>
        <w:rPr/>
        <w:t>procedūra,</w:t>
      </w:r>
      <w:r>
        <w:rPr>
          <w:spacing w:val="-9"/>
        </w:rPr>
        <w:t> </w:t>
      </w:r>
      <w:r>
        <w:rPr/>
        <w:t>kas paredzēta tikai fiziskajām personām, un ļauj tām atbrīvoties no saviem parādiem,</w:t>
      </w:r>
      <w:r>
        <w:rPr>
          <w:position w:val="9"/>
          <w:sz w:val="16"/>
        </w:rPr>
        <w:t>334 </w:t>
      </w:r>
      <w:r>
        <w:rPr/>
        <w:t>līdz</w:t>
      </w:r>
      <w:r>
        <w:rPr>
          <w:spacing w:val="-20"/>
        </w:rPr>
        <w:t> </w:t>
      </w:r>
      <w:r>
        <w:rPr/>
        <w:t>ar to tā nepastāv kā obligāta procedūra saistībā ar parādnieka bankrotu, bet var tikt</w:t>
      </w:r>
      <w:r>
        <w:rPr>
          <w:spacing w:val="-32"/>
        </w:rPr>
        <w:t> </w:t>
      </w:r>
      <w:r>
        <w:rPr/>
        <w:t>izmantota patstāvīgi.</w:t>
      </w:r>
    </w:p>
    <w:p>
      <w:pPr>
        <w:pStyle w:val="BodyText"/>
        <w:ind w:left="620" w:right="402" w:firstLine="720"/>
      </w:pPr>
      <w:r>
        <w:rPr/>
        <w:t>Līdz ar to Dānijas likumā nav strikti nošķirts fiziskās personas maksātnespējas procesa uzsākšanas mehānisms no juridiskās persona maksātnespējas procesa uzsākšanas, bet ir jāņem vērā katra konkrētā procedūra. Tā kā patērētājiem būtiskākā procedūra ir tieši parādu atlaišana (</w:t>
      </w:r>
      <w:r>
        <w:rPr>
          <w:i/>
        </w:rPr>
        <w:t>debt rescheduling</w:t>
      </w:r>
      <w:r>
        <w:rPr/>
        <w:t>), jo tikai šīs procedūras ietvaros parādniekam tiek dzēstas</w:t>
      </w:r>
      <w:r>
        <w:rPr>
          <w:spacing w:val="-10"/>
        </w:rPr>
        <w:t> </w:t>
      </w:r>
      <w:r>
        <w:rPr/>
        <w:t>saistības,</w:t>
      </w:r>
      <w:r>
        <w:rPr>
          <w:spacing w:val="-9"/>
        </w:rPr>
        <w:t> </w:t>
      </w:r>
      <w:r>
        <w:rPr/>
        <w:t>tad</w:t>
      </w:r>
      <w:r>
        <w:rPr>
          <w:spacing w:val="-9"/>
        </w:rPr>
        <w:t> </w:t>
      </w:r>
      <w:r>
        <w:rPr/>
        <w:t>lielākā</w:t>
      </w:r>
      <w:r>
        <w:rPr>
          <w:spacing w:val="-11"/>
        </w:rPr>
        <w:t> </w:t>
      </w:r>
      <w:r>
        <w:rPr/>
        <w:t>uzmanība</w:t>
      </w:r>
      <w:r>
        <w:rPr>
          <w:spacing w:val="-11"/>
        </w:rPr>
        <w:t> </w:t>
      </w:r>
      <w:r>
        <w:rPr/>
        <w:t>tiks</w:t>
      </w:r>
      <w:r>
        <w:rPr>
          <w:spacing w:val="-9"/>
        </w:rPr>
        <w:t> </w:t>
      </w:r>
      <w:r>
        <w:rPr/>
        <w:t>veltīta</w:t>
      </w:r>
      <w:r>
        <w:rPr>
          <w:spacing w:val="-11"/>
        </w:rPr>
        <w:t> </w:t>
      </w:r>
      <w:r>
        <w:rPr/>
        <w:t>tieši</w:t>
      </w:r>
      <w:r>
        <w:rPr>
          <w:spacing w:val="-6"/>
        </w:rPr>
        <w:t> </w:t>
      </w:r>
      <w:r>
        <w:rPr/>
        <w:t>šai</w:t>
      </w:r>
      <w:r>
        <w:rPr>
          <w:spacing w:val="-12"/>
        </w:rPr>
        <w:t> </w:t>
      </w:r>
      <w:r>
        <w:rPr/>
        <w:t>procedūrai,</w:t>
      </w:r>
      <w:r>
        <w:rPr>
          <w:spacing w:val="-9"/>
        </w:rPr>
        <w:t> </w:t>
      </w:r>
      <w:r>
        <w:rPr/>
        <w:t>abas</w:t>
      </w:r>
      <w:r>
        <w:rPr>
          <w:spacing w:val="-9"/>
        </w:rPr>
        <w:t> </w:t>
      </w:r>
      <w:r>
        <w:rPr/>
        <w:t>pārējās</w:t>
      </w:r>
      <w:r>
        <w:rPr>
          <w:spacing w:val="-9"/>
        </w:rPr>
        <w:t> </w:t>
      </w:r>
      <w:r>
        <w:rPr/>
        <w:t>apskatot tikai vispārīga raksturojuma</w:t>
      </w:r>
      <w:r>
        <w:rPr>
          <w:spacing w:val="-2"/>
        </w:rPr>
        <w:t> </w:t>
      </w:r>
      <w:r>
        <w:rPr/>
        <w:t>līmenī.</w:t>
      </w:r>
    </w:p>
    <w:p>
      <w:pPr>
        <w:pStyle w:val="BodyText"/>
        <w:spacing w:before="2"/>
        <w:jc w:val="left"/>
      </w:pPr>
    </w:p>
    <w:p>
      <w:pPr>
        <w:pStyle w:val="Heading4"/>
        <w:numPr>
          <w:ilvl w:val="1"/>
          <w:numId w:val="89"/>
        </w:numPr>
        <w:tabs>
          <w:tab w:pos="1753" w:val="left" w:leader="none"/>
        </w:tabs>
        <w:spacing w:line="240" w:lineRule="auto" w:before="0" w:after="0"/>
        <w:ind w:left="1752" w:right="0" w:hanging="426"/>
        <w:jc w:val="left"/>
        <w:rPr>
          <w:i/>
        </w:rPr>
      </w:pPr>
      <w:bookmarkStart w:name="_TOC_250037" w:id="41"/>
      <w:bookmarkEnd w:id="41"/>
      <w:r>
        <w:rPr>
          <w:i/>
        </w:rPr>
        <w:t>Bankrota procedūra</w:t>
      </w:r>
    </w:p>
    <w:p>
      <w:pPr>
        <w:pStyle w:val="BodyText"/>
        <w:jc w:val="left"/>
        <w:rPr>
          <w:b/>
          <w:i/>
        </w:rPr>
      </w:pPr>
    </w:p>
    <w:p>
      <w:pPr>
        <w:pStyle w:val="BodyText"/>
        <w:spacing w:line="235" w:lineRule="auto"/>
        <w:ind w:left="620" w:right="401" w:firstLine="720"/>
      </w:pPr>
      <w:r>
        <w:rPr/>
        <w:t>Bankrota procedūras mērķis ir likvidēt uzņēmumu vai parādnieka personīgos aktīvus, lai ienākumi tiktu sadalīti starp kreditoriem.</w:t>
      </w:r>
      <w:r>
        <w:rPr>
          <w:position w:val="9"/>
          <w:sz w:val="16"/>
        </w:rPr>
        <w:t>335 </w:t>
      </w:r>
      <w:r>
        <w:rPr/>
        <w:t>Dānijā pastāv “vecā stila” tradicionālā</w:t>
      </w:r>
      <w:r>
        <w:rPr>
          <w:spacing w:val="-11"/>
        </w:rPr>
        <w:t> </w:t>
      </w:r>
      <w:r>
        <w:rPr/>
        <w:t>bankrota</w:t>
      </w:r>
      <w:r>
        <w:rPr>
          <w:spacing w:val="-11"/>
        </w:rPr>
        <w:t> </w:t>
      </w:r>
      <w:r>
        <w:rPr/>
        <w:t>mehānisms,</w:t>
      </w:r>
      <w:r>
        <w:rPr>
          <w:spacing w:val="-11"/>
        </w:rPr>
        <w:t> </w:t>
      </w:r>
      <w:r>
        <w:rPr/>
        <w:t>kura</w:t>
      </w:r>
      <w:r>
        <w:rPr>
          <w:spacing w:val="-10"/>
        </w:rPr>
        <w:t> </w:t>
      </w:r>
      <w:r>
        <w:rPr/>
        <w:t>laikā</w:t>
      </w:r>
      <w:r>
        <w:rPr>
          <w:spacing w:val="-13"/>
        </w:rPr>
        <w:t> </w:t>
      </w:r>
      <w:r>
        <w:rPr/>
        <w:t>tiek</w:t>
      </w:r>
      <w:r>
        <w:rPr>
          <w:spacing w:val="-12"/>
        </w:rPr>
        <w:t> </w:t>
      </w:r>
      <w:r>
        <w:rPr/>
        <w:t>likvidēti</w:t>
      </w:r>
      <w:r>
        <w:rPr>
          <w:spacing w:val="-9"/>
        </w:rPr>
        <w:t> </w:t>
      </w:r>
      <w:r>
        <w:rPr/>
        <w:t>parādnieka</w:t>
      </w:r>
      <w:r>
        <w:rPr>
          <w:spacing w:val="-11"/>
        </w:rPr>
        <w:t> </w:t>
      </w:r>
      <w:r>
        <w:rPr/>
        <w:t>aktīvi,</w:t>
      </w:r>
      <w:r>
        <w:rPr>
          <w:spacing w:val="-9"/>
        </w:rPr>
        <w:t> </w:t>
      </w:r>
      <w:r>
        <w:rPr/>
        <w:t>bet</w:t>
      </w:r>
      <w:r>
        <w:rPr>
          <w:spacing w:val="-12"/>
        </w:rPr>
        <w:t> </w:t>
      </w:r>
      <w:r>
        <w:rPr/>
        <w:t>parādnieks paliek atbildīgs par jebkādiem parādiem, kas paliek nesegti.</w:t>
      </w:r>
      <w:r>
        <w:rPr>
          <w:position w:val="9"/>
          <w:sz w:val="16"/>
        </w:rPr>
        <w:t>336 </w:t>
      </w:r>
      <w:r>
        <w:rPr/>
        <w:t>Respektīvi, pēc bankrota procedūras pabeigšanas kreditors saglabā savas tiesības pret parādnieku attiecībā uz to parāda daļu, kas paliek nesamaksāta (Dānijas Bankrota likuma</w:t>
      </w:r>
      <w:r>
        <w:rPr>
          <w:spacing w:val="-2"/>
        </w:rPr>
        <w:t> </w:t>
      </w:r>
      <w:r>
        <w:rPr/>
        <w:t>156.pants).</w:t>
      </w:r>
    </w:p>
    <w:p>
      <w:pPr>
        <w:pStyle w:val="BodyText"/>
        <w:ind w:left="620" w:right="403" w:firstLine="720"/>
      </w:pPr>
      <w:r>
        <w:rPr/>
        <w:t>Ja parādnieks ir maksātnespējīgs, bankrota procedūru pret parādnieka īpašumu var uzsākt</w:t>
      </w:r>
      <w:r>
        <w:rPr>
          <w:spacing w:val="-7"/>
        </w:rPr>
        <w:t> </w:t>
      </w:r>
      <w:r>
        <w:rPr/>
        <w:t>gan</w:t>
      </w:r>
      <w:r>
        <w:rPr>
          <w:spacing w:val="-6"/>
        </w:rPr>
        <w:t> </w:t>
      </w:r>
      <w:r>
        <w:rPr/>
        <w:t>pats</w:t>
      </w:r>
      <w:r>
        <w:rPr>
          <w:spacing w:val="-6"/>
        </w:rPr>
        <w:t> </w:t>
      </w:r>
      <w:r>
        <w:rPr/>
        <w:t>parādnieks,</w:t>
      </w:r>
      <w:r>
        <w:rPr>
          <w:spacing w:val="-6"/>
        </w:rPr>
        <w:t> </w:t>
      </w:r>
      <w:r>
        <w:rPr/>
        <w:t>gan</w:t>
      </w:r>
      <w:r>
        <w:rPr>
          <w:spacing w:val="-9"/>
        </w:rPr>
        <w:t> </w:t>
      </w:r>
      <w:r>
        <w:rPr/>
        <w:t>arī</w:t>
      </w:r>
      <w:r>
        <w:rPr>
          <w:spacing w:val="-6"/>
        </w:rPr>
        <w:t> </w:t>
      </w:r>
      <w:r>
        <w:rPr/>
        <w:t>kreditors</w:t>
      </w:r>
      <w:r>
        <w:rPr>
          <w:spacing w:val="-6"/>
        </w:rPr>
        <w:t> </w:t>
      </w:r>
      <w:r>
        <w:rPr/>
        <w:t>(Dānijas</w:t>
      </w:r>
      <w:r>
        <w:rPr>
          <w:spacing w:val="-6"/>
        </w:rPr>
        <w:t> </w:t>
      </w:r>
      <w:r>
        <w:rPr/>
        <w:t>Bankrota</w:t>
      </w:r>
      <w:r>
        <w:rPr>
          <w:spacing w:val="-6"/>
        </w:rPr>
        <w:t> </w:t>
      </w:r>
      <w:r>
        <w:rPr/>
        <w:t>likuma</w:t>
      </w:r>
      <w:r>
        <w:rPr>
          <w:spacing w:val="-6"/>
        </w:rPr>
        <w:t> </w:t>
      </w:r>
      <w:r>
        <w:rPr/>
        <w:t>17.pants).</w:t>
      </w:r>
      <w:r>
        <w:rPr>
          <w:spacing w:val="-6"/>
        </w:rPr>
        <w:t> </w:t>
      </w:r>
      <w:r>
        <w:rPr/>
        <w:t>Savukārt atbilstoši 17.panta otrajai daļai parādnieks ir atzīstams par maksātnespējīgu, ja tas nespēj laikā izpildīt savas saistības, ja vien šāda nespēja samaksāt nav uzskatāma par īslaicīgu pagaidu</w:t>
      </w:r>
      <w:r>
        <w:rPr>
          <w:spacing w:val="-1"/>
        </w:rPr>
        <w:t> </w:t>
      </w:r>
      <w:r>
        <w:rPr/>
        <w:t>problēmu.</w:t>
      </w:r>
    </w:p>
    <w:p>
      <w:pPr>
        <w:pStyle w:val="BodyText"/>
        <w:ind w:left="620" w:right="402" w:firstLine="720"/>
      </w:pPr>
      <w:r>
        <w:rPr/>
        <w:t>Uzreiz pēc tam, kad tiek izdots bankrota rīkojums, tiesa nozīmē vienu vai vairākus parādnieka īpašuma pārvaldniekus (Dānijas Bankrota likuma 107.pants), savukārt parādnieks</w:t>
      </w:r>
      <w:r>
        <w:rPr>
          <w:spacing w:val="-11"/>
        </w:rPr>
        <w:t> </w:t>
      </w:r>
      <w:r>
        <w:rPr/>
        <w:t>zaudē</w:t>
      </w:r>
      <w:r>
        <w:rPr>
          <w:spacing w:val="-11"/>
        </w:rPr>
        <w:t> </w:t>
      </w:r>
      <w:r>
        <w:rPr/>
        <w:t>tiesības</w:t>
      </w:r>
      <w:r>
        <w:rPr>
          <w:spacing w:val="-11"/>
        </w:rPr>
        <w:t> </w:t>
      </w:r>
      <w:r>
        <w:rPr/>
        <w:t>jebkādā</w:t>
      </w:r>
      <w:r>
        <w:rPr>
          <w:spacing w:val="-11"/>
        </w:rPr>
        <w:t> </w:t>
      </w:r>
      <w:r>
        <w:rPr/>
        <w:t>veidā</w:t>
      </w:r>
      <w:r>
        <w:rPr>
          <w:spacing w:val="-12"/>
        </w:rPr>
        <w:t> </w:t>
      </w:r>
      <w:r>
        <w:rPr/>
        <w:t>rīkoties</w:t>
      </w:r>
      <w:r>
        <w:rPr>
          <w:spacing w:val="-13"/>
        </w:rPr>
        <w:t> </w:t>
      </w:r>
      <w:r>
        <w:rPr/>
        <w:t>ar</w:t>
      </w:r>
      <w:r>
        <w:rPr>
          <w:spacing w:val="-7"/>
        </w:rPr>
        <w:t> </w:t>
      </w:r>
      <w:r>
        <w:rPr/>
        <w:t>savu</w:t>
      </w:r>
      <w:r>
        <w:rPr>
          <w:spacing w:val="-11"/>
        </w:rPr>
        <w:t> </w:t>
      </w:r>
      <w:r>
        <w:rPr/>
        <w:t>īpašumu</w:t>
      </w:r>
      <w:r>
        <w:rPr>
          <w:spacing w:val="-11"/>
        </w:rPr>
        <w:t> </w:t>
      </w:r>
      <w:r>
        <w:rPr/>
        <w:t>(Dānijas</w:t>
      </w:r>
      <w:r>
        <w:rPr>
          <w:spacing w:val="-8"/>
        </w:rPr>
        <w:t> </w:t>
      </w:r>
      <w:r>
        <w:rPr/>
        <w:t>Bankrota</w:t>
      </w:r>
      <w:r>
        <w:rPr>
          <w:spacing w:val="-10"/>
        </w:rPr>
        <w:t> </w:t>
      </w:r>
      <w:r>
        <w:rPr/>
        <w:t>likuma 29.pants).</w:t>
      </w:r>
      <w:r>
        <w:rPr>
          <w:spacing w:val="-10"/>
        </w:rPr>
        <w:t> </w:t>
      </w:r>
      <w:r>
        <w:rPr/>
        <w:t>Īpašuma</w:t>
      </w:r>
      <w:r>
        <w:rPr>
          <w:spacing w:val="-11"/>
        </w:rPr>
        <w:t> </w:t>
      </w:r>
      <w:r>
        <w:rPr/>
        <w:t>pārvaldītāja</w:t>
      </w:r>
      <w:r>
        <w:rPr>
          <w:spacing w:val="-11"/>
        </w:rPr>
        <w:t> </w:t>
      </w:r>
      <w:r>
        <w:rPr/>
        <w:t>galvenais</w:t>
      </w:r>
      <w:r>
        <w:rPr>
          <w:spacing w:val="-12"/>
        </w:rPr>
        <w:t> </w:t>
      </w:r>
      <w:r>
        <w:rPr/>
        <w:t>uzdevums</w:t>
      </w:r>
      <w:r>
        <w:rPr>
          <w:spacing w:val="-11"/>
        </w:rPr>
        <w:t> </w:t>
      </w:r>
      <w:r>
        <w:rPr/>
        <w:t>ir</w:t>
      </w:r>
      <w:r>
        <w:rPr>
          <w:spacing w:val="-11"/>
        </w:rPr>
        <w:t> </w:t>
      </w:r>
      <w:r>
        <w:rPr/>
        <w:t>apzināties</w:t>
      </w:r>
      <w:r>
        <w:rPr>
          <w:spacing w:val="-11"/>
        </w:rPr>
        <w:t> </w:t>
      </w:r>
      <w:r>
        <w:rPr/>
        <w:t>parādnieka</w:t>
      </w:r>
      <w:r>
        <w:rPr>
          <w:spacing w:val="-14"/>
        </w:rPr>
        <w:t> </w:t>
      </w:r>
      <w:r>
        <w:rPr/>
        <w:t>aktīvu</w:t>
      </w:r>
      <w:r>
        <w:rPr>
          <w:spacing w:val="-11"/>
        </w:rPr>
        <w:t> </w:t>
      </w:r>
      <w:r>
        <w:rPr/>
        <w:t>vērtību un lemt par ieņēmumu sadali starp</w:t>
      </w:r>
      <w:r>
        <w:rPr>
          <w:spacing w:val="-4"/>
        </w:rPr>
        <w:t> </w:t>
      </w:r>
      <w:r>
        <w:rPr/>
        <w:t>kreditoriem.</w:t>
      </w:r>
    </w:p>
    <w:p>
      <w:pPr>
        <w:pStyle w:val="BodyText"/>
        <w:spacing w:before="7"/>
        <w:jc w:val="left"/>
        <w:rPr>
          <w:sz w:val="16"/>
        </w:rPr>
      </w:pPr>
      <w:r>
        <w:rPr/>
        <w:pict>
          <v:shape style="position:absolute;margin-left:90pt;margin-top:11.802819pt;width:144pt;height:.1pt;mso-position-horizontal-relative:page;mso-position-vertical-relative:paragraph;z-index:-251487232;mso-wrap-distance-left:0;mso-wrap-distance-right:0" coordorigin="1800,236" coordsize="2880,0" path="m1800,236l4680,236e" filled="false" stroked="true" strokeweight=".599991pt" strokecolor="#000000">
            <v:path arrowok="t"/>
            <v:stroke dashstyle="solid"/>
            <w10:wrap type="topAndBottom"/>
          </v:shape>
        </w:pict>
      </w:r>
    </w:p>
    <w:p>
      <w:pPr>
        <w:spacing w:before="70"/>
        <w:ind w:left="620" w:right="404" w:firstLine="0"/>
        <w:jc w:val="both"/>
        <w:rPr>
          <w:sz w:val="20"/>
        </w:rPr>
      </w:pPr>
      <w:r>
        <w:rPr>
          <w:position w:val="7"/>
          <w:sz w:val="13"/>
        </w:rPr>
        <w:t>333 </w:t>
      </w:r>
      <w:r>
        <w:rPr>
          <w:sz w:val="20"/>
        </w:rPr>
        <w:t>Study on a new approach to business failure and insolvency: Comperative legal analysis of the Member States’ relevant provisions and practices. </w:t>
      </w:r>
      <w:r>
        <w:rPr>
          <w:i/>
          <w:sz w:val="20"/>
        </w:rPr>
        <w:t>Appendix to Chapter 8: data table. </w:t>
      </w:r>
      <w:r>
        <w:rPr>
          <w:sz w:val="20"/>
        </w:rPr>
        <w:t>2016, p.388. Pieejams: </w:t>
      </w:r>
      <w:r>
        <w:rPr>
          <w:color w:val="0562C1"/>
          <w:sz w:val="20"/>
          <w:u w:val="single" w:color="0562C1"/>
        </w:rPr>
        <w:t>https://ec.europa.eu/info/sites/info/files/insolvency_study_2016_final_en.pdf</w:t>
      </w:r>
    </w:p>
    <w:p>
      <w:pPr>
        <w:spacing w:line="227" w:lineRule="exact" w:before="0"/>
        <w:ind w:left="620" w:right="0" w:firstLine="0"/>
        <w:jc w:val="both"/>
        <w:rPr>
          <w:sz w:val="20"/>
        </w:rPr>
      </w:pPr>
      <w:r>
        <w:rPr>
          <w:sz w:val="20"/>
        </w:rPr>
        <w:t>[aplūkots 2018.gada 11.oktobrī].</w:t>
      </w:r>
    </w:p>
    <w:p>
      <w:pPr>
        <w:spacing w:line="240" w:lineRule="auto" w:before="0"/>
        <w:ind w:left="620" w:right="402" w:firstLine="0"/>
        <w:jc w:val="both"/>
        <w:rPr>
          <w:sz w:val="20"/>
        </w:rPr>
      </w:pPr>
      <w:r>
        <w:rPr>
          <w:position w:val="7"/>
          <w:sz w:val="13"/>
        </w:rPr>
        <w:t>334 </w:t>
      </w:r>
      <w:r>
        <w:rPr>
          <w:sz w:val="20"/>
        </w:rPr>
        <w:t>Niemi-Kiesilainen J. Consumer bankruptcy in comparison: do we cure a market failure or a social problem? OSGOODE HALL LAW JOURNAL, VOL. 37 NOS. 1 &amp; 2, 1999., p.489.</w:t>
      </w:r>
    </w:p>
    <w:p>
      <w:pPr>
        <w:spacing w:line="240" w:lineRule="auto" w:before="0"/>
        <w:ind w:left="620" w:right="402" w:firstLine="0"/>
        <w:jc w:val="both"/>
        <w:rPr>
          <w:sz w:val="20"/>
        </w:rPr>
      </w:pPr>
      <w:r>
        <w:rPr>
          <w:position w:val="7"/>
          <w:sz w:val="13"/>
        </w:rPr>
        <w:t>335 </w:t>
      </w:r>
      <w:r>
        <w:rPr>
          <w:sz w:val="20"/>
        </w:rPr>
        <w:t>Study on means to protect consumers in financial difficulty: Personal bankruptcy, </w:t>
      </w:r>
      <w:r>
        <w:rPr>
          <w:i/>
          <w:sz w:val="20"/>
        </w:rPr>
        <w:t>datio in solutum </w:t>
      </w:r>
      <w:r>
        <w:rPr>
          <w:sz w:val="20"/>
        </w:rPr>
        <w:t>of mortgages, and restrictions on debt collection abusive practices. Final Report, prepared by London Economics, 2012., p.30. Pieejams:</w:t>
      </w:r>
      <w:r>
        <w:rPr>
          <w:color w:val="0562C1"/>
          <w:sz w:val="20"/>
          <w:u w:val="single" w:color="0562C1"/>
        </w:rPr>
        <w:t> https://ec.europa.eu/info/file/46906/download_en?token=9buOvl55</w:t>
      </w:r>
      <w:r>
        <w:rPr>
          <w:color w:val="0562C1"/>
          <w:sz w:val="20"/>
        </w:rPr>
        <w:t> </w:t>
      </w:r>
      <w:r>
        <w:rPr>
          <w:sz w:val="20"/>
        </w:rPr>
        <w:t>[aplūkots 2018.gada 11.oktobrī].</w:t>
      </w:r>
    </w:p>
    <w:p>
      <w:pPr>
        <w:spacing w:line="229" w:lineRule="exact" w:before="0"/>
        <w:ind w:left="620" w:right="0" w:firstLine="0"/>
        <w:jc w:val="both"/>
        <w:rPr>
          <w:sz w:val="20"/>
        </w:rPr>
      </w:pPr>
      <w:r>
        <w:rPr>
          <w:position w:val="7"/>
          <w:sz w:val="13"/>
        </w:rPr>
        <w:t>336 </w:t>
      </w:r>
      <w:r>
        <w:rPr>
          <w:sz w:val="20"/>
        </w:rPr>
        <w:t>Ibid, p.29.</w:t>
      </w:r>
    </w:p>
    <w:p>
      <w:pPr>
        <w:spacing w:after="0" w:line="229" w:lineRule="exact"/>
        <w:jc w:val="both"/>
        <w:rPr>
          <w:sz w:val="20"/>
        </w:rPr>
        <w:sectPr>
          <w:pgSz w:w="11910" w:h="16840"/>
          <w:pgMar w:header="0" w:footer="1055" w:top="1360" w:bottom="1240" w:left="1180" w:right="1040"/>
        </w:sectPr>
      </w:pPr>
    </w:p>
    <w:p>
      <w:pPr>
        <w:pStyle w:val="BodyText"/>
        <w:spacing w:before="73"/>
        <w:ind w:left="260" w:right="762" w:firstLine="720"/>
      </w:pPr>
      <w:r>
        <w:rPr/>
        <w:t>Kreditoriem savi prasījumi ir jāpiesaka 4 nedēļu laikā no bankrota rīkojuma izdošanas (Dānijas Bankrota likuma 128.pants). Par bankrota procedūras uzsākšanu tiek publicēts</w:t>
      </w:r>
      <w:r>
        <w:rPr>
          <w:spacing w:val="-11"/>
        </w:rPr>
        <w:t> </w:t>
      </w:r>
      <w:r>
        <w:rPr/>
        <w:t>paziņojums</w:t>
      </w:r>
      <w:r>
        <w:rPr>
          <w:spacing w:val="-11"/>
        </w:rPr>
        <w:t> </w:t>
      </w:r>
      <w:r>
        <w:rPr/>
        <w:t>Dānijas</w:t>
      </w:r>
      <w:r>
        <w:rPr>
          <w:spacing w:val="-11"/>
        </w:rPr>
        <w:t> </w:t>
      </w:r>
      <w:r>
        <w:rPr/>
        <w:t>oficiālajā</w:t>
      </w:r>
      <w:r>
        <w:rPr>
          <w:spacing w:val="-13"/>
        </w:rPr>
        <w:t> </w:t>
      </w:r>
      <w:r>
        <w:rPr/>
        <w:t>avīzē</w:t>
      </w:r>
      <w:r>
        <w:rPr>
          <w:spacing w:val="-10"/>
        </w:rPr>
        <w:t> </w:t>
      </w:r>
      <w:r>
        <w:rPr/>
        <w:t>(Danish</w:t>
      </w:r>
      <w:r>
        <w:rPr>
          <w:spacing w:val="-9"/>
        </w:rPr>
        <w:t> </w:t>
      </w:r>
      <w:r>
        <w:rPr/>
        <w:t>Law</w:t>
      </w:r>
      <w:r>
        <w:rPr>
          <w:spacing w:val="-11"/>
        </w:rPr>
        <w:t> </w:t>
      </w:r>
      <w:r>
        <w:rPr/>
        <w:t>Gazette),</w:t>
      </w:r>
      <w:r>
        <w:rPr>
          <w:spacing w:val="-13"/>
        </w:rPr>
        <w:t> </w:t>
      </w:r>
      <w:r>
        <w:rPr/>
        <w:t>kā</w:t>
      </w:r>
      <w:r>
        <w:rPr>
          <w:spacing w:val="-11"/>
        </w:rPr>
        <w:t> </w:t>
      </w:r>
      <w:r>
        <w:rPr/>
        <w:t>arī</w:t>
      </w:r>
      <w:r>
        <w:rPr>
          <w:spacing w:val="-10"/>
        </w:rPr>
        <w:t> </w:t>
      </w:r>
      <w:r>
        <w:rPr/>
        <w:t>paziņojums</w:t>
      </w:r>
      <w:r>
        <w:rPr>
          <w:spacing w:val="-8"/>
        </w:rPr>
        <w:t> </w:t>
      </w:r>
      <w:r>
        <w:rPr/>
        <w:t>tiek nosūtīts visiem zināmajiem</w:t>
      </w:r>
      <w:r>
        <w:rPr>
          <w:spacing w:val="-3"/>
        </w:rPr>
        <w:t> </w:t>
      </w:r>
      <w:r>
        <w:rPr/>
        <w:t>kreditoriem.</w:t>
      </w:r>
    </w:p>
    <w:p>
      <w:pPr>
        <w:pStyle w:val="BodyText"/>
        <w:ind w:left="260" w:right="764" w:firstLine="720"/>
      </w:pPr>
      <w:r>
        <w:rPr/>
        <w:t>Likumā</w:t>
      </w:r>
      <w:r>
        <w:rPr>
          <w:spacing w:val="-11"/>
        </w:rPr>
        <w:t> </w:t>
      </w:r>
      <w:r>
        <w:rPr/>
        <w:t>ir</w:t>
      </w:r>
      <w:r>
        <w:rPr>
          <w:spacing w:val="-9"/>
        </w:rPr>
        <w:t> </w:t>
      </w:r>
      <w:r>
        <w:rPr/>
        <w:t>noteikta</w:t>
      </w:r>
      <w:r>
        <w:rPr>
          <w:spacing w:val="-7"/>
        </w:rPr>
        <w:t> </w:t>
      </w:r>
      <w:r>
        <w:rPr/>
        <w:t>arī</w:t>
      </w:r>
      <w:r>
        <w:rPr>
          <w:spacing w:val="-11"/>
        </w:rPr>
        <w:t> </w:t>
      </w:r>
      <w:r>
        <w:rPr/>
        <w:t>kreditoru</w:t>
      </w:r>
      <w:r>
        <w:rPr>
          <w:spacing w:val="-13"/>
        </w:rPr>
        <w:t> </w:t>
      </w:r>
      <w:r>
        <w:rPr/>
        <w:t>prioritātes</w:t>
      </w:r>
      <w:r>
        <w:rPr>
          <w:spacing w:val="-11"/>
        </w:rPr>
        <w:t> </w:t>
      </w:r>
      <w:r>
        <w:rPr/>
        <w:t>kārtība,</w:t>
      </w:r>
      <w:r>
        <w:rPr>
          <w:spacing w:val="-9"/>
        </w:rPr>
        <w:t> </w:t>
      </w:r>
      <w:r>
        <w:rPr/>
        <w:t>kādā</w:t>
      </w:r>
      <w:r>
        <w:rPr>
          <w:spacing w:val="-11"/>
        </w:rPr>
        <w:t> </w:t>
      </w:r>
      <w:r>
        <w:rPr/>
        <w:t>iegūtie</w:t>
      </w:r>
      <w:r>
        <w:rPr>
          <w:spacing w:val="-9"/>
        </w:rPr>
        <w:t> </w:t>
      </w:r>
      <w:r>
        <w:rPr/>
        <w:t>līdzekļi</w:t>
      </w:r>
      <w:r>
        <w:rPr>
          <w:spacing w:val="-8"/>
        </w:rPr>
        <w:t> </w:t>
      </w:r>
      <w:r>
        <w:rPr/>
        <w:t>tiek</w:t>
      </w:r>
      <w:r>
        <w:rPr>
          <w:spacing w:val="-11"/>
        </w:rPr>
        <w:t> </w:t>
      </w:r>
      <w:r>
        <w:rPr/>
        <w:t>sadalīti starp kreditoriem, tam ir veltīta likuma</w:t>
      </w:r>
      <w:r>
        <w:rPr>
          <w:spacing w:val="2"/>
        </w:rPr>
        <w:t> </w:t>
      </w:r>
      <w:r>
        <w:rPr/>
        <w:t>10.nodaļa.</w:t>
      </w:r>
    </w:p>
    <w:p>
      <w:pPr>
        <w:pStyle w:val="BodyText"/>
        <w:ind w:left="260" w:right="762" w:firstLine="720"/>
      </w:pPr>
      <w:r>
        <w:rPr/>
        <w:t>Tiesa</w:t>
      </w:r>
      <w:r>
        <w:rPr>
          <w:spacing w:val="-10"/>
        </w:rPr>
        <w:t> </w:t>
      </w:r>
      <w:r>
        <w:rPr/>
        <w:t>apstiprina</w:t>
      </w:r>
      <w:r>
        <w:rPr>
          <w:spacing w:val="-4"/>
        </w:rPr>
        <w:t> </w:t>
      </w:r>
      <w:r>
        <w:rPr/>
        <w:t>galīgo</w:t>
      </w:r>
      <w:r>
        <w:rPr>
          <w:spacing w:val="-7"/>
        </w:rPr>
        <w:t> </w:t>
      </w:r>
      <w:r>
        <w:rPr/>
        <w:t>sarakstu,</w:t>
      </w:r>
      <w:r>
        <w:rPr>
          <w:spacing w:val="-6"/>
        </w:rPr>
        <w:t> </w:t>
      </w:r>
      <w:r>
        <w:rPr/>
        <w:t>kādā</w:t>
      </w:r>
      <w:r>
        <w:rPr>
          <w:spacing w:val="-6"/>
        </w:rPr>
        <w:t> </w:t>
      </w:r>
      <w:r>
        <w:rPr/>
        <w:t>kreditoriem</w:t>
      </w:r>
      <w:r>
        <w:rPr>
          <w:spacing w:val="-7"/>
        </w:rPr>
        <w:t> </w:t>
      </w:r>
      <w:r>
        <w:rPr/>
        <w:t>tiek</w:t>
      </w:r>
      <w:r>
        <w:rPr>
          <w:spacing w:val="-6"/>
        </w:rPr>
        <w:t> </w:t>
      </w:r>
      <w:r>
        <w:rPr/>
        <w:t>izmaksāti</w:t>
      </w:r>
      <w:r>
        <w:rPr>
          <w:spacing w:val="-5"/>
        </w:rPr>
        <w:t> </w:t>
      </w:r>
      <w:r>
        <w:rPr/>
        <w:t>līdzekļi</w:t>
      </w:r>
      <w:r>
        <w:rPr>
          <w:spacing w:val="-6"/>
        </w:rPr>
        <w:t> </w:t>
      </w:r>
      <w:r>
        <w:rPr/>
        <w:t>prasījumu segšanai (Dānijas Bankrota likuma</w:t>
      </w:r>
      <w:r>
        <w:rPr>
          <w:spacing w:val="-7"/>
        </w:rPr>
        <w:t> </w:t>
      </w:r>
      <w:r>
        <w:rPr/>
        <w:t>152.pants).</w:t>
      </w:r>
    </w:p>
    <w:p>
      <w:pPr>
        <w:pStyle w:val="BodyText"/>
        <w:spacing w:before="5"/>
        <w:jc w:val="left"/>
      </w:pPr>
    </w:p>
    <w:p>
      <w:pPr>
        <w:pStyle w:val="Heading4"/>
        <w:numPr>
          <w:ilvl w:val="1"/>
          <w:numId w:val="89"/>
        </w:numPr>
        <w:tabs>
          <w:tab w:pos="1393" w:val="left" w:leader="none"/>
        </w:tabs>
        <w:spacing w:line="240" w:lineRule="auto" w:before="0" w:after="0"/>
        <w:ind w:left="1392" w:right="0" w:hanging="426"/>
        <w:jc w:val="left"/>
        <w:rPr>
          <w:i/>
        </w:rPr>
      </w:pPr>
      <w:bookmarkStart w:name="_TOC_250036" w:id="42"/>
      <w:r>
        <w:rPr>
          <w:i/>
        </w:rPr>
        <w:t>Debt</w:t>
      </w:r>
      <w:r>
        <w:rPr>
          <w:i/>
          <w:spacing w:val="1"/>
        </w:rPr>
        <w:t> </w:t>
      </w:r>
      <w:bookmarkEnd w:id="42"/>
      <w:r>
        <w:rPr>
          <w:i/>
        </w:rPr>
        <w:t>restructuring</w:t>
      </w:r>
    </w:p>
    <w:p>
      <w:pPr>
        <w:pStyle w:val="BodyText"/>
        <w:spacing w:before="7"/>
        <w:jc w:val="left"/>
        <w:rPr>
          <w:b/>
          <w:i/>
          <w:sz w:val="23"/>
        </w:rPr>
      </w:pPr>
    </w:p>
    <w:p>
      <w:pPr>
        <w:pStyle w:val="BodyText"/>
        <w:ind w:left="260" w:right="761" w:firstLine="720"/>
      </w:pPr>
      <w:r>
        <w:rPr/>
        <w:t>Parādu pārstrukturizāciju regulē Dānijas Bankrota likums, kurš paredz, ka to var piemērot gan juridiskām, gan fiziskām personām, kas ir uzņēmēji (</w:t>
      </w:r>
      <w:r>
        <w:rPr>
          <w:i/>
        </w:rPr>
        <w:t>entrepreneurs</w:t>
      </w:r>
      <w:r>
        <w:rPr/>
        <w:t>). Tomēr no likuma regulējuma izriet, ka faktiski kreditors var iesniegt pieteikumu tikai attiecībā uz juridiskām personām, savukārt, ja kreditors iesniedz pieteikumu attiecībā pret fizisko personu, un fiziskā persona nav piekritusi šim kreditora pieteikumam, tad šo kreditora pieteikumu automātiski uzskata, kā pieteikumu parādnieka bankrota procedūrai, nevis parādu restrukturizācijas procedūrai (Dānijas Bankrota likuma 11.panta piektā daļa).</w:t>
      </w:r>
    </w:p>
    <w:p>
      <w:pPr>
        <w:pStyle w:val="BodyText"/>
        <w:ind w:left="260" w:right="764" w:firstLine="720"/>
      </w:pPr>
      <w:r>
        <w:rPr/>
        <w:t>Ierosinot parāda restrukturizāciju, tiesa ieceļ pārstrukturēšanas administratoru, kā arī pārstrukturēšanas grāmatvedi (Dānijas Bankrota likuma 11.a panta pirmā daļa).</w:t>
      </w:r>
    </w:p>
    <w:p>
      <w:pPr>
        <w:pStyle w:val="BodyText"/>
        <w:spacing w:line="235" w:lineRule="auto" w:before="5"/>
        <w:ind w:left="260" w:right="762" w:firstLine="720"/>
      </w:pPr>
      <w:r>
        <w:rPr/>
        <w:t>Restrukturizācijā ir jābūt iesaistītam vismaz vienam no likumā noteiktajiem elementiem: obligāta vienošanās ar kreditoriem par parādu sadalīšanu/atlikšanu/samazināšanu vai biznesa (visa vai tā daļas) nodošanu (Dānijas Bankrota likuma 10.pants, 10</w:t>
      </w:r>
      <w:r>
        <w:rPr>
          <w:position w:val="9"/>
          <w:sz w:val="16"/>
        </w:rPr>
        <w:t>a </w:t>
      </w:r>
      <w:r>
        <w:rPr/>
        <w:t>pants un 10</w:t>
      </w:r>
      <w:r>
        <w:rPr>
          <w:position w:val="9"/>
          <w:sz w:val="16"/>
        </w:rPr>
        <w:t>b </w:t>
      </w:r>
      <w:r>
        <w:rPr/>
        <w:t>pants).</w:t>
      </w:r>
    </w:p>
    <w:p>
      <w:pPr>
        <w:pStyle w:val="BodyText"/>
        <w:spacing w:before="2"/>
        <w:ind w:left="260" w:right="762" w:firstLine="720"/>
      </w:pPr>
      <w:r>
        <w:rPr/>
        <w:t>Restrukturizācijas</w:t>
      </w:r>
      <w:r>
        <w:rPr>
          <w:spacing w:val="-13"/>
        </w:rPr>
        <w:t> </w:t>
      </w:r>
      <w:r>
        <w:rPr/>
        <w:t>plānu</w:t>
      </w:r>
      <w:r>
        <w:rPr>
          <w:spacing w:val="-13"/>
        </w:rPr>
        <w:t> </w:t>
      </w:r>
      <w:r>
        <w:rPr/>
        <w:t>ir</w:t>
      </w:r>
      <w:r>
        <w:rPr>
          <w:spacing w:val="-12"/>
        </w:rPr>
        <w:t> </w:t>
      </w:r>
      <w:r>
        <w:rPr/>
        <w:t>jāapstiprina</w:t>
      </w:r>
      <w:r>
        <w:rPr>
          <w:spacing w:val="-12"/>
        </w:rPr>
        <w:t> </w:t>
      </w:r>
      <w:r>
        <w:rPr/>
        <w:t>kreditoriem</w:t>
      </w:r>
      <w:r>
        <w:rPr>
          <w:spacing w:val="-12"/>
        </w:rPr>
        <w:t> </w:t>
      </w:r>
      <w:r>
        <w:rPr/>
        <w:t>–</w:t>
      </w:r>
      <w:r>
        <w:rPr>
          <w:spacing w:val="-13"/>
        </w:rPr>
        <w:t> </w:t>
      </w:r>
      <w:r>
        <w:rPr/>
        <w:t>plānu</w:t>
      </w:r>
      <w:r>
        <w:rPr>
          <w:spacing w:val="-10"/>
        </w:rPr>
        <w:t> </w:t>
      </w:r>
      <w:r>
        <w:rPr/>
        <w:t>uzskata</w:t>
      </w:r>
      <w:r>
        <w:rPr>
          <w:spacing w:val="-13"/>
        </w:rPr>
        <w:t> </w:t>
      </w:r>
      <w:r>
        <w:rPr/>
        <w:t>par</w:t>
      </w:r>
      <w:r>
        <w:rPr>
          <w:spacing w:val="-15"/>
        </w:rPr>
        <w:t> </w:t>
      </w:r>
      <w:r>
        <w:rPr/>
        <w:t>neatbalstītu, ja vismaz 25 % no kreditoriem šo plānu neatbalsta (Dānijas Bankrota likuma 11E</w:t>
      </w:r>
      <w:r>
        <w:rPr>
          <w:spacing w:val="-9"/>
        </w:rPr>
        <w:t> </w:t>
      </w:r>
      <w:r>
        <w:rPr/>
        <w:t>pants).</w:t>
      </w:r>
    </w:p>
    <w:p>
      <w:pPr>
        <w:pStyle w:val="BodyText"/>
        <w:spacing w:before="5"/>
        <w:jc w:val="left"/>
      </w:pPr>
    </w:p>
    <w:p>
      <w:pPr>
        <w:pStyle w:val="Heading4"/>
        <w:numPr>
          <w:ilvl w:val="1"/>
          <w:numId w:val="89"/>
        </w:numPr>
        <w:tabs>
          <w:tab w:pos="1393" w:val="left" w:leader="none"/>
        </w:tabs>
        <w:spacing w:line="240" w:lineRule="auto" w:before="0" w:after="0"/>
        <w:ind w:left="1392" w:right="0" w:hanging="426"/>
        <w:jc w:val="left"/>
        <w:rPr>
          <w:i/>
        </w:rPr>
      </w:pPr>
      <w:r>
        <w:rPr>
          <w:i/>
        </w:rPr>
        <w:t>Debt rescheduling (turpmāk – parādu</w:t>
      </w:r>
      <w:r>
        <w:rPr>
          <w:i/>
          <w:spacing w:val="3"/>
        </w:rPr>
        <w:t> </w:t>
      </w:r>
      <w:r>
        <w:rPr>
          <w:i/>
        </w:rPr>
        <w:t>pārplānošana)</w:t>
      </w:r>
    </w:p>
    <w:p>
      <w:pPr>
        <w:pStyle w:val="BodyText"/>
        <w:spacing w:before="11"/>
        <w:jc w:val="left"/>
        <w:rPr>
          <w:b/>
          <w:i/>
          <w:sz w:val="23"/>
        </w:rPr>
      </w:pPr>
    </w:p>
    <w:p>
      <w:pPr>
        <w:pStyle w:val="BodyText"/>
        <w:spacing w:line="235" w:lineRule="auto"/>
        <w:ind w:left="260" w:right="761" w:firstLine="720"/>
      </w:pPr>
      <w:r>
        <w:rPr/>
        <w:t>Dānija bija pirmā kontinentālā Eiropas valsts, kas pieņēma īpašu tiesisku režīmu, kura mērķis bija novērst problēmas, kas saistītas ar pārmērīgu patērētāju parādsaistību esamību.</w:t>
      </w:r>
      <w:r>
        <w:rPr>
          <w:spacing w:val="-13"/>
        </w:rPr>
        <w:t> </w:t>
      </w:r>
      <w:r>
        <w:rPr/>
        <w:t>Aizsākumi</w:t>
      </w:r>
      <w:r>
        <w:rPr>
          <w:spacing w:val="-13"/>
        </w:rPr>
        <w:t> </w:t>
      </w:r>
      <w:r>
        <w:rPr/>
        <w:t>šai</w:t>
      </w:r>
      <w:r>
        <w:rPr>
          <w:spacing w:val="-15"/>
        </w:rPr>
        <w:t> </w:t>
      </w:r>
      <w:r>
        <w:rPr/>
        <w:t>idejai</w:t>
      </w:r>
      <w:r>
        <w:rPr>
          <w:spacing w:val="-13"/>
        </w:rPr>
        <w:t> </w:t>
      </w:r>
      <w:r>
        <w:rPr/>
        <w:t>meklējami</w:t>
      </w:r>
      <w:r>
        <w:rPr>
          <w:spacing w:val="-11"/>
        </w:rPr>
        <w:t> </w:t>
      </w:r>
      <w:r>
        <w:rPr/>
        <w:t>kopš</w:t>
      </w:r>
      <w:r>
        <w:rPr>
          <w:spacing w:val="-13"/>
        </w:rPr>
        <w:t> </w:t>
      </w:r>
      <w:r>
        <w:rPr/>
        <w:t>1972.</w:t>
      </w:r>
      <w:r>
        <w:rPr>
          <w:spacing w:val="-13"/>
        </w:rPr>
        <w:t> </w:t>
      </w:r>
      <w:r>
        <w:rPr/>
        <w:t>gada</w:t>
      </w:r>
      <w:r>
        <w:rPr>
          <w:spacing w:val="-13"/>
        </w:rPr>
        <w:t> </w:t>
      </w:r>
      <w:r>
        <w:rPr/>
        <w:t>janvāra,</w:t>
      </w:r>
      <w:r>
        <w:rPr>
          <w:spacing w:val="-16"/>
        </w:rPr>
        <w:t> </w:t>
      </w:r>
      <w:r>
        <w:rPr/>
        <w:t>kas</w:t>
      </w:r>
      <w:r>
        <w:rPr>
          <w:spacing w:val="-13"/>
        </w:rPr>
        <w:t> </w:t>
      </w:r>
      <w:r>
        <w:rPr/>
        <w:t>noslēdzās</w:t>
      </w:r>
      <w:r>
        <w:rPr>
          <w:spacing w:val="-13"/>
        </w:rPr>
        <w:t> </w:t>
      </w:r>
      <w:r>
        <w:rPr/>
        <w:t>ar</w:t>
      </w:r>
      <w:r>
        <w:rPr>
          <w:spacing w:val="-17"/>
        </w:rPr>
        <w:t> </w:t>
      </w:r>
      <w:r>
        <w:rPr/>
        <w:t>Dānijas patēriņa parādu korekcijas akta (</w:t>
      </w:r>
      <w:r>
        <w:rPr>
          <w:i/>
        </w:rPr>
        <w:t>Gældssaneringslov) </w:t>
      </w:r>
      <w:r>
        <w:rPr/>
        <w:t>pieņemšanu 1984. gada 9. maijā.</w:t>
      </w:r>
      <w:r>
        <w:rPr>
          <w:position w:val="9"/>
          <w:sz w:val="16"/>
        </w:rPr>
        <w:t>337 </w:t>
      </w:r>
      <w:r>
        <w:rPr/>
        <w:t>Šis likums ar paragrāfiem 25.-29. pievienoja jaunu daļu spēkā esošajam 1977.gada Bankrota likumam (</w:t>
      </w:r>
      <w:r>
        <w:rPr>
          <w:i/>
        </w:rPr>
        <w:t>Konkurslov).</w:t>
      </w:r>
      <w:r>
        <w:rPr>
          <w:position w:val="9"/>
          <w:sz w:val="16"/>
        </w:rPr>
        <w:t>338 </w:t>
      </w:r>
      <w:r>
        <w:rPr/>
        <w:t>Nodaļa ir domāta tikai fiziskajām personām, un ļauj tām atbrīvoties no saviem</w:t>
      </w:r>
      <w:r>
        <w:rPr>
          <w:spacing w:val="-1"/>
        </w:rPr>
        <w:t> </w:t>
      </w:r>
      <w:r>
        <w:rPr/>
        <w:t>parādiem.</w:t>
      </w:r>
    </w:p>
    <w:p>
      <w:pPr>
        <w:pStyle w:val="BodyText"/>
        <w:spacing w:line="232" w:lineRule="auto" w:before="11"/>
        <w:ind w:left="260" w:right="762" w:firstLine="720"/>
      </w:pPr>
      <w:r>
        <w:rPr/>
        <w:t>Dānijas likumdevēja mērķis, ieviešot parādu dzēšanas procedūru, bija panākt, ka personām tiek dzēsti “bezcerīgie” parādi.</w:t>
      </w:r>
      <w:r>
        <w:rPr>
          <w:position w:val="9"/>
          <w:sz w:val="16"/>
        </w:rPr>
        <w:t>339 </w:t>
      </w:r>
      <w:r>
        <w:rPr/>
        <w:t>Būtisks jautājums bija par to, kā konstatēt šos “bezcerīgos parādus”.</w:t>
      </w:r>
    </w:p>
    <w:p>
      <w:pPr>
        <w:pStyle w:val="BodyText"/>
        <w:spacing w:before="2"/>
        <w:ind w:left="260" w:right="764" w:firstLine="720"/>
      </w:pPr>
      <w:r>
        <w:rPr/>
        <w:t>Atkāpjoties no ilgstošās tradīcijas turēt individuālos parādniekus pie saviem noslēgtajiem darījumiem, Dānijas sākotnējā pieredze liecināja par to, ka parādu pārplānošana un atbrīvošana ir iespējama tikai vissmagākajiem un visbezcerīgākajiem</w:t>
      </w:r>
    </w:p>
    <w:p>
      <w:pPr>
        <w:pStyle w:val="BodyText"/>
        <w:jc w:val="left"/>
        <w:rPr>
          <w:sz w:val="20"/>
        </w:rPr>
      </w:pPr>
    </w:p>
    <w:p>
      <w:pPr>
        <w:pStyle w:val="BodyText"/>
        <w:jc w:val="left"/>
        <w:rPr>
          <w:sz w:val="20"/>
        </w:rPr>
      </w:pPr>
    </w:p>
    <w:p>
      <w:pPr>
        <w:pStyle w:val="BodyText"/>
        <w:spacing w:before="7"/>
        <w:jc w:val="left"/>
        <w:rPr>
          <w:sz w:val="12"/>
        </w:rPr>
      </w:pPr>
      <w:r>
        <w:rPr/>
        <w:pict>
          <v:shape style="position:absolute;margin-left:72pt;margin-top:9.546192pt;width:144pt;height:.1pt;mso-position-horizontal-relative:page;mso-position-vertical-relative:paragraph;z-index:-251486208;mso-wrap-distance-left:0;mso-wrap-distance-right:0" coordorigin="1440,191" coordsize="2880,0" path="m1440,191l4320,191e" filled="false" stroked="true" strokeweight=".599991pt" strokecolor="#000000">
            <v:path arrowok="t"/>
            <v:stroke dashstyle="solid"/>
            <w10:wrap type="topAndBottom"/>
          </v:shape>
        </w:pict>
      </w:r>
    </w:p>
    <w:p>
      <w:pPr>
        <w:spacing w:before="70"/>
        <w:ind w:left="260" w:right="0" w:firstLine="0"/>
        <w:jc w:val="left"/>
        <w:rPr>
          <w:sz w:val="20"/>
        </w:rPr>
      </w:pPr>
      <w:r>
        <w:rPr>
          <w:position w:val="7"/>
          <w:sz w:val="13"/>
        </w:rPr>
        <w:t>337</w:t>
      </w:r>
      <w:r>
        <w:rPr>
          <w:spacing w:val="3"/>
          <w:position w:val="7"/>
          <w:sz w:val="13"/>
        </w:rPr>
        <w:t> </w:t>
      </w:r>
      <w:r>
        <w:rPr>
          <w:sz w:val="20"/>
        </w:rPr>
        <w:t>Viimsalu</w:t>
      </w:r>
      <w:r>
        <w:rPr>
          <w:spacing w:val="-12"/>
          <w:sz w:val="20"/>
        </w:rPr>
        <w:t> </w:t>
      </w:r>
      <w:r>
        <w:rPr>
          <w:sz w:val="20"/>
        </w:rPr>
        <w:t>S.</w:t>
      </w:r>
      <w:r>
        <w:rPr>
          <w:spacing w:val="-15"/>
          <w:sz w:val="20"/>
        </w:rPr>
        <w:t> </w:t>
      </w:r>
      <w:r>
        <w:rPr>
          <w:sz w:val="20"/>
        </w:rPr>
        <w:t>The</w:t>
      </w:r>
      <w:r>
        <w:rPr>
          <w:spacing w:val="-14"/>
          <w:sz w:val="20"/>
        </w:rPr>
        <w:t> </w:t>
      </w:r>
      <w:r>
        <w:rPr>
          <w:sz w:val="20"/>
        </w:rPr>
        <w:t>Over-Indebtedness</w:t>
      </w:r>
      <w:r>
        <w:rPr>
          <w:spacing w:val="-12"/>
          <w:sz w:val="20"/>
        </w:rPr>
        <w:t> </w:t>
      </w:r>
      <w:r>
        <w:rPr>
          <w:sz w:val="20"/>
        </w:rPr>
        <w:t>Regulatory</w:t>
      </w:r>
      <w:r>
        <w:rPr>
          <w:spacing w:val="-14"/>
          <w:sz w:val="20"/>
        </w:rPr>
        <w:t> </w:t>
      </w:r>
      <w:r>
        <w:rPr>
          <w:sz w:val="20"/>
        </w:rPr>
        <w:t>System</w:t>
      </w:r>
      <w:r>
        <w:rPr>
          <w:spacing w:val="-14"/>
          <w:sz w:val="20"/>
        </w:rPr>
        <w:t> </w:t>
      </w:r>
      <w:r>
        <w:rPr>
          <w:sz w:val="20"/>
        </w:rPr>
        <w:t>in</w:t>
      </w:r>
      <w:r>
        <w:rPr>
          <w:spacing w:val="-14"/>
          <w:sz w:val="20"/>
        </w:rPr>
        <w:t> </w:t>
      </w:r>
      <w:r>
        <w:rPr>
          <w:sz w:val="20"/>
        </w:rPr>
        <w:t>the</w:t>
      </w:r>
      <w:r>
        <w:rPr>
          <w:spacing w:val="-13"/>
          <w:sz w:val="20"/>
        </w:rPr>
        <w:t> </w:t>
      </w:r>
      <w:r>
        <w:rPr>
          <w:sz w:val="20"/>
        </w:rPr>
        <w:t>Light</w:t>
      </w:r>
      <w:r>
        <w:rPr>
          <w:spacing w:val="-12"/>
          <w:sz w:val="20"/>
        </w:rPr>
        <w:t> </w:t>
      </w:r>
      <w:r>
        <w:rPr>
          <w:sz w:val="20"/>
        </w:rPr>
        <w:t>of</w:t>
      </w:r>
      <w:r>
        <w:rPr>
          <w:spacing w:val="-15"/>
          <w:sz w:val="20"/>
        </w:rPr>
        <w:t> </w:t>
      </w:r>
      <w:r>
        <w:rPr>
          <w:sz w:val="20"/>
        </w:rPr>
        <w:t>the</w:t>
      </w:r>
      <w:r>
        <w:rPr>
          <w:spacing w:val="-10"/>
          <w:sz w:val="20"/>
        </w:rPr>
        <w:t> </w:t>
      </w:r>
      <w:r>
        <w:rPr>
          <w:sz w:val="20"/>
        </w:rPr>
        <w:t>Changing</w:t>
      </w:r>
      <w:r>
        <w:rPr>
          <w:spacing w:val="-15"/>
          <w:sz w:val="20"/>
        </w:rPr>
        <w:t> </w:t>
      </w:r>
      <w:r>
        <w:rPr>
          <w:sz w:val="20"/>
        </w:rPr>
        <w:t>Economic</w:t>
      </w:r>
      <w:r>
        <w:rPr>
          <w:spacing w:val="-12"/>
          <w:sz w:val="20"/>
        </w:rPr>
        <w:t> </w:t>
      </w:r>
      <w:r>
        <w:rPr>
          <w:sz w:val="20"/>
        </w:rPr>
        <w:t>Landscape. JURIDICA INTERNATIONAL XVII/2010,</w:t>
      </w:r>
      <w:r>
        <w:rPr>
          <w:spacing w:val="-6"/>
          <w:sz w:val="20"/>
        </w:rPr>
        <w:t> </w:t>
      </w:r>
      <w:r>
        <w:rPr>
          <w:sz w:val="20"/>
        </w:rPr>
        <w:t>p.220.</w:t>
      </w:r>
    </w:p>
    <w:p>
      <w:pPr>
        <w:spacing w:line="240" w:lineRule="auto" w:before="0"/>
        <w:ind w:left="260" w:right="763" w:firstLine="0"/>
        <w:jc w:val="both"/>
        <w:rPr>
          <w:sz w:val="20"/>
        </w:rPr>
      </w:pPr>
      <w:r>
        <w:rPr>
          <w:position w:val="7"/>
          <w:sz w:val="13"/>
        </w:rPr>
        <w:t>338 </w:t>
      </w:r>
      <w:r>
        <w:rPr>
          <w:sz w:val="20"/>
        </w:rPr>
        <w:t>Kilborn J. Twenty-five Years of Consumer Bankruptcy in Continental Europe: Internalizing Negative Externalities and Humanizing Justice in Denmark. INSOL International Insolvency Review, 2009, Vol.18:155^185, p.166.</w:t>
      </w:r>
    </w:p>
    <w:p>
      <w:pPr>
        <w:spacing w:line="240" w:lineRule="auto" w:before="0"/>
        <w:ind w:left="260" w:right="762" w:firstLine="0"/>
        <w:jc w:val="both"/>
        <w:rPr>
          <w:sz w:val="20"/>
        </w:rPr>
      </w:pPr>
      <w:r>
        <w:rPr>
          <w:position w:val="7"/>
          <w:sz w:val="13"/>
        </w:rPr>
        <w:t>339 </w:t>
      </w:r>
      <w:r>
        <w:rPr>
          <w:sz w:val="20"/>
        </w:rPr>
        <w:t>Niemi-Kiesilainen J. Consumer bankruptcy in comparison: do we cure a market failure or a social problem? OSGOODE HALL LAW JOURNAL, VOL. 37 NOS. 1 &amp; 2, 1999., p.488.</w:t>
      </w:r>
    </w:p>
    <w:p>
      <w:pPr>
        <w:spacing w:after="0" w:line="240" w:lineRule="auto"/>
        <w:jc w:val="both"/>
        <w:rPr>
          <w:sz w:val="20"/>
        </w:rPr>
        <w:sectPr>
          <w:pgSz w:w="11910" w:h="16840"/>
          <w:pgMar w:header="0" w:footer="1055" w:top="1340" w:bottom="1240" w:left="1180" w:right="1040"/>
        </w:sectPr>
      </w:pPr>
    </w:p>
    <w:p>
      <w:pPr>
        <w:pStyle w:val="BodyText"/>
        <w:spacing w:line="237" w:lineRule="auto" w:before="80"/>
        <w:ind w:left="620" w:right="402"/>
        <w:rPr>
          <w:sz w:val="16"/>
        </w:rPr>
      </w:pPr>
      <w:r>
        <w:rPr/>
        <w:t>apgrūtinājumiem.</w:t>
      </w:r>
      <w:r>
        <w:rPr>
          <w:position w:val="9"/>
          <w:sz w:val="16"/>
        </w:rPr>
        <w:t>340</w:t>
      </w:r>
      <w:r>
        <w:rPr>
          <w:spacing w:val="10"/>
          <w:position w:val="9"/>
          <w:sz w:val="16"/>
        </w:rPr>
        <w:t> </w:t>
      </w:r>
      <w:r>
        <w:rPr/>
        <w:t>Lai</w:t>
      </w:r>
      <w:r>
        <w:rPr>
          <w:spacing w:val="-13"/>
        </w:rPr>
        <w:t> </w:t>
      </w:r>
      <w:r>
        <w:rPr/>
        <w:t>novērstu</w:t>
      </w:r>
      <w:r>
        <w:rPr>
          <w:spacing w:val="-13"/>
        </w:rPr>
        <w:t> </w:t>
      </w:r>
      <w:r>
        <w:rPr/>
        <w:t>gadījumus,</w:t>
      </w:r>
      <w:r>
        <w:rPr>
          <w:spacing w:val="-13"/>
        </w:rPr>
        <w:t> </w:t>
      </w:r>
      <w:r>
        <w:rPr/>
        <w:t>kad</w:t>
      </w:r>
      <w:r>
        <w:rPr>
          <w:spacing w:val="-16"/>
        </w:rPr>
        <w:t> </w:t>
      </w:r>
      <w:r>
        <w:rPr/>
        <w:t>šāda</w:t>
      </w:r>
      <w:r>
        <w:rPr>
          <w:spacing w:val="-16"/>
        </w:rPr>
        <w:t> </w:t>
      </w:r>
      <w:r>
        <w:rPr/>
        <w:t>jauna</w:t>
      </w:r>
      <w:r>
        <w:rPr>
          <w:spacing w:val="-13"/>
        </w:rPr>
        <w:t> </w:t>
      </w:r>
      <w:r>
        <w:rPr/>
        <w:t>iespēja</w:t>
      </w:r>
      <w:r>
        <w:rPr>
          <w:spacing w:val="-14"/>
        </w:rPr>
        <w:t> </w:t>
      </w:r>
      <w:r>
        <w:rPr/>
        <w:t>nokārtot</w:t>
      </w:r>
      <w:r>
        <w:rPr>
          <w:spacing w:val="-13"/>
        </w:rPr>
        <w:t> </w:t>
      </w:r>
      <w:r>
        <w:rPr/>
        <w:t>savus</w:t>
      </w:r>
      <w:r>
        <w:rPr>
          <w:spacing w:val="-13"/>
        </w:rPr>
        <w:t> </w:t>
      </w:r>
      <w:r>
        <w:rPr/>
        <w:t>parādus tiktu izmantota ļaunprātīgi, Dānijas sākotnējais likums paredzēja ļoti striktus noteikumus: pirmkārt, procedūrā varēja uzņemt tikai tos parādniekus, kad cieta no pierādāmas un acīmredzamas</w:t>
      </w:r>
      <w:r>
        <w:rPr>
          <w:spacing w:val="-7"/>
        </w:rPr>
        <w:t> </w:t>
      </w:r>
      <w:r>
        <w:rPr/>
        <w:t>“kvalificējamās</w:t>
      </w:r>
      <w:r>
        <w:rPr>
          <w:spacing w:val="-8"/>
        </w:rPr>
        <w:t> </w:t>
      </w:r>
      <w:r>
        <w:rPr/>
        <w:t>maksātnespējas”</w:t>
      </w:r>
      <w:r>
        <w:rPr>
          <w:spacing w:val="-6"/>
        </w:rPr>
        <w:t> </w:t>
      </w:r>
      <w:r>
        <w:rPr/>
        <w:t>–</w:t>
      </w:r>
      <w:r>
        <w:rPr>
          <w:spacing w:val="-6"/>
        </w:rPr>
        <w:t> </w:t>
      </w:r>
      <w:r>
        <w:rPr/>
        <w:t>pilnīgu</w:t>
      </w:r>
      <w:r>
        <w:rPr>
          <w:spacing w:val="-7"/>
        </w:rPr>
        <w:t> </w:t>
      </w:r>
      <w:r>
        <w:rPr/>
        <w:t>neiespējamību</w:t>
      </w:r>
      <w:r>
        <w:rPr>
          <w:spacing w:val="-6"/>
        </w:rPr>
        <w:t> </w:t>
      </w:r>
      <w:r>
        <w:rPr/>
        <w:t>ietaupīt</w:t>
      </w:r>
      <w:r>
        <w:rPr>
          <w:spacing w:val="-4"/>
        </w:rPr>
        <w:t> </w:t>
      </w:r>
      <w:r>
        <w:rPr/>
        <w:t>un</w:t>
      </w:r>
      <w:r>
        <w:rPr>
          <w:spacing w:val="-6"/>
        </w:rPr>
        <w:t> </w:t>
      </w:r>
      <w:r>
        <w:rPr/>
        <w:t>dzīvot tādā</w:t>
      </w:r>
      <w:r>
        <w:rPr>
          <w:spacing w:val="-13"/>
        </w:rPr>
        <w:t> </w:t>
      </w:r>
      <w:r>
        <w:rPr/>
        <w:t>veidā,</w:t>
      </w:r>
      <w:r>
        <w:rPr>
          <w:spacing w:val="-11"/>
        </w:rPr>
        <w:t> </w:t>
      </w:r>
      <w:r>
        <w:rPr/>
        <w:t>lai</w:t>
      </w:r>
      <w:r>
        <w:rPr>
          <w:spacing w:val="-11"/>
        </w:rPr>
        <w:t> </w:t>
      </w:r>
      <w:r>
        <w:rPr/>
        <w:t>tuvākajā</w:t>
      </w:r>
      <w:r>
        <w:rPr>
          <w:spacing w:val="-11"/>
        </w:rPr>
        <w:t> </w:t>
      </w:r>
      <w:r>
        <w:rPr/>
        <w:t>nākotnē</w:t>
      </w:r>
      <w:r>
        <w:rPr>
          <w:spacing w:val="-13"/>
        </w:rPr>
        <w:t> </w:t>
      </w:r>
      <w:r>
        <w:rPr/>
        <w:t>segtu</w:t>
      </w:r>
      <w:r>
        <w:rPr>
          <w:spacing w:val="-11"/>
        </w:rPr>
        <w:t> </w:t>
      </w:r>
      <w:r>
        <w:rPr/>
        <w:t>savus</w:t>
      </w:r>
      <w:r>
        <w:rPr>
          <w:spacing w:val="-9"/>
        </w:rPr>
        <w:t> </w:t>
      </w:r>
      <w:r>
        <w:rPr/>
        <w:t>parādus.</w:t>
      </w:r>
      <w:r>
        <w:rPr>
          <w:spacing w:val="-9"/>
        </w:rPr>
        <w:t> </w:t>
      </w:r>
      <w:r>
        <w:rPr/>
        <w:t>Otrkārt,</w:t>
      </w:r>
      <w:r>
        <w:rPr>
          <w:spacing w:val="-10"/>
        </w:rPr>
        <w:t> </w:t>
      </w:r>
      <w:r>
        <w:rPr/>
        <w:t>parādniekam</w:t>
      </w:r>
      <w:r>
        <w:rPr>
          <w:spacing w:val="-11"/>
        </w:rPr>
        <w:t> </w:t>
      </w:r>
      <w:r>
        <w:rPr/>
        <w:t>bija</w:t>
      </w:r>
      <w:r>
        <w:rPr>
          <w:spacing w:val="-13"/>
        </w:rPr>
        <w:t> </w:t>
      </w:r>
      <w:r>
        <w:rPr/>
        <w:t>jāpārliecina tiesa, ka viņa gadījums bija atzīstams par tādu, kurā būtu pieļaujama maksājumu pagarināšana kreditoriem parādu pārplānošanas ietvaros – šo apstākli jo īpaši ietekmēja pakāpe,</w:t>
      </w:r>
      <w:r>
        <w:rPr>
          <w:spacing w:val="-7"/>
        </w:rPr>
        <w:t> </w:t>
      </w:r>
      <w:r>
        <w:rPr/>
        <w:t>kādā</w:t>
      </w:r>
      <w:r>
        <w:rPr>
          <w:spacing w:val="-6"/>
        </w:rPr>
        <w:t> </w:t>
      </w:r>
      <w:r>
        <w:rPr/>
        <w:t>parādnieks</w:t>
      </w:r>
      <w:r>
        <w:rPr>
          <w:spacing w:val="-4"/>
        </w:rPr>
        <w:t> </w:t>
      </w:r>
      <w:r>
        <w:rPr/>
        <w:t>ir</w:t>
      </w:r>
      <w:r>
        <w:rPr>
          <w:spacing w:val="-7"/>
        </w:rPr>
        <w:t> </w:t>
      </w:r>
      <w:r>
        <w:rPr/>
        <w:t>centies</w:t>
      </w:r>
      <w:r>
        <w:rPr>
          <w:spacing w:val="-6"/>
        </w:rPr>
        <w:t> </w:t>
      </w:r>
      <w:r>
        <w:rPr/>
        <w:t>pārvaldīt</w:t>
      </w:r>
      <w:r>
        <w:rPr>
          <w:spacing w:val="-4"/>
        </w:rPr>
        <w:t> </w:t>
      </w:r>
      <w:r>
        <w:rPr/>
        <w:t>savus</w:t>
      </w:r>
      <w:r>
        <w:rPr>
          <w:spacing w:val="-7"/>
        </w:rPr>
        <w:t> </w:t>
      </w:r>
      <w:r>
        <w:rPr/>
        <w:t>parādus,</w:t>
      </w:r>
      <w:r>
        <w:rPr>
          <w:spacing w:val="-6"/>
        </w:rPr>
        <w:t> </w:t>
      </w:r>
      <w:r>
        <w:rPr/>
        <w:t>kā</w:t>
      </w:r>
      <w:r>
        <w:rPr>
          <w:spacing w:val="-4"/>
        </w:rPr>
        <w:t> </w:t>
      </w:r>
      <w:r>
        <w:rPr/>
        <w:t>arī</w:t>
      </w:r>
      <w:r>
        <w:rPr>
          <w:spacing w:val="-9"/>
        </w:rPr>
        <w:t> </w:t>
      </w:r>
      <w:r>
        <w:rPr/>
        <w:t>kādi</w:t>
      </w:r>
      <w:r>
        <w:rPr>
          <w:spacing w:val="-6"/>
        </w:rPr>
        <w:t> </w:t>
      </w:r>
      <w:r>
        <w:rPr/>
        <w:t>parādi</w:t>
      </w:r>
      <w:r>
        <w:rPr>
          <w:spacing w:val="-4"/>
        </w:rPr>
        <w:t> </w:t>
      </w:r>
      <w:r>
        <w:rPr/>
        <w:t>(pēc</w:t>
      </w:r>
      <w:r>
        <w:rPr>
          <w:spacing w:val="-7"/>
        </w:rPr>
        <w:t> </w:t>
      </w:r>
      <w:r>
        <w:rPr/>
        <w:t>veida)</w:t>
      </w:r>
      <w:r>
        <w:rPr>
          <w:spacing w:val="-6"/>
        </w:rPr>
        <w:t> </w:t>
      </w:r>
      <w:r>
        <w:rPr/>
        <w:t>ir padarījuši parādnieku par maksātnespējīgu, piemēram, vai starp parādiem bija soda naudas.</w:t>
      </w:r>
      <w:r>
        <w:rPr>
          <w:position w:val="9"/>
          <w:sz w:val="16"/>
        </w:rPr>
        <w:t>341</w:t>
      </w:r>
    </w:p>
    <w:p>
      <w:pPr>
        <w:pStyle w:val="BodyText"/>
        <w:spacing w:line="232" w:lineRule="auto" w:before="17"/>
        <w:ind w:left="620" w:right="403" w:firstLine="720"/>
        <w:rPr>
          <w:sz w:val="16"/>
        </w:rPr>
      </w:pPr>
      <w:r>
        <w:rPr/>
        <w:t>Šīs</w:t>
      </w:r>
      <w:r>
        <w:rPr>
          <w:spacing w:val="-5"/>
        </w:rPr>
        <w:t> </w:t>
      </w:r>
      <w:r>
        <w:rPr/>
        <w:t>stingrās</w:t>
      </w:r>
      <w:r>
        <w:rPr>
          <w:spacing w:val="-8"/>
        </w:rPr>
        <w:t> </w:t>
      </w:r>
      <w:r>
        <w:rPr/>
        <w:t>prasības</w:t>
      </w:r>
      <w:r>
        <w:rPr>
          <w:spacing w:val="-7"/>
        </w:rPr>
        <w:t> </w:t>
      </w:r>
      <w:r>
        <w:rPr/>
        <w:t>noveda</w:t>
      </w:r>
      <w:r>
        <w:rPr>
          <w:spacing w:val="-6"/>
        </w:rPr>
        <w:t> </w:t>
      </w:r>
      <w:r>
        <w:rPr/>
        <w:t>pie</w:t>
      </w:r>
      <w:r>
        <w:rPr>
          <w:spacing w:val="-7"/>
        </w:rPr>
        <w:t> </w:t>
      </w:r>
      <w:r>
        <w:rPr/>
        <w:t>pārsteidzoši</w:t>
      </w:r>
      <w:r>
        <w:rPr>
          <w:spacing w:val="-4"/>
        </w:rPr>
        <w:t> </w:t>
      </w:r>
      <w:r>
        <w:rPr/>
        <w:t>augsta</w:t>
      </w:r>
      <w:r>
        <w:rPr>
          <w:spacing w:val="-6"/>
        </w:rPr>
        <w:t> </w:t>
      </w:r>
      <w:r>
        <w:rPr/>
        <w:t>pieteikumu</w:t>
      </w:r>
      <w:r>
        <w:rPr>
          <w:spacing w:val="-7"/>
        </w:rPr>
        <w:t> </w:t>
      </w:r>
      <w:r>
        <w:rPr/>
        <w:t>noraidījumu</w:t>
      </w:r>
      <w:r>
        <w:rPr>
          <w:spacing w:val="-4"/>
        </w:rPr>
        <w:t> </w:t>
      </w:r>
      <w:r>
        <w:rPr/>
        <w:t>skaita. Piemēram, no 2002. gada līdz 2004. gadam starp vidēji apmēram 4700 parāda pārplānošanas pieteikumiem gadā tiesas nekavējoties noraidīja aptuveni</w:t>
      </w:r>
      <w:r>
        <w:rPr>
          <w:spacing w:val="-4"/>
        </w:rPr>
        <w:t> </w:t>
      </w:r>
      <w:r>
        <w:rPr/>
        <w:t>55-60%.</w:t>
      </w:r>
      <w:r>
        <w:rPr>
          <w:position w:val="9"/>
          <w:sz w:val="16"/>
        </w:rPr>
        <w:t>342</w:t>
      </w:r>
    </w:p>
    <w:p>
      <w:pPr>
        <w:pStyle w:val="BodyText"/>
        <w:spacing w:line="237" w:lineRule="auto" w:before="5"/>
        <w:ind w:left="620" w:right="402" w:firstLine="720"/>
        <w:jc w:val="right"/>
      </w:pPr>
      <w:r>
        <w:rPr/>
        <w:t>2005.gadā tika ieviestas vieglas reformas, kas, lai arī joprojām</w:t>
      </w:r>
      <w:r>
        <w:rPr>
          <w:spacing w:val="11"/>
        </w:rPr>
        <w:t> </w:t>
      </w:r>
      <w:r>
        <w:rPr/>
        <w:t>paredz</w:t>
      </w:r>
      <w:r>
        <w:rPr>
          <w:spacing w:val="43"/>
        </w:rPr>
        <w:t> </w:t>
      </w:r>
      <w:r>
        <w:rPr/>
        <w:t>stingrus uzņemšanas</w:t>
      </w:r>
      <w:r>
        <w:rPr>
          <w:spacing w:val="16"/>
        </w:rPr>
        <w:t> </w:t>
      </w:r>
      <w:r>
        <w:rPr/>
        <w:t>kritērijus,</w:t>
      </w:r>
      <w:r>
        <w:rPr>
          <w:spacing w:val="19"/>
        </w:rPr>
        <w:t> </w:t>
      </w:r>
      <w:r>
        <w:rPr/>
        <w:t>tomēr</w:t>
      </w:r>
      <w:r>
        <w:rPr>
          <w:spacing w:val="15"/>
        </w:rPr>
        <w:t> </w:t>
      </w:r>
      <w:r>
        <w:rPr/>
        <w:t>ļauj</w:t>
      </w:r>
      <w:r>
        <w:rPr>
          <w:spacing w:val="19"/>
        </w:rPr>
        <w:t> </w:t>
      </w:r>
      <w:r>
        <w:rPr/>
        <w:t>tiesām</w:t>
      </w:r>
      <w:r>
        <w:rPr>
          <w:spacing w:val="16"/>
        </w:rPr>
        <w:t> </w:t>
      </w:r>
      <w:r>
        <w:rPr/>
        <w:t>lemt</w:t>
      </w:r>
      <w:r>
        <w:rPr>
          <w:spacing w:val="19"/>
        </w:rPr>
        <w:t> </w:t>
      </w:r>
      <w:r>
        <w:rPr/>
        <w:t>pielaidīgāk.</w:t>
      </w:r>
      <w:r>
        <w:rPr>
          <w:spacing w:val="18"/>
        </w:rPr>
        <w:t> </w:t>
      </w:r>
      <w:r>
        <w:rPr/>
        <w:t>Proti,</w:t>
      </w:r>
      <w:r>
        <w:rPr>
          <w:spacing w:val="19"/>
        </w:rPr>
        <w:t> </w:t>
      </w:r>
      <w:r>
        <w:rPr/>
        <w:t>kaut</w:t>
      </w:r>
      <w:r>
        <w:rPr>
          <w:spacing w:val="20"/>
        </w:rPr>
        <w:t> </w:t>
      </w:r>
      <w:r>
        <w:rPr/>
        <w:t>arī</w:t>
      </w:r>
      <w:r>
        <w:rPr>
          <w:spacing w:val="24"/>
        </w:rPr>
        <w:t> </w:t>
      </w:r>
      <w:r>
        <w:rPr/>
        <w:t>gadījumos,</w:t>
      </w:r>
      <w:r>
        <w:rPr>
          <w:spacing w:val="19"/>
        </w:rPr>
        <w:t> </w:t>
      </w:r>
      <w:r>
        <w:rPr/>
        <w:t>kad saskaņā</w:t>
      </w:r>
      <w:r>
        <w:rPr>
          <w:spacing w:val="18"/>
        </w:rPr>
        <w:t> </w:t>
      </w:r>
      <w:r>
        <w:rPr/>
        <w:t>ar</w:t>
      </w:r>
      <w:r>
        <w:rPr>
          <w:spacing w:val="15"/>
        </w:rPr>
        <w:t> </w:t>
      </w:r>
      <w:r>
        <w:rPr/>
        <w:t>sākotnējo</w:t>
      </w:r>
      <w:r>
        <w:rPr>
          <w:spacing w:val="18"/>
        </w:rPr>
        <w:t> </w:t>
      </w:r>
      <w:r>
        <w:rPr/>
        <w:t>likumu</w:t>
      </w:r>
      <w:r>
        <w:rPr>
          <w:spacing w:val="20"/>
        </w:rPr>
        <w:t> </w:t>
      </w:r>
      <w:r>
        <w:rPr/>
        <w:t>tiesas</w:t>
      </w:r>
      <w:r>
        <w:rPr>
          <w:spacing w:val="17"/>
        </w:rPr>
        <w:t> </w:t>
      </w:r>
      <w:r>
        <w:rPr/>
        <w:t>uzskatīja,</w:t>
      </w:r>
      <w:r>
        <w:rPr>
          <w:spacing w:val="15"/>
        </w:rPr>
        <w:t> </w:t>
      </w:r>
      <w:r>
        <w:rPr/>
        <w:t>ka</w:t>
      </w:r>
      <w:r>
        <w:rPr>
          <w:spacing w:val="18"/>
        </w:rPr>
        <w:t> </w:t>
      </w:r>
      <w:r>
        <w:rPr/>
        <w:t>atvieglojums</w:t>
      </w:r>
      <w:r>
        <w:rPr>
          <w:spacing w:val="18"/>
        </w:rPr>
        <w:t> </w:t>
      </w:r>
      <w:r>
        <w:rPr/>
        <w:t>nav</w:t>
      </w:r>
      <w:r>
        <w:rPr>
          <w:spacing w:val="15"/>
        </w:rPr>
        <w:t> </w:t>
      </w:r>
      <w:r>
        <w:rPr/>
        <w:t>piemērojams,</w:t>
      </w:r>
      <w:r>
        <w:rPr>
          <w:spacing w:val="19"/>
        </w:rPr>
        <w:t> </w:t>
      </w:r>
      <w:r>
        <w:rPr/>
        <w:t>ar pārskatīto</w:t>
      </w:r>
      <w:r>
        <w:rPr>
          <w:spacing w:val="18"/>
        </w:rPr>
        <w:t> </w:t>
      </w:r>
      <w:r>
        <w:rPr/>
        <w:t>likumu</w:t>
      </w:r>
      <w:r>
        <w:rPr>
          <w:spacing w:val="16"/>
        </w:rPr>
        <w:t> </w:t>
      </w:r>
      <w:r>
        <w:rPr/>
        <w:t>tagad</w:t>
      </w:r>
      <w:r>
        <w:rPr>
          <w:spacing w:val="16"/>
        </w:rPr>
        <w:t> </w:t>
      </w:r>
      <w:r>
        <w:rPr/>
        <w:t>tiesas</w:t>
      </w:r>
      <w:r>
        <w:rPr>
          <w:spacing w:val="16"/>
        </w:rPr>
        <w:t> </w:t>
      </w:r>
      <w:r>
        <w:rPr/>
        <w:t>tiek</w:t>
      </w:r>
      <w:r>
        <w:rPr>
          <w:spacing w:val="16"/>
        </w:rPr>
        <w:t> </w:t>
      </w:r>
      <w:r>
        <w:rPr/>
        <w:t>rosinātas</w:t>
      </w:r>
      <w:r>
        <w:rPr>
          <w:spacing w:val="16"/>
        </w:rPr>
        <w:t> </w:t>
      </w:r>
      <w:r>
        <w:rPr/>
        <w:t>pieņemt</w:t>
      </w:r>
      <w:r>
        <w:rPr>
          <w:spacing w:val="16"/>
        </w:rPr>
        <w:t> </w:t>
      </w:r>
      <w:r>
        <w:rPr/>
        <w:t>pieteikumus</w:t>
      </w:r>
      <w:r>
        <w:rPr>
          <w:spacing w:val="16"/>
        </w:rPr>
        <w:t> </w:t>
      </w:r>
      <w:r>
        <w:rPr/>
        <w:t>no</w:t>
      </w:r>
      <w:r>
        <w:rPr>
          <w:spacing w:val="16"/>
        </w:rPr>
        <w:t> </w:t>
      </w:r>
      <w:r>
        <w:rPr/>
        <w:t>personām,</w:t>
      </w:r>
      <w:r>
        <w:rPr>
          <w:spacing w:val="16"/>
        </w:rPr>
        <w:t> </w:t>
      </w:r>
      <w:r>
        <w:rPr/>
        <w:t>kas</w:t>
      </w:r>
      <w:r>
        <w:rPr>
          <w:spacing w:val="16"/>
        </w:rPr>
        <w:t> </w:t>
      </w:r>
      <w:r>
        <w:rPr/>
        <w:t>lūdz parādu pārplānošanu, ja vien iepriekš minētie apstākļi nenoliedzami “nerunā</w:t>
      </w:r>
      <w:r>
        <w:rPr>
          <w:spacing w:val="-13"/>
        </w:rPr>
        <w:t> </w:t>
      </w:r>
      <w:r>
        <w:rPr/>
        <w:t>tam</w:t>
      </w:r>
      <w:r>
        <w:rPr>
          <w:spacing w:val="-1"/>
        </w:rPr>
        <w:t> </w:t>
      </w:r>
      <w:r>
        <w:rPr/>
        <w:t>pretī”.</w:t>
      </w:r>
      <w:r>
        <w:rPr>
          <w:position w:val="9"/>
          <w:sz w:val="16"/>
        </w:rPr>
        <w:t>343</w:t>
      </w:r>
      <w:r>
        <w:rPr>
          <w:w w:val="100"/>
          <w:position w:val="9"/>
          <w:sz w:val="16"/>
        </w:rPr>
        <w:t> </w:t>
      </w:r>
      <w:r>
        <w:rPr/>
        <w:t>Arī šobrīd Dānijas Bankrota likums lielā mērā atstāj jautājumu</w:t>
      </w:r>
      <w:r>
        <w:rPr>
          <w:spacing w:val="-12"/>
        </w:rPr>
        <w:t> </w:t>
      </w:r>
      <w:r>
        <w:rPr/>
        <w:t>par</w:t>
      </w:r>
      <w:r>
        <w:rPr>
          <w:spacing w:val="43"/>
        </w:rPr>
        <w:t> </w:t>
      </w:r>
      <w:r>
        <w:rPr/>
        <w:t>“bezcerīga parāda”</w:t>
      </w:r>
      <w:r>
        <w:rPr>
          <w:spacing w:val="39"/>
        </w:rPr>
        <w:t> </w:t>
      </w:r>
      <w:r>
        <w:rPr/>
        <w:t>noteikšanu</w:t>
      </w:r>
      <w:r>
        <w:rPr>
          <w:spacing w:val="40"/>
        </w:rPr>
        <w:t> </w:t>
      </w:r>
      <w:r>
        <w:rPr/>
        <w:t>tiesas</w:t>
      </w:r>
      <w:r>
        <w:rPr>
          <w:spacing w:val="39"/>
        </w:rPr>
        <w:t> </w:t>
      </w:r>
      <w:r>
        <w:rPr/>
        <w:t>rīcības</w:t>
      </w:r>
      <w:r>
        <w:rPr>
          <w:spacing w:val="40"/>
        </w:rPr>
        <w:t> </w:t>
      </w:r>
      <w:r>
        <w:rPr/>
        <w:t>brīvības</w:t>
      </w:r>
      <w:r>
        <w:rPr>
          <w:spacing w:val="40"/>
        </w:rPr>
        <w:t> </w:t>
      </w:r>
      <w:r>
        <w:rPr/>
        <w:t>ietvaros,</w:t>
      </w:r>
      <w:r>
        <w:rPr>
          <w:spacing w:val="39"/>
        </w:rPr>
        <w:t> </w:t>
      </w:r>
      <w:r>
        <w:rPr/>
        <w:t>jo</w:t>
      </w:r>
      <w:r>
        <w:rPr>
          <w:spacing w:val="40"/>
        </w:rPr>
        <w:t> </w:t>
      </w:r>
      <w:r>
        <w:rPr/>
        <w:t>vispārējie</w:t>
      </w:r>
      <w:r>
        <w:rPr>
          <w:spacing w:val="41"/>
        </w:rPr>
        <w:t> </w:t>
      </w:r>
      <w:r>
        <w:rPr/>
        <w:t>nosacījumi</w:t>
      </w:r>
      <w:r>
        <w:rPr>
          <w:spacing w:val="40"/>
        </w:rPr>
        <w:t> </w:t>
      </w:r>
      <w:r>
        <w:rPr/>
        <w:t>paredz,</w:t>
      </w:r>
      <w:r>
        <w:rPr>
          <w:spacing w:val="40"/>
        </w:rPr>
        <w:t> </w:t>
      </w:r>
      <w:r>
        <w:rPr/>
        <w:t>ka pieteikties</w:t>
      </w:r>
      <w:r>
        <w:rPr>
          <w:spacing w:val="23"/>
        </w:rPr>
        <w:t> </w:t>
      </w:r>
      <w:r>
        <w:rPr/>
        <w:t>procedūrai</w:t>
      </w:r>
      <w:r>
        <w:rPr>
          <w:spacing w:val="23"/>
        </w:rPr>
        <w:t> </w:t>
      </w:r>
      <w:r>
        <w:rPr/>
        <w:t>var</w:t>
      </w:r>
      <w:r>
        <w:rPr>
          <w:spacing w:val="24"/>
        </w:rPr>
        <w:t> </w:t>
      </w:r>
      <w:r>
        <w:rPr/>
        <w:t>tikai</w:t>
      </w:r>
      <w:r>
        <w:rPr>
          <w:spacing w:val="23"/>
        </w:rPr>
        <w:t> </w:t>
      </w:r>
      <w:r>
        <w:rPr/>
        <w:t>tāds</w:t>
      </w:r>
      <w:r>
        <w:rPr>
          <w:spacing w:val="24"/>
        </w:rPr>
        <w:t> </w:t>
      </w:r>
      <w:r>
        <w:rPr/>
        <w:t>parādnieks,</w:t>
      </w:r>
      <w:r>
        <w:rPr>
          <w:spacing w:val="23"/>
        </w:rPr>
        <w:t> </w:t>
      </w:r>
      <w:r>
        <w:rPr/>
        <w:t>kuram</w:t>
      </w:r>
      <w:r>
        <w:rPr>
          <w:spacing w:val="22"/>
        </w:rPr>
        <w:t> </w:t>
      </w:r>
      <w:r>
        <w:rPr/>
        <w:t>jāpierāda,</w:t>
      </w:r>
      <w:r>
        <w:rPr>
          <w:spacing w:val="23"/>
        </w:rPr>
        <w:t> </w:t>
      </w:r>
      <w:r>
        <w:rPr/>
        <w:t>ka</w:t>
      </w:r>
      <w:r>
        <w:rPr>
          <w:spacing w:val="21"/>
        </w:rPr>
        <w:t> </w:t>
      </w:r>
      <w:r>
        <w:rPr/>
        <w:t>viņš</w:t>
      </w:r>
      <w:r>
        <w:rPr>
          <w:spacing w:val="20"/>
        </w:rPr>
        <w:t> </w:t>
      </w:r>
      <w:r>
        <w:rPr/>
        <w:t>nav</w:t>
      </w:r>
      <w:r>
        <w:rPr>
          <w:spacing w:val="21"/>
        </w:rPr>
        <w:t> </w:t>
      </w:r>
      <w:r>
        <w:rPr/>
        <w:t>spējīgs</w:t>
      </w:r>
      <w:r>
        <w:rPr>
          <w:spacing w:val="25"/>
        </w:rPr>
        <w:t> </w:t>
      </w:r>
      <w:r>
        <w:rPr>
          <w:spacing w:val="-6"/>
        </w:rPr>
        <w:t>un</w:t>
      </w:r>
      <w:r>
        <w:rPr/>
        <w:t> tuvākajos</w:t>
      </w:r>
      <w:r>
        <w:rPr>
          <w:spacing w:val="43"/>
        </w:rPr>
        <w:t> </w:t>
      </w:r>
      <w:r>
        <w:rPr/>
        <w:t>gados</w:t>
      </w:r>
      <w:r>
        <w:rPr>
          <w:spacing w:val="41"/>
        </w:rPr>
        <w:t> </w:t>
      </w:r>
      <w:r>
        <w:rPr/>
        <w:t>nebūs</w:t>
      </w:r>
      <w:r>
        <w:rPr>
          <w:spacing w:val="42"/>
        </w:rPr>
        <w:t> </w:t>
      </w:r>
      <w:r>
        <w:rPr/>
        <w:t>spējīgs</w:t>
      </w:r>
      <w:r>
        <w:rPr>
          <w:spacing w:val="41"/>
        </w:rPr>
        <w:t> </w:t>
      </w:r>
      <w:r>
        <w:rPr/>
        <w:t>izpildīts</w:t>
      </w:r>
      <w:r>
        <w:rPr>
          <w:spacing w:val="41"/>
        </w:rPr>
        <w:t> </w:t>
      </w:r>
      <w:r>
        <w:rPr/>
        <w:t>savas</w:t>
      </w:r>
      <w:r>
        <w:rPr>
          <w:spacing w:val="42"/>
        </w:rPr>
        <w:t> </w:t>
      </w:r>
      <w:r>
        <w:rPr/>
        <w:t>saistības,</w:t>
      </w:r>
      <w:r>
        <w:rPr>
          <w:spacing w:val="41"/>
        </w:rPr>
        <w:t> </w:t>
      </w:r>
      <w:r>
        <w:rPr/>
        <w:t>un</w:t>
      </w:r>
      <w:r>
        <w:rPr>
          <w:spacing w:val="41"/>
        </w:rPr>
        <w:t> </w:t>
      </w:r>
      <w:r>
        <w:rPr/>
        <w:t>viņam</w:t>
      </w:r>
      <w:r>
        <w:rPr>
          <w:spacing w:val="42"/>
        </w:rPr>
        <w:t> </w:t>
      </w:r>
      <w:r>
        <w:rPr/>
        <w:t>jāpierāda,</w:t>
      </w:r>
      <w:r>
        <w:rPr>
          <w:spacing w:val="41"/>
        </w:rPr>
        <w:t> </w:t>
      </w:r>
      <w:r>
        <w:rPr/>
        <w:t>ka</w:t>
      </w:r>
      <w:r>
        <w:rPr>
          <w:spacing w:val="39"/>
        </w:rPr>
        <w:t> </w:t>
      </w:r>
      <w:r>
        <w:rPr/>
        <w:t>parādu</w:t>
      </w:r>
    </w:p>
    <w:p>
      <w:pPr>
        <w:pStyle w:val="BodyText"/>
        <w:ind w:left="1340" w:right="403" w:hanging="720"/>
      </w:pPr>
      <w:r>
        <w:rPr/>
        <w:t>pārplānošana novedīs pie ilglaicīga parādnieka finansiālās situācijas uzlabojuma.</w:t>
      </w:r>
      <w:r>
        <w:rPr>
          <w:position w:val="9"/>
          <w:sz w:val="16"/>
        </w:rPr>
        <w:t>344 </w:t>
      </w:r>
      <w:r>
        <w:rPr/>
        <w:t>Praksē šis kritērijs drīz vien attīstījās tādā veidā, ka par tuvāko nākotni tika atzīti</w:t>
      </w:r>
      <w:r>
        <w:rPr>
          <w:spacing w:val="21"/>
        </w:rPr>
        <w:t> </w:t>
      </w:r>
      <w:r>
        <w:rPr/>
        <w:t>5</w:t>
      </w:r>
    </w:p>
    <w:p>
      <w:pPr>
        <w:pStyle w:val="BodyText"/>
        <w:spacing w:line="237" w:lineRule="auto"/>
        <w:ind w:left="620" w:right="402"/>
        <w:rPr>
          <w:sz w:val="16"/>
        </w:rPr>
      </w:pPr>
      <w:r>
        <w:rPr/>
        <w:t>gadi, kas principā sasaucas ar to, ka praksē arī 5 gadi tika noteikts kā periods, kurā parādniekam ir jāveic iemaksas kreditoriem. Savukārt attiecībā uz kopējo parādu saistību izkristalizējās šādi  pieteikuma  sliekšņi: vairāk nekā 250 000 Dānijas kronas (aptuveni  33 500 EUR) tiem parādniekiem, kas spēj strādāt un arī strādā, savukārt mazāks slieksnis tika noteikts invalīdiem un pensionāriem - 100 000 Dānijas kronas (aptuveni 13 500 EUR).</w:t>
      </w:r>
      <w:r>
        <w:rPr>
          <w:position w:val="9"/>
          <w:sz w:val="16"/>
        </w:rPr>
        <w:t>345</w:t>
      </w:r>
    </w:p>
    <w:p>
      <w:pPr>
        <w:pStyle w:val="BodyText"/>
        <w:spacing w:line="237" w:lineRule="auto"/>
        <w:ind w:left="620" w:right="402" w:firstLine="720"/>
      </w:pPr>
      <w:r>
        <w:rPr/>
        <w:t>Šādi kritēriji nozīmē to, ka bezdarbniekiem, kas ir spējīgi strādāt un kuriem ir parādi,</w:t>
      </w:r>
      <w:r>
        <w:rPr>
          <w:spacing w:val="-7"/>
        </w:rPr>
        <w:t> </w:t>
      </w:r>
      <w:r>
        <w:rPr/>
        <w:t>tomēr</w:t>
      </w:r>
      <w:r>
        <w:rPr>
          <w:spacing w:val="-12"/>
        </w:rPr>
        <w:t> </w:t>
      </w:r>
      <w:r>
        <w:rPr/>
        <w:t>tiek</w:t>
      </w:r>
      <w:r>
        <w:rPr>
          <w:spacing w:val="-9"/>
        </w:rPr>
        <w:t> </w:t>
      </w:r>
      <w:r>
        <w:rPr/>
        <w:t>liegta</w:t>
      </w:r>
      <w:r>
        <w:rPr>
          <w:spacing w:val="-10"/>
        </w:rPr>
        <w:t> </w:t>
      </w:r>
      <w:r>
        <w:rPr/>
        <w:t>pieeja</w:t>
      </w:r>
      <w:r>
        <w:rPr>
          <w:spacing w:val="-8"/>
        </w:rPr>
        <w:t> </w:t>
      </w:r>
      <w:r>
        <w:rPr/>
        <w:t>šai</w:t>
      </w:r>
      <w:r>
        <w:rPr>
          <w:spacing w:val="-11"/>
        </w:rPr>
        <w:t> </w:t>
      </w:r>
      <w:r>
        <w:rPr/>
        <w:t>procedūrai.</w:t>
      </w:r>
      <w:r>
        <w:rPr>
          <w:spacing w:val="-10"/>
        </w:rPr>
        <w:t> </w:t>
      </w:r>
      <w:r>
        <w:rPr/>
        <w:t>Šis</w:t>
      </w:r>
      <w:r>
        <w:rPr>
          <w:spacing w:val="-7"/>
        </w:rPr>
        <w:t> </w:t>
      </w:r>
      <w:r>
        <w:rPr/>
        <w:t>sasaucas</w:t>
      </w:r>
      <w:r>
        <w:rPr>
          <w:spacing w:val="-11"/>
        </w:rPr>
        <w:t> </w:t>
      </w:r>
      <w:r>
        <w:rPr/>
        <w:t>ar</w:t>
      </w:r>
      <w:r>
        <w:rPr>
          <w:spacing w:val="-10"/>
        </w:rPr>
        <w:t> </w:t>
      </w:r>
      <w:r>
        <w:rPr/>
        <w:t>faktu,</w:t>
      </w:r>
      <w:r>
        <w:rPr>
          <w:spacing w:val="-10"/>
        </w:rPr>
        <w:t> </w:t>
      </w:r>
      <w:r>
        <w:rPr/>
        <w:t>ka</w:t>
      </w:r>
      <w:r>
        <w:rPr>
          <w:spacing w:val="-9"/>
        </w:rPr>
        <w:t> </w:t>
      </w:r>
      <w:r>
        <w:rPr/>
        <w:t>rīkojums</w:t>
      </w:r>
      <w:r>
        <w:rPr>
          <w:spacing w:val="-10"/>
        </w:rPr>
        <w:t> </w:t>
      </w:r>
      <w:r>
        <w:rPr/>
        <w:t>par</w:t>
      </w:r>
      <w:r>
        <w:rPr>
          <w:spacing w:val="-10"/>
        </w:rPr>
        <w:t> </w:t>
      </w:r>
      <w:r>
        <w:rPr/>
        <w:t>parādu pārplānošanu netiek izdots, ja parādnieka finansiālā situācija ir neskaidra.</w:t>
      </w:r>
      <w:r>
        <w:rPr>
          <w:position w:val="9"/>
          <w:sz w:val="16"/>
        </w:rPr>
        <w:t>346 </w:t>
      </w:r>
      <w:r>
        <w:rPr/>
        <w:t>Īslaicīgiem bezdarbniekiem parādu pārplānošana nebūtu paredzama, jo nav skaidrs, vai viņiem pastāvēs</w:t>
      </w:r>
      <w:r>
        <w:rPr>
          <w:spacing w:val="19"/>
        </w:rPr>
        <w:t> </w:t>
      </w:r>
      <w:r>
        <w:rPr/>
        <w:t>maksātnespēja</w:t>
      </w:r>
      <w:r>
        <w:rPr>
          <w:spacing w:val="23"/>
        </w:rPr>
        <w:t> </w:t>
      </w:r>
      <w:r>
        <w:rPr/>
        <w:t>turpmākos</w:t>
      </w:r>
      <w:r>
        <w:rPr>
          <w:spacing w:val="23"/>
        </w:rPr>
        <w:t> </w:t>
      </w:r>
      <w:r>
        <w:rPr/>
        <w:t>5</w:t>
      </w:r>
      <w:r>
        <w:rPr>
          <w:spacing w:val="23"/>
        </w:rPr>
        <w:t> </w:t>
      </w:r>
      <w:r>
        <w:rPr/>
        <w:t>gadus.</w:t>
      </w:r>
      <w:r>
        <w:rPr>
          <w:spacing w:val="24"/>
        </w:rPr>
        <w:t> </w:t>
      </w:r>
      <w:r>
        <w:rPr/>
        <w:t>Praksē</w:t>
      </w:r>
      <w:r>
        <w:rPr>
          <w:spacing w:val="23"/>
        </w:rPr>
        <w:t> </w:t>
      </w:r>
      <w:r>
        <w:rPr/>
        <w:t>ir</w:t>
      </w:r>
      <w:r>
        <w:rPr>
          <w:spacing w:val="23"/>
        </w:rPr>
        <w:t> </w:t>
      </w:r>
      <w:r>
        <w:rPr/>
        <w:t>bijuši</w:t>
      </w:r>
      <w:r>
        <w:rPr>
          <w:spacing w:val="24"/>
        </w:rPr>
        <w:t> </w:t>
      </w:r>
      <w:r>
        <w:rPr/>
        <w:t>gadījumi,</w:t>
      </w:r>
      <w:r>
        <w:rPr>
          <w:spacing w:val="23"/>
        </w:rPr>
        <w:t> </w:t>
      </w:r>
      <w:r>
        <w:rPr/>
        <w:t>kad</w:t>
      </w:r>
      <w:r>
        <w:rPr>
          <w:spacing w:val="23"/>
        </w:rPr>
        <w:t> </w:t>
      </w:r>
      <w:r>
        <w:rPr/>
        <w:t>tiesas</w:t>
      </w:r>
      <w:r>
        <w:rPr>
          <w:spacing w:val="20"/>
        </w:rPr>
        <w:t> </w:t>
      </w:r>
      <w:r>
        <w:rPr/>
        <w:t>izslēdz</w:t>
      </w:r>
    </w:p>
    <w:p>
      <w:pPr>
        <w:pStyle w:val="BodyText"/>
        <w:jc w:val="left"/>
        <w:rPr>
          <w:sz w:val="20"/>
        </w:rPr>
      </w:pPr>
    </w:p>
    <w:p>
      <w:pPr>
        <w:pStyle w:val="BodyText"/>
        <w:jc w:val="left"/>
        <w:rPr>
          <w:sz w:val="20"/>
        </w:rPr>
      </w:pPr>
    </w:p>
    <w:p>
      <w:pPr>
        <w:pStyle w:val="BodyText"/>
        <w:jc w:val="left"/>
        <w:rPr>
          <w:sz w:val="20"/>
        </w:rPr>
      </w:pPr>
    </w:p>
    <w:p>
      <w:pPr>
        <w:pStyle w:val="BodyText"/>
        <w:spacing w:before="11"/>
        <w:jc w:val="left"/>
        <w:rPr>
          <w:sz w:val="19"/>
        </w:rPr>
      </w:pPr>
      <w:r>
        <w:rPr/>
        <w:pict>
          <v:shape style="position:absolute;margin-left:90pt;margin-top:13.726103pt;width:144pt;height:.1pt;mso-position-horizontal-relative:page;mso-position-vertical-relative:paragraph;z-index:-251485184;mso-wrap-distance-left:0;mso-wrap-distance-right:0" coordorigin="1800,275" coordsize="2880,0" path="m1800,275l4680,275e" filled="false" stroked="true" strokeweight=".599991pt" strokecolor="#000000">
            <v:path arrowok="t"/>
            <v:stroke dashstyle="solid"/>
            <w10:wrap type="topAndBottom"/>
          </v:shape>
        </w:pict>
      </w:r>
    </w:p>
    <w:p>
      <w:pPr>
        <w:spacing w:before="70"/>
        <w:ind w:left="669" w:right="405" w:hanging="50"/>
        <w:jc w:val="both"/>
        <w:rPr>
          <w:sz w:val="20"/>
        </w:rPr>
      </w:pPr>
      <w:r>
        <w:rPr>
          <w:position w:val="7"/>
          <w:sz w:val="13"/>
        </w:rPr>
        <w:t>340</w:t>
      </w:r>
      <w:r>
        <w:rPr>
          <w:spacing w:val="5"/>
          <w:position w:val="7"/>
          <w:sz w:val="13"/>
        </w:rPr>
        <w:t> </w:t>
      </w:r>
      <w:r>
        <w:rPr>
          <w:sz w:val="20"/>
        </w:rPr>
        <w:t>Kilborn</w:t>
      </w:r>
      <w:r>
        <w:rPr>
          <w:spacing w:val="-12"/>
          <w:sz w:val="20"/>
        </w:rPr>
        <w:t> </w:t>
      </w:r>
      <w:r>
        <w:rPr>
          <w:sz w:val="20"/>
        </w:rPr>
        <w:t>J.,</w:t>
      </w:r>
      <w:r>
        <w:rPr>
          <w:spacing w:val="-11"/>
          <w:sz w:val="20"/>
        </w:rPr>
        <w:t> </w:t>
      </w:r>
      <w:r>
        <w:rPr>
          <w:sz w:val="20"/>
        </w:rPr>
        <w:t>Reform,</w:t>
      </w:r>
      <w:r>
        <w:rPr>
          <w:spacing w:val="-12"/>
          <w:sz w:val="20"/>
        </w:rPr>
        <w:t> </w:t>
      </w:r>
      <w:r>
        <w:rPr>
          <w:sz w:val="20"/>
        </w:rPr>
        <w:t>Counter</w:t>
      </w:r>
      <w:r>
        <w:rPr>
          <w:spacing w:val="-11"/>
          <w:sz w:val="20"/>
        </w:rPr>
        <w:t> </w:t>
      </w:r>
      <w:r>
        <w:rPr>
          <w:sz w:val="20"/>
        </w:rPr>
        <w:t>Reform</w:t>
      </w:r>
      <w:r>
        <w:rPr>
          <w:spacing w:val="-15"/>
          <w:sz w:val="20"/>
        </w:rPr>
        <w:t> </w:t>
      </w:r>
      <w:r>
        <w:rPr>
          <w:sz w:val="20"/>
        </w:rPr>
        <w:t>and</w:t>
      </w:r>
      <w:r>
        <w:rPr>
          <w:spacing w:val="-11"/>
          <w:sz w:val="20"/>
        </w:rPr>
        <w:t> </w:t>
      </w:r>
      <w:r>
        <w:rPr>
          <w:sz w:val="20"/>
        </w:rPr>
        <w:t>Transatlantic</w:t>
      </w:r>
      <w:r>
        <w:rPr>
          <w:spacing w:val="-8"/>
          <w:sz w:val="20"/>
        </w:rPr>
        <w:t> </w:t>
      </w:r>
      <w:r>
        <w:rPr>
          <w:sz w:val="20"/>
        </w:rPr>
        <w:t>Rapprochement</w:t>
      </w:r>
      <w:r>
        <w:rPr>
          <w:spacing w:val="-11"/>
          <w:sz w:val="20"/>
        </w:rPr>
        <w:t> </w:t>
      </w:r>
      <w:r>
        <w:rPr>
          <w:sz w:val="20"/>
        </w:rPr>
        <w:t>in</w:t>
      </w:r>
      <w:r>
        <w:rPr>
          <w:spacing w:val="-12"/>
          <w:sz w:val="20"/>
        </w:rPr>
        <w:t> </w:t>
      </w:r>
      <w:r>
        <w:rPr>
          <w:sz w:val="20"/>
        </w:rPr>
        <w:t>the</w:t>
      </w:r>
      <w:r>
        <w:rPr>
          <w:spacing w:val="-11"/>
          <w:sz w:val="20"/>
        </w:rPr>
        <w:t> </w:t>
      </w:r>
      <w:r>
        <w:rPr>
          <w:sz w:val="20"/>
        </w:rPr>
        <w:t>Law</w:t>
      </w:r>
      <w:r>
        <w:rPr>
          <w:spacing w:val="-12"/>
          <w:sz w:val="20"/>
        </w:rPr>
        <w:t> </w:t>
      </w:r>
      <w:r>
        <w:rPr>
          <w:sz w:val="20"/>
        </w:rPr>
        <w:t>of</w:t>
      </w:r>
      <w:r>
        <w:rPr>
          <w:spacing w:val="-13"/>
          <w:sz w:val="20"/>
        </w:rPr>
        <w:t> </w:t>
      </w:r>
      <w:r>
        <w:rPr>
          <w:sz w:val="20"/>
        </w:rPr>
        <w:t>Personal</w:t>
      </w:r>
      <w:r>
        <w:rPr>
          <w:spacing w:val="-12"/>
          <w:sz w:val="20"/>
        </w:rPr>
        <w:t> </w:t>
      </w:r>
      <w:r>
        <w:rPr>
          <w:sz w:val="20"/>
        </w:rPr>
        <w:t>Bankruptcy. Nottingham Insolvency and Business Law e-Journal, 2015, 3 NIBLeJ 12,</w:t>
      </w:r>
      <w:r>
        <w:rPr>
          <w:spacing w:val="-6"/>
          <w:sz w:val="20"/>
        </w:rPr>
        <w:t> </w:t>
      </w:r>
      <w:r>
        <w:rPr>
          <w:sz w:val="20"/>
        </w:rPr>
        <w:t>p.232.</w:t>
      </w:r>
    </w:p>
    <w:p>
      <w:pPr>
        <w:spacing w:line="229" w:lineRule="exact" w:before="0"/>
        <w:ind w:left="620" w:right="0" w:firstLine="0"/>
        <w:jc w:val="both"/>
        <w:rPr>
          <w:sz w:val="20"/>
        </w:rPr>
      </w:pPr>
      <w:r>
        <w:rPr>
          <w:position w:val="7"/>
          <w:sz w:val="13"/>
        </w:rPr>
        <w:t>341 </w:t>
      </w:r>
      <w:r>
        <w:rPr>
          <w:sz w:val="20"/>
        </w:rPr>
        <w:t>Ibid, p.232.</w:t>
      </w:r>
    </w:p>
    <w:p>
      <w:pPr>
        <w:spacing w:line="240" w:lineRule="auto" w:before="0"/>
        <w:ind w:left="620" w:right="402" w:firstLine="0"/>
        <w:jc w:val="both"/>
        <w:rPr>
          <w:sz w:val="20"/>
        </w:rPr>
      </w:pPr>
      <w:r>
        <w:rPr>
          <w:position w:val="7"/>
          <w:sz w:val="13"/>
        </w:rPr>
        <w:t>342 </w:t>
      </w:r>
      <w:r>
        <w:rPr>
          <w:sz w:val="20"/>
        </w:rPr>
        <w:t>Kilborn J. Twenty-five Years of Consumer Bankruptcy in Continental Europe: Internalizing Negative Externalities and Humanizing Justice in Denmark. INSOL International Insolvency Review., 2009, Vol.18:155^185, p.169.</w:t>
      </w:r>
    </w:p>
    <w:p>
      <w:pPr>
        <w:spacing w:line="240" w:lineRule="auto" w:before="0"/>
        <w:ind w:left="669" w:right="405" w:hanging="50"/>
        <w:jc w:val="both"/>
        <w:rPr>
          <w:sz w:val="20"/>
        </w:rPr>
      </w:pPr>
      <w:r>
        <w:rPr>
          <w:position w:val="7"/>
          <w:sz w:val="13"/>
        </w:rPr>
        <w:t>343</w:t>
      </w:r>
      <w:r>
        <w:rPr>
          <w:spacing w:val="5"/>
          <w:position w:val="7"/>
          <w:sz w:val="13"/>
        </w:rPr>
        <w:t> </w:t>
      </w:r>
      <w:r>
        <w:rPr>
          <w:sz w:val="20"/>
        </w:rPr>
        <w:t>Kilborn</w:t>
      </w:r>
      <w:r>
        <w:rPr>
          <w:spacing w:val="-12"/>
          <w:sz w:val="20"/>
        </w:rPr>
        <w:t> </w:t>
      </w:r>
      <w:r>
        <w:rPr>
          <w:sz w:val="20"/>
        </w:rPr>
        <w:t>J.,</w:t>
      </w:r>
      <w:r>
        <w:rPr>
          <w:spacing w:val="-11"/>
          <w:sz w:val="20"/>
        </w:rPr>
        <w:t> </w:t>
      </w:r>
      <w:r>
        <w:rPr>
          <w:sz w:val="20"/>
        </w:rPr>
        <w:t>Reform,</w:t>
      </w:r>
      <w:r>
        <w:rPr>
          <w:spacing w:val="-12"/>
          <w:sz w:val="20"/>
        </w:rPr>
        <w:t> </w:t>
      </w:r>
      <w:r>
        <w:rPr>
          <w:sz w:val="20"/>
        </w:rPr>
        <w:t>Counter</w:t>
      </w:r>
      <w:r>
        <w:rPr>
          <w:spacing w:val="-11"/>
          <w:sz w:val="20"/>
        </w:rPr>
        <w:t> </w:t>
      </w:r>
      <w:r>
        <w:rPr>
          <w:sz w:val="20"/>
        </w:rPr>
        <w:t>Reform</w:t>
      </w:r>
      <w:r>
        <w:rPr>
          <w:spacing w:val="-15"/>
          <w:sz w:val="20"/>
        </w:rPr>
        <w:t> </w:t>
      </w:r>
      <w:r>
        <w:rPr>
          <w:sz w:val="20"/>
        </w:rPr>
        <w:t>and</w:t>
      </w:r>
      <w:r>
        <w:rPr>
          <w:spacing w:val="-11"/>
          <w:sz w:val="20"/>
        </w:rPr>
        <w:t> </w:t>
      </w:r>
      <w:r>
        <w:rPr>
          <w:sz w:val="20"/>
        </w:rPr>
        <w:t>Transatlantic</w:t>
      </w:r>
      <w:r>
        <w:rPr>
          <w:spacing w:val="-8"/>
          <w:sz w:val="20"/>
        </w:rPr>
        <w:t> </w:t>
      </w:r>
      <w:r>
        <w:rPr>
          <w:sz w:val="20"/>
        </w:rPr>
        <w:t>Rapprochement</w:t>
      </w:r>
      <w:r>
        <w:rPr>
          <w:spacing w:val="-11"/>
          <w:sz w:val="20"/>
        </w:rPr>
        <w:t> </w:t>
      </w:r>
      <w:r>
        <w:rPr>
          <w:sz w:val="20"/>
        </w:rPr>
        <w:t>in</w:t>
      </w:r>
      <w:r>
        <w:rPr>
          <w:spacing w:val="-12"/>
          <w:sz w:val="20"/>
        </w:rPr>
        <w:t> </w:t>
      </w:r>
      <w:r>
        <w:rPr>
          <w:sz w:val="20"/>
        </w:rPr>
        <w:t>the</w:t>
      </w:r>
      <w:r>
        <w:rPr>
          <w:spacing w:val="-11"/>
          <w:sz w:val="20"/>
        </w:rPr>
        <w:t> </w:t>
      </w:r>
      <w:r>
        <w:rPr>
          <w:sz w:val="20"/>
        </w:rPr>
        <w:t>Law</w:t>
      </w:r>
      <w:r>
        <w:rPr>
          <w:spacing w:val="-12"/>
          <w:sz w:val="20"/>
        </w:rPr>
        <w:t> </w:t>
      </w:r>
      <w:r>
        <w:rPr>
          <w:sz w:val="20"/>
        </w:rPr>
        <w:t>of</w:t>
      </w:r>
      <w:r>
        <w:rPr>
          <w:spacing w:val="-13"/>
          <w:sz w:val="20"/>
        </w:rPr>
        <w:t> </w:t>
      </w:r>
      <w:r>
        <w:rPr>
          <w:sz w:val="20"/>
        </w:rPr>
        <w:t>Personal</w:t>
      </w:r>
      <w:r>
        <w:rPr>
          <w:spacing w:val="-12"/>
          <w:sz w:val="20"/>
        </w:rPr>
        <w:t> </w:t>
      </w:r>
      <w:r>
        <w:rPr>
          <w:sz w:val="20"/>
        </w:rPr>
        <w:t>Bankruptcy. Nottingham Insolvency and Business Law e-Journal, 2015, 3 NIBLeJ 12,</w:t>
      </w:r>
      <w:r>
        <w:rPr>
          <w:spacing w:val="-6"/>
          <w:sz w:val="20"/>
        </w:rPr>
        <w:t> </w:t>
      </w:r>
      <w:r>
        <w:rPr>
          <w:sz w:val="20"/>
        </w:rPr>
        <w:t>p.233.</w:t>
      </w:r>
    </w:p>
    <w:p>
      <w:pPr>
        <w:spacing w:line="229" w:lineRule="exact" w:before="0"/>
        <w:ind w:left="620" w:right="0" w:firstLine="0"/>
        <w:jc w:val="both"/>
        <w:rPr>
          <w:sz w:val="20"/>
        </w:rPr>
      </w:pPr>
      <w:r>
        <w:rPr>
          <w:position w:val="7"/>
          <w:sz w:val="13"/>
        </w:rPr>
        <w:t>344 </w:t>
      </w:r>
      <w:r>
        <w:rPr>
          <w:sz w:val="20"/>
        </w:rPr>
        <w:t>Dānijas Bankrota likums, 197.panta pirmā daļa</w:t>
      </w:r>
    </w:p>
    <w:p>
      <w:pPr>
        <w:spacing w:line="240" w:lineRule="auto" w:before="0"/>
        <w:ind w:left="620" w:right="402" w:firstLine="0"/>
        <w:jc w:val="both"/>
        <w:rPr>
          <w:sz w:val="20"/>
        </w:rPr>
      </w:pPr>
      <w:r>
        <w:rPr>
          <w:position w:val="7"/>
          <w:sz w:val="13"/>
        </w:rPr>
        <w:t>345 </w:t>
      </w:r>
      <w:r>
        <w:rPr>
          <w:sz w:val="20"/>
        </w:rPr>
        <w:t>Study on means to protect consumers in financial difficulty: Personal bankruptcy, </w:t>
      </w:r>
      <w:r>
        <w:rPr>
          <w:i/>
          <w:sz w:val="20"/>
        </w:rPr>
        <w:t>datio in solutum </w:t>
      </w:r>
      <w:r>
        <w:rPr>
          <w:sz w:val="20"/>
        </w:rPr>
        <w:t>of mortgages, and restrictions on debt collection abusive practices. Final Report, prepared by London Economics, 2012., p.32. Pieejams:</w:t>
      </w:r>
      <w:r>
        <w:rPr>
          <w:color w:val="0562C1"/>
          <w:sz w:val="20"/>
          <w:u w:val="single" w:color="0562C1"/>
        </w:rPr>
        <w:t> https://ec.europa.eu/info/file/46906/download_en?token=9buOvl55.</w:t>
      </w:r>
      <w:r>
        <w:rPr>
          <w:color w:val="0562C1"/>
          <w:sz w:val="20"/>
        </w:rPr>
        <w:t> </w:t>
      </w:r>
      <w:r>
        <w:rPr>
          <w:sz w:val="20"/>
        </w:rPr>
        <w:t>[aplūkots 2018.gada 11.oktobrī].</w:t>
      </w:r>
    </w:p>
    <w:p>
      <w:pPr>
        <w:spacing w:line="229" w:lineRule="exact" w:before="0"/>
        <w:ind w:left="620" w:right="0" w:firstLine="0"/>
        <w:jc w:val="both"/>
        <w:rPr>
          <w:sz w:val="20"/>
        </w:rPr>
      </w:pPr>
      <w:r>
        <w:rPr>
          <w:position w:val="7"/>
          <w:sz w:val="13"/>
        </w:rPr>
        <w:t>346 </w:t>
      </w:r>
      <w:r>
        <w:rPr>
          <w:sz w:val="20"/>
        </w:rPr>
        <w:t>Šis kritērijs noteikts 197.panta otrās daļas (i) apakšpunktā</w:t>
      </w:r>
    </w:p>
    <w:p>
      <w:pPr>
        <w:spacing w:after="0" w:line="229" w:lineRule="exact"/>
        <w:jc w:val="both"/>
        <w:rPr>
          <w:sz w:val="20"/>
        </w:rPr>
        <w:sectPr>
          <w:pgSz w:w="11910" w:h="16840"/>
          <w:pgMar w:header="0" w:footer="1055" w:top="1320" w:bottom="1240" w:left="1180" w:right="1040"/>
        </w:sectPr>
      </w:pPr>
    </w:p>
    <w:p>
      <w:pPr>
        <w:pStyle w:val="BodyText"/>
        <w:spacing w:line="232" w:lineRule="auto" w:before="80"/>
        <w:ind w:right="762"/>
        <w:jc w:val="right"/>
      </w:pPr>
      <w:r>
        <w:rPr/>
        <w:t>parādnieku</w:t>
      </w:r>
      <w:r>
        <w:rPr>
          <w:spacing w:val="16"/>
        </w:rPr>
        <w:t> </w:t>
      </w:r>
      <w:r>
        <w:rPr/>
        <w:t>no</w:t>
      </w:r>
      <w:r>
        <w:rPr>
          <w:spacing w:val="14"/>
        </w:rPr>
        <w:t> </w:t>
      </w:r>
      <w:r>
        <w:rPr/>
        <w:t>parādu</w:t>
      </w:r>
      <w:r>
        <w:rPr>
          <w:spacing w:val="14"/>
        </w:rPr>
        <w:t> </w:t>
      </w:r>
      <w:r>
        <w:rPr/>
        <w:t>pārplānošanas</w:t>
      </w:r>
      <w:r>
        <w:rPr>
          <w:spacing w:val="12"/>
        </w:rPr>
        <w:t> </w:t>
      </w:r>
      <w:r>
        <w:rPr/>
        <w:t>procedūras,</w:t>
      </w:r>
      <w:r>
        <w:rPr>
          <w:spacing w:val="16"/>
        </w:rPr>
        <w:t> </w:t>
      </w:r>
      <w:r>
        <w:rPr/>
        <w:t>ja</w:t>
      </w:r>
      <w:r>
        <w:rPr>
          <w:spacing w:val="12"/>
        </w:rPr>
        <w:t> </w:t>
      </w:r>
      <w:r>
        <w:rPr/>
        <w:t>personai</w:t>
      </w:r>
      <w:r>
        <w:rPr>
          <w:spacing w:val="12"/>
        </w:rPr>
        <w:t> </w:t>
      </w:r>
      <w:r>
        <w:rPr/>
        <w:t>tuvākā</w:t>
      </w:r>
      <w:r>
        <w:rPr>
          <w:spacing w:val="14"/>
        </w:rPr>
        <w:t> </w:t>
      </w:r>
      <w:r>
        <w:rPr/>
        <w:t>nākotnē</w:t>
      </w:r>
      <w:r>
        <w:rPr>
          <w:spacing w:val="12"/>
        </w:rPr>
        <w:t> </w:t>
      </w:r>
      <w:r>
        <w:rPr/>
        <w:t>ir</w:t>
      </w:r>
      <w:r>
        <w:rPr>
          <w:spacing w:val="16"/>
        </w:rPr>
        <w:t> </w:t>
      </w:r>
      <w:r>
        <w:rPr/>
        <w:t>iespējams saņemt</w:t>
      </w:r>
      <w:r>
        <w:rPr>
          <w:spacing w:val="-12"/>
        </w:rPr>
        <w:t> </w:t>
      </w:r>
      <w:r>
        <w:rPr/>
        <w:t>mantojumu,</w:t>
      </w:r>
      <w:r>
        <w:rPr>
          <w:spacing w:val="-13"/>
        </w:rPr>
        <w:t> </w:t>
      </w:r>
      <w:r>
        <w:rPr/>
        <w:t>un</w:t>
      </w:r>
      <w:r>
        <w:rPr>
          <w:spacing w:val="-13"/>
        </w:rPr>
        <w:t> </w:t>
      </w:r>
      <w:r>
        <w:rPr/>
        <w:t>tas</w:t>
      </w:r>
      <w:r>
        <w:rPr>
          <w:spacing w:val="-14"/>
        </w:rPr>
        <w:t> </w:t>
      </w:r>
      <w:r>
        <w:rPr/>
        <w:t>liecina</w:t>
      </w:r>
      <w:r>
        <w:rPr>
          <w:spacing w:val="-13"/>
        </w:rPr>
        <w:t> </w:t>
      </w:r>
      <w:r>
        <w:rPr/>
        <w:t>par</w:t>
      </w:r>
      <w:r>
        <w:rPr>
          <w:spacing w:val="-16"/>
        </w:rPr>
        <w:t> </w:t>
      </w:r>
      <w:r>
        <w:rPr/>
        <w:t>parādnieka</w:t>
      </w:r>
      <w:r>
        <w:rPr>
          <w:spacing w:val="-13"/>
        </w:rPr>
        <w:t> </w:t>
      </w:r>
      <w:r>
        <w:rPr/>
        <w:t>neskaidro</w:t>
      </w:r>
      <w:r>
        <w:rPr>
          <w:spacing w:val="-14"/>
        </w:rPr>
        <w:t> </w:t>
      </w:r>
      <w:r>
        <w:rPr/>
        <w:t>nākotnes</w:t>
      </w:r>
      <w:r>
        <w:rPr>
          <w:spacing w:val="-16"/>
        </w:rPr>
        <w:t> </w:t>
      </w:r>
      <w:r>
        <w:rPr/>
        <w:t>finansiālo</w:t>
      </w:r>
      <w:r>
        <w:rPr>
          <w:spacing w:val="-13"/>
        </w:rPr>
        <w:t> </w:t>
      </w:r>
      <w:r>
        <w:rPr/>
        <w:t>situāciju.</w:t>
      </w:r>
      <w:r>
        <w:rPr>
          <w:position w:val="9"/>
          <w:sz w:val="16"/>
        </w:rPr>
        <w:t>347</w:t>
      </w:r>
      <w:r>
        <w:rPr>
          <w:w w:val="100"/>
          <w:position w:val="9"/>
          <w:sz w:val="16"/>
        </w:rPr>
        <w:t> </w:t>
      </w:r>
      <w:r>
        <w:rPr/>
        <w:t>Spēkā esošais normatīvais regulējums paredz, ka parāda pārplānošanas</w:t>
      </w:r>
      <w:r>
        <w:rPr>
          <w:spacing w:val="28"/>
        </w:rPr>
        <w:t> </w:t>
      </w:r>
      <w:r>
        <w:rPr/>
        <w:t>rīkojums</w:t>
      </w:r>
    </w:p>
    <w:p>
      <w:pPr>
        <w:pStyle w:val="BodyText"/>
        <w:spacing w:before="3"/>
        <w:ind w:left="260"/>
      </w:pPr>
      <w:r>
        <w:rPr/>
        <w:t>netiks izdots, ja:</w:t>
      </w:r>
    </w:p>
    <w:p>
      <w:pPr>
        <w:pStyle w:val="ListParagraph"/>
        <w:numPr>
          <w:ilvl w:val="0"/>
          <w:numId w:val="90"/>
        </w:numPr>
        <w:tabs>
          <w:tab w:pos="1393" w:val="left" w:leader="none"/>
        </w:tabs>
        <w:spacing w:line="240" w:lineRule="auto" w:before="0" w:after="0"/>
        <w:ind w:left="1392" w:right="0" w:hanging="426"/>
        <w:jc w:val="both"/>
        <w:rPr>
          <w:sz w:val="24"/>
        </w:rPr>
      </w:pPr>
      <w:r>
        <w:rPr>
          <w:sz w:val="24"/>
        </w:rPr>
        <w:t>parādnieka finansiālā situācija ir</w:t>
      </w:r>
      <w:r>
        <w:rPr>
          <w:spacing w:val="-9"/>
          <w:sz w:val="24"/>
        </w:rPr>
        <w:t> </w:t>
      </w:r>
      <w:r>
        <w:rPr>
          <w:sz w:val="24"/>
        </w:rPr>
        <w:t>neskaidra;</w:t>
      </w:r>
    </w:p>
    <w:p>
      <w:pPr>
        <w:pStyle w:val="ListParagraph"/>
        <w:numPr>
          <w:ilvl w:val="0"/>
          <w:numId w:val="90"/>
        </w:numPr>
        <w:tabs>
          <w:tab w:pos="1393" w:val="left" w:leader="none"/>
        </w:tabs>
        <w:spacing w:line="240" w:lineRule="auto" w:before="0" w:after="0"/>
        <w:ind w:left="1392" w:right="0" w:hanging="426"/>
        <w:jc w:val="both"/>
        <w:rPr>
          <w:sz w:val="24"/>
        </w:rPr>
      </w:pPr>
      <w:r>
        <w:rPr>
          <w:sz w:val="24"/>
        </w:rPr>
        <w:t>parādnieks savas saistības ir ieguvis neapdomīgā, finansiāli neatbildīgā</w:t>
      </w:r>
      <w:r>
        <w:rPr>
          <w:spacing w:val="-3"/>
          <w:sz w:val="24"/>
        </w:rPr>
        <w:t> </w:t>
      </w:r>
      <w:r>
        <w:rPr>
          <w:sz w:val="24"/>
        </w:rPr>
        <w:t>ceļā:</w:t>
      </w:r>
    </w:p>
    <w:p>
      <w:pPr>
        <w:pStyle w:val="ListParagraph"/>
        <w:numPr>
          <w:ilvl w:val="1"/>
          <w:numId w:val="90"/>
        </w:numPr>
        <w:tabs>
          <w:tab w:pos="1679" w:val="left" w:leader="none"/>
        </w:tabs>
        <w:spacing w:line="240" w:lineRule="auto" w:before="0" w:after="0"/>
        <w:ind w:left="1678" w:right="763" w:hanging="286"/>
        <w:jc w:val="both"/>
        <w:rPr>
          <w:sz w:val="24"/>
        </w:rPr>
      </w:pPr>
      <w:r>
        <w:rPr>
          <w:sz w:val="24"/>
        </w:rPr>
        <w:t>uzņēmies jaunas saistības laikā, kad viņam jau pastāvēja neizpildītas saistības;</w:t>
      </w:r>
    </w:p>
    <w:p>
      <w:pPr>
        <w:pStyle w:val="ListParagraph"/>
        <w:numPr>
          <w:ilvl w:val="1"/>
          <w:numId w:val="90"/>
        </w:numPr>
        <w:tabs>
          <w:tab w:pos="1679" w:val="left" w:leader="none"/>
        </w:tabs>
        <w:spacing w:line="240" w:lineRule="auto" w:before="0" w:after="0"/>
        <w:ind w:left="1678" w:right="761" w:hanging="286"/>
        <w:jc w:val="both"/>
        <w:rPr>
          <w:sz w:val="24"/>
        </w:rPr>
      </w:pPr>
      <w:r>
        <w:rPr>
          <w:sz w:val="24"/>
        </w:rPr>
        <w:t>saistības</w:t>
      </w:r>
      <w:r>
        <w:rPr>
          <w:spacing w:val="-13"/>
          <w:sz w:val="24"/>
        </w:rPr>
        <w:t> </w:t>
      </w:r>
      <w:r>
        <w:rPr>
          <w:sz w:val="24"/>
        </w:rPr>
        <w:t>radušās,</w:t>
      </w:r>
      <w:r>
        <w:rPr>
          <w:spacing w:val="-12"/>
          <w:sz w:val="24"/>
        </w:rPr>
        <w:t> </w:t>
      </w:r>
      <w:r>
        <w:rPr>
          <w:sz w:val="24"/>
        </w:rPr>
        <w:t>jo</w:t>
      </w:r>
      <w:r>
        <w:rPr>
          <w:spacing w:val="-13"/>
          <w:sz w:val="24"/>
        </w:rPr>
        <w:t> </w:t>
      </w:r>
      <w:r>
        <w:rPr>
          <w:sz w:val="24"/>
        </w:rPr>
        <w:t>parādnieks</w:t>
      </w:r>
      <w:r>
        <w:rPr>
          <w:spacing w:val="-12"/>
          <w:sz w:val="24"/>
        </w:rPr>
        <w:t> </w:t>
      </w:r>
      <w:r>
        <w:rPr>
          <w:sz w:val="24"/>
        </w:rPr>
        <w:t>uzņēmās</w:t>
      </w:r>
      <w:r>
        <w:rPr>
          <w:spacing w:val="-16"/>
          <w:sz w:val="24"/>
        </w:rPr>
        <w:t> </w:t>
      </w:r>
      <w:r>
        <w:rPr>
          <w:sz w:val="24"/>
        </w:rPr>
        <w:t>pārāk</w:t>
      </w:r>
      <w:r>
        <w:rPr>
          <w:spacing w:val="-15"/>
          <w:sz w:val="24"/>
        </w:rPr>
        <w:t> </w:t>
      </w:r>
      <w:r>
        <w:rPr>
          <w:sz w:val="24"/>
        </w:rPr>
        <w:t>lielu</w:t>
      </w:r>
      <w:r>
        <w:rPr>
          <w:spacing w:val="-13"/>
          <w:sz w:val="24"/>
        </w:rPr>
        <w:t> </w:t>
      </w:r>
      <w:r>
        <w:rPr>
          <w:sz w:val="24"/>
        </w:rPr>
        <w:t>finanšu</w:t>
      </w:r>
      <w:r>
        <w:rPr>
          <w:spacing w:val="-12"/>
          <w:sz w:val="24"/>
        </w:rPr>
        <w:t> </w:t>
      </w:r>
      <w:r>
        <w:rPr>
          <w:sz w:val="24"/>
        </w:rPr>
        <w:t>risku,</w:t>
      </w:r>
      <w:r>
        <w:rPr>
          <w:spacing w:val="-13"/>
          <w:sz w:val="24"/>
        </w:rPr>
        <w:t> </w:t>
      </w:r>
      <w:r>
        <w:rPr>
          <w:sz w:val="24"/>
        </w:rPr>
        <w:t>kas</w:t>
      </w:r>
      <w:r>
        <w:rPr>
          <w:spacing w:val="-15"/>
          <w:sz w:val="24"/>
        </w:rPr>
        <w:t> </w:t>
      </w:r>
      <w:r>
        <w:rPr>
          <w:sz w:val="24"/>
        </w:rPr>
        <w:t>nebija proporcionāls viņa finansiālajam</w:t>
      </w:r>
      <w:r>
        <w:rPr>
          <w:spacing w:val="-4"/>
          <w:sz w:val="24"/>
        </w:rPr>
        <w:t> </w:t>
      </w:r>
      <w:r>
        <w:rPr>
          <w:sz w:val="24"/>
        </w:rPr>
        <w:t>stāvoklim;</w:t>
      </w:r>
    </w:p>
    <w:p>
      <w:pPr>
        <w:pStyle w:val="ListParagraph"/>
        <w:numPr>
          <w:ilvl w:val="1"/>
          <w:numId w:val="90"/>
        </w:numPr>
        <w:tabs>
          <w:tab w:pos="1679" w:val="left" w:leader="none"/>
        </w:tabs>
        <w:spacing w:line="240" w:lineRule="auto" w:before="0" w:after="0"/>
        <w:ind w:left="1678" w:right="763" w:hanging="286"/>
        <w:jc w:val="both"/>
        <w:rPr>
          <w:sz w:val="24"/>
        </w:rPr>
      </w:pPr>
      <w:r>
        <w:rPr>
          <w:sz w:val="24"/>
        </w:rPr>
        <w:t>saistības radušās kā patērētāju izdevumi (</w:t>
      </w:r>
      <w:r>
        <w:rPr>
          <w:i/>
          <w:sz w:val="24"/>
        </w:rPr>
        <w:t>šis ir jāsaprot kā neapdomīga, </w:t>
      </w:r>
      <w:r>
        <w:rPr>
          <w:i/>
          <w:sz w:val="24"/>
        </w:rPr>
        <w:t>pārgalvīga parādnieka naudas tērēšana uz ikdienas patēriņa precēm, </w:t>
      </w:r>
      <w:r>
        <w:rPr>
          <w:i/>
          <w:spacing w:val="-5"/>
          <w:sz w:val="24"/>
        </w:rPr>
        <w:t>bez </w:t>
      </w:r>
      <w:r>
        <w:rPr>
          <w:i/>
          <w:sz w:val="24"/>
        </w:rPr>
        <w:t>kurām faktiski var</w:t>
      </w:r>
      <w:r>
        <w:rPr>
          <w:i/>
          <w:spacing w:val="-5"/>
          <w:sz w:val="24"/>
        </w:rPr>
        <w:t> </w:t>
      </w:r>
      <w:r>
        <w:rPr>
          <w:i/>
          <w:sz w:val="24"/>
        </w:rPr>
        <w:t>iztikt</w:t>
      </w:r>
      <w:r>
        <w:rPr>
          <w:sz w:val="24"/>
        </w:rPr>
        <w:t>);</w:t>
      </w:r>
    </w:p>
    <w:p>
      <w:pPr>
        <w:pStyle w:val="ListParagraph"/>
        <w:numPr>
          <w:ilvl w:val="1"/>
          <w:numId w:val="90"/>
        </w:numPr>
        <w:tabs>
          <w:tab w:pos="1679" w:val="left" w:leader="none"/>
        </w:tabs>
        <w:spacing w:line="240" w:lineRule="auto" w:before="0" w:after="0"/>
        <w:ind w:left="1678" w:right="0" w:hanging="287"/>
        <w:jc w:val="both"/>
        <w:rPr>
          <w:sz w:val="24"/>
        </w:rPr>
      </w:pPr>
      <w:r>
        <w:rPr>
          <w:sz w:val="24"/>
        </w:rPr>
        <w:t>sastāv no parāda, kas sistēmiski rodas pret varas</w:t>
      </w:r>
      <w:r>
        <w:rPr>
          <w:spacing w:val="-5"/>
          <w:sz w:val="24"/>
        </w:rPr>
        <w:t> </w:t>
      </w:r>
      <w:r>
        <w:rPr>
          <w:sz w:val="24"/>
        </w:rPr>
        <w:t>iestādēm.</w:t>
      </w:r>
    </w:p>
    <w:p>
      <w:pPr>
        <w:pStyle w:val="ListParagraph"/>
        <w:numPr>
          <w:ilvl w:val="0"/>
          <w:numId w:val="90"/>
        </w:numPr>
        <w:tabs>
          <w:tab w:pos="1392" w:val="left" w:leader="none"/>
          <w:tab w:pos="1393" w:val="left" w:leader="none"/>
        </w:tabs>
        <w:spacing w:line="240" w:lineRule="auto" w:before="0" w:after="0"/>
        <w:ind w:left="1392" w:right="0" w:hanging="426"/>
        <w:jc w:val="left"/>
        <w:rPr>
          <w:sz w:val="24"/>
        </w:rPr>
      </w:pPr>
      <w:r>
        <w:rPr>
          <w:sz w:val="24"/>
        </w:rPr>
        <w:t>parādsaistības ir radušās no sodāmām</w:t>
      </w:r>
      <w:r>
        <w:rPr>
          <w:spacing w:val="-4"/>
          <w:sz w:val="24"/>
        </w:rPr>
        <w:t> </w:t>
      </w:r>
      <w:r>
        <w:rPr>
          <w:sz w:val="24"/>
        </w:rPr>
        <w:t>aktivitātēm;</w:t>
      </w:r>
    </w:p>
    <w:p>
      <w:pPr>
        <w:pStyle w:val="ListParagraph"/>
        <w:numPr>
          <w:ilvl w:val="0"/>
          <w:numId w:val="90"/>
        </w:numPr>
        <w:tabs>
          <w:tab w:pos="1392" w:val="left" w:leader="none"/>
          <w:tab w:pos="1393" w:val="left" w:leader="none"/>
        </w:tabs>
        <w:spacing w:line="240" w:lineRule="auto" w:before="0" w:after="0"/>
        <w:ind w:left="1392" w:right="0" w:hanging="426"/>
        <w:jc w:val="left"/>
        <w:rPr>
          <w:sz w:val="24"/>
        </w:rPr>
      </w:pPr>
      <w:r>
        <w:rPr>
          <w:sz w:val="24"/>
        </w:rPr>
        <w:t>parādnieks nepildīja savas saistības, lai gan viņa finansiālā situācija to</w:t>
      </w:r>
      <w:r>
        <w:rPr>
          <w:spacing w:val="-3"/>
          <w:sz w:val="24"/>
        </w:rPr>
        <w:t> </w:t>
      </w:r>
      <w:r>
        <w:rPr>
          <w:sz w:val="24"/>
        </w:rPr>
        <w:t>atļāva;</w:t>
      </w:r>
    </w:p>
    <w:p>
      <w:pPr>
        <w:pStyle w:val="ListParagraph"/>
        <w:numPr>
          <w:ilvl w:val="0"/>
          <w:numId w:val="90"/>
        </w:numPr>
        <w:tabs>
          <w:tab w:pos="1392" w:val="left" w:leader="none"/>
          <w:tab w:pos="1393" w:val="left" w:leader="none"/>
        </w:tabs>
        <w:spacing w:line="268" w:lineRule="exact" w:before="0" w:after="0"/>
        <w:ind w:left="1392" w:right="0" w:hanging="426"/>
        <w:jc w:val="left"/>
        <w:rPr>
          <w:sz w:val="24"/>
        </w:rPr>
      </w:pPr>
      <w:r>
        <w:rPr>
          <w:sz w:val="24"/>
        </w:rPr>
        <w:t>parādnieks ieguva saistības ar domu, ka izmantos parādu</w:t>
      </w:r>
      <w:r>
        <w:rPr>
          <w:spacing w:val="-7"/>
          <w:sz w:val="24"/>
        </w:rPr>
        <w:t> </w:t>
      </w:r>
      <w:r>
        <w:rPr>
          <w:sz w:val="24"/>
        </w:rPr>
        <w:t>atlaišanu;</w:t>
      </w:r>
    </w:p>
    <w:p>
      <w:pPr>
        <w:pStyle w:val="ListParagraph"/>
        <w:numPr>
          <w:ilvl w:val="0"/>
          <w:numId w:val="90"/>
        </w:numPr>
        <w:tabs>
          <w:tab w:pos="1392" w:val="left" w:leader="none"/>
          <w:tab w:pos="1393" w:val="left" w:leader="none"/>
        </w:tabs>
        <w:spacing w:line="240" w:lineRule="auto" w:before="0" w:after="0"/>
        <w:ind w:left="980" w:right="762" w:hanging="12"/>
        <w:jc w:val="left"/>
        <w:rPr>
          <w:sz w:val="24"/>
        </w:rPr>
      </w:pPr>
      <w:r>
        <w:rPr>
          <w:sz w:val="24"/>
        </w:rPr>
        <w:t>parādnieks</w:t>
      </w:r>
      <w:r>
        <w:rPr>
          <w:spacing w:val="-12"/>
          <w:sz w:val="24"/>
        </w:rPr>
        <w:t> </w:t>
      </w:r>
      <w:r>
        <w:rPr>
          <w:sz w:val="24"/>
        </w:rPr>
        <w:t>iegūst</w:t>
      </w:r>
      <w:r>
        <w:rPr>
          <w:spacing w:val="-11"/>
          <w:sz w:val="24"/>
        </w:rPr>
        <w:t> </w:t>
      </w:r>
      <w:r>
        <w:rPr>
          <w:sz w:val="24"/>
        </w:rPr>
        <w:t>jaunu</w:t>
      </w:r>
      <w:r>
        <w:rPr>
          <w:spacing w:val="-11"/>
          <w:sz w:val="24"/>
        </w:rPr>
        <w:t> </w:t>
      </w:r>
      <w:r>
        <w:rPr>
          <w:sz w:val="24"/>
        </w:rPr>
        <w:t>parādu</w:t>
      </w:r>
      <w:r>
        <w:rPr>
          <w:spacing w:val="-12"/>
          <w:sz w:val="24"/>
        </w:rPr>
        <w:t> </w:t>
      </w:r>
      <w:r>
        <w:rPr>
          <w:sz w:val="24"/>
        </w:rPr>
        <w:t>pēc</w:t>
      </w:r>
      <w:r>
        <w:rPr>
          <w:spacing w:val="-11"/>
          <w:sz w:val="24"/>
        </w:rPr>
        <w:t> </w:t>
      </w:r>
      <w:r>
        <w:rPr>
          <w:sz w:val="24"/>
        </w:rPr>
        <w:t>parāda</w:t>
      </w:r>
      <w:r>
        <w:rPr>
          <w:spacing w:val="-11"/>
          <w:sz w:val="24"/>
        </w:rPr>
        <w:t> </w:t>
      </w:r>
      <w:r>
        <w:rPr>
          <w:sz w:val="24"/>
        </w:rPr>
        <w:t>atlaišanas</w:t>
      </w:r>
      <w:r>
        <w:rPr>
          <w:spacing w:val="-11"/>
          <w:sz w:val="24"/>
        </w:rPr>
        <w:t> </w:t>
      </w:r>
      <w:r>
        <w:rPr>
          <w:sz w:val="24"/>
        </w:rPr>
        <w:t>procedūras</w:t>
      </w:r>
      <w:r>
        <w:rPr>
          <w:spacing w:val="-12"/>
          <w:sz w:val="24"/>
        </w:rPr>
        <w:t> </w:t>
      </w:r>
      <w:r>
        <w:rPr>
          <w:sz w:val="24"/>
        </w:rPr>
        <w:t>uzsākšanas.</w:t>
      </w:r>
      <w:r>
        <w:rPr>
          <w:position w:val="9"/>
          <w:sz w:val="16"/>
        </w:rPr>
        <w:t>348</w:t>
      </w:r>
      <w:r>
        <w:rPr>
          <w:sz w:val="16"/>
        </w:rPr>
        <w:t> </w:t>
      </w:r>
      <w:r>
        <w:rPr>
          <w:sz w:val="24"/>
        </w:rPr>
        <w:t>Atbilstoši</w:t>
      </w:r>
      <w:r>
        <w:rPr>
          <w:spacing w:val="31"/>
          <w:sz w:val="24"/>
        </w:rPr>
        <w:t> </w:t>
      </w:r>
      <w:r>
        <w:rPr>
          <w:sz w:val="24"/>
        </w:rPr>
        <w:t>Dānijas</w:t>
      </w:r>
      <w:r>
        <w:rPr>
          <w:spacing w:val="31"/>
          <w:sz w:val="24"/>
        </w:rPr>
        <w:t> </w:t>
      </w:r>
      <w:r>
        <w:rPr>
          <w:sz w:val="24"/>
        </w:rPr>
        <w:t>Bankrota</w:t>
      </w:r>
      <w:r>
        <w:rPr>
          <w:spacing w:val="32"/>
          <w:sz w:val="24"/>
        </w:rPr>
        <w:t> </w:t>
      </w:r>
      <w:r>
        <w:rPr>
          <w:sz w:val="24"/>
        </w:rPr>
        <w:t>likuma</w:t>
      </w:r>
      <w:r>
        <w:rPr>
          <w:spacing w:val="33"/>
          <w:sz w:val="24"/>
        </w:rPr>
        <w:t> </w:t>
      </w:r>
      <w:r>
        <w:rPr>
          <w:sz w:val="24"/>
        </w:rPr>
        <w:t>199.panta</w:t>
      </w:r>
      <w:r>
        <w:rPr>
          <w:spacing w:val="32"/>
          <w:sz w:val="24"/>
        </w:rPr>
        <w:t> </w:t>
      </w:r>
      <w:r>
        <w:rPr>
          <w:sz w:val="24"/>
        </w:rPr>
        <w:t>otrajai</w:t>
      </w:r>
      <w:r>
        <w:rPr>
          <w:spacing w:val="31"/>
          <w:sz w:val="24"/>
        </w:rPr>
        <w:t> </w:t>
      </w:r>
      <w:r>
        <w:rPr>
          <w:sz w:val="24"/>
        </w:rPr>
        <w:t>daļai,</w:t>
      </w:r>
      <w:r>
        <w:rPr>
          <w:spacing w:val="31"/>
          <w:sz w:val="24"/>
        </w:rPr>
        <w:t> </w:t>
      </w:r>
      <w:r>
        <w:rPr>
          <w:sz w:val="24"/>
        </w:rPr>
        <w:t>parāda</w:t>
      </w:r>
      <w:r>
        <w:rPr>
          <w:spacing w:val="32"/>
          <w:sz w:val="24"/>
        </w:rPr>
        <w:t> </w:t>
      </w:r>
      <w:r>
        <w:rPr>
          <w:sz w:val="24"/>
        </w:rPr>
        <w:t>pārplānošana</w:t>
      </w:r>
    </w:p>
    <w:p>
      <w:pPr>
        <w:pStyle w:val="BodyText"/>
        <w:spacing w:line="268" w:lineRule="exact"/>
        <w:ind w:left="260"/>
        <w:jc w:val="left"/>
      </w:pPr>
      <w:r>
        <w:rPr/>
        <w:t>neattiecas uz parādiem to nodrošinātajā daļā.</w:t>
      </w:r>
    </w:p>
    <w:p>
      <w:pPr>
        <w:pStyle w:val="BodyText"/>
        <w:ind w:left="260" w:right="761" w:firstLine="720"/>
      </w:pPr>
      <w:r>
        <w:rPr/>
        <w:t>Jebkurā gadījumā pie parāda atlaišanas tiesa ņem vērā parāda vecumu.</w:t>
      </w:r>
      <w:r>
        <w:rPr>
          <w:position w:val="9"/>
          <w:sz w:val="16"/>
        </w:rPr>
        <w:t>349 </w:t>
      </w:r>
      <w:r>
        <w:rPr/>
        <w:t>Šis kritērijs liek domāt par to, ka tikai tādi parādi, kas parādnieka kredītvēsturē ir uzkrājušies ilgstoši un nav uzņemti īsi pirms pieteikšanās parādu pārplānošanas, ir uzskatāmi par tādiem,</w:t>
      </w:r>
      <w:r>
        <w:rPr>
          <w:spacing w:val="-15"/>
        </w:rPr>
        <w:t> </w:t>
      </w:r>
      <w:r>
        <w:rPr/>
        <w:t>uz</w:t>
      </w:r>
      <w:r>
        <w:rPr>
          <w:spacing w:val="-13"/>
        </w:rPr>
        <w:t> </w:t>
      </w:r>
      <w:r>
        <w:rPr/>
        <w:t>kuriem</w:t>
      </w:r>
      <w:r>
        <w:rPr>
          <w:spacing w:val="-18"/>
        </w:rPr>
        <w:t> </w:t>
      </w:r>
      <w:r>
        <w:rPr/>
        <w:t>ir</w:t>
      </w:r>
      <w:r>
        <w:rPr>
          <w:spacing w:val="-13"/>
        </w:rPr>
        <w:t> </w:t>
      </w:r>
      <w:r>
        <w:rPr/>
        <w:t>attiecināma</w:t>
      </w:r>
      <w:r>
        <w:rPr>
          <w:spacing w:val="-14"/>
        </w:rPr>
        <w:t> </w:t>
      </w:r>
      <w:r>
        <w:rPr/>
        <w:t>parādu</w:t>
      </w:r>
      <w:r>
        <w:rPr>
          <w:spacing w:val="-14"/>
        </w:rPr>
        <w:t> </w:t>
      </w:r>
      <w:r>
        <w:rPr/>
        <w:t>pārplānošanas</w:t>
      </w:r>
      <w:r>
        <w:rPr>
          <w:spacing w:val="-15"/>
        </w:rPr>
        <w:t> </w:t>
      </w:r>
      <w:r>
        <w:rPr/>
        <w:t>procedūra.</w:t>
      </w:r>
      <w:r>
        <w:rPr>
          <w:spacing w:val="-12"/>
        </w:rPr>
        <w:t> </w:t>
      </w:r>
      <w:r>
        <w:rPr/>
        <w:t>Ilgstoša</w:t>
      </w:r>
      <w:r>
        <w:rPr>
          <w:spacing w:val="-14"/>
        </w:rPr>
        <w:t> </w:t>
      </w:r>
      <w:r>
        <w:rPr/>
        <w:t>nenorēķināšanās ar kreditoru tiek uzskatīta par tādu apstākli, kas liecina par parādnieka nespēju nokārtot savas saistības. Vienlaikus jāņem vērā, ka šāda nenorēķināšanās nevar būt nepamatota. Respektīvi, ja parādniekam bija iespēja norēķināties ar kreditoriem, bet tas apzināti netika darīts, šāds apstāklis, neskatoties uz parāda ilgumu, tiek uzskatīts par negodprātīgu rīcību no parādnieka puses un parādu pārplānošana šādam parādniekam netiks</w:t>
      </w:r>
      <w:r>
        <w:rPr>
          <w:spacing w:val="-7"/>
        </w:rPr>
        <w:t> </w:t>
      </w:r>
      <w:r>
        <w:rPr/>
        <w:t>īstenota.</w:t>
      </w:r>
    </w:p>
    <w:p>
      <w:pPr>
        <w:pStyle w:val="BodyText"/>
        <w:spacing w:line="237" w:lineRule="auto"/>
        <w:ind w:left="260" w:right="760" w:firstLine="720"/>
        <w:rPr>
          <w:sz w:val="16"/>
        </w:rPr>
      </w:pPr>
      <w:r>
        <w:rPr/>
        <w:t>Primāri parādniekam, piesakoties šai procedūrai, ir jāsniedz visa nepieciešamā informācija par apstākļiem, kam var būt nozīme lēmuma pieņemšanā: gan parādnieka ienākumu līmenis, gan arī parādnieka ģimenes locekļu ienākuma līmenis, parādnieka kreditoru saraksts, parādnieka aktīvi un cita informācija, kam varētu būt nozīme lēmuma pieņemšanā.</w:t>
      </w:r>
      <w:r>
        <w:rPr>
          <w:position w:val="9"/>
          <w:sz w:val="16"/>
        </w:rPr>
        <w:t>350</w:t>
      </w:r>
    </w:p>
    <w:p>
      <w:pPr>
        <w:pStyle w:val="BodyText"/>
        <w:spacing w:line="237" w:lineRule="auto"/>
        <w:ind w:left="260" w:right="761" w:firstLine="720"/>
      </w:pPr>
      <w:r>
        <w:rPr/>
        <w:t>Pēc pieteikuma saņemšanas tiesa pēc iespējas ātrāk nozīmē tikšanos tiesas sēdē ar parādnieku, lai viņu uzklausītu un lemtu par procedūras ierosināšanu.</w:t>
      </w:r>
      <w:r>
        <w:rPr>
          <w:position w:val="9"/>
          <w:sz w:val="16"/>
        </w:rPr>
        <w:t>351 </w:t>
      </w:r>
      <w:r>
        <w:rPr/>
        <w:t>Tikšanās laikā attiecīgi tiek īstenots parādnieka labas ticības (</w:t>
      </w:r>
      <w:r>
        <w:rPr>
          <w:i/>
        </w:rPr>
        <w:t>good faith</w:t>
      </w:r>
      <w:r>
        <w:rPr/>
        <w:t>) tests, kurā tiesa vērtē, vai parādnieka uzvedība un apstākļi kopumā liecina par labu procedūras īstenošanai, papildus jau</w:t>
      </w:r>
      <w:r>
        <w:rPr>
          <w:spacing w:val="-9"/>
        </w:rPr>
        <w:t> </w:t>
      </w:r>
      <w:r>
        <w:rPr/>
        <w:t>minētajiem</w:t>
      </w:r>
      <w:r>
        <w:rPr>
          <w:spacing w:val="-9"/>
        </w:rPr>
        <w:t> </w:t>
      </w:r>
      <w:r>
        <w:rPr/>
        <w:t>kritērijiem</w:t>
      </w:r>
      <w:r>
        <w:rPr>
          <w:spacing w:val="-10"/>
        </w:rPr>
        <w:t> </w:t>
      </w:r>
      <w:r>
        <w:rPr/>
        <w:t>vērtējot</w:t>
      </w:r>
      <w:r>
        <w:rPr>
          <w:spacing w:val="-6"/>
        </w:rPr>
        <w:t> </w:t>
      </w:r>
      <w:r>
        <w:rPr/>
        <w:t>arī</w:t>
      </w:r>
      <w:r>
        <w:rPr>
          <w:spacing w:val="-8"/>
        </w:rPr>
        <w:t> </w:t>
      </w:r>
      <w:r>
        <w:rPr/>
        <w:t>to,</w:t>
      </w:r>
      <w:r>
        <w:rPr>
          <w:spacing w:val="-9"/>
        </w:rPr>
        <w:t> </w:t>
      </w:r>
      <w:r>
        <w:rPr/>
        <w:t>vai</w:t>
      </w:r>
      <w:r>
        <w:rPr>
          <w:spacing w:val="-10"/>
        </w:rPr>
        <w:t> </w:t>
      </w:r>
      <w:r>
        <w:rPr/>
        <w:t>parādnieks</w:t>
      </w:r>
      <w:r>
        <w:rPr>
          <w:spacing w:val="-9"/>
        </w:rPr>
        <w:t> </w:t>
      </w:r>
      <w:r>
        <w:rPr/>
        <w:t>ir</w:t>
      </w:r>
      <w:r>
        <w:rPr>
          <w:spacing w:val="-6"/>
        </w:rPr>
        <w:t> </w:t>
      </w:r>
      <w:r>
        <w:rPr/>
        <w:t>sadarbojies</w:t>
      </w:r>
      <w:r>
        <w:rPr>
          <w:spacing w:val="-9"/>
        </w:rPr>
        <w:t> </w:t>
      </w:r>
      <w:r>
        <w:rPr/>
        <w:t>ar</w:t>
      </w:r>
      <w:r>
        <w:rPr>
          <w:spacing w:val="-11"/>
        </w:rPr>
        <w:t> </w:t>
      </w:r>
      <w:r>
        <w:rPr/>
        <w:t>tiesu</w:t>
      </w:r>
      <w:r>
        <w:rPr>
          <w:spacing w:val="-9"/>
        </w:rPr>
        <w:t> </w:t>
      </w:r>
      <w:r>
        <w:rPr/>
        <w:t>un</w:t>
      </w:r>
      <w:r>
        <w:rPr>
          <w:spacing w:val="-8"/>
        </w:rPr>
        <w:t> </w:t>
      </w:r>
      <w:r>
        <w:rPr/>
        <w:t>veicinājis visu nepieciešamo dokumentu</w:t>
      </w:r>
      <w:r>
        <w:rPr>
          <w:spacing w:val="-1"/>
        </w:rPr>
        <w:t> </w:t>
      </w:r>
      <w:r>
        <w:rPr/>
        <w:t>piegādi.</w:t>
      </w:r>
    </w:p>
    <w:p>
      <w:pPr>
        <w:pStyle w:val="BodyText"/>
        <w:ind w:left="260" w:right="760" w:firstLine="720"/>
      </w:pPr>
      <w:r>
        <w:rPr/>
        <w:t>Tiesa tikai īpašos apstākļos var noteikt, ka parādniekam ir jānodrošina atbilstoša garantija izdevumiem, kas saistīti ar parādu pārplānošanas procesa uzklausīšanu, tomēr</w:t>
      </w:r>
    </w:p>
    <w:p>
      <w:pPr>
        <w:pStyle w:val="BodyText"/>
        <w:jc w:val="left"/>
        <w:rPr>
          <w:sz w:val="20"/>
        </w:rPr>
      </w:pPr>
    </w:p>
    <w:p>
      <w:pPr>
        <w:pStyle w:val="BodyText"/>
        <w:jc w:val="left"/>
        <w:rPr>
          <w:sz w:val="20"/>
        </w:rPr>
      </w:pPr>
    </w:p>
    <w:p>
      <w:pPr>
        <w:pStyle w:val="BodyText"/>
        <w:spacing w:before="2"/>
        <w:jc w:val="left"/>
        <w:rPr>
          <w:sz w:val="16"/>
        </w:rPr>
      </w:pPr>
    </w:p>
    <w:p>
      <w:pPr>
        <w:spacing w:before="94"/>
        <w:ind w:left="260" w:right="763" w:firstLine="0"/>
        <w:jc w:val="both"/>
        <w:rPr>
          <w:sz w:val="20"/>
        </w:rPr>
      </w:pPr>
      <w:r>
        <w:rPr>
          <w:position w:val="7"/>
          <w:sz w:val="13"/>
        </w:rPr>
        <w:t>347 </w:t>
      </w:r>
      <w:r>
        <w:rPr>
          <w:sz w:val="20"/>
        </w:rPr>
        <w:t>Kilborn J. Twenty-five Years of Consumer Bankruptcy in Continental Europe: Internalizing Negative Externalities and Humanizing Justice in Denmark. INSOL International Insolvency Review, 2009, Vol.18:155^185, p.167.</w:t>
      </w:r>
    </w:p>
    <w:p>
      <w:pPr>
        <w:spacing w:line="235" w:lineRule="auto" w:before="0"/>
        <w:ind w:left="260" w:right="5411" w:firstLine="0"/>
        <w:jc w:val="left"/>
        <w:rPr>
          <w:sz w:val="20"/>
        </w:rPr>
      </w:pPr>
      <w:r>
        <w:rPr>
          <w:position w:val="7"/>
          <w:sz w:val="13"/>
        </w:rPr>
        <w:t>348 </w:t>
      </w:r>
      <w:r>
        <w:rPr>
          <w:sz w:val="20"/>
        </w:rPr>
        <w:t>Dānijas Bankrota likums, 197.panta otrā daļa </w:t>
      </w:r>
      <w:r>
        <w:rPr>
          <w:position w:val="7"/>
          <w:sz w:val="13"/>
        </w:rPr>
        <w:t>349 </w:t>
      </w:r>
      <w:r>
        <w:rPr>
          <w:sz w:val="20"/>
        </w:rPr>
        <w:t>Dānijas Bankrota likums, 197.panta trešā daļa </w:t>
      </w:r>
      <w:r>
        <w:rPr>
          <w:position w:val="7"/>
          <w:sz w:val="13"/>
        </w:rPr>
        <w:t>350 </w:t>
      </w:r>
      <w:r>
        <w:rPr>
          <w:sz w:val="20"/>
        </w:rPr>
        <w:t>Dānijas Bankrota likums,</w:t>
      </w:r>
      <w:r>
        <w:rPr>
          <w:spacing w:val="-20"/>
          <w:sz w:val="20"/>
        </w:rPr>
        <w:t> </w:t>
      </w:r>
      <w:r>
        <w:rPr>
          <w:sz w:val="20"/>
        </w:rPr>
        <w:t>202.pants</w:t>
      </w:r>
    </w:p>
    <w:p>
      <w:pPr>
        <w:spacing w:line="232" w:lineRule="exact" w:before="0"/>
        <w:ind w:left="260" w:right="0" w:firstLine="0"/>
        <w:jc w:val="left"/>
        <w:rPr>
          <w:sz w:val="20"/>
        </w:rPr>
      </w:pPr>
      <w:r>
        <w:rPr>
          <w:position w:val="7"/>
          <w:sz w:val="13"/>
        </w:rPr>
        <w:t>351  </w:t>
      </w:r>
      <w:r>
        <w:rPr>
          <w:sz w:val="20"/>
        </w:rPr>
        <w:t>Dānijas Bankrota likums,</w:t>
      </w:r>
      <w:r>
        <w:rPr>
          <w:spacing w:val="-23"/>
          <w:sz w:val="20"/>
        </w:rPr>
        <w:t> </w:t>
      </w:r>
      <w:r>
        <w:rPr>
          <w:sz w:val="20"/>
        </w:rPr>
        <w:t>204.pants</w:t>
      </w:r>
    </w:p>
    <w:p>
      <w:pPr>
        <w:spacing w:after="0" w:line="232" w:lineRule="exact"/>
        <w:jc w:val="left"/>
        <w:rPr>
          <w:sz w:val="20"/>
        </w:rPr>
        <w:sectPr>
          <w:footerReference w:type="even" r:id="rId82"/>
          <w:footerReference w:type="default" r:id="rId83"/>
          <w:pgSz w:w="11910" w:h="16840"/>
          <w:pgMar w:footer="1165" w:header="0" w:top="1340" w:bottom="1360" w:left="1180" w:right="1040"/>
        </w:sectPr>
      </w:pPr>
    </w:p>
    <w:p>
      <w:pPr>
        <w:pStyle w:val="BodyText"/>
        <w:spacing w:line="235" w:lineRule="auto" w:before="82"/>
        <w:ind w:left="370" w:right="402"/>
        <w:jc w:val="right"/>
      </w:pPr>
      <w:r>
        <w:rPr/>
        <w:t>ierastā kārtība ir tāda, ka izmaksas sedz Valsts kase.</w:t>
      </w:r>
      <w:r>
        <w:rPr>
          <w:position w:val="9"/>
          <w:sz w:val="16"/>
        </w:rPr>
        <w:t>352 </w:t>
      </w:r>
      <w:r>
        <w:rPr/>
        <w:t>Iemesls lūgumam</w:t>
      </w:r>
      <w:r>
        <w:rPr>
          <w:spacing w:val="51"/>
        </w:rPr>
        <w:t> </w:t>
      </w:r>
      <w:r>
        <w:rPr/>
        <w:t>nodrošināt izmaksas praksē ir ļoti liels izņēmuma gadījums, taču tas ir iespējams, ja parādnieks otro reizi piesakās šai procedūrai, un pirmā pieteikšanās tika noraidīta parādnieka vainas dēļ.</w:t>
      </w:r>
      <w:r>
        <w:rPr>
          <w:position w:val="9"/>
          <w:sz w:val="16"/>
        </w:rPr>
        <w:t>353</w:t>
      </w:r>
      <w:r>
        <w:rPr>
          <w:w w:val="100"/>
          <w:position w:val="9"/>
          <w:sz w:val="16"/>
        </w:rPr>
        <w:t> </w:t>
      </w:r>
      <w:r>
        <w:rPr/>
        <w:t>Tiesa neuzsāk parādu pārplānošanas procedūru, ja no tiesai pieejamās informācijas,</w:t>
      </w:r>
    </w:p>
    <w:p>
      <w:pPr>
        <w:pStyle w:val="BodyText"/>
        <w:spacing w:line="232" w:lineRule="auto" w:before="10"/>
        <w:ind w:left="620" w:right="402"/>
        <w:rPr>
          <w:sz w:val="16"/>
        </w:rPr>
      </w:pPr>
      <w:r>
        <w:rPr/>
        <w:t>tiesai</w:t>
      </w:r>
      <w:r>
        <w:rPr>
          <w:spacing w:val="-16"/>
        </w:rPr>
        <w:t> </w:t>
      </w:r>
      <w:r>
        <w:rPr/>
        <w:t>neradīsas</w:t>
      </w:r>
      <w:r>
        <w:rPr>
          <w:spacing w:val="-15"/>
        </w:rPr>
        <w:t> </w:t>
      </w:r>
      <w:r>
        <w:rPr/>
        <w:t>priekšstats,</w:t>
      </w:r>
      <w:r>
        <w:rPr>
          <w:spacing w:val="-16"/>
        </w:rPr>
        <w:t> </w:t>
      </w:r>
      <w:r>
        <w:rPr/>
        <w:t>ka</w:t>
      </w:r>
      <w:r>
        <w:rPr>
          <w:spacing w:val="-15"/>
        </w:rPr>
        <w:t> </w:t>
      </w:r>
      <w:r>
        <w:rPr/>
        <w:t>šādai</w:t>
      </w:r>
      <w:r>
        <w:rPr>
          <w:spacing w:val="-15"/>
        </w:rPr>
        <w:t> </w:t>
      </w:r>
      <w:r>
        <w:rPr/>
        <w:t>procedūrai</w:t>
      </w:r>
      <w:r>
        <w:rPr>
          <w:spacing w:val="-16"/>
        </w:rPr>
        <w:t> </w:t>
      </w:r>
      <w:r>
        <w:rPr/>
        <w:t>būtu</w:t>
      </w:r>
      <w:r>
        <w:rPr>
          <w:spacing w:val="-15"/>
        </w:rPr>
        <w:t> </w:t>
      </w:r>
      <w:r>
        <w:rPr/>
        <w:t>jānotiek,</w:t>
      </w:r>
      <w:r>
        <w:rPr>
          <w:spacing w:val="-15"/>
        </w:rPr>
        <w:t> </w:t>
      </w:r>
      <w:r>
        <w:rPr/>
        <w:t>ja</w:t>
      </w:r>
      <w:r>
        <w:rPr>
          <w:spacing w:val="-16"/>
        </w:rPr>
        <w:t> </w:t>
      </w:r>
      <w:r>
        <w:rPr/>
        <w:t>parādnieks</w:t>
      </w:r>
      <w:r>
        <w:rPr>
          <w:spacing w:val="-12"/>
        </w:rPr>
        <w:t> </w:t>
      </w:r>
      <w:r>
        <w:rPr/>
        <w:t>bez</w:t>
      </w:r>
      <w:r>
        <w:rPr>
          <w:spacing w:val="-15"/>
        </w:rPr>
        <w:t> </w:t>
      </w:r>
      <w:r>
        <w:rPr/>
        <w:t>attaisnojoša iemesla nav ieradies uz tiesas sēdi, kā arī, ja parādnieks nespēj nodrošināt iespējamās izmaksas.</w:t>
      </w:r>
      <w:r>
        <w:rPr>
          <w:position w:val="9"/>
          <w:sz w:val="16"/>
        </w:rPr>
        <w:t>354</w:t>
      </w:r>
    </w:p>
    <w:p>
      <w:pPr>
        <w:pStyle w:val="BodyText"/>
        <w:spacing w:line="232" w:lineRule="auto" w:before="9"/>
        <w:ind w:left="620" w:right="404" w:firstLine="720"/>
        <w:rPr>
          <w:sz w:val="16"/>
        </w:rPr>
      </w:pPr>
      <w:r>
        <w:rPr/>
        <w:t>Ja tiesa ir uzsākusi parāda pārplānošanas procedūru, tad nekavējoties tiek nosūtīts paziņojums visiem zināmajiem kreditoriem, kā arī ievietots paziņojums oficiālajā avīzē. Kreditoriem pierādījumi par prasījumu ir jāiesniedz 8 nedēļu laikā.</w:t>
      </w:r>
      <w:r>
        <w:rPr>
          <w:position w:val="9"/>
          <w:sz w:val="16"/>
        </w:rPr>
        <w:t>355</w:t>
      </w:r>
    </w:p>
    <w:p>
      <w:pPr>
        <w:pStyle w:val="BodyText"/>
        <w:spacing w:line="237" w:lineRule="auto" w:before="5"/>
        <w:ind w:left="620" w:right="402" w:firstLine="720"/>
        <w:rPr>
          <w:sz w:val="16"/>
        </w:rPr>
      </w:pPr>
      <w:r>
        <w:rPr/>
        <w:t>Parādu pārplānošanas procedūras laikā tiesa ir tā, kura ir aktīva visu apstākļu izzināšanā. Dānijā ir īpašas tiesas, kas nodarbojas ar maksātnespējas lietām – Dānijā ir 24 rajona tiesas, kuras ir sadalītas arī atsevišķās nodaļās, piemēram, Izpildes tiesās (The Enforcement courts) un Pārbaudes tiesās (The Probate courts). Pārbaudes tiesā tiek lemti jautājumi par īpašuma pārvaldīšanu pēc personas nāves, kad īpašums ir jānodod mantiniekiem vai kreditoriem, kā arī šīs tiesas administrē arī maksātnespējas lietas.</w:t>
      </w:r>
      <w:r>
        <w:rPr>
          <w:position w:val="9"/>
          <w:sz w:val="16"/>
        </w:rPr>
        <w:t>356</w:t>
      </w:r>
    </w:p>
    <w:p>
      <w:pPr>
        <w:pStyle w:val="BodyText"/>
        <w:spacing w:line="232" w:lineRule="auto" w:before="6"/>
        <w:ind w:left="620" w:right="401" w:firstLine="720"/>
      </w:pPr>
      <w:r>
        <w:rPr/>
        <w:t>Tā kā Dānijas gadījumā var runāt par specializētajām tiesām, tad likumsakarīgi ir tas, ka tiesām parādu pārplānošanas procedūrā ir ļoti liela ietekme. Atbilstoši Dānijas Bankrota likuma 210.pantam</w:t>
      </w:r>
      <w:r>
        <w:rPr>
          <w:position w:val="9"/>
          <w:sz w:val="16"/>
        </w:rPr>
        <w:t>357 </w:t>
      </w:r>
      <w:r>
        <w:rPr/>
        <w:t>tiesa pēc procedūras ierosināšanas:</w:t>
      </w:r>
    </w:p>
    <w:p>
      <w:pPr>
        <w:pStyle w:val="ListParagraph"/>
        <w:numPr>
          <w:ilvl w:val="0"/>
          <w:numId w:val="91"/>
        </w:numPr>
        <w:tabs>
          <w:tab w:pos="1615" w:val="left" w:leader="none"/>
        </w:tabs>
        <w:spacing w:line="240" w:lineRule="auto" w:before="3" w:after="0"/>
        <w:ind w:left="1614" w:right="0" w:hanging="288"/>
        <w:jc w:val="both"/>
        <w:rPr>
          <w:sz w:val="24"/>
        </w:rPr>
      </w:pPr>
      <w:r>
        <w:rPr>
          <w:sz w:val="24"/>
        </w:rPr>
        <w:t>nosaka parādnieka aktīvus un saistības, kā arī sagatavo to</w:t>
      </w:r>
      <w:r>
        <w:rPr>
          <w:spacing w:val="-1"/>
          <w:sz w:val="24"/>
        </w:rPr>
        <w:t> </w:t>
      </w:r>
      <w:r>
        <w:rPr>
          <w:sz w:val="24"/>
        </w:rPr>
        <w:t>sarakstu;</w:t>
      </w:r>
    </w:p>
    <w:p>
      <w:pPr>
        <w:pStyle w:val="ListParagraph"/>
        <w:numPr>
          <w:ilvl w:val="0"/>
          <w:numId w:val="91"/>
        </w:numPr>
        <w:tabs>
          <w:tab w:pos="1615" w:val="left" w:leader="none"/>
        </w:tabs>
        <w:spacing w:line="240" w:lineRule="auto" w:before="0" w:after="0"/>
        <w:ind w:left="1613" w:right="402" w:hanging="286"/>
        <w:jc w:val="both"/>
        <w:rPr>
          <w:sz w:val="24"/>
        </w:rPr>
      </w:pPr>
      <w:r>
        <w:rPr>
          <w:sz w:val="24"/>
        </w:rPr>
        <w:t>sagatavo pārskatu par svarīgākajiem parādnieka finansiālā stāvokļa cēloņiem</w:t>
      </w:r>
      <w:r>
        <w:rPr>
          <w:spacing w:val="-36"/>
          <w:sz w:val="24"/>
        </w:rPr>
        <w:t> </w:t>
      </w:r>
      <w:r>
        <w:rPr>
          <w:sz w:val="24"/>
        </w:rPr>
        <w:t>un norāda,</w:t>
      </w:r>
      <w:r>
        <w:rPr>
          <w:spacing w:val="-11"/>
          <w:sz w:val="24"/>
        </w:rPr>
        <w:t> </w:t>
      </w:r>
      <w:r>
        <w:rPr>
          <w:sz w:val="24"/>
        </w:rPr>
        <w:t>vai</w:t>
      </w:r>
      <w:r>
        <w:rPr>
          <w:spacing w:val="-10"/>
          <w:sz w:val="24"/>
        </w:rPr>
        <w:t> </w:t>
      </w:r>
      <w:r>
        <w:rPr>
          <w:sz w:val="24"/>
        </w:rPr>
        <w:t>pastāv</w:t>
      </w:r>
      <w:r>
        <w:rPr>
          <w:spacing w:val="-11"/>
          <w:sz w:val="24"/>
        </w:rPr>
        <w:t> </w:t>
      </w:r>
      <w:r>
        <w:rPr>
          <w:sz w:val="24"/>
        </w:rPr>
        <w:t>darījumi</w:t>
      </w:r>
      <w:r>
        <w:rPr>
          <w:spacing w:val="-10"/>
          <w:sz w:val="24"/>
        </w:rPr>
        <w:t> </w:t>
      </w:r>
      <w:r>
        <w:rPr>
          <w:sz w:val="24"/>
        </w:rPr>
        <w:t>vai</w:t>
      </w:r>
      <w:r>
        <w:rPr>
          <w:spacing w:val="-11"/>
          <w:sz w:val="24"/>
        </w:rPr>
        <w:t> </w:t>
      </w:r>
      <w:r>
        <w:rPr>
          <w:sz w:val="24"/>
        </w:rPr>
        <w:t>tiesiskās</w:t>
      </w:r>
      <w:r>
        <w:rPr>
          <w:spacing w:val="-10"/>
          <w:sz w:val="24"/>
        </w:rPr>
        <w:t> </w:t>
      </w:r>
      <w:r>
        <w:rPr>
          <w:sz w:val="24"/>
        </w:rPr>
        <w:t>darbības,</w:t>
      </w:r>
      <w:r>
        <w:rPr>
          <w:spacing w:val="-11"/>
          <w:sz w:val="24"/>
        </w:rPr>
        <w:t> </w:t>
      </w:r>
      <w:r>
        <w:rPr>
          <w:sz w:val="24"/>
        </w:rPr>
        <w:t>par</w:t>
      </w:r>
      <w:r>
        <w:rPr>
          <w:spacing w:val="-12"/>
          <w:sz w:val="24"/>
        </w:rPr>
        <w:t> </w:t>
      </w:r>
      <w:r>
        <w:rPr>
          <w:sz w:val="24"/>
        </w:rPr>
        <w:t>kuriem</w:t>
      </w:r>
      <w:r>
        <w:rPr>
          <w:spacing w:val="-11"/>
          <w:sz w:val="24"/>
        </w:rPr>
        <w:t> </w:t>
      </w:r>
      <w:r>
        <w:rPr>
          <w:sz w:val="24"/>
        </w:rPr>
        <w:t>var</w:t>
      </w:r>
      <w:r>
        <w:rPr>
          <w:spacing w:val="-10"/>
          <w:sz w:val="24"/>
        </w:rPr>
        <w:t> </w:t>
      </w:r>
      <w:r>
        <w:rPr>
          <w:sz w:val="24"/>
        </w:rPr>
        <w:t>celt</w:t>
      </w:r>
      <w:r>
        <w:rPr>
          <w:spacing w:val="-11"/>
          <w:sz w:val="24"/>
        </w:rPr>
        <w:t> </w:t>
      </w:r>
      <w:r>
        <w:rPr>
          <w:sz w:val="24"/>
        </w:rPr>
        <w:t>prasību</w:t>
      </w:r>
      <w:r>
        <w:rPr>
          <w:spacing w:val="-10"/>
          <w:sz w:val="24"/>
        </w:rPr>
        <w:t> </w:t>
      </w:r>
      <w:r>
        <w:rPr>
          <w:sz w:val="24"/>
        </w:rPr>
        <w:t>par izvairīšanos vai atcelšanu (skatīt tālāk -</w:t>
      </w:r>
      <w:r>
        <w:rPr>
          <w:spacing w:val="-3"/>
          <w:sz w:val="24"/>
        </w:rPr>
        <w:t> </w:t>
      </w:r>
      <w:r>
        <w:rPr>
          <w:sz w:val="24"/>
        </w:rPr>
        <w:t>Avoidance);</w:t>
      </w:r>
    </w:p>
    <w:p>
      <w:pPr>
        <w:pStyle w:val="ListParagraph"/>
        <w:numPr>
          <w:ilvl w:val="0"/>
          <w:numId w:val="91"/>
        </w:numPr>
        <w:tabs>
          <w:tab w:pos="1634" w:val="left" w:leader="none"/>
        </w:tabs>
        <w:spacing w:line="240" w:lineRule="auto" w:before="0" w:after="0"/>
        <w:ind w:left="1613" w:right="400" w:hanging="286"/>
        <w:jc w:val="both"/>
        <w:rPr>
          <w:sz w:val="24"/>
        </w:rPr>
      </w:pPr>
      <w:r>
        <w:rPr>
          <w:sz w:val="24"/>
        </w:rPr>
        <w:t>tiesa var lūgt pašvaldībai sniegt jebkādu informāciju par parādnieka sociālo situāciju, kas ir saistīta ar maksātnespējas procesu, tai skaitā par pašvaldības iespējām palīdzēt parādniekam sniegt padomu par parāda daļas atmaksu, kas turpināsies, ja parāda atmaksas grafiks</w:t>
      </w:r>
      <w:r>
        <w:rPr>
          <w:spacing w:val="-3"/>
          <w:sz w:val="24"/>
        </w:rPr>
        <w:t> </w:t>
      </w:r>
      <w:r>
        <w:rPr>
          <w:sz w:val="24"/>
        </w:rPr>
        <w:t>piešķirts.</w:t>
      </w:r>
    </w:p>
    <w:p>
      <w:pPr>
        <w:pStyle w:val="BodyText"/>
        <w:spacing w:line="237" w:lineRule="auto" w:before="2"/>
        <w:ind w:left="620" w:right="402" w:firstLine="720"/>
      </w:pPr>
      <w:r>
        <w:rPr/>
        <w:t>Attiecībā uz parādu pārplānošanas procedūru jānorāda, ka šajā procedūrā nav administratora tādā izpratnē, kā mēs to saprotam Latvijā. Pastāv neitrāla persona, kas tikai palīdz savākt visu tiesai nepieciešamo informāciju, piemēram, administrators apkopo informāciju par parādu lielumu, apkopo iemeslus, kādēļ parādniekam ir radies šis parāds, konstatē parādnieka apgrozāmos līdzekļus, parādnieka ienākumus un izdevumus un sagatavo priekšlikumu par parādu atmaksas termiņu, kuru pieņem tiesa.</w:t>
      </w:r>
      <w:r>
        <w:rPr>
          <w:position w:val="9"/>
          <w:sz w:val="16"/>
        </w:rPr>
        <w:t>358 </w:t>
      </w:r>
      <w:r>
        <w:rPr/>
        <w:t>Tas nozīmē to,</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7"/>
        <w:jc w:val="left"/>
        <w:rPr>
          <w:sz w:val="21"/>
        </w:rPr>
      </w:pPr>
    </w:p>
    <w:p>
      <w:pPr>
        <w:spacing w:line="233" w:lineRule="exact" w:before="0"/>
        <w:ind w:left="620" w:right="0" w:firstLine="0"/>
        <w:jc w:val="both"/>
        <w:rPr>
          <w:sz w:val="20"/>
        </w:rPr>
      </w:pPr>
      <w:r>
        <w:rPr>
          <w:position w:val="7"/>
          <w:sz w:val="13"/>
        </w:rPr>
        <w:t>352 </w:t>
      </w:r>
      <w:r>
        <w:rPr>
          <w:sz w:val="20"/>
        </w:rPr>
        <w:t>Skatīt Dānijas Bankrota likuma 203. un 220. pantus</w:t>
      </w:r>
    </w:p>
    <w:p>
      <w:pPr>
        <w:spacing w:line="240" w:lineRule="auto" w:before="0"/>
        <w:ind w:left="620" w:right="403" w:firstLine="0"/>
        <w:jc w:val="both"/>
        <w:rPr>
          <w:sz w:val="20"/>
        </w:rPr>
      </w:pPr>
      <w:r>
        <w:rPr>
          <w:position w:val="7"/>
          <w:sz w:val="13"/>
        </w:rPr>
        <w:t>353</w:t>
      </w:r>
      <w:r>
        <w:rPr>
          <w:sz w:val="20"/>
        </w:rPr>
        <w:t>Kilborn J. Twenty-five Years of Consumer Bankruptcy in Continental Europe: Internalizing Negative Externalities and Humanizing Justice in Denmark. INSOL International Insolvency Review, 2009, Vol.18:155^185, p.165.</w:t>
      </w:r>
    </w:p>
    <w:p>
      <w:pPr>
        <w:spacing w:line="227" w:lineRule="exact" w:before="0"/>
        <w:ind w:left="620" w:right="0" w:firstLine="0"/>
        <w:jc w:val="both"/>
        <w:rPr>
          <w:sz w:val="20"/>
        </w:rPr>
      </w:pPr>
      <w:r>
        <w:rPr>
          <w:position w:val="7"/>
          <w:sz w:val="13"/>
        </w:rPr>
        <w:t>354  </w:t>
      </w:r>
      <w:r>
        <w:rPr>
          <w:sz w:val="20"/>
        </w:rPr>
        <w:t>Dānijas Bankrota likums,</w:t>
      </w:r>
      <w:r>
        <w:rPr>
          <w:spacing w:val="-23"/>
          <w:sz w:val="20"/>
        </w:rPr>
        <w:t> </w:t>
      </w:r>
      <w:r>
        <w:rPr>
          <w:sz w:val="20"/>
        </w:rPr>
        <w:t>205.pants</w:t>
      </w:r>
    </w:p>
    <w:p>
      <w:pPr>
        <w:spacing w:line="230" w:lineRule="exact" w:before="0"/>
        <w:ind w:left="620" w:right="0" w:firstLine="0"/>
        <w:jc w:val="both"/>
        <w:rPr>
          <w:sz w:val="20"/>
        </w:rPr>
      </w:pPr>
      <w:r>
        <w:rPr>
          <w:position w:val="7"/>
          <w:sz w:val="13"/>
        </w:rPr>
        <w:t>355  </w:t>
      </w:r>
      <w:r>
        <w:rPr>
          <w:sz w:val="20"/>
        </w:rPr>
        <w:t>Dānijas Bankrota likums,</w:t>
      </w:r>
      <w:r>
        <w:rPr>
          <w:spacing w:val="-23"/>
          <w:sz w:val="20"/>
        </w:rPr>
        <w:t> </w:t>
      </w:r>
      <w:r>
        <w:rPr>
          <w:sz w:val="20"/>
        </w:rPr>
        <w:t>208.pants</w:t>
      </w:r>
    </w:p>
    <w:p>
      <w:pPr>
        <w:spacing w:line="240" w:lineRule="auto" w:before="0"/>
        <w:ind w:left="620" w:right="407" w:firstLine="0"/>
        <w:jc w:val="both"/>
        <w:rPr>
          <w:sz w:val="20"/>
        </w:rPr>
      </w:pPr>
      <w:r>
        <w:rPr>
          <w:position w:val="7"/>
          <w:sz w:val="13"/>
        </w:rPr>
        <w:t>356 </w:t>
      </w:r>
      <w:r>
        <w:rPr>
          <w:sz w:val="20"/>
        </w:rPr>
        <w:t>A closer look at the courts of Denmark – The Danish legal system. Pieejams: </w:t>
      </w:r>
      <w:hyperlink r:id="rId84">
        <w:r>
          <w:rPr>
            <w:color w:val="0562C1"/>
            <w:sz w:val="20"/>
            <w:u w:val="single" w:color="0562C1"/>
          </w:rPr>
          <w:t>http://www.domstol.dk/om/publikationer/HtmlPublikationer/Profil/Profilbrochure%20-%20UK/kap03.html</w:t>
        </w:r>
      </w:hyperlink>
      <w:r>
        <w:rPr>
          <w:color w:val="0562C1"/>
          <w:sz w:val="20"/>
        </w:rPr>
        <w:t> </w:t>
      </w:r>
      <w:r>
        <w:rPr>
          <w:sz w:val="20"/>
        </w:rPr>
        <w:t>[aplūkots 2018.gada 19.oktobrī].</w:t>
      </w:r>
    </w:p>
    <w:p>
      <w:pPr>
        <w:spacing w:line="228" w:lineRule="exact" w:before="0"/>
        <w:ind w:left="620" w:right="0" w:firstLine="0"/>
        <w:jc w:val="left"/>
        <w:rPr>
          <w:sz w:val="20"/>
        </w:rPr>
      </w:pPr>
      <w:r>
        <w:rPr>
          <w:position w:val="7"/>
          <w:sz w:val="13"/>
        </w:rPr>
        <w:t>357 </w:t>
      </w:r>
      <w:r>
        <w:rPr>
          <w:sz w:val="20"/>
        </w:rPr>
        <w:t>Dānijas Bankrota likums, 210.pants</w:t>
      </w:r>
    </w:p>
    <w:p>
      <w:pPr>
        <w:spacing w:line="240" w:lineRule="auto" w:before="0"/>
        <w:ind w:left="620" w:right="0" w:firstLine="0"/>
        <w:jc w:val="left"/>
        <w:rPr>
          <w:sz w:val="20"/>
        </w:rPr>
      </w:pPr>
      <w:r>
        <w:rPr>
          <w:position w:val="7"/>
          <w:sz w:val="13"/>
        </w:rPr>
        <w:t>358</w:t>
      </w:r>
      <w:r>
        <w:rPr>
          <w:spacing w:val="6"/>
          <w:position w:val="7"/>
          <w:sz w:val="13"/>
        </w:rPr>
        <w:t> </w:t>
      </w:r>
      <w:r>
        <w:rPr>
          <w:sz w:val="20"/>
        </w:rPr>
        <w:t>INSOL</w:t>
      </w:r>
      <w:r>
        <w:rPr>
          <w:spacing w:val="-12"/>
          <w:sz w:val="20"/>
        </w:rPr>
        <w:t> </w:t>
      </w:r>
      <w:r>
        <w:rPr>
          <w:sz w:val="20"/>
        </w:rPr>
        <w:t>Europe</w:t>
      </w:r>
      <w:r>
        <w:rPr>
          <w:spacing w:val="-10"/>
          <w:sz w:val="20"/>
        </w:rPr>
        <w:t> </w:t>
      </w:r>
      <w:r>
        <w:rPr>
          <w:sz w:val="20"/>
        </w:rPr>
        <w:t>Insolvency</w:t>
      </w:r>
      <w:r>
        <w:rPr>
          <w:spacing w:val="-16"/>
          <w:sz w:val="20"/>
        </w:rPr>
        <w:t> </w:t>
      </w:r>
      <w:r>
        <w:rPr>
          <w:sz w:val="20"/>
        </w:rPr>
        <w:t>Officeholders</w:t>
      </w:r>
      <w:r>
        <w:rPr>
          <w:spacing w:val="-10"/>
          <w:sz w:val="20"/>
        </w:rPr>
        <w:t> </w:t>
      </w:r>
      <w:r>
        <w:rPr>
          <w:sz w:val="20"/>
        </w:rPr>
        <w:t>forum.</w:t>
      </w:r>
      <w:r>
        <w:rPr>
          <w:spacing w:val="-10"/>
          <w:sz w:val="20"/>
        </w:rPr>
        <w:t> </w:t>
      </w:r>
      <w:r>
        <w:rPr>
          <w:sz w:val="20"/>
        </w:rPr>
        <w:t>Survey</w:t>
      </w:r>
      <w:r>
        <w:rPr>
          <w:spacing w:val="-14"/>
          <w:sz w:val="20"/>
        </w:rPr>
        <w:t> </w:t>
      </w:r>
      <w:r>
        <w:rPr>
          <w:sz w:val="20"/>
        </w:rPr>
        <w:t>of</w:t>
      </w:r>
      <w:r>
        <w:rPr>
          <w:spacing w:val="-12"/>
          <w:sz w:val="20"/>
        </w:rPr>
        <w:t> </w:t>
      </w:r>
      <w:r>
        <w:rPr>
          <w:sz w:val="20"/>
        </w:rPr>
        <w:t>certain</w:t>
      </w:r>
      <w:r>
        <w:rPr>
          <w:spacing w:val="-12"/>
          <w:sz w:val="20"/>
        </w:rPr>
        <w:t> </w:t>
      </w:r>
      <w:r>
        <w:rPr>
          <w:sz w:val="20"/>
        </w:rPr>
        <w:t>regulation</w:t>
      </w:r>
      <w:r>
        <w:rPr>
          <w:spacing w:val="-8"/>
          <w:sz w:val="20"/>
        </w:rPr>
        <w:t> </w:t>
      </w:r>
      <w:r>
        <w:rPr>
          <w:sz w:val="20"/>
        </w:rPr>
        <w:t>for</w:t>
      </w:r>
      <w:r>
        <w:rPr>
          <w:spacing w:val="-9"/>
          <w:sz w:val="20"/>
        </w:rPr>
        <w:t> </w:t>
      </w:r>
      <w:r>
        <w:rPr>
          <w:sz w:val="20"/>
        </w:rPr>
        <w:t>insolvency</w:t>
      </w:r>
      <w:r>
        <w:rPr>
          <w:spacing w:val="-14"/>
          <w:sz w:val="20"/>
        </w:rPr>
        <w:t> </w:t>
      </w:r>
      <w:r>
        <w:rPr>
          <w:sz w:val="20"/>
        </w:rPr>
        <w:t>officeholders: Denmark, p.</w:t>
      </w:r>
      <w:r>
        <w:rPr>
          <w:spacing w:val="1"/>
          <w:sz w:val="20"/>
        </w:rPr>
        <w:t> </w:t>
      </w:r>
      <w:r>
        <w:rPr>
          <w:sz w:val="20"/>
        </w:rPr>
        <w:t>3.</w:t>
      </w:r>
    </w:p>
    <w:p>
      <w:pPr>
        <w:tabs>
          <w:tab w:pos="1783" w:val="left" w:leader="none"/>
        </w:tabs>
        <w:spacing w:before="0"/>
        <w:ind w:left="620" w:right="404" w:firstLine="0"/>
        <w:jc w:val="left"/>
        <w:rPr>
          <w:sz w:val="20"/>
        </w:rPr>
      </w:pPr>
      <w:r>
        <w:rPr>
          <w:sz w:val="20"/>
        </w:rPr>
        <w:t>Pieejams:</w:t>
        <w:tab/>
      </w:r>
      <w:r>
        <w:rPr>
          <w:color w:val="0562C1"/>
          <w:sz w:val="20"/>
          <w:u w:val="single" w:color="0562C1"/>
        </w:rPr>
        <w:t>https://webcache.googleusercontent.com/search?q=cache:AUidkcIBwmgJ:https://www.insol-</w:t>
      </w:r>
      <w:r>
        <w:rPr>
          <w:color w:val="0562C1"/>
          <w:sz w:val="20"/>
        </w:rPr>
        <w:t> </w:t>
      </w:r>
      <w:r>
        <w:rPr>
          <w:color w:val="0562C1"/>
          <w:sz w:val="20"/>
          <w:u w:val="single" w:color="0562C1"/>
        </w:rPr>
        <w:t>europe.org/download/documents/823+&amp;cd=4&amp;hl=lv&amp;ct=clnk&amp;gl=lv</w:t>
      </w:r>
      <w:r>
        <w:rPr>
          <w:color w:val="0562C1"/>
          <w:sz w:val="20"/>
        </w:rPr>
        <w:t> </w:t>
      </w:r>
      <w:r>
        <w:rPr>
          <w:sz w:val="20"/>
        </w:rPr>
        <w:t>[aplūkots 2018.gada</w:t>
      </w:r>
      <w:r>
        <w:rPr>
          <w:spacing w:val="-8"/>
          <w:sz w:val="20"/>
        </w:rPr>
        <w:t> </w:t>
      </w:r>
      <w:r>
        <w:rPr>
          <w:sz w:val="20"/>
        </w:rPr>
        <w:t>19.oktobrī].</w:t>
      </w:r>
    </w:p>
    <w:p>
      <w:pPr>
        <w:spacing w:after="0"/>
        <w:jc w:val="left"/>
        <w:rPr>
          <w:sz w:val="20"/>
        </w:rPr>
        <w:sectPr>
          <w:pgSz w:w="11910" w:h="16840"/>
          <w:pgMar w:header="0" w:footer="1165" w:top="1320" w:bottom="1360" w:left="1180" w:right="1040"/>
        </w:sectPr>
      </w:pPr>
    </w:p>
    <w:p>
      <w:pPr>
        <w:pStyle w:val="BodyText"/>
        <w:spacing w:line="228" w:lineRule="auto" w:before="89"/>
        <w:ind w:left="260" w:right="767"/>
        <w:rPr>
          <w:sz w:val="16"/>
        </w:rPr>
      </w:pPr>
      <w:r>
        <w:rPr/>
        <w:t>ka administratora loma parādu pārplānošanas procedūrā ir darboties kā tiesas palīgam,</w:t>
      </w:r>
      <w:r>
        <w:rPr>
          <w:position w:val="9"/>
          <w:sz w:val="16"/>
        </w:rPr>
        <w:t>359 </w:t>
      </w:r>
      <w:r>
        <w:rPr/>
        <w:t>tā kā administratora funkcija ir faktu konstatēšana attiecībā uz parādnieku.</w:t>
      </w:r>
      <w:r>
        <w:rPr>
          <w:position w:val="9"/>
          <w:sz w:val="16"/>
        </w:rPr>
        <w:t>360</w:t>
      </w:r>
    </w:p>
    <w:p>
      <w:pPr>
        <w:pStyle w:val="BodyText"/>
        <w:spacing w:line="237" w:lineRule="auto" w:before="3"/>
        <w:ind w:left="260" w:right="762" w:firstLine="720"/>
        <w:rPr>
          <w:sz w:val="16"/>
        </w:rPr>
      </w:pPr>
      <w:r>
        <w:rPr/>
        <w:t>Papildus Dānijas Bankrota likuma 197.pantā minētajiem gadījumiem, kad netiek izdots rīkojums par parādu pārplānošanu, parādu pārplānošana tiks atteikta arī tad, ja tiesa nav guvusi pārliecību, ka saprātīgi ir pamats izdot rīkojumu, vai, ja parādnieks neveicina lojālu lietas noskaidrošanu, kā arī bez attaisnojoša iemesla nav ieradies uz tiesas sēdi,</w:t>
      </w:r>
      <w:r>
        <w:rPr>
          <w:spacing w:val="-32"/>
        </w:rPr>
        <w:t> </w:t>
      </w:r>
      <w:r>
        <w:rPr/>
        <w:t>kurā tiek skatīts parādnieka priekšlikums par parādu</w:t>
      </w:r>
      <w:r>
        <w:rPr>
          <w:spacing w:val="-7"/>
        </w:rPr>
        <w:t> </w:t>
      </w:r>
      <w:r>
        <w:rPr/>
        <w:t>pārplānošanu.</w:t>
      </w:r>
      <w:r>
        <w:rPr>
          <w:position w:val="9"/>
          <w:sz w:val="16"/>
        </w:rPr>
        <w:t>361</w:t>
      </w:r>
    </w:p>
    <w:p>
      <w:pPr>
        <w:pStyle w:val="BodyText"/>
        <w:spacing w:line="237" w:lineRule="auto"/>
        <w:ind w:left="260" w:right="762" w:firstLine="720"/>
      </w:pPr>
      <w:r>
        <w:rPr/>
        <w:t>Ja tiesa konstatē, ka ir pamats ierosināt parādu pārplānošanas procedūru, tad turpinājumā parādnieks izstrādā priekšlikumu par parāda pārplānošanu, iekļaujot iespējamo</w:t>
      </w:r>
      <w:r>
        <w:rPr>
          <w:spacing w:val="-16"/>
        </w:rPr>
        <w:t> </w:t>
      </w:r>
      <w:r>
        <w:rPr/>
        <w:t>maksājumu</w:t>
      </w:r>
      <w:r>
        <w:rPr>
          <w:spacing w:val="-15"/>
        </w:rPr>
        <w:t> </w:t>
      </w:r>
      <w:r>
        <w:rPr/>
        <w:t>plānu</w:t>
      </w:r>
      <w:r>
        <w:rPr>
          <w:spacing w:val="-16"/>
        </w:rPr>
        <w:t> </w:t>
      </w:r>
      <w:r>
        <w:rPr/>
        <w:t>par</w:t>
      </w:r>
      <w:r>
        <w:rPr>
          <w:spacing w:val="-13"/>
        </w:rPr>
        <w:t> </w:t>
      </w:r>
      <w:r>
        <w:rPr/>
        <w:t>tiem</w:t>
      </w:r>
      <w:r>
        <w:rPr>
          <w:spacing w:val="-15"/>
        </w:rPr>
        <w:t> </w:t>
      </w:r>
      <w:r>
        <w:rPr/>
        <w:t>parādiem,</w:t>
      </w:r>
      <w:r>
        <w:rPr>
          <w:spacing w:val="-16"/>
        </w:rPr>
        <w:t> </w:t>
      </w:r>
      <w:r>
        <w:rPr/>
        <w:t>kas</w:t>
      </w:r>
      <w:r>
        <w:rPr>
          <w:spacing w:val="-15"/>
        </w:rPr>
        <w:t> </w:t>
      </w:r>
      <w:r>
        <w:rPr/>
        <w:t>vēl</w:t>
      </w:r>
      <w:r>
        <w:rPr>
          <w:spacing w:val="-16"/>
        </w:rPr>
        <w:t> </w:t>
      </w:r>
      <w:r>
        <w:rPr/>
        <w:t>ir</w:t>
      </w:r>
      <w:r>
        <w:rPr>
          <w:spacing w:val="-15"/>
        </w:rPr>
        <w:t> </w:t>
      </w:r>
      <w:r>
        <w:rPr/>
        <w:t>jāsedz,</w:t>
      </w:r>
      <w:r>
        <w:rPr>
          <w:spacing w:val="-15"/>
        </w:rPr>
        <w:t> </w:t>
      </w:r>
      <w:r>
        <w:rPr/>
        <w:t>respektīvi,</w:t>
      </w:r>
      <w:r>
        <w:rPr>
          <w:spacing w:val="-11"/>
        </w:rPr>
        <w:t> </w:t>
      </w:r>
      <w:r>
        <w:rPr/>
        <w:t>tiem</w:t>
      </w:r>
      <w:r>
        <w:rPr>
          <w:spacing w:val="-15"/>
        </w:rPr>
        <w:t> </w:t>
      </w:r>
      <w:r>
        <w:rPr/>
        <w:t>parādiem, no kuriem tiesa nav uzreiz atbrīvojusi.</w:t>
      </w:r>
      <w:r>
        <w:rPr>
          <w:position w:val="9"/>
          <w:sz w:val="16"/>
        </w:rPr>
        <w:t>362 </w:t>
      </w:r>
      <w:r>
        <w:rPr/>
        <w:t>Sēdē var piedalīties arī kreditori, kuri var uzdot jautājumus parādniekam, izteikt viedokli par izteikto priekšlikumu. Tiesa tad vērtē parādnieka izteikto priekšlikumu un lemj par parāda pārplānošanas rīkojuma izdošanu attiecībā uz parādnieka priekšlikumu pilnā apjomā vai tikai kādā tā daļā, nosakot, kuri no debitora parādiem tiek aptverti ar rīkojumu, kā arī kādā daļā tie tiek samazināti, kā arī tiek lemts</w:t>
      </w:r>
      <w:r>
        <w:rPr>
          <w:spacing w:val="-13"/>
        </w:rPr>
        <w:t> </w:t>
      </w:r>
      <w:r>
        <w:rPr/>
        <w:t>par</w:t>
      </w:r>
      <w:r>
        <w:rPr>
          <w:spacing w:val="-13"/>
        </w:rPr>
        <w:t> </w:t>
      </w:r>
      <w:r>
        <w:rPr/>
        <w:t>maksājumu</w:t>
      </w:r>
      <w:r>
        <w:rPr>
          <w:spacing w:val="-13"/>
        </w:rPr>
        <w:t> </w:t>
      </w:r>
      <w:r>
        <w:rPr/>
        <w:t>pagarinājumu</w:t>
      </w:r>
      <w:r>
        <w:rPr>
          <w:spacing w:val="-13"/>
        </w:rPr>
        <w:t> </w:t>
      </w:r>
      <w:r>
        <w:rPr/>
        <w:t>attiecībā</w:t>
      </w:r>
      <w:r>
        <w:rPr>
          <w:spacing w:val="-13"/>
        </w:rPr>
        <w:t> </w:t>
      </w:r>
      <w:r>
        <w:rPr/>
        <w:t>uz</w:t>
      </w:r>
      <w:r>
        <w:rPr>
          <w:spacing w:val="-12"/>
        </w:rPr>
        <w:t> </w:t>
      </w:r>
      <w:r>
        <w:rPr/>
        <w:t>tiem</w:t>
      </w:r>
      <w:r>
        <w:rPr>
          <w:spacing w:val="-11"/>
        </w:rPr>
        <w:t> </w:t>
      </w:r>
      <w:r>
        <w:rPr/>
        <w:t>parādiem,</w:t>
      </w:r>
      <w:r>
        <w:rPr>
          <w:spacing w:val="-13"/>
        </w:rPr>
        <w:t> </w:t>
      </w:r>
      <w:r>
        <w:rPr/>
        <w:t>kas</w:t>
      </w:r>
      <w:r>
        <w:rPr>
          <w:spacing w:val="-16"/>
        </w:rPr>
        <w:t> </w:t>
      </w:r>
      <w:r>
        <w:rPr/>
        <w:t>ir</w:t>
      </w:r>
      <w:r>
        <w:rPr>
          <w:spacing w:val="-12"/>
        </w:rPr>
        <w:t> </w:t>
      </w:r>
      <w:r>
        <w:rPr/>
        <w:t>palikuši</w:t>
      </w:r>
      <w:r>
        <w:rPr>
          <w:spacing w:val="-11"/>
        </w:rPr>
        <w:t> </w:t>
      </w:r>
      <w:r>
        <w:rPr/>
        <w:t>(tiesa</w:t>
      </w:r>
      <w:r>
        <w:rPr>
          <w:spacing w:val="-13"/>
        </w:rPr>
        <w:t> </w:t>
      </w:r>
      <w:r>
        <w:rPr/>
        <w:t>nosaka termiņu un iemaksu daudzumu, kas ir jāmaksā</w:t>
      </w:r>
      <w:r>
        <w:rPr>
          <w:spacing w:val="-6"/>
        </w:rPr>
        <w:t> </w:t>
      </w:r>
      <w:r>
        <w:rPr/>
        <w:t>kreditoriem).</w:t>
      </w:r>
    </w:p>
    <w:p>
      <w:pPr>
        <w:pStyle w:val="BodyText"/>
        <w:spacing w:line="235" w:lineRule="auto" w:before="14"/>
        <w:ind w:left="260" w:right="762" w:firstLine="780"/>
        <w:rPr>
          <w:sz w:val="16"/>
        </w:rPr>
      </w:pPr>
      <w:r>
        <w:rPr/>
        <w:t>Rīkojums par parādu pārplānošanu var ietvert sevī pilnīgu parāda atcelšanu vai parāda samazinājumu tā daļā. Tā, piemēram, praksē tiek automātiski atbrīvoti tie parādi, kuru vērtība nepārsniedz 500 kronas (aptuveni 67 EUR), jo šāda parāda summa tiek uzskatīta par neekonomisku procedūras turpinājumā,</w:t>
      </w:r>
      <w:r>
        <w:rPr>
          <w:position w:val="9"/>
          <w:sz w:val="16"/>
        </w:rPr>
        <w:t>363 </w:t>
      </w:r>
      <w:r>
        <w:rPr/>
        <w:t>tādējādi pragmatiski cenšoties samazināt administratīvo slogu, kas rodas maksājot </w:t>
      </w:r>
      <w:r>
        <w:rPr>
          <w:i/>
        </w:rPr>
        <w:t>de minimis </w:t>
      </w:r>
      <w:r>
        <w:rPr/>
        <w:t>prasības.</w:t>
      </w:r>
      <w:r>
        <w:rPr>
          <w:position w:val="9"/>
          <w:sz w:val="16"/>
        </w:rPr>
        <w:t>364 </w:t>
      </w:r>
      <w:r>
        <w:rPr/>
        <w:t>Gadījumā, ja pastāv</w:t>
      </w:r>
      <w:r>
        <w:rPr>
          <w:spacing w:val="-4"/>
        </w:rPr>
        <w:t> </w:t>
      </w:r>
      <w:r>
        <w:rPr/>
        <w:t>strīds</w:t>
      </w:r>
      <w:r>
        <w:rPr>
          <w:spacing w:val="-3"/>
        </w:rPr>
        <w:t> </w:t>
      </w:r>
      <w:r>
        <w:rPr/>
        <w:t>starp</w:t>
      </w:r>
      <w:r>
        <w:rPr>
          <w:spacing w:val="-5"/>
        </w:rPr>
        <w:t> </w:t>
      </w:r>
      <w:r>
        <w:rPr/>
        <w:t>parādnieku</w:t>
      </w:r>
      <w:r>
        <w:rPr>
          <w:spacing w:val="-3"/>
        </w:rPr>
        <w:t> </w:t>
      </w:r>
      <w:r>
        <w:rPr/>
        <w:t>un</w:t>
      </w:r>
      <w:r>
        <w:rPr>
          <w:spacing w:val="-3"/>
        </w:rPr>
        <w:t> </w:t>
      </w:r>
      <w:r>
        <w:rPr/>
        <w:t>kreditoru</w:t>
      </w:r>
      <w:r>
        <w:rPr>
          <w:spacing w:val="-5"/>
        </w:rPr>
        <w:t> </w:t>
      </w:r>
      <w:r>
        <w:rPr/>
        <w:t>par</w:t>
      </w:r>
      <w:r>
        <w:rPr>
          <w:spacing w:val="-3"/>
        </w:rPr>
        <w:t> </w:t>
      </w:r>
      <w:r>
        <w:rPr/>
        <w:t>parāda</w:t>
      </w:r>
      <w:r>
        <w:rPr>
          <w:spacing w:val="-6"/>
        </w:rPr>
        <w:t> </w:t>
      </w:r>
      <w:r>
        <w:rPr/>
        <w:t>esamību</w:t>
      </w:r>
      <w:r>
        <w:rPr>
          <w:spacing w:val="-3"/>
        </w:rPr>
        <w:t> </w:t>
      </w:r>
      <w:r>
        <w:rPr/>
        <w:t>vai</w:t>
      </w:r>
      <w:r>
        <w:rPr>
          <w:spacing w:val="-3"/>
        </w:rPr>
        <w:t> </w:t>
      </w:r>
      <w:r>
        <w:rPr/>
        <w:t>arī parāds</w:t>
      </w:r>
      <w:r>
        <w:rPr>
          <w:spacing w:val="-3"/>
        </w:rPr>
        <w:t> </w:t>
      </w:r>
      <w:r>
        <w:rPr/>
        <w:t>ir</w:t>
      </w:r>
      <w:r>
        <w:rPr>
          <w:spacing w:val="-1"/>
        </w:rPr>
        <w:t> </w:t>
      </w:r>
      <w:r>
        <w:rPr/>
        <w:t>atkarīgs</w:t>
      </w:r>
      <w:r>
        <w:rPr>
          <w:spacing w:val="-3"/>
        </w:rPr>
        <w:t> </w:t>
      </w:r>
      <w:r>
        <w:rPr/>
        <w:t>no nosacījuma, kas iestāsies nākotnē, tiesa var noteikt, ka naudas summas ir deponējamas speciālā bankas kontā.</w:t>
      </w:r>
      <w:r>
        <w:rPr>
          <w:position w:val="9"/>
          <w:sz w:val="16"/>
        </w:rPr>
        <w:t>365</w:t>
      </w:r>
    </w:p>
    <w:p>
      <w:pPr>
        <w:pStyle w:val="BodyText"/>
        <w:spacing w:line="237" w:lineRule="auto"/>
        <w:ind w:left="260" w:right="761" w:firstLine="720"/>
        <w:rPr>
          <w:sz w:val="16"/>
        </w:rPr>
      </w:pPr>
      <w:r>
        <w:rPr/>
        <w:t>Tiesas kompetencē ir noteikt gan maksājumu apjomu, gan arī maksājumu termiņu. Lai arī likumā tas nav tieši pateikts, tomēr prakse ir izveidojusies tāda, ka plāns ilgst 5 gadus, par pamatu šādam termiņam ņemot vairākus salīdzināmos gadījumus, piemēram, Dānijas nodokļu administrācijas izstrādāto vispārējo kompromisa piedāvājuma praksi uz</w:t>
      </w:r>
      <w:r>
        <w:rPr>
          <w:spacing w:val="-31"/>
        </w:rPr>
        <w:t> </w:t>
      </w:r>
      <w:r>
        <w:rPr/>
        <w:t>5 gadiem.</w:t>
      </w:r>
      <w:r>
        <w:rPr>
          <w:position w:val="9"/>
          <w:sz w:val="16"/>
        </w:rPr>
        <w:t>366</w:t>
      </w:r>
    </w:p>
    <w:p>
      <w:pPr>
        <w:pStyle w:val="BodyText"/>
        <w:spacing w:line="232" w:lineRule="auto"/>
        <w:ind w:left="260" w:right="761" w:firstLine="720"/>
        <w:rPr>
          <w:sz w:val="16"/>
        </w:rPr>
      </w:pPr>
      <w:r>
        <w:rPr/>
        <w:t>Pēc</w:t>
      </w:r>
      <w:r>
        <w:rPr>
          <w:spacing w:val="-12"/>
        </w:rPr>
        <w:t> </w:t>
      </w:r>
      <w:r>
        <w:rPr/>
        <w:t>likuma</w:t>
      </w:r>
      <w:r>
        <w:rPr>
          <w:spacing w:val="-11"/>
        </w:rPr>
        <w:t> </w:t>
      </w:r>
      <w:r>
        <w:rPr/>
        <w:t>grozījumiem</w:t>
      </w:r>
      <w:r>
        <w:rPr>
          <w:spacing w:val="-13"/>
        </w:rPr>
        <w:t> </w:t>
      </w:r>
      <w:r>
        <w:rPr/>
        <w:t>2005.gadā,</w:t>
      </w:r>
      <w:r>
        <w:rPr>
          <w:spacing w:val="-13"/>
        </w:rPr>
        <w:t> </w:t>
      </w:r>
      <w:r>
        <w:rPr/>
        <w:t>lai</w:t>
      </w:r>
      <w:r>
        <w:rPr>
          <w:spacing w:val="-11"/>
        </w:rPr>
        <w:t> </w:t>
      </w:r>
      <w:r>
        <w:rPr/>
        <w:t>panāktu</w:t>
      </w:r>
      <w:r>
        <w:rPr>
          <w:spacing w:val="-12"/>
        </w:rPr>
        <w:t> </w:t>
      </w:r>
      <w:r>
        <w:rPr/>
        <w:t>vienveidīgāku</w:t>
      </w:r>
      <w:r>
        <w:rPr>
          <w:spacing w:val="-11"/>
        </w:rPr>
        <w:t> </w:t>
      </w:r>
      <w:r>
        <w:rPr/>
        <w:t>likuma</w:t>
      </w:r>
      <w:r>
        <w:rPr>
          <w:spacing w:val="-10"/>
        </w:rPr>
        <w:t> </w:t>
      </w:r>
      <w:r>
        <w:rPr/>
        <w:t>piemērošanu attiecībā uz maksājumu termiņu un apjomu, tieslietu ministrs var izdot noteikumus, </w:t>
      </w:r>
      <w:r>
        <w:rPr>
          <w:spacing w:val="-5"/>
        </w:rPr>
        <w:t>lai </w:t>
      </w:r>
      <w:r>
        <w:rPr/>
        <w:t>precizētu termiņu un naudas apjomu, kas ir jānovirza</w:t>
      </w:r>
      <w:r>
        <w:rPr>
          <w:spacing w:val="-6"/>
        </w:rPr>
        <w:t> </w:t>
      </w:r>
      <w:r>
        <w:rPr/>
        <w:t>kreditoriem.</w:t>
      </w:r>
      <w:r>
        <w:rPr>
          <w:position w:val="9"/>
          <w:sz w:val="16"/>
        </w:rPr>
        <w:t>367</w:t>
      </w:r>
    </w:p>
    <w:p>
      <w:pPr>
        <w:pStyle w:val="BodyText"/>
        <w:spacing w:before="9"/>
        <w:jc w:val="left"/>
        <w:rPr>
          <w:sz w:val="28"/>
        </w:rPr>
      </w:pPr>
      <w:r>
        <w:rPr/>
        <w:pict>
          <v:shape style="position:absolute;margin-left:72pt;margin-top:18.817379pt;width:144pt;height:.1pt;mso-position-horizontal-relative:page;mso-position-vertical-relative:paragraph;z-index:-251484160;mso-wrap-distance-left:0;mso-wrap-distance-right:0" coordorigin="1440,376" coordsize="2880,0" path="m1440,376l4320,376e" filled="false" stroked="true" strokeweight=".599991pt" strokecolor="#000000">
            <v:path arrowok="t"/>
            <v:stroke dashstyle="solid"/>
            <w10:wrap type="topAndBottom"/>
          </v:shape>
        </w:pict>
      </w:r>
    </w:p>
    <w:p>
      <w:pPr>
        <w:spacing w:before="70"/>
        <w:ind w:left="260" w:right="398" w:firstLine="0"/>
        <w:jc w:val="left"/>
        <w:rPr>
          <w:sz w:val="20"/>
        </w:rPr>
      </w:pPr>
      <w:r>
        <w:rPr>
          <w:position w:val="7"/>
          <w:sz w:val="13"/>
        </w:rPr>
        <w:t>359</w:t>
      </w:r>
      <w:r>
        <w:rPr>
          <w:spacing w:val="6"/>
          <w:position w:val="7"/>
          <w:sz w:val="13"/>
        </w:rPr>
        <w:t> </w:t>
      </w:r>
      <w:r>
        <w:rPr>
          <w:sz w:val="20"/>
        </w:rPr>
        <w:t>INSOL</w:t>
      </w:r>
      <w:r>
        <w:rPr>
          <w:spacing w:val="-12"/>
          <w:sz w:val="20"/>
        </w:rPr>
        <w:t> </w:t>
      </w:r>
      <w:r>
        <w:rPr>
          <w:sz w:val="20"/>
        </w:rPr>
        <w:t>Europe</w:t>
      </w:r>
      <w:r>
        <w:rPr>
          <w:spacing w:val="-10"/>
          <w:sz w:val="20"/>
        </w:rPr>
        <w:t> </w:t>
      </w:r>
      <w:r>
        <w:rPr>
          <w:sz w:val="20"/>
        </w:rPr>
        <w:t>Insolvency</w:t>
      </w:r>
      <w:r>
        <w:rPr>
          <w:spacing w:val="-16"/>
          <w:sz w:val="20"/>
        </w:rPr>
        <w:t> </w:t>
      </w:r>
      <w:r>
        <w:rPr>
          <w:sz w:val="20"/>
        </w:rPr>
        <w:t>Officeholders</w:t>
      </w:r>
      <w:r>
        <w:rPr>
          <w:spacing w:val="-10"/>
          <w:sz w:val="20"/>
        </w:rPr>
        <w:t> </w:t>
      </w:r>
      <w:r>
        <w:rPr>
          <w:sz w:val="20"/>
        </w:rPr>
        <w:t>forum.</w:t>
      </w:r>
      <w:r>
        <w:rPr>
          <w:spacing w:val="-10"/>
          <w:sz w:val="20"/>
        </w:rPr>
        <w:t> </w:t>
      </w:r>
      <w:r>
        <w:rPr>
          <w:sz w:val="20"/>
        </w:rPr>
        <w:t>Survey</w:t>
      </w:r>
      <w:r>
        <w:rPr>
          <w:spacing w:val="-14"/>
          <w:sz w:val="20"/>
        </w:rPr>
        <w:t> </w:t>
      </w:r>
      <w:r>
        <w:rPr>
          <w:sz w:val="20"/>
        </w:rPr>
        <w:t>of</w:t>
      </w:r>
      <w:r>
        <w:rPr>
          <w:spacing w:val="-12"/>
          <w:sz w:val="20"/>
        </w:rPr>
        <w:t> </w:t>
      </w:r>
      <w:r>
        <w:rPr>
          <w:sz w:val="20"/>
        </w:rPr>
        <w:t>certain</w:t>
      </w:r>
      <w:r>
        <w:rPr>
          <w:spacing w:val="-12"/>
          <w:sz w:val="20"/>
        </w:rPr>
        <w:t> </w:t>
      </w:r>
      <w:r>
        <w:rPr>
          <w:sz w:val="20"/>
        </w:rPr>
        <w:t>regulation</w:t>
      </w:r>
      <w:r>
        <w:rPr>
          <w:spacing w:val="-8"/>
          <w:sz w:val="20"/>
        </w:rPr>
        <w:t> </w:t>
      </w:r>
      <w:r>
        <w:rPr>
          <w:sz w:val="20"/>
        </w:rPr>
        <w:t>for</w:t>
      </w:r>
      <w:r>
        <w:rPr>
          <w:spacing w:val="-9"/>
          <w:sz w:val="20"/>
        </w:rPr>
        <w:t> </w:t>
      </w:r>
      <w:r>
        <w:rPr>
          <w:sz w:val="20"/>
        </w:rPr>
        <w:t>insolvency</w:t>
      </w:r>
      <w:r>
        <w:rPr>
          <w:spacing w:val="-14"/>
          <w:sz w:val="20"/>
        </w:rPr>
        <w:t> </w:t>
      </w:r>
      <w:r>
        <w:rPr>
          <w:sz w:val="20"/>
        </w:rPr>
        <w:t>officeholders: Denmark, p.8.</w:t>
      </w:r>
    </w:p>
    <w:p>
      <w:pPr>
        <w:spacing w:line="237" w:lineRule="auto" w:before="2"/>
        <w:ind w:left="260" w:right="1088" w:firstLine="0"/>
        <w:jc w:val="left"/>
        <w:rPr>
          <w:sz w:val="20"/>
        </w:rPr>
      </w:pPr>
      <w:r>
        <w:rPr>
          <w:sz w:val="20"/>
        </w:rPr>
        <w:t>Pieejams: </w:t>
      </w:r>
      <w:r>
        <w:rPr>
          <w:color w:val="0562C1"/>
          <w:sz w:val="20"/>
          <w:u w:val="single" w:color="0562C1"/>
        </w:rPr>
        <w:t>https://webcache.googleusercontent.com/search?q=cache:AUidkcIBwmgJ:https://www.insol-</w:t>
      </w:r>
      <w:r>
        <w:rPr>
          <w:color w:val="0562C1"/>
          <w:sz w:val="20"/>
        </w:rPr>
        <w:t> </w:t>
      </w:r>
      <w:r>
        <w:rPr>
          <w:color w:val="0562C1"/>
          <w:sz w:val="20"/>
          <w:u w:val="single" w:color="0562C1"/>
        </w:rPr>
        <w:t>europe.org/download/documents/823+&amp;cd=4&amp;hl=lv&amp;ct=clnk&amp;gl=lv</w:t>
      </w:r>
      <w:r>
        <w:rPr>
          <w:color w:val="0562C1"/>
          <w:sz w:val="20"/>
        </w:rPr>
        <w:t> </w:t>
      </w:r>
      <w:r>
        <w:rPr>
          <w:sz w:val="20"/>
        </w:rPr>
        <w:t>[aplūkots 2018.gada 15.oktobrī]. </w:t>
      </w:r>
      <w:r>
        <w:rPr>
          <w:position w:val="7"/>
          <w:sz w:val="13"/>
        </w:rPr>
        <w:t>360 </w:t>
      </w:r>
      <w:r>
        <w:rPr>
          <w:sz w:val="20"/>
        </w:rPr>
        <w:t>Ibid, p.11.</w:t>
      </w:r>
    </w:p>
    <w:p>
      <w:pPr>
        <w:spacing w:line="227" w:lineRule="exact" w:before="0"/>
        <w:ind w:left="260" w:right="0" w:firstLine="0"/>
        <w:jc w:val="left"/>
        <w:rPr>
          <w:sz w:val="20"/>
        </w:rPr>
      </w:pPr>
      <w:r>
        <w:rPr>
          <w:position w:val="7"/>
          <w:sz w:val="13"/>
        </w:rPr>
        <w:t>361  </w:t>
      </w:r>
      <w:r>
        <w:rPr>
          <w:sz w:val="20"/>
        </w:rPr>
        <w:t>Dānijas Bankrota likums,</w:t>
      </w:r>
      <w:r>
        <w:rPr>
          <w:spacing w:val="-23"/>
          <w:sz w:val="20"/>
        </w:rPr>
        <w:t> </w:t>
      </w:r>
      <w:r>
        <w:rPr>
          <w:sz w:val="20"/>
        </w:rPr>
        <w:t>212.pants</w:t>
      </w:r>
    </w:p>
    <w:p>
      <w:pPr>
        <w:spacing w:line="230" w:lineRule="exact" w:before="0"/>
        <w:ind w:left="260" w:right="0" w:firstLine="0"/>
        <w:jc w:val="left"/>
        <w:rPr>
          <w:sz w:val="20"/>
        </w:rPr>
      </w:pPr>
      <w:r>
        <w:rPr>
          <w:position w:val="7"/>
          <w:sz w:val="13"/>
        </w:rPr>
        <w:t>362  </w:t>
      </w:r>
      <w:r>
        <w:rPr>
          <w:sz w:val="20"/>
        </w:rPr>
        <w:t>Dānijas Bankrota likums,</w:t>
      </w:r>
      <w:r>
        <w:rPr>
          <w:spacing w:val="-23"/>
          <w:sz w:val="20"/>
        </w:rPr>
        <w:t> </w:t>
      </w:r>
      <w:r>
        <w:rPr>
          <w:sz w:val="20"/>
        </w:rPr>
        <w:t>213.pants</w:t>
      </w:r>
    </w:p>
    <w:p>
      <w:pPr>
        <w:spacing w:line="240" w:lineRule="auto" w:before="0"/>
        <w:ind w:left="260" w:right="762" w:firstLine="0"/>
        <w:jc w:val="both"/>
        <w:rPr>
          <w:sz w:val="20"/>
        </w:rPr>
      </w:pPr>
      <w:r>
        <w:rPr>
          <w:position w:val="7"/>
          <w:sz w:val="13"/>
        </w:rPr>
        <w:t>363 </w:t>
      </w:r>
      <w:r>
        <w:rPr>
          <w:sz w:val="20"/>
        </w:rPr>
        <w:t>Study on means to protect consumers in financial difficulty: Personal bankruptcy, </w:t>
      </w:r>
      <w:r>
        <w:rPr>
          <w:i/>
          <w:sz w:val="20"/>
        </w:rPr>
        <w:t>datio in solutum </w:t>
      </w:r>
      <w:r>
        <w:rPr>
          <w:sz w:val="20"/>
        </w:rPr>
        <w:t>of mortgages, and restrictions on debt collection abusive practices. Final Report, prepared by London Economics, 2012, p.34. Pieejams:</w:t>
      </w:r>
      <w:r>
        <w:rPr>
          <w:sz w:val="20"/>
          <w:u w:val="single"/>
        </w:rPr>
        <w:t> https://ec.europa.eu/info/file/46906/download_en?token=9buOvl55.</w:t>
      </w:r>
      <w:r>
        <w:rPr>
          <w:sz w:val="20"/>
        </w:rPr>
        <w:t> [aplūkots 2018.gada 11.oktobrī].</w:t>
      </w:r>
    </w:p>
    <w:p>
      <w:pPr>
        <w:spacing w:line="240" w:lineRule="auto" w:before="0"/>
        <w:ind w:left="260" w:right="763" w:firstLine="0"/>
        <w:jc w:val="both"/>
        <w:rPr>
          <w:sz w:val="20"/>
        </w:rPr>
      </w:pPr>
      <w:r>
        <w:rPr>
          <w:position w:val="7"/>
          <w:sz w:val="13"/>
        </w:rPr>
        <w:t>364 </w:t>
      </w:r>
      <w:r>
        <w:rPr>
          <w:sz w:val="20"/>
        </w:rPr>
        <w:t>Kilborn J. Twenty-five Years of Consumer Bankruptcy in Continental Europe: Internalizing Negative Externalities and Humanizing Justice in Denmark. INSOL International Insolvency Review, 2009, Vol.18:155^185, p.181.</w:t>
      </w:r>
    </w:p>
    <w:p>
      <w:pPr>
        <w:spacing w:line="228" w:lineRule="exact" w:before="0"/>
        <w:ind w:left="260" w:right="0" w:firstLine="0"/>
        <w:jc w:val="both"/>
        <w:rPr>
          <w:sz w:val="20"/>
        </w:rPr>
      </w:pPr>
      <w:r>
        <w:rPr>
          <w:position w:val="7"/>
          <w:sz w:val="13"/>
        </w:rPr>
        <w:t>365 </w:t>
      </w:r>
      <w:r>
        <w:rPr>
          <w:sz w:val="20"/>
        </w:rPr>
        <w:t>Dānijas Bankrota likums, 216.panta ceturtās daļas otrais teikums</w:t>
      </w:r>
    </w:p>
    <w:p>
      <w:pPr>
        <w:spacing w:line="240" w:lineRule="auto" w:before="0"/>
        <w:ind w:left="260" w:right="763" w:firstLine="0"/>
        <w:jc w:val="both"/>
        <w:rPr>
          <w:sz w:val="20"/>
        </w:rPr>
      </w:pPr>
      <w:r>
        <w:rPr>
          <w:position w:val="7"/>
          <w:sz w:val="13"/>
        </w:rPr>
        <w:t>366</w:t>
      </w:r>
      <w:r>
        <w:rPr>
          <w:sz w:val="20"/>
        </w:rPr>
        <w:t>Kilborn J. Twenty-five Years of Consumer Bankruptcy in Continental Europe: Internalizing Negative Externalities and Humanizing Justice in Denmark. INSOL International Insolvency Review, 2009, Vol.18:155^185, p.172.</w:t>
      </w:r>
    </w:p>
    <w:p>
      <w:pPr>
        <w:spacing w:line="231" w:lineRule="exact" w:before="0"/>
        <w:ind w:left="260" w:right="0" w:firstLine="0"/>
        <w:jc w:val="both"/>
        <w:rPr>
          <w:sz w:val="20"/>
        </w:rPr>
      </w:pPr>
      <w:r>
        <w:rPr>
          <w:position w:val="7"/>
          <w:sz w:val="13"/>
        </w:rPr>
        <w:t>367 </w:t>
      </w:r>
      <w:r>
        <w:rPr>
          <w:sz w:val="20"/>
        </w:rPr>
        <w:t>Dānijas Bankrota likums, 216.panta sestā daļa</w:t>
      </w:r>
    </w:p>
    <w:p>
      <w:pPr>
        <w:spacing w:after="0" w:line="231" w:lineRule="exact"/>
        <w:jc w:val="both"/>
        <w:rPr>
          <w:sz w:val="20"/>
        </w:rPr>
        <w:sectPr>
          <w:footerReference w:type="even" r:id="rId85"/>
          <w:footerReference w:type="default" r:id="rId86"/>
          <w:pgSz w:w="11910" w:h="16840"/>
          <w:pgMar w:footer="1055" w:header="0" w:top="1320" w:bottom="1240" w:left="1180" w:right="1040"/>
          <w:pgNumType w:start="140"/>
        </w:sectPr>
      </w:pPr>
    </w:p>
    <w:p>
      <w:pPr>
        <w:pStyle w:val="BodyText"/>
        <w:spacing w:line="235" w:lineRule="auto" w:before="78"/>
        <w:ind w:left="620" w:right="402" w:firstLine="720"/>
        <w:rPr>
          <w:sz w:val="16"/>
        </w:rPr>
      </w:pPr>
      <w:r>
        <w:rPr/>
        <w:t>Atbilstoši izdotajam rīkojumam, tika precizēts un viennozīmīgi pateikts, ka maksājumu plāna termiņš, kas izdots saskaņā ar likuma 25.-28. nodaļu, ir 5 gadi,</w:t>
      </w:r>
      <w:r>
        <w:rPr>
          <w:spacing w:val="-36"/>
        </w:rPr>
        <w:t> </w:t>
      </w:r>
      <w:r>
        <w:rPr/>
        <w:t>savukārt, ja parādu pārplānošanas rīkojums ir izdots saskaņā ar likuma 29.nodaļu (parādu pārplānošana saistībā ar bankrota vai parādu restrukturizācijas procedūru), ir 3</w:t>
      </w:r>
      <w:r>
        <w:rPr>
          <w:spacing w:val="-4"/>
        </w:rPr>
        <w:t> </w:t>
      </w:r>
      <w:r>
        <w:rPr/>
        <w:t>gadi.</w:t>
      </w:r>
      <w:r>
        <w:rPr>
          <w:position w:val="9"/>
          <w:sz w:val="16"/>
        </w:rPr>
        <w:t>368</w:t>
      </w:r>
    </w:p>
    <w:p>
      <w:pPr>
        <w:pStyle w:val="BodyText"/>
        <w:spacing w:line="237" w:lineRule="auto" w:before="4"/>
        <w:ind w:left="620" w:right="402" w:firstLine="720"/>
      </w:pPr>
      <w:r>
        <w:rPr/>
        <w:t>Noteikumi neparedz stingras prasības attiecībā uz kreditoriem novirzāmo summu, tie tikai precizē, kādas izmaksas ir jāatskaita no parādnieka ienākumiem, savukārt atlikusī daļa ir jānovirza kreditoriem. Noteikumi joprojām ļauj ievērojamu rīcības brīvību,</w:t>
      </w:r>
      <w:r>
        <w:rPr>
          <w:spacing w:val="-38"/>
        </w:rPr>
        <w:t> </w:t>
      </w:r>
      <w:r>
        <w:rPr/>
        <w:t>nosakot saprātīgu apjomu mājokļa un citu fiksēto izdevumu segšanai, tomēr visas tiesas līdz ar noteikumu spēkā stāšanos ir saistītas ar vienotu budžeta atskaites punktu dažādām citām izmaksām.</w:t>
      </w:r>
      <w:r>
        <w:rPr>
          <w:position w:val="9"/>
          <w:sz w:val="16"/>
        </w:rPr>
        <w:t>369 </w:t>
      </w:r>
      <w:r>
        <w:rPr/>
        <w:t>Tātad kreditoriem tiek maksāta tā summa, kas paliek pāri pēc saprātīgo mājokļa un citu fiksēto izdevumu, kā arī fiksētās parādniekam pieejamās summas atskaitīšanas.</w:t>
      </w:r>
    </w:p>
    <w:p>
      <w:pPr>
        <w:pStyle w:val="BodyText"/>
        <w:spacing w:line="235" w:lineRule="auto" w:before="10"/>
        <w:ind w:left="620" w:right="404" w:firstLine="720"/>
        <w:rPr>
          <w:sz w:val="16"/>
        </w:rPr>
      </w:pPr>
      <w:r>
        <w:rPr/>
        <w:t>Rīkojums, kurš tika pieņemts 2017.gada  22.novembrī  un  stājās  spēkā  2018.gada 1.janvārī noteic, ka pieejamā summa vienai personai ir 6290 kronas (aptuveni 840 EUR), savukārt, ja parādniekam ir laulātais, tad izmantojamā summa tiek palielināta par 4380 kronām (par aptuveni 587</w:t>
      </w:r>
      <w:r>
        <w:rPr>
          <w:spacing w:val="-2"/>
        </w:rPr>
        <w:t> </w:t>
      </w:r>
      <w:r>
        <w:rPr/>
        <w:t>EUR).</w:t>
      </w:r>
      <w:r>
        <w:rPr>
          <w:position w:val="9"/>
          <w:sz w:val="16"/>
        </w:rPr>
        <w:t>370</w:t>
      </w:r>
    </w:p>
    <w:p>
      <w:pPr>
        <w:pStyle w:val="BodyText"/>
        <w:spacing w:before="2"/>
        <w:ind w:left="542" w:right="401" w:firstLine="720"/>
        <w:jc w:val="right"/>
      </w:pPr>
      <w:r>
        <w:rPr/>
        <w:t>Līdz ar to Dānijā nav noteikts konkrēts apjoms, kāds būtu jānovirza kreditoriem, kā tas ir noteikts Latvijā (1/3 no ienākumiem, bet ne mazāk kā 1/3 no valstī</w:t>
      </w:r>
      <w:r>
        <w:rPr>
          <w:spacing w:val="58"/>
        </w:rPr>
        <w:t> </w:t>
      </w:r>
      <w:r>
        <w:rPr/>
        <w:t>noteiktās minimālās mēnešalgas), toties Dānijā ir noteiktas vadlīnijas, pēc kurām būtu nosakāms kreditoriem maksājamais apmērs, ņemot vērā parādnieka finansiālo situāciju un </w:t>
      </w:r>
      <w:r>
        <w:rPr>
          <w:spacing w:val="-3"/>
        </w:rPr>
        <w:t>apstākļus.</w:t>
      </w:r>
      <w:r>
        <w:rPr/>
        <w:t> Ja pēc parādnieka piedāvātā plāna apspriešanas tiesas sēdē, uz kur tiek aicināti arī kreditori, tiesa ir pārliecināta, ka parādnieks var izpildīt plāna noteikumus, tad viņš tiek atbrīvots no pārējā parāda nekavējoties. Tas ir neierasti, jo citās valstīs atbrīvošana no parādiem parasti notiek plāna beigās, vai nu lai ņemtu vērā neparedzētus (pozitīvus vai</w:t>
      </w:r>
    </w:p>
    <w:p>
      <w:pPr>
        <w:pStyle w:val="BodyText"/>
        <w:spacing w:line="276" w:lineRule="exact"/>
        <w:ind w:left="620"/>
        <w:rPr>
          <w:sz w:val="16"/>
        </w:rPr>
      </w:pPr>
      <w:r>
        <w:rPr/>
        <w:t>negatīvus) notikumus vai lai stimulētu procedūras pabeigšanu.</w:t>
      </w:r>
      <w:r>
        <w:rPr>
          <w:position w:val="9"/>
          <w:sz w:val="16"/>
        </w:rPr>
        <w:t>371</w:t>
      </w:r>
    </w:p>
    <w:p>
      <w:pPr>
        <w:pStyle w:val="BodyText"/>
        <w:spacing w:line="235" w:lineRule="auto" w:before="4"/>
        <w:ind w:left="620" w:right="402" w:firstLine="720"/>
        <w:rPr>
          <w:sz w:val="16"/>
        </w:rPr>
      </w:pPr>
      <w:r>
        <w:rPr/>
        <w:t>Tā kā atbrīvošana no parādiem tika piešķirta pirms maksājumu plāna pabeigšanas, tas radīja jautājumus par to, ko darīt, ja un kad patērētāji nespēj izpildīt maksājumus. Šajā gadījumā plāna izpilde varēja tikt turpināta līdz pat divdesmit gadiem, bet kreditori nevarēja atjaunot jau norakstīto parādu, ja vien patērētājs nav ievērojami ignorējis savus pienākumus saskaņā ar plānu - šādā gadījumā tiesa var atcelt plānu un atjaunot norakstīto parādu.</w:t>
      </w:r>
      <w:r>
        <w:rPr>
          <w:position w:val="9"/>
          <w:sz w:val="16"/>
        </w:rPr>
        <w:t>372 </w:t>
      </w:r>
      <w:r>
        <w:rPr/>
        <w:t>Tāpat tiesa var atcelt parāda pārplānošanas rīkojumu arī tad, ja tiek konstatēts, ka parādu pārplānošanas procesā parādnieks ir iesaistījies krāpšanā.</w:t>
      </w:r>
      <w:r>
        <w:rPr>
          <w:position w:val="9"/>
          <w:sz w:val="16"/>
        </w:rPr>
        <w:t>373</w:t>
      </w:r>
    </w:p>
    <w:p>
      <w:pPr>
        <w:pStyle w:val="BodyText"/>
        <w:spacing w:line="228" w:lineRule="auto" w:before="15"/>
        <w:ind w:left="620" w:right="403" w:firstLine="720"/>
      </w:pPr>
      <w:r>
        <w:rPr/>
        <w:t>Ja parādniekam ir kādi īpaši apstākļi, tad tiesa var atsākt parādu pārplānošanas procedūru, lai grozītu rīkojumu par parādu pārplānošanu,</w:t>
      </w:r>
      <w:r>
        <w:rPr>
          <w:position w:val="9"/>
          <w:sz w:val="16"/>
        </w:rPr>
        <w:t>374 </w:t>
      </w:r>
      <w:r>
        <w:rPr/>
        <w:t>tomēr grozījumi joprojām</w:t>
      </w:r>
      <w:r>
        <w:rPr>
          <w:spacing w:val="-22"/>
        </w:rPr>
        <w:t> </w:t>
      </w:r>
      <w:r>
        <w:rPr/>
        <w:t>tiek</w:t>
      </w:r>
    </w:p>
    <w:p>
      <w:pPr>
        <w:pStyle w:val="BodyText"/>
        <w:jc w:val="left"/>
        <w:rPr>
          <w:sz w:val="20"/>
        </w:rPr>
      </w:pPr>
    </w:p>
    <w:p>
      <w:pPr>
        <w:pStyle w:val="BodyText"/>
        <w:jc w:val="left"/>
        <w:rPr>
          <w:sz w:val="20"/>
        </w:rPr>
      </w:pPr>
    </w:p>
    <w:p>
      <w:pPr>
        <w:pStyle w:val="BodyText"/>
        <w:spacing w:before="7"/>
        <w:jc w:val="left"/>
      </w:pPr>
      <w:r>
        <w:rPr/>
        <w:pict>
          <v:shape style="position:absolute;margin-left:90pt;margin-top:16.432051pt;width:144pt;height:.1pt;mso-position-horizontal-relative:page;mso-position-vertical-relative:paragraph;z-index:-251483136;mso-wrap-distance-left:0;mso-wrap-distance-right:0" coordorigin="1800,329" coordsize="2880,0" path="m1800,329l4680,329e" filled="false" stroked="true" strokeweight=".599991pt" strokecolor="#000000">
            <v:path arrowok="t"/>
            <v:stroke dashstyle="solid"/>
            <w10:wrap type="topAndBottom"/>
          </v:shape>
        </w:pict>
      </w:r>
    </w:p>
    <w:p>
      <w:pPr>
        <w:spacing w:before="70"/>
        <w:ind w:left="620" w:right="1364" w:firstLine="0"/>
        <w:jc w:val="both"/>
        <w:rPr>
          <w:sz w:val="20"/>
        </w:rPr>
      </w:pPr>
      <w:r>
        <w:rPr>
          <w:position w:val="7"/>
          <w:sz w:val="13"/>
        </w:rPr>
        <w:t>368 </w:t>
      </w:r>
      <w:r>
        <w:rPr>
          <w:sz w:val="20"/>
        </w:rPr>
        <w:t>Parāda norēķinu izpildraksts (Bekendtgørelse om gældssanering), </w:t>
      </w:r>
      <w:r>
        <w:rPr>
          <w:b/>
          <w:sz w:val="20"/>
        </w:rPr>
        <w:t>§ 2. </w:t>
      </w:r>
      <w:r>
        <w:rPr>
          <w:sz w:val="20"/>
        </w:rPr>
        <w:t>Pieejams dāņu valodā: </w:t>
      </w:r>
      <w:r>
        <w:rPr>
          <w:color w:val="0562C1"/>
          <w:sz w:val="20"/>
          <w:u w:val="single" w:color="0562C1"/>
        </w:rPr>
        <w:t>https://docplayer.dk/2223969-Retsinformation-dk-bek-nr-894-af-22-09-2005.html</w:t>
      </w:r>
    </w:p>
    <w:p>
      <w:pPr>
        <w:spacing w:line="228" w:lineRule="exact" w:before="1"/>
        <w:ind w:left="620" w:right="0" w:firstLine="0"/>
        <w:jc w:val="both"/>
        <w:rPr>
          <w:sz w:val="20"/>
        </w:rPr>
      </w:pPr>
      <w:r>
        <w:rPr>
          <w:sz w:val="20"/>
        </w:rPr>
        <w:t>[aplūkots 2018.gada 15.oktobrī].</w:t>
      </w:r>
    </w:p>
    <w:p>
      <w:pPr>
        <w:spacing w:line="240" w:lineRule="auto" w:before="0"/>
        <w:ind w:left="620" w:right="403" w:firstLine="0"/>
        <w:jc w:val="both"/>
        <w:rPr>
          <w:sz w:val="20"/>
        </w:rPr>
      </w:pPr>
      <w:r>
        <w:rPr>
          <w:position w:val="7"/>
          <w:sz w:val="13"/>
        </w:rPr>
        <w:t>369 </w:t>
      </w:r>
      <w:r>
        <w:rPr>
          <w:sz w:val="20"/>
        </w:rPr>
        <w:t>Kilborn J. Twenty-five Years of Consumer Bankruptcy in Continental Europe: Internalizing Negative Externalities and Humanizing Justice in Denmark. INSOL International Insolvency Review, 2009, Vol.18:155^185, p.178.</w:t>
      </w:r>
    </w:p>
    <w:p>
      <w:pPr>
        <w:spacing w:line="240" w:lineRule="auto" w:before="0"/>
        <w:ind w:left="620" w:right="0" w:firstLine="0"/>
        <w:jc w:val="left"/>
        <w:rPr>
          <w:sz w:val="20"/>
        </w:rPr>
      </w:pPr>
      <w:r>
        <w:rPr>
          <w:position w:val="7"/>
          <w:sz w:val="13"/>
        </w:rPr>
        <w:t>370 </w:t>
      </w:r>
      <w:r>
        <w:rPr>
          <w:sz w:val="20"/>
        </w:rPr>
        <w:t>Izpildes rīkojums, ar ko groza izpildes rīkojumu par parāda norēķinu (Bekendtgørelse om ændring af bekendtgørelse om gældssanering). Pieejams dāņu valodā: </w:t>
      </w:r>
      <w:r>
        <w:rPr>
          <w:sz w:val="20"/>
          <w:u w:val="single"/>
        </w:rPr>
        <w:t>https://</w:t>
      </w:r>
      <w:hyperlink r:id="rId87">
        <w:r>
          <w:rPr>
            <w:sz w:val="20"/>
            <w:u w:val="single"/>
          </w:rPr>
          <w:t>www.retsinformation.dk/Forms/R0710.aspx?id=194604</w:t>
        </w:r>
        <w:r>
          <w:rPr>
            <w:sz w:val="20"/>
          </w:rPr>
          <w:t> </w:t>
        </w:r>
      </w:hyperlink>
      <w:r>
        <w:rPr>
          <w:sz w:val="20"/>
        </w:rPr>
        <w:t>[aplūkots 2018.gada 15.oktobrī].</w:t>
      </w:r>
    </w:p>
    <w:p>
      <w:pPr>
        <w:spacing w:line="240" w:lineRule="auto" w:before="0"/>
        <w:ind w:left="620" w:right="402" w:firstLine="0"/>
        <w:jc w:val="both"/>
        <w:rPr>
          <w:sz w:val="20"/>
        </w:rPr>
      </w:pPr>
      <w:r>
        <w:rPr>
          <w:position w:val="7"/>
          <w:sz w:val="13"/>
        </w:rPr>
        <w:t>371 </w:t>
      </w:r>
      <w:r>
        <w:rPr>
          <w:sz w:val="20"/>
        </w:rPr>
        <w:t>Study on means to protect consumers in financial difficulty: Personal bankruptcy, </w:t>
      </w:r>
      <w:r>
        <w:rPr>
          <w:i/>
          <w:sz w:val="20"/>
        </w:rPr>
        <w:t>datio in solutum </w:t>
      </w:r>
      <w:r>
        <w:rPr>
          <w:sz w:val="20"/>
        </w:rPr>
        <w:t>of mortgages, and restrictions on debt collection abusive practices. Final Report, prepared by London Economics, 2012., p.33. Pieejams:</w:t>
      </w:r>
      <w:r>
        <w:rPr>
          <w:color w:val="0562C1"/>
          <w:sz w:val="20"/>
          <w:u w:val="single" w:color="0562C1"/>
        </w:rPr>
        <w:t> https://ec.europa.eu/info/file/46906/download_en?token=9buOvl55.</w:t>
      </w:r>
      <w:r>
        <w:rPr>
          <w:color w:val="0562C1"/>
          <w:sz w:val="20"/>
        </w:rPr>
        <w:t> </w:t>
      </w:r>
      <w:r>
        <w:rPr>
          <w:sz w:val="20"/>
        </w:rPr>
        <w:t>[aplūkots 2018.gada 11.oktobrī].</w:t>
      </w:r>
    </w:p>
    <w:p>
      <w:pPr>
        <w:spacing w:line="227" w:lineRule="exact" w:before="0"/>
        <w:ind w:left="620" w:right="0" w:firstLine="0"/>
        <w:jc w:val="left"/>
        <w:rPr>
          <w:sz w:val="20"/>
        </w:rPr>
      </w:pPr>
      <w:r>
        <w:rPr>
          <w:position w:val="7"/>
          <w:sz w:val="13"/>
        </w:rPr>
        <w:t>372 </w:t>
      </w:r>
      <w:r>
        <w:rPr>
          <w:sz w:val="20"/>
        </w:rPr>
        <w:t>Ibid, p.34.</w:t>
      </w:r>
    </w:p>
    <w:p>
      <w:pPr>
        <w:spacing w:line="230" w:lineRule="exact" w:before="0"/>
        <w:ind w:left="620" w:right="0" w:firstLine="0"/>
        <w:jc w:val="left"/>
        <w:rPr>
          <w:sz w:val="20"/>
        </w:rPr>
      </w:pPr>
      <w:r>
        <w:rPr>
          <w:position w:val="7"/>
          <w:sz w:val="13"/>
        </w:rPr>
        <w:t>373 </w:t>
      </w:r>
      <w:r>
        <w:rPr>
          <w:sz w:val="20"/>
        </w:rPr>
        <w:t>Dānijas Bankrota likums, 229.panta pirmās daļas (ii)</w:t>
      </w:r>
    </w:p>
    <w:p>
      <w:pPr>
        <w:spacing w:line="233" w:lineRule="exact" w:before="0"/>
        <w:ind w:left="620" w:right="0" w:firstLine="0"/>
        <w:jc w:val="left"/>
        <w:rPr>
          <w:sz w:val="20"/>
        </w:rPr>
      </w:pPr>
      <w:r>
        <w:rPr>
          <w:position w:val="7"/>
          <w:sz w:val="13"/>
        </w:rPr>
        <w:t>374 </w:t>
      </w:r>
      <w:r>
        <w:rPr>
          <w:sz w:val="20"/>
        </w:rPr>
        <w:t>Dānijas Bankrota likums, 228.panta pirmā daļa</w:t>
      </w:r>
    </w:p>
    <w:p>
      <w:pPr>
        <w:spacing w:after="0" w:line="233" w:lineRule="exact"/>
        <w:jc w:val="left"/>
        <w:rPr>
          <w:sz w:val="20"/>
        </w:rPr>
        <w:sectPr>
          <w:pgSz w:w="11910" w:h="16840"/>
          <w:pgMar w:header="0" w:footer="1055" w:top="1340" w:bottom="1240" w:left="1180" w:right="1040"/>
        </w:sectPr>
      </w:pPr>
    </w:p>
    <w:p>
      <w:pPr>
        <w:pStyle w:val="BodyText"/>
        <w:spacing w:line="235" w:lineRule="auto" w:before="82"/>
        <w:ind w:left="260" w:right="762"/>
        <w:rPr>
          <w:sz w:val="16"/>
        </w:rPr>
      </w:pPr>
      <w:r>
        <w:rPr/>
        <w:t>veikti</w:t>
      </w:r>
      <w:r>
        <w:rPr>
          <w:spacing w:val="-10"/>
        </w:rPr>
        <w:t> </w:t>
      </w:r>
      <w:r>
        <w:rPr/>
        <w:t>tikai</w:t>
      </w:r>
      <w:r>
        <w:rPr>
          <w:spacing w:val="-12"/>
        </w:rPr>
        <w:t> </w:t>
      </w:r>
      <w:r>
        <w:rPr/>
        <w:t>attiecībā</w:t>
      </w:r>
      <w:r>
        <w:rPr>
          <w:spacing w:val="-9"/>
        </w:rPr>
        <w:t> </w:t>
      </w:r>
      <w:r>
        <w:rPr/>
        <w:t>pret</w:t>
      </w:r>
      <w:r>
        <w:rPr>
          <w:spacing w:val="-7"/>
        </w:rPr>
        <w:t> </w:t>
      </w:r>
      <w:r>
        <w:rPr/>
        <w:t>parādnieka</w:t>
      </w:r>
      <w:r>
        <w:rPr>
          <w:spacing w:val="-11"/>
        </w:rPr>
        <w:t> </w:t>
      </w:r>
      <w:r>
        <w:rPr/>
        <w:t>vislielākā</w:t>
      </w:r>
      <w:r>
        <w:rPr>
          <w:spacing w:val="-10"/>
        </w:rPr>
        <w:t> </w:t>
      </w:r>
      <w:r>
        <w:rPr/>
        <w:t>izņēmuma</w:t>
      </w:r>
      <w:r>
        <w:rPr>
          <w:spacing w:val="-10"/>
        </w:rPr>
        <w:t> </w:t>
      </w:r>
      <w:r>
        <w:rPr/>
        <w:t>interesēm,</w:t>
      </w:r>
      <w:r>
        <w:rPr>
          <w:spacing w:val="-6"/>
        </w:rPr>
        <w:t> </w:t>
      </w:r>
      <w:r>
        <w:rPr>
          <w:position w:val="9"/>
          <w:sz w:val="16"/>
        </w:rPr>
        <w:t>375</w:t>
      </w:r>
      <w:r>
        <w:rPr>
          <w:spacing w:val="12"/>
          <w:position w:val="9"/>
          <w:sz w:val="16"/>
        </w:rPr>
        <w:t> </w:t>
      </w:r>
      <w:r>
        <w:rPr/>
        <w:t>respektīvi</w:t>
      </w:r>
      <w:r>
        <w:rPr>
          <w:spacing w:val="-10"/>
        </w:rPr>
        <w:t> </w:t>
      </w:r>
      <w:r>
        <w:rPr/>
        <w:t>kreditori nevar pieprasīt grozīt plānu, lai palielinātu maksājumus kreditoriem, ja parādnieka finansiālā</w:t>
      </w:r>
      <w:r>
        <w:rPr>
          <w:spacing w:val="-10"/>
        </w:rPr>
        <w:t> </w:t>
      </w:r>
      <w:r>
        <w:rPr/>
        <w:t>situācija</w:t>
      </w:r>
      <w:r>
        <w:rPr>
          <w:spacing w:val="-8"/>
        </w:rPr>
        <w:t> </w:t>
      </w:r>
      <w:r>
        <w:rPr/>
        <w:t>uzlabojas.</w:t>
      </w:r>
      <w:r>
        <w:rPr>
          <w:spacing w:val="-9"/>
        </w:rPr>
        <w:t> </w:t>
      </w:r>
      <w:r>
        <w:rPr/>
        <w:t>Faktiski</w:t>
      </w:r>
      <w:r>
        <w:rPr>
          <w:spacing w:val="-10"/>
        </w:rPr>
        <w:t> </w:t>
      </w:r>
      <w:r>
        <w:rPr/>
        <w:t>sanāk,</w:t>
      </w:r>
      <w:r>
        <w:rPr>
          <w:spacing w:val="-9"/>
        </w:rPr>
        <w:t> </w:t>
      </w:r>
      <w:r>
        <w:rPr/>
        <w:t>ja</w:t>
      </w:r>
      <w:r>
        <w:rPr>
          <w:spacing w:val="-10"/>
        </w:rPr>
        <w:t> </w:t>
      </w:r>
      <w:r>
        <w:rPr/>
        <w:t>parādnieks</w:t>
      </w:r>
      <w:r>
        <w:rPr>
          <w:spacing w:val="-10"/>
        </w:rPr>
        <w:t> </w:t>
      </w:r>
      <w:r>
        <w:rPr/>
        <w:t>nopelna</w:t>
      </w:r>
      <w:r>
        <w:rPr>
          <w:spacing w:val="-9"/>
        </w:rPr>
        <w:t> </w:t>
      </w:r>
      <w:r>
        <w:rPr/>
        <w:t>vairāk</w:t>
      </w:r>
      <w:r>
        <w:rPr>
          <w:spacing w:val="-10"/>
        </w:rPr>
        <w:t> </w:t>
      </w:r>
      <w:r>
        <w:rPr/>
        <w:t>(</w:t>
      </w:r>
      <w:r>
        <w:rPr>
          <w:i/>
        </w:rPr>
        <w:t>piezīme</w:t>
      </w:r>
      <w:r>
        <w:rPr>
          <w:i/>
          <w:spacing w:val="-9"/>
        </w:rPr>
        <w:t> </w:t>
      </w:r>
      <w:r>
        <w:rPr>
          <w:i/>
        </w:rPr>
        <w:t>-</w:t>
      </w:r>
      <w:r>
        <w:rPr>
          <w:i/>
          <w:spacing w:val="-12"/>
        </w:rPr>
        <w:t> </w:t>
      </w:r>
      <w:r>
        <w:rPr>
          <w:i/>
        </w:rPr>
        <w:t>plāna </w:t>
      </w:r>
      <w:r>
        <w:rPr>
          <w:i/>
        </w:rPr>
        <w:t>izpildes laikā</w:t>
      </w:r>
      <w:r>
        <w:rPr/>
        <w:t>), viņš to</w:t>
      </w:r>
      <w:r>
        <w:rPr>
          <w:spacing w:val="-3"/>
        </w:rPr>
        <w:t> </w:t>
      </w:r>
      <w:r>
        <w:rPr/>
        <w:t>saglabā.</w:t>
      </w:r>
      <w:r>
        <w:rPr>
          <w:position w:val="9"/>
          <w:sz w:val="16"/>
        </w:rPr>
        <w:t>376</w:t>
      </w:r>
    </w:p>
    <w:p>
      <w:pPr>
        <w:pStyle w:val="BodyText"/>
        <w:spacing w:line="237" w:lineRule="auto" w:before="5"/>
        <w:ind w:left="260" w:right="761" w:firstLine="720"/>
        <w:rPr>
          <w:sz w:val="16"/>
        </w:rPr>
      </w:pPr>
      <w:r>
        <w:rPr/>
        <w:t>Interesanta situācija ir ar parādnieka pensiju shēmām. Dānijas Bankrota likuma 222A panta pirmā daļa noteic, ka gadījumā, ja parādnieks deponēja naudas līdzekļus pensiju shēmā, kuru apmērs bija neproporcionāli liels, ņemot vērā parādnieka situāciju naudas deponēšanas laikā, tad naudas līdzekļi, kas ir samaksāti pārmērīgi par daudz, kā vispārējs noteikums ir iekļaujams parādnieks priekšlikumā par parādu pārplānošanu.</w:t>
      </w:r>
      <w:r>
        <w:rPr>
          <w:position w:val="9"/>
          <w:sz w:val="16"/>
        </w:rPr>
        <w:t>377</w:t>
      </w:r>
    </w:p>
    <w:p>
      <w:pPr>
        <w:pStyle w:val="BodyText"/>
        <w:ind w:left="260" w:right="763" w:firstLine="720"/>
      </w:pPr>
      <w:r>
        <w:rPr/>
        <w:t>Būtisks apstāklis ir arī tas, ka 64.-80. pants, kas iekļauts bankrota procedūras kārtībā, ar nosaukumu “AVOIDANCE” ir attiecināms arī uz parādu pārplānošanas procedūru. Šī nodaļa regulē gadījumus, kad parādnieks definētā laika posmā pirms pieteikuma iesniegšanas tiesā ir veicis tādus darījumus, kuru saprātīgi vērtējot, viņam nebūtu bijis jādara, ja vien viņš nevar pierādīt, ka tajā laikā vēl nebija maksātnespējīgs vai arī šis darījums nenoveda viņu līdz maksātnespējai. Faktiski šī ir nodaļa par darījumu iespējamo apstrīdēšanu, kā mēs to saprotam Latvijā.</w:t>
      </w:r>
    </w:p>
    <w:p>
      <w:pPr>
        <w:pStyle w:val="BodyText"/>
        <w:spacing w:line="235" w:lineRule="auto" w:before="1"/>
        <w:ind w:left="260" w:right="762" w:firstLine="720"/>
        <w:rPr>
          <w:sz w:val="16"/>
        </w:rPr>
      </w:pPr>
      <w:r>
        <w:rPr/>
        <w:t>Tā kā parādu pārplānošanas procedūrā Dānijā parādniekam nav administratora, kurš</w:t>
      </w:r>
      <w:r>
        <w:rPr>
          <w:spacing w:val="-9"/>
        </w:rPr>
        <w:t> </w:t>
      </w:r>
      <w:r>
        <w:rPr/>
        <w:t>vērtētu</w:t>
      </w:r>
      <w:r>
        <w:rPr>
          <w:spacing w:val="-9"/>
        </w:rPr>
        <w:t> </w:t>
      </w:r>
      <w:r>
        <w:rPr/>
        <w:t>parādnieka</w:t>
      </w:r>
      <w:r>
        <w:rPr>
          <w:spacing w:val="-11"/>
        </w:rPr>
        <w:t> </w:t>
      </w:r>
      <w:r>
        <w:rPr/>
        <w:t>darījumus,</w:t>
      </w:r>
      <w:r>
        <w:rPr>
          <w:spacing w:val="-8"/>
        </w:rPr>
        <w:t> </w:t>
      </w:r>
      <w:r>
        <w:rPr/>
        <w:t>kā</w:t>
      </w:r>
      <w:r>
        <w:rPr>
          <w:spacing w:val="-9"/>
        </w:rPr>
        <w:t> </w:t>
      </w:r>
      <w:r>
        <w:rPr/>
        <w:t>tas</w:t>
      </w:r>
      <w:r>
        <w:rPr>
          <w:spacing w:val="-9"/>
        </w:rPr>
        <w:t> </w:t>
      </w:r>
      <w:r>
        <w:rPr/>
        <w:t>ir</w:t>
      </w:r>
      <w:r>
        <w:rPr>
          <w:spacing w:val="-9"/>
        </w:rPr>
        <w:t> </w:t>
      </w:r>
      <w:r>
        <w:rPr/>
        <w:t>Latvijā,</w:t>
      </w:r>
      <w:r>
        <w:rPr>
          <w:spacing w:val="-10"/>
        </w:rPr>
        <w:t> </w:t>
      </w:r>
      <w:r>
        <w:rPr/>
        <w:t>tad</w:t>
      </w:r>
      <w:r>
        <w:rPr>
          <w:spacing w:val="-9"/>
        </w:rPr>
        <w:t> </w:t>
      </w:r>
      <w:r>
        <w:rPr/>
        <w:t>prasības</w:t>
      </w:r>
      <w:r>
        <w:rPr>
          <w:spacing w:val="-11"/>
        </w:rPr>
        <w:t> </w:t>
      </w:r>
      <w:r>
        <w:rPr/>
        <w:t>par</w:t>
      </w:r>
      <w:r>
        <w:rPr>
          <w:spacing w:val="-9"/>
        </w:rPr>
        <w:t> </w:t>
      </w:r>
      <w:r>
        <w:rPr/>
        <w:t>šādiem</w:t>
      </w:r>
      <w:r>
        <w:rPr>
          <w:spacing w:val="-8"/>
        </w:rPr>
        <w:t> </w:t>
      </w:r>
      <w:r>
        <w:rPr/>
        <w:t>darījumiem</w:t>
      </w:r>
      <w:r>
        <w:rPr>
          <w:spacing w:val="-9"/>
        </w:rPr>
        <w:t> </w:t>
      </w:r>
      <w:r>
        <w:rPr/>
        <w:t>ceļ kreditori</w:t>
      </w:r>
      <w:r>
        <w:rPr>
          <w:spacing w:val="-13"/>
        </w:rPr>
        <w:t> </w:t>
      </w:r>
      <w:r>
        <w:rPr/>
        <w:t>parastā</w:t>
      </w:r>
      <w:r>
        <w:rPr>
          <w:spacing w:val="-12"/>
        </w:rPr>
        <w:t> </w:t>
      </w:r>
      <w:r>
        <w:rPr/>
        <w:t>prasības</w:t>
      </w:r>
      <w:r>
        <w:rPr>
          <w:spacing w:val="-6"/>
        </w:rPr>
        <w:t> </w:t>
      </w:r>
      <w:r>
        <w:rPr/>
        <w:t>celšanas</w:t>
      </w:r>
      <w:r>
        <w:rPr>
          <w:spacing w:val="-7"/>
        </w:rPr>
        <w:t> </w:t>
      </w:r>
      <w:r>
        <w:rPr/>
        <w:t>kārtībā,</w:t>
      </w:r>
      <w:r>
        <w:rPr>
          <w:spacing w:val="-11"/>
        </w:rPr>
        <w:t> </w:t>
      </w:r>
      <w:r>
        <w:rPr/>
        <w:t>ja</w:t>
      </w:r>
      <w:r>
        <w:rPr>
          <w:spacing w:val="-10"/>
        </w:rPr>
        <w:t> </w:t>
      </w:r>
      <w:r>
        <w:rPr/>
        <w:t>vien</w:t>
      </w:r>
      <w:r>
        <w:rPr>
          <w:spacing w:val="-10"/>
        </w:rPr>
        <w:t> </w:t>
      </w:r>
      <w:r>
        <w:rPr/>
        <w:t>tiesa</w:t>
      </w:r>
      <w:r>
        <w:rPr>
          <w:spacing w:val="-11"/>
        </w:rPr>
        <w:t> </w:t>
      </w:r>
      <w:r>
        <w:rPr/>
        <w:t>nenosaka</w:t>
      </w:r>
      <w:r>
        <w:rPr>
          <w:spacing w:val="-9"/>
        </w:rPr>
        <w:t> </w:t>
      </w:r>
      <w:r>
        <w:rPr/>
        <w:t>citādi.</w:t>
      </w:r>
      <w:r>
        <w:rPr>
          <w:position w:val="9"/>
          <w:sz w:val="16"/>
        </w:rPr>
        <w:t>378</w:t>
      </w:r>
      <w:r>
        <w:rPr>
          <w:spacing w:val="11"/>
          <w:position w:val="9"/>
          <w:sz w:val="16"/>
        </w:rPr>
        <w:t> </w:t>
      </w:r>
      <w:r>
        <w:rPr/>
        <w:t>Svarīgi</w:t>
      </w:r>
      <w:r>
        <w:rPr>
          <w:spacing w:val="-10"/>
        </w:rPr>
        <w:t> </w:t>
      </w:r>
      <w:r>
        <w:rPr/>
        <w:t>ir</w:t>
      </w:r>
      <w:r>
        <w:rPr>
          <w:spacing w:val="-9"/>
        </w:rPr>
        <w:t> </w:t>
      </w:r>
      <w:r>
        <w:rPr/>
        <w:t>arī</w:t>
      </w:r>
      <w:r>
        <w:rPr>
          <w:spacing w:val="-10"/>
        </w:rPr>
        <w:t> </w:t>
      </w:r>
      <w:r>
        <w:rPr/>
        <w:t>tas, ka</w:t>
      </w:r>
      <w:r>
        <w:rPr>
          <w:spacing w:val="-13"/>
        </w:rPr>
        <w:t> </w:t>
      </w:r>
      <w:r>
        <w:rPr/>
        <w:t>šāda</w:t>
      </w:r>
      <w:r>
        <w:rPr>
          <w:spacing w:val="-13"/>
        </w:rPr>
        <w:t> </w:t>
      </w:r>
      <w:r>
        <w:rPr/>
        <w:t>prasība</w:t>
      </w:r>
      <w:r>
        <w:rPr>
          <w:spacing w:val="-13"/>
        </w:rPr>
        <w:t> </w:t>
      </w:r>
      <w:r>
        <w:rPr/>
        <w:t>ir</w:t>
      </w:r>
      <w:r>
        <w:rPr>
          <w:spacing w:val="-12"/>
        </w:rPr>
        <w:t> </w:t>
      </w:r>
      <w:r>
        <w:rPr/>
        <w:t>ceļama</w:t>
      </w:r>
      <w:r>
        <w:rPr>
          <w:spacing w:val="-11"/>
        </w:rPr>
        <w:t> </w:t>
      </w:r>
      <w:r>
        <w:rPr/>
        <w:t>ne</w:t>
      </w:r>
      <w:r>
        <w:rPr>
          <w:spacing w:val="-16"/>
        </w:rPr>
        <w:t> </w:t>
      </w:r>
      <w:r>
        <w:rPr/>
        <w:t>vēlāk</w:t>
      </w:r>
      <w:r>
        <w:rPr>
          <w:spacing w:val="-13"/>
        </w:rPr>
        <w:t> </w:t>
      </w:r>
      <w:r>
        <w:rPr/>
        <w:t>kā</w:t>
      </w:r>
      <w:r>
        <w:rPr>
          <w:spacing w:val="-15"/>
        </w:rPr>
        <w:t> </w:t>
      </w:r>
      <w:r>
        <w:rPr/>
        <w:t>4</w:t>
      </w:r>
      <w:r>
        <w:rPr>
          <w:spacing w:val="-13"/>
        </w:rPr>
        <w:t> </w:t>
      </w:r>
      <w:r>
        <w:rPr/>
        <w:t>nedēļas</w:t>
      </w:r>
      <w:r>
        <w:rPr>
          <w:spacing w:val="-16"/>
        </w:rPr>
        <w:t> </w:t>
      </w:r>
      <w:r>
        <w:rPr/>
        <w:t>pēc</w:t>
      </w:r>
      <w:r>
        <w:rPr>
          <w:spacing w:val="-12"/>
        </w:rPr>
        <w:t> </w:t>
      </w:r>
      <w:r>
        <w:rPr/>
        <w:t>tiesas</w:t>
      </w:r>
      <w:r>
        <w:rPr>
          <w:spacing w:val="-16"/>
        </w:rPr>
        <w:t> </w:t>
      </w:r>
      <w:r>
        <w:rPr/>
        <w:t>rīkojuma</w:t>
      </w:r>
      <w:r>
        <w:rPr>
          <w:spacing w:val="-13"/>
        </w:rPr>
        <w:t> </w:t>
      </w:r>
      <w:r>
        <w:rPr/>
        <w:t>par</w:t>
      </w:r>
      <w:r>
        <w:rPr>
          <w:spacing w:val="-16"/>
        </w:rPr>
        <w:t> </w:t>
      </w:r>
      <w:r>
        <w:rPr/>
        <w:t>parādu</w:t>
      </w:r>
      <w:r>
        <w:rPr>
          <w:spacing w:val="-12"/>
        </w:rPr>
        <w:t> </w:t>
      </w:r>
      <w:r>
        <w:rPr/>
        <w:t>pārplānošanu izdošanu, bet iniciatīvu par šādu prasību celšanas uzsākšanu kreditori var izteikt vēlākais tajā tiesas sēdē, kurā tiek izskatīts parādnieka priekšlikums par parādu</w:t>
      </w:r>
      <w:r>
        <w:rPr>
          <w:spacing w:val="-8"/>
        </w:rPr>
        <w:t> </w:t>
      </w:r>
      <w:r>
        <w:rPr/>
        <w:t>pārplānošanu.</w:t>
      </w:r>
      <w:r>
        <w:rPr>
          <w:position w:val="9"/>
          <w:sz w:val="16"/>
        </w:rPr>
        <w:t>379</w:t>
      </w:r>
    </w:p>
    <w:p>
      <w:pPr>
        <w:pStyle w:val="BodyText"/>
        <w:spacing w:line="235" w:lineRule="auto" w:before="3"/>
        <w:ind w:left="260" w:right="763" w:firstLine="720"/>
        <w:rPr>
          <w:sz w:val="16"/>
        </w:rPr>
      </w:pPr>
      <w:r>
        <w:rPr/>
        <w:t>Gadījumā, ja tiek celta šāda prasība par parādnieka veiktajiem darījumiem un ja spēkā</w:t>
      </w:r>
      <w:r>
        <w:rPr>
          <w:spacing w:val="-8"/>
        </w:rPr>
        <w:t> </w:t>
      </w:r>
      <w:r>
        <w:rPr/>
        <w:t>stājas</w:t>
      </w:r>
      <w:r>
        <w:rPr>
          <w:spacing w:val="-7"/>
        </w:rPr>
        <w:t> </w:t>
      </w:r>
      <w:r>
        <w:rPr/>
        <w:t>spriedums</w:t>
      </w:r>
      <w:r>
        <w:rPr>
          <w:spacing w:val="-4"/>
        </w:rPr>
        <w:t> </w:t>
      </w:r>
      <w:r>
        <w:rPr/>
        <w:t>par</w:t>
      </w:r>
      <w:r>
        <w:rPr>
          <w:spacing w:val="-8"/>
        </w:rPr>
        <w:t> </w:t>
      </w:r>
      <w:r>
        <w:rPr/>
        <w:t>to,</w:t>
      </w:r>
      <w:r>
        <w:rPr>
          <w:spacing w:val="-4"/>
        </w:rPr>
        <w:t> </w:t>
      </w:r>
      <w:r>
        <w:rPr/>
        <w:t>tad</w:t>
      </w:r>
      <w:r>
        <w:rPr>
          <w:spacing w:val="-8"/>
        </w:rPr>
        <w:t> </w:t>
      </w:r>
      <w:r>
        <w:rPr/>
        <w:t>spriedumā</w:t>
      </w:r>
      <w:r>
        <w:rPr>
          <w:spacing w:val="-4"/>
        </w:rPr>
        <w:t> </w:t>
      </w:r>
      <w:r>
        <w:rPr/>
        <w:t>noteiktā</w:t>
      </w:r>
      <w:r>
        <w:rPr>
          <w:spacing w:val="-8"/>
        </w:rPr>
        <w:t> </w:t>
      </w:r>
      <w:r>
        <w:rPr/>
        <w:t>summa</w:t>
      </w:r>
      <w:r>
        <w:rPr>
          <w:spacing w:val="-7"/>
        </w:rPr>
        <w:t> </w:t>
      </w:r>
      <w:r>
        <w:rPr/>
        <w:t>ir</w:t>
      </w:r>
      <w:r>
        <w:rPr>
          <w:spacing w:val="-4"/>
        </w:rPr>
        <w:t> </w:t>
      </w:r>
      <w:r>
        <w:rPr/>
        <w:t>samaksājama</w:t>
      </w:r>
      <w:r>
        <w:rPr>
          <w:spacing w:val="-5"/>
        </w:rPr>
        <w:t> </w:t>
      </w:r>
      <w:r>
        <w:rPr/>
        <w:t>tiesai,</w:t>
      </w:r>
      <w:r>
        <w:rPr>
          <w:spacing w:val="-4"/>
        </w:rPr>
        <w:t> </w:t>
      </w:r>
      <w:r>
        <w:rPr/>
        <w:t>kurā</w:t>
      </w:r>
      <w:r>
        <w:rPr>
          <w:spacing w:val="-5"/>
        </w:rPr>
        <w:t> </w:t>
      </w:r>
      <w:r>
        <w:rPr/>
        <w:t>ir attiecīgā parāda pārplānošanas lieta, un tiesa tālāk izmantos daļu summas, lai segtu tiesāšanās izdevumus un pārējos līdzekļus novirzītu</w:t>
      </w:r>
      <w:r>
        <w:rPr>
          <w:spacing w:val="-1"/>
        </w:rPr>
        <w:t> </w:t>
      </w:r>
      <w:r>
        <w:rPr/>
        <w:t>kreditoriem.</w:t>
      </w:r>
      <w:r>
        <w:rPr>
          <w:position w:val="9"/>
          <w:sz w:val="16"/>
        </w:rPr>
        <w:t>380</w:t>
      </w:r>
    </w:p>
    <w:p>
      <w:pPr>
        <w:pStyle w:val="BodyText"/>
        <w:spacing w:before="2"/>
        <w:ind w:left="260"/>
      </w:pPr>
      <w:r>
        <w:rPr/>
        <w:t>Šādas prasības var attiecināt uz:</w:t>
      </w:r>
    </w:p>
    <w:p>
      <w:pPr>
        <w:pStyle w:val="BodyText"/>
        <w:jc w:val="left"/>
      </w:pPr>
    </w:p>
    <w:p>
      <w:pPr>
        <w:pStyle w:val="ListParagraph"/>
        <w:numPr>
          <w:ilvl w:val="0"/>
          <w:numId w:val="92"/>
        </w:numPr>
        <w:tabs>
          <w:tab w:pos="688" w:val="left" w:leader="none"/>
        </w:tabs>
        <w:spacing w:line="240" w:lineRule="auto" w:before="0" w:after="0"/>
        <w:ind w:left="687" w:right="0" w:hanging="361"/>
        <w:jc w:val="both"/>
        <w:rPr>
          <w:sz w:val="24"/>
        </w:rPr>
      </w:pPr>
      <w:r>
        <w:rPr>
          <w:sz w:val="24"/>
        </w:rPr>
        <w:t>Dāvanām:</w:t>
      </w:r>
    </w:p>
    <w:p>
      <w:pPr>
        <w:pStyle w:val="ListParagraph"/>
        <w:numPr>
          <w:ilvl w:val="1"/>
          <w:numId w:val="92"/>
        </w:numPr>
        <w:tabs>
          <w:tab w:pos="1700" w:val="left" w:leader="none"/>
        </w:tabs>
        <w:spacing w:line="240" w:lineRule="auto" w:before="0" w:after="0"/>
        <w:ind w:left="1700" w:right="0" w:hanging="733"/>
        <w:jc w:val="both"/>
        <w:rPr>
          <w:sz w:val="24"/>
        </w:rPr>
      </w:pPr>
      <w:r>
        <w:rPr>
          <w:sz w:val="24"/>
        </w:rPr>
        <w:t>ko parādnieks ir dāvinājis pēdējo 6 mēnešu</w:t>
      </w:r>
      <w:r>
        <w:rPr>
          <w:spacing w:val="-1"/>
          <w:sz w:val="24"/>
        </w:rPr>
        <w:t> </w:t>
      </w:r>
      <w:r>
        <w:rPr>
          <w:sz w:val="24"/>
        </w:rPr>
        <w:t>laikā,</w:t>
      </w:r>
    </w:p>
    <w:p>
      <w:pPr>
        <w:pStyle w:val="ListParagraph"/>
        <w:numPr>
          <w:ilvl w:val="1"/>
          <w:numId w:val="92"/>
        </w:numPr>
        <w:tabs>
          <w:tab w:pos="1537" w:val="left" w:leader="none"/>
        </w:tabs>
        <w:spacing w:line="240" w:lineRule="auto" w:before="0" w:after="0"/>
        <w:ind w:left="1536" w:right="760" w:hanging="569"/>
        <w:jc w:val="both"/>
        <w:rPr>
          <w:sz w:val="24"/>
        </w:rPr>
      </w:pPr>
      <w:r>
        <w:rPr>
          <w:sz w:val="24"/>
        </w:rPr>
        <w:t>ilgākā periodā (līdz 1 gadam), ja tās ir bijušas neproporcionālas pēc būtības attiecībā uz parādnieka finansiālo stāvokli, ja vien nav pierādīts, ka parādnieks, dāvināšanas laikā nav bijis maksātnespējīgs un vai kļuvis maksātnespējīgs;</w:t>
      </w:r>
    </w:p>
    <w:p>
      <w:pPr>
        <w:pStyle w:val="ListParagraph"/>
        <w:numPr>
          <w:ilvl w:val="1"/>
          <w:numId w:val="92"/>
        </w:numPr>
        <w:tabs>
          <w:tab w:pos="1537" w:val="left" w:leader="none"/>
        </w:tabs>
        <w:spacing w:line="276" w:lineRule="exact" w:before="0" w:after="0"/>
        <w:ind w:left="1536" w:right="0" w:hanging="570"/>
        <w:jc w:val="both"/>
        <w:rPr>
          <w:sz w:val="24"/>
        </w:rPr>
      </w:pPr>
      <w:r>
        <w:rPr>
          <w:sz w:val="24"/>
        </w:rPr>
        <w:t>kas dāvinātas saistītām personām pēdējo divu gadu</w:t>
      </w:r>
      <w:r>
        <w:rPr>
          <w:spacing w:val="-2"/>
          <w:sz w:val="24"/>
        </w:rPr>
        <w:t> </w:t>
      </w:r>
      <w:r>
        <w:rPr>
          <w:sz w:val="24"/>
        </w:rPr>
        <w:t>periodā</w:t>
      </w:r>
      <w:r>
        <w:rPr>
          <w:position w:val="9"/>
          <w:sz w:val="16"/>
        </w:rPr>
        <w:t>381</w:t>
      </w:r>
      <w:r>
        <w:rPr>
          <w:sz w:val="24"/>
        </w:rPr>
        <w:t>;</w:t>
      </w:r>
    </w:p>
    <w:p>
      <w:pPr>
        <w:pStyle w:val="ListParagraph"/>
        <w:numPr>
          <w:ilvl w:val="0"/>
          <w:numId w:val="92"/>
        </w:numPr>
        <w:tabs>
          <w:tab w:pos="620" w:val="left" w:leader="none"/>
        </w:tabs>
        <w:spacing w:line="232" w:lineRule="auto" w:before="7" w:after="0"/>
        <w:ind w:left="620" w:right="765" w:hanging="360"/>
        <w:jc w:val="both"/>
        <w:rPr>
          <w:sz w:val="24"/>
        </w:rPr>
      </w:pPr>
      <w:r>
        <w:rPr>
          <w:sz w:val="24"/>
        </w:rPr>
        <w:t>Summām, ko parādnieks ir maksājis savam dzīvesbiedram vai sava dzīvesbiedra</w:t>
      </w:r>
      <w:r>
        <w:rPr>
          <w:spacing w:val="-30"/>
          <w:sz w:val="24"/>
        </w:rPr>
        <w:t> </w:t>
      </w:r>
      <w:r>
        <w:rPr>
          <w:sz w:val="24"/>
        </w:rPr>
        <w:t>vietā, ja tas pārsniedz apmēru, kāds pamatoti bija nepieciešams, lai uzturētu un atbalstītu ģimeni, ņemot vēra parādnieka finansiālo situāciju un ģimenes</w:t>
      </w:r>
      <w:r>
        <w:rPr>
          <w:spacing w:val="-1"/>
          <w:sz w:val="24"/>
        </w:rPr>
        <w:t> </w:t>
      </w:r>
      <w:r>
        <w:rPr>
          <w:sz w:val="24"/>
        </w:rPr>
        <w:t>vajadzības</w:t>
      </w:r>
      <w:r>
        <w:rPr>
          <w:position w:val="9"/>
          <w:sz w:val="16"/>
        </w:rPr>
        <w:t>382</w:t>
      </w:r>
      <w:r>
        <w:rPr>
          <w:sz w:val="24"/>
        </w:rPr>
        <w:t>;</w:t>
      </w:r>
    </w:p>
    <w:p>
      <w:pPr>
        <w:pStyle w:val="BodyText"/>
        <w:spacing w:before="10"/>
        <w:jc w:val="left"/>
        <w:rPr>
          <w:sz w:val="28"/>
        </w:rPr>
      </w:pPr>
      <w:r>
        <w:rPr/>
        <w:pict>
          <v:shape style="position:absolute;margin-left:72pt;margin-top:18.855974pt;width:144pt;height:.1pt;mso-position-horizontal-relative:page;mso-position-vertical-relative:paragraph;z-index:-251482112;mso-wrap-distance-left:0;mso-wrap-distance-right:0" coordorigin="1440,377" coordsize="2880,0" path="m1440,377l4320,377e" filled="false" stroked="true" strokeweight=".599991pt" strokecolor="#000000">
            <v:path arrowok="t"/>
            <v:stroke dashstyle="solid"/>
            <w10:wrap type="topAndBottom"/>
          </v:shape>
        </w:pict>
      </w:r>
    </w:p>
    <w:p>
      <w:pPr>
        <w:spacing w:before="70"/>
        <w:ind w:left="260" w:right="763" w:firstLine="0"/>
        <w:jc w:val="both"/>
        <w:rPr>
          <w:sz w:val="20"/>
        </w:rPr>
      </w:pPr>
      <w:r>
        <w:rPr>
          <w:position w:val="7"/>
          <w:sz w:val="13"/>
        </w:rPr>
        <w:t>375 </w:t>
      </w:r>
      <w:r>
        <w:rPr>
          <w:sz w:val="20"/>
        </w:rPr>
        <w:t>Kilborn J. Twenty-five Years of Consumer Bankruptcy in Continental Europe: Internalizing Negative Externalities and Humanizing Justice in Denmark. INSOL International Insolvency Review, 2009, Vol.18:155^185, p.179.</w:t>
      </w:r>
    </w:p>
    <w:p>
      <w:pPr>
        <w:spacing w:line="240" w:lineRule="auto" w:before="0"/>
        <w:ind w:left="260" w:right="762" w:firstLine="0"/>
        <w:jc w:val="both"/>
        <w:rPr>
          <w:sz w:val="20"/>
        </w:rPr>
      </w:pPr>
      <w:r>
        <w:rPr>
          <w:position w:val="7"/>
          <w:sz w:val="13"/>
        </w:rPr>
        <w:t>376 </w:t>
      </w:r>
      <w:r>
        <w:rPr>
          <w:sz w:val="20"/>
        </w:rPr>
        <w:t>Study on means to protect consumers in financial difficulty: Personal bankruptcy, </w:t>
      </w:r>
      <w:r>
        <w:rPr>
          <w:i/>
          <w:sz w:val="20"/>
        </w:rPr>
        <w:t>datio in solutum </w:t>
      </w:r>
      <w:r>
        <w:rPr>
          <w:sz w:val="20"/>
        </w:rPr>
        <w:t>of mortgages, and restrictions on debt collection abusive practices. Final Report, prepared by London Economics, 2012., p.33. Pieejams:</w:t>
      </w:r>
      <w:r>
        <w:rPr>
          <w:color w:val="0562C1"/>
          <w:sz w:val="20"/>
          <w:u w:val="single" w:color="0562C1"/>
        </w:rPr>
        <w:t> https://ec.europa.eu/info/file/46906/download_en?token=9buOvl55.</w:t>
      </w:r>
      <w:r>
        <w:rPr>
          <w:color w:val="0562C1"/>
          <w:sz w:val="20"/>
        </w:rPr>
        <w:t> </w:t>
      </w:r>
      <w:r>
        <w:rPr>
          <w:sz w:val="20"/>
        </w:rPr>
        <w:t>[aplūkots 2018.gada 11.oktobrī].</w:t>
      </w:r>
    </w:p>
    <w:p>
      <w:pPr>
        <w:spacing w:line="230" w:lineRule="exact" w:before="0"/>
        <w:ind w:left="260" w:right="0" w:firstLine="0"/>
        <w:jc w:val="left"/>
        <w:rPr>
          <w:sz w:val="20"/>
        </w:rPr>
      </w:pPr>
      <w:r>
        <w:rPr>
          <w:position w:val="7"/>
          <w:sz w:val="13"/>
        </w:rPr>
        <w:t>377 </w:t>
      </w:r>
      <w:r>
        <w:rPr>
          <w:sz w:val="20"/>
        </w:rPr>
        <w:t>Dānijas Bankrota likums, 222a pants</w:t>
      </w:r>
    </w:p>
    <w:p>
      <w:pPr>
        <w:spacing w:line="229" w:lineRule="exact" w:before="0"/>
        <w:ind w:left="260" w:right="0" w:firstLine="0"/>
        <w:jc w:val="left"/>
        <w:rPr>
          <w:sz w:val="20"/>
        </w:rPr>
      </w:pPr>
      <w:r>
        <w:rPr>
          <w:position w:val="7"/>
          <w:sz w:val="13"/>
        </w:rPr>
        <w:t>378 </w:t>
      </w:r>
      <w:r>
        <w:rPr>
          <w:sz w:val="20"/>
        </w:rPr>
        <w:t>Dānijas Bankrota likums, 222.panta pirmā daļa</w:t>
      </w:r>
    </w:p>
    <w:p>
      <w:pPr>
        <w:spacing w:line="235" w:lineRule="auto" w:before="0"/>
        <w:ind w:left="260" w:right="6266" w:firstLine="0"/>
        <w:jc w:val="left"/>
        <w:rPr>
          <w:sz w:val="20"/>
        </w:rPr>
      </w:pPr>
      <w:r>
        <w:rPr>
          <w:position w:val="7"/>
          <w:sz w:val="13"/>
        </w:rPr>
        <w:t>379 </w:t>
      </w:r>
      <w:r>
        <w:rPr>
          <w:sz w:val="20"/>
        </w:rPr>
        <w:t>Dānijas Bankrota likums, 223.pants </w:t>
      </w:r>
      <w:r>
        <w:rPr>
          <w:position w:val="7"/>
          <w:sz w:val="13"/>
        </w:rPr>
        <w:t>380 </w:t>
      </w:r>
      <w:r>
        <w:rPr>
          <w:sz w:val="20"/>
        </w:rPr>
        <w:t>Dānijas Bankrota likums, 224.pants </w:t>
      </w:r>
      <w:r>
        <w:rPr>
          <w:position w:val="7"/>
          <w:sz w:val="13"/>
        </w:rPr>
        <w:t>381 </w:t>
      </w:r>
      <w:r>
        <w:rPr>
          <w:sz w:val="20"/>
        </w:rPr>
        <w:t>Dānijas Bankrota likums, 64.pants </w:t>
      </w:r>
      <w:r>
        <w:rPr>
          <w:position w:val="7"/>
          <w:sz w:val="13"/>
        </w:rPr>
        <w:t>382 </w:t>
      </w:r>
      <w:r>
        <w:rPr>
          <w:sz w:val="20"/>
        </w:rPr>
        <w:t>Dānijas Bankrota likums, 64.pants</w:t>
      </w:r>
    </w:p>
    <w:p>
      <w:pPr>
        <w:spacing w:after="0" w:line="235" w:lineRule="auto"/>
        <w:jc w:val="left"/>
        <w:rPr>
          <w:sz w:val="20"/>
        </w:rPr>
        <w:sectPr>
          <w:pgSz w:w="11910" w:h="16840"/>
          <w:pgMar w:header="0" w:footer="1055" w:top="1320" w:bottom="1240" w:left="1180" w:right="1040"/>
        </w:sectPr>
      </w:pPr>
    </w:p>
    <w:p>
      <w:pPr>
        <w:pStyle w:val="ListParagraph"/>
        <w:numPr>
          <w:ilvl w:val="0"/>
          <w:numId w:val="92"/>
        </w:numPr>
        <w:tabs>
          <w:tab w:pos="980" w:val="left" w:leader="none"/>
        </w:tabs>
        <w:spacing w:line="240" w:lineRule="auto" w:before="73" w:after="0"/>
        <w:ind w:left="980" w:right="0" w:hanging="360"/>
        <w:jc w:val="both"/>
        <w:rPr>
          <w:sz w:val="24"/>
        </w:rPr>
      </w:pPr>
      <w:r>
        <w:rPr>
          <w:sz w:val="24"/>
        </w:rPr>
        <w:t>Mantojumu:</w:t>
      </w:r>
    </w:p>
    <w:p>
      <w:pPr>
        <w:pStyle w:val="ListParagraph"/>
        <w:numPr>
          <w:ilvl w:val="1"/>
          <w:numId w:val="92"/>
        </w:numPr>
        <w:tabs>
          <w:tab w:pos="2062" w:val="left" w:leader="none"/>
        </w:tabs>
        <w:spacing w:line="240" w:lineRule="auto" w:before="0" w:after="0"/>
        <w:ind w:left="2061" w:right="0" w:hanging="362"/>
        <w:jc w:val="both"/>
        <w:rPr>
          <w:sz w:val="24"/>
        </w:rPr>
      </w:pPr>
      <w:r>
        <w:rPr>
          <w:sz w:val="24"/>
        </w:rPr>
        <w:t>no kura parādnieks ir atteicies pēdējo 6 mēnešu</w:t>
      </w:r>
      <w:r>
        <w:rPr>
          <w:spacing w:val="-3"/>
          <w:sz w:val="24"/>
        </w:rPr>
        <w:t> </w:t>
      </w:r>
      <w:r>
        <w:rPr>
          <w:sz w:val="24"/>
        </w:rPr>
        <w:t>laikā;</w:t>
      </w:r>
    </w:p>
    <w:p>
      <w:pPr>
        <w:pStyle w:val="ListParagraph"/>
        <w:numPr>
          <w:ilvl w:val="1"/>
          <w:numId w:val="92"/>
        </w:numPr>
        <w:tabs>
          <w:tab w:pos="2062" w:val="left" w:leader="none"/>
        </w:tabs>
        <w:spacing w:line="232" w:lineRule="auto" w:before="7" w:after="0"/>
        <w:ind w:left="2060" w:right="403" w:hanging="360"/>
        <w:jc w:val="both"/>
        <w:rPr>
          <w:sz w:val="24"/>
        </w:rPr>
      </w:pPr>
      <w:r>
        <w:rPr>
          <w:sz w:val="24"/>
        </w:rPr>
        <w:t>no kura parādnieks ir atteicies pēdējo divu gadu laikā, ja nav pieradīts, ka parādnieks nebija maksātnespējīgs vai nekļuva maksātnespējīgs kā šādas atteikšanās</w:t>
      </w:r>
      <w:r>
        <w:rPr>
          <w:spacing w:val="-3"/>
          <w:sz w:val="24"/>
        </w:rPr>
        <w:t> </w:t>
      </w:r>
      <w:r>
        <w:rPr>
          <w:sz w:val="24"/>
        </w:rPr>
        <w:t>sekas</w:t>
      </w:r>
      <w:r>
        <w:rPr>
          <w:position w:val="9"/>
          <w:sz w:val="16"/>
        </w:rPr>
        <w:t>383</w:t>
      </w:r>
      <w:r>
        <w:rPr>
          <w:sz w:val="24"/>
        </w:rPr>
        <w:t>;</w:t>
      </w:r>
    </w:p>
    <w:p>
      <w:pPr>
        <w:pStyle w:val="ListParagraph"/>
        <w:numPr>
          <w:ilvl w:val="0"/>
          <w:numId w:val="92"/>
        </w:numPr>
        <w:tabs>
          <w:tab w:pos="980" w:val="left" w:leader="none"/>
        </w:tabs>
        <w:spacing w:line="240" w:lineRule="auto" w:before="3" w:after="0"/>
        <w:ind w:left="980" w:right="0" w:hanging="360"/>
        <w:jc w:val="both"/>
        <w:rPr>
          <w:sz w:val="24"/>
        </w:rPr>
      </w:pPr>
      <w:r>
        <w:rPr>
          <w:sz w:val="24"/>
        </w:rPr>
        <w:t>Saistītajām</w:t>
      </w:r>
      <w:r>
        <w:rPr>
          <w:spacing w:val="-1"/>
          <w:sz w:val="24"/>
        </w:rPr>
        <w:t> </w:t>
      </w:r>
      <w:r>
        <w:rPr>
          <w:sz w:val="24"/>
        </w:rPr>
        <w:t>personām:</w:t>
      </w:r>
    </w:p>
    <w:p>
      <w:pPr>
        <w:pStyle w:val="ListParagraph"/>
        <w:numPr>
          <w:ilvl w:val="1"/>
          <w:numId w:val="92"/>
        </w:numPr>
        <w:tabs>
          <w:tab w:pos="2062" w:val="left" w:leader="none"/>
        </w:tabs>
        <w:spacing w:line="240" w:lineRule="auto" w:before="0" w:after="0"/>
        <w:ind w:left="2060" w:right="403" w:hanging="360"/>
        <w:jc w:val="both"/>
        <w:rPr>
          <w:sz w:val="24"/>
        </w:rPr>
      </w:pPr>
      <w:r>
        <w:rPr>
          <w:sz w:val="24"/>
        </w:rPr>
        <w:t>pēdējo 6 mēnešu laikā algas vai citu veida atlīdzībā par darbu, </w:t>
      </w:r>
      <w:r>
        <w:rPr>
          <w:spacing w:val="-3"/>
          <w:sz w:val="24"/>
        </w:rPr>
        <w:t>kas </w:t>
      </w:r>
      <w:r>
        <w:rPr>
          <w:sz w:val="24"/>
        </w:rPr>
        <w:t>acīmredzami pārsniedz apjomu, kāds būtu bijis atzīstams par piemērotu un pamatotu, ņemot vērā veiktā darba un lietas</w:t>
      </w:r>
      <w:r>
        <w:rPr>
          <w:spacing w:val="-2"/>
          <w:sz w:val="24"/>
        </w:rPr>
        <w:t> </w:t>
      </w:r>
      <w:r>
        <w:rPr>
          <w:sz w:val="24"/>
        </w:rPr>
        <w:t>apstākļus;</w:t>
      </w:r>
    </w:p>
    <w:p>
      <w:pPr>
        <w:pStyle w:val="ListParagraph"/>
        <w:numPr>
          <w:ilvl w:val="1"/>
          <w:numId w:val="92"/>
        </w:numPr>
        <w:tabs>
          <w:tab w:pos="2062" w:val="left" w:leader="none"/>
        </w:tabs>
        <w:spacing w:line="228" w:lineRule="auto" w:before="11" w:after="0"/>
        <w:ind w:left="2060" w:right="405" w:hanging="360"/>
        <w:jc w:val="both"/>
        <w:rPr>
          <w:sz w:val="24"/>
        </w:rPr>
      </w:pPr>
      <w:r>
        <w:rPr>
          <w:sz w:val="24"/>
        </w:rPr>
        <w:t>pēdējo divu gadu laikā, ja vien nav pierādīts, ka parādnieks nebija maksātnespējīgs vai nekļuva maksātnespējīgs kā šādas samaksas</w:t>
      </w:r>
      <w:r>
        <w:rPr>
          <w:spacing w:val="-6"/>
          <w:sz w:val="24"/>
        </w:rPr>
        <w:t> </w:t>
      </w:r>
      <w:r>
        <w:rPr>
          <w:sz w:val="24"/>
        </w:rPr>
        <w:t>sekas</w:t>
      </w:r>
      <w:r>
        <w:rPr>
          <w:position w:val="9"/>
          <w:sz w:val="16"/>
        </w:rPr>
        <w:t>384</w:t>
      </w:r>
      <w:r>
        <w:rPr>
          <w:sz w:val="24"/>
        </w:rPr>
        <w:t>;</w:t>
      </w:r>
    </w:p>
    <w:p>
      <w:pPr>
        <w:pStyle w:val="ListParagraph"/>
        <w:numPr>
          <w:ilvl w:val="0"/>
          <w:numId w:val="92"/>
        </w:numPr>
        <w:tabs>
          <w:tab w:pos="980" w:val="left" w:leader="none"/>
        </w:tabs>
        <w:spacing w:line="240" w:lineRule="auto" w:before="1" w:after="0"/>
        <w:ind w:left="980" w:right="0" w:hanging="360"/>
        <w:jc w:val="both"/>
        <w:rPr>
          <w:sz w:val="24"/>
        </w:rPr>
      </w:pPr>
      <w:r>
        <w:rPr>
          <w:sz w:val="24"/>
        </w:rPr>
        <w:t>Parāda</w:t>
      </w:r>
      <w:r>
        <w:rPr>
          <w:spacing w:val="-1"/>
          <w:sz w:val="24"/>
        </w:rPr>
        <w:t> </w:t>
      </w:r>
      <w:r>
        <w:rPr>
          <w:sz w:val="24"/>
        </w:rPr>
        <w:t>samaksu:</w:t>
      </w:r>
    </w:p>
    <w:p>
      <w:pPr>
        <w:pStyle w:val="ListParagraph"/>
        <w:numPr>
          <w:ilvl w:val="1"/>
          <w:numId w:val="92"/>
        </w:numPr>
        <w:tabs>
          <w:tab w:pos="2062" w:val="left" w:leader="none"/>
        </w:tabs>
        <w:spacing w:line="240" w:lineRule="auto" w:before="0" w:after="0"/>
        <w:ind w:left="2060" w:right="403" w:hanging="360"/>
        <w:jc w:val="both"/>
        <w:rPr>
          <w:sz w:val="24"/>
        </w:rPr>
      </w:pPr>
      <w:r>
        <w:rPr>
          <w:sz w:val="24"/>
        </w:rPr>
        <w:t>kas veikta pēdējos 3 mēnešos, kas tika veikta ar neparastiem maksājuma līdzekļiem, pirms noteiktā samaksas termiņa vai apmēros, kas veicināja parādnieka nespēju samaksāt savus parādus, pierādot, ka šāds maksājums nebija ierastā kārtībā veikts</w:t>
      </w:r>
      <w:r>
        <w:rPr>
          <w:spacing w:val="-3"/>
          <w:sz w:val="24"/>
        </w:rPr>
        <w:t> </w:t>
      </w:r>
      <w:r>
        <w:rPr>
          <w:sz w:val="24"/>
        </w:rPr>
        <w:t>maksājums;</w:t>
      </w:r>
    </w:p>
    <w:p>
      <w:pPr>
        <w:pStyle w:val="ListParagraph"/>
        <w:numPr>
          <w:ilvl w:val="1"/>
          <w:numId w:val="92"/>
        </w:numPr>
        <w:tabs>
          <w:tab w:pos="2062" w:val="left" w:leader="none"/>
        </w:tabs>
        <w:spacing w:line="232" w:lineRule="auto" w:before="7" w:after="0"/>
        <w:ind w:left="2060" w:right="405" w:hanging="360"/>
        <w:jc w:val="both"/>
        <w:rPr>
          <w:sz w:val="24"/>
        </w:rPr>
      </w:pPr>
      <w:r>
        <w:rPr>
          <w:sz w:val="24"/>
        </w:rPr>
        <w:t>kas veikta attiecībā pret iesaistīto peronu pēdējos divos gados, ja vien nav pierādīts, ka parādnieks nebija maksātnespējīgs vai nekļuva maksātnespējīgs kā šādas samaksas sekas</w:t>
      </w:r>
      <w:r>
        <w:rPr>
          <w:spacing w:val="-25"/>
          <w:sz w:val="24"/>
        </w:rPr>
        <w:t> </w:t>
      </w:r>
      <w:r>
        <w:rPr>
          <w:position w:val="9"/>
          <w:sz w:val="16"/>
        </w:rPr>
        <w:t>385</w:t>
      </w:r>
      <w:r>
        <w:rPr>
          <w:sz w:val="24"/>
        </w:rPr>
        <w:t>.</w:t>
      </w:r>
    </w:p>
    <w:p>
      <w:pPr>
        <w:pStyle w:val="ListParagraph"/>
        <w:numPr>
          <w:ilvl w:val="0"/>
          <w:numId w:val="92"/>
        </w:numPr>
        <w:tabs>
          <w:tab w:pos="980" w:val="left" w:leader="none"/>
        </w:tabs>
        <w:spacing w:line="240" w:lineRule="auto" w:before="3" w:after="0"/>
        <w:ind w:left="980" w:right="0" w:hanging="360"/>
        <w:jc w:val="both"/>
        <w:rPr>
          <w:sz w:val="24"/>
        </w:rPr>
      </w:pPr>
      <w:r>
        <w:rPr>
          <w:sz w:val="24"/>
        </w:rPr>
        <w:t>u.c.</w:t>
      </w:r>
      <w:r>
        <w:rPr>
          <w:spacing w:val="-2"/>
          <w:sz w:val="24"/>
        </w:rPr>
        <w:t> </w:t>
      </w:r>
      <w:r>
        <w:rPr>
          <w:sz w:val="24"/>
        </w:rPr>
        <w:t>apstākļi.</w:t>
      </w:r>
    </w:p>
    <w:p>
      <w:pPr>
        <w:pStyle w:val="BodyText"/>
        <w:jc w:val="left"/>
      </w:pPr>
    </w:p>
    <w:p>
      <w:pPr>
        <w:pStyle w:val="BodyText"/>
        <w:ind w:left="620" w:right="402" w:firstLine="720"/>
      </w:pPr>
      <w:r>
        <w:rPr/>
        <w:t>Faktiski, veicot šādus darījumus, ja tie ir bijuši par pamatu, kas parādnieku noveda līdz maksātnespējai, var runāt par to, vai parādnieks ir rīkojies godprātīgi un finansiāli atbildīgi un vai tādēļ nav pamats neīstenot parādu pārplānošanas procedūru, balstoties uz 197.panta otrajā daļā (ii) apakšpunktā norādīto, ka parādnieks ir rīkojies finansiāli neatbildīgi. Tomēr, kā izriet no regulējuma, ka visdrīzāk, ka šis jautājums netiks vērtēts, bet tiks celta prasība un atgūtie līdzekļi tiks sadalīti starp kreditoriem.</w:t>
      </w:r>
    </w:p>
    <w:p>
      <w:pPr>
        <w:pStyle w:val="BodyText"/>
        <w:spacing w:before="5"/>
        <w:jc w:val="left"/>
      </w:pPr>
    </w:p>
    <w:p>
      <w:pPr>
        <w:pStyle w:val="Heading4"/>
        <w:numPr>
          <w:ilvl w:val="1"/>
          <w:numId w:val="89"/>
        </w:numPr>
        <w:tabs>
          <w:tab w:pos="1342" w:val="left" w:leader="none"/>
        </w:tabs>
        <w:spacing w:line="240" w:lineRule="auto" w:before="0" w:after="0"/>
        <w:ind w:left="1341" w:right="0" w:hanging="362"/>
        <w:jc w:val="left"/>
        <w:rPr>
          <w:i/>
        </w:rPr>
      </w:pPr>
      <w:bookmarkStart w:name="_TOC_250035" w:id="43"/>
      <w:r>
        <w:rPr>
          <w:i/>
        </w:rPr>
        <w:t>Secinājumi par godprātības kritēriju</w:t>
      </w:r>
      <w:r>
        <w:rPr>
          <w:i/>
          <w:spacing w:val="3"/>
        </w:rPr>
        <w:t> </w:t>
      </w:r>
      <w:bookmarkEnd w:id="43"/>
      <w:r>
        <w:rPr>
          <w:i/>
        </w:rPr>
        <w:t>vērtēšanu</w:t>
      </w:r>
    </w:p>
    <w:p>
      <w:pPr>
        <w:pStyle w:val="BodyText"/>
        <w:spacing w:before="7"/>
        <w:jc w:val="left"/>
        <w:rPr>
          <w:b/>
          <w:i/>
          <w:sz w:val="23"/>
        </w:rPr>
      </w:pPr>
    </w:p>
    <w:p>
      <w:pPr>
        <w:pStyle w:val="BodyText"/>
        <w:ind w:left="620" w:right="405" w:firstLine="720"/>
      </w:pPr>
      <w:r>
        <w:rPr/>
        <w:t>Dānijas Bankrota likumā godprātības kritērijs tiešā veidā nav ietverts, tomēr tā klātesamību var secināt no atsevišķiem Bankrota likuma pantiem, sadalot tos trīs posmos:</w:t>
      </w:r>
    </w:p>
    <w:p>
      <w:pPr>
        <w:pStyle w:val="BodyText"/>
        <w:jc w:val="left"/>
      </w:pPr>
    </w:p>
    <w:p>
      <w:pPr>
        <w:pStyle w:val="ListParagraph"/>
        <w:numPr>
          <w:ilvl w:val="0"/>
          <w:numId w:val="93"/>
        </w:numPr>
        <w:tabs>
          <w:tab w:pos="1340" w:val="left" w:leader="none"/>
        </w:tabs>
        <w:spacing w:line="240" w:lineRule="auto" w:before="0" w:after="0"/>
        <w:ind w:left="1340" w:right="0" w:hanging="360"/>
        <w:jc w:val="both"/>
        <w:rPr>
          <w:sz w:val="24"/>
        </w:rPr>
      </w:pPr>
      <w:r>
        <w:rPr>
          <w:sz w:val="24"/>
          <w:u w:val="single"/>
        </w:rPr>
        <w:t>apstākļi un parādnieka rīcība pirms parādu pārplānošanas</w:t>
      </w:r>
      <w:r>
        <w:rPr>
          <w:spacing w:val="-7"/>
          <w:sz w:val="24"/>
          <w:u w:val="single"/>
        </w:rPr>
        <w:t> </w:t>
      </w:r>
      <w:r>
        <w:rPr>
          <w:sz w:val="24"/>
          <w:u w:val="single"/>
        </w:rPr>
        <w:t>procedūras</w:t>
      </w:r>
    </w:p>
    <w:p>
      <w:pPr>
        <w:pStyle w:val="BodyText"/>
        <w:spacing w:line="237" w:lineRule="auto" w:before="2"/>
        <w:ind w:left="620" w:right="401" w:firstLine="360"/>
      </w:pPr>
      <w:r>
        <w:rPr/>
        <w:t>Lai atbrīvotu parādnieku no pārlieku lieliem patērētāja parādiem, tiesai ir rūpīgi jāizvērtē cēloņi šādai pārmērīgai parādsaistību esamībai.</w:t>
      </w:r>
      <w:r>
        <w:rPr>
          <w:position w:val="9"/>
          <w:sz w:val="16"/>
        </w:rPr>
        <w:t>386 </w:t>
      </w:r>
      <w:r>
        <w:rPr/>
        <w:t>Tas nozīmē, ka iepriekš norādītie kritēriji, kad tiesa nepasludinās parādu pārplānošanas procedūru (97.panta otrā daļa), cita starpā ietver arī secinājums attiecībā uz parādnieku godprātību pirms parādu pārplānošanas procedūras.</w:t>
      </w:r>
    </w:p>
    <w:p>
      <w:pPr>
        <w:pStyle w:val="ListParagraph"/>
        <w:numPr>
          <w:ilvl w:val="0"/>
          <w:numId w:val="93"/>
        </w:numPr>
        <w:tabs>
          <w:tab w:pos="1340" w:val="left" w:leader="none"/>
        </w:tabs>
        <w:spacing w:line="240" w:lineRule="auto" w:before="0" w:after="0"/>
        <w:ind w:left="1340" w:right="404" w:hanging="360"/>
        <w:jc w:val="both"/>
        <w:rPr>
          <w:sz w:val="24"/>
        </w:rPr>
      </w:pPr>
      <w:r>
        <w:rPr>
          <w:sz w:val="24"/>
          <w:u w:val="single"/>
        </w:rPr>
        <w:t>apstākļi</w:t>
      </w:r>
      <w:r>
        <w:rPr>
          <w:spacing w:val="-16"/>
          <w:sz w:val="24"/>
          <w:u w:val="single"/>
        </w:rPr>
        <w:t> </w:t>
      </w:r>
      <w:r>
        <w:rPr>
          <w:sz w:val="24"/>
          <w:u w:val="single"/>
        </w:rPr>
        <w:t>un</w:t>
      </w:r>
      <w:r>
        <w:rPr>
          <w:spacing w:val="-16"/>
          <w:sz w:val="24"/>
          <w:u w:val="single"/>
        </w:rPr>
        <w:t> </w:t>
      </w:r>
      <w:r>
        <w:rPr>
          <w:sz w:val="24"/>
          <w:u w:val="single"/>
        </w:rPr>
        <w:t>parādnieka</w:t>
      </w:r>
      <w:r>
        <w:rPr>
          <w:spacing w:val="-15"/>
          <w:sz w:val="24"/>
          <w:u w:val="single"/>
        </w:rPr>
        <w:t> </w:t>
      </w:r>
      <w:r>
        <w:rPr>
          <w:sz w:val="24"/>
          <w:u w:val="single"/>
        </w:rPr>
        <w:t>rīcība</w:t>
      </w:r>
      <w:r>
        <w:rPr>
          <w:spacing w:val="-18"/>
          <w:sz w:val="24"/>
          <w:u w:val="single"/>
        </w:rPr>
        <w:t> </w:t>
      </w:r>
      <w:r>
        <w:rPr>
          <w:sz w:val="24"/>
          <w:u w:val="single"/>
        </w:rPr>
        <w:t>parādnieka</w:t>
      </w:r>
      <w:r>
        <w:rPr>
          <w:spacing w:val="-16"/>
          <w:sz w:val="24"/>
          <w:u w:val="single"/>
        </w:rPr>
        <w:t> </w:t>
      </w:r>
      <w:r>
        <w:rPr>
          <w:sz w:val="24"/>
          <w:u w:val="single"/>
        </w:rPr>
        <w:t>parādu</w:t>
      </w:r>
      <w:r>
        <w:rPr>
          <w:spacing w:val="-15"/>
          <w:sz w:val="24"/>
          <w:u w:val="single"/>
        </w:rPr>
        <w:t> </w:t>
      </w:r>
      <w:r>
        <w:rPr>
          <w:sz w:val="24"/>
          <w:u w:val="single"/>
        </w:rPr>
        <w:t>pārplānošanas</w:t>
      </w:r>
      <w:r>
        <w:rPr>
          <w:spacing w:val="-16"/>
          <w:sz w:val="24"/>
          <w:u w:val="single"/>
        </w:rPr>
        <w:t> </w:t>
      </w:r>
      <w:r>
        <w:rPr>
          <w:sz w:val="24"/>
          <w:u w:val="single"/>
        </w:rPr>
        <w:t>procedūras</w:t>
      </w:r>
      <w:r>
        <w:rPr>
          <w:spacing w:val="-16"/>
          <w:sz w:val="24"/>
          <w:u w:val="single"/>
        </w:rPr>
        <w:t> </w:t>
      </w:r>
      <w:r>
        <w:rPr>
          <w:sz w:val="24"/>
          <w:u w:val="single"/>
        </w:rPr>
        <w:t>laikā</w:t>
      </w:r>
      <w:r>
        <w:rPr>
          <w:spacing w:val="-15"/>
          <w:sz w:val="24"/>
          <w:u w:val="single"/>
        </w:rPr>
        <w:t> </w:t>
      </w:r>
      <w:r>
        <w:rPr>
          <w:sz w:val="24"/>
          <w:u w:val="single"/>
        </w:rPr>
        <w:t>līdz maksājumu plāna kreditoriem</w:t>
      </w:r>
      <w:r>
        <w:rPr>
          <w:spacing w:val="-4"/>
          <w:sz w:val="24"/>
          <w:u w:val="single"/>
        </w:rPr>
        <w:t> </w:t>
      </w:r>
      <w:r>
        <w:rPr>
          <w:sz w:val="24"/>
          <w:u w:val="single"/>
        </w:rPr>
        <w:t>sastādīšanai</w:t>
      </w:r>
    </w:p>
    <w:p>
      <w:pPr>
        <w:pStyle w:val="BodyText"/>
        <w:ind w:left="620" w:right="404" w:firstLine="720"/>
      </w:pPr>
      <w:r>
        <w:rPr/>
        <w:t>Parādnieka godprātība procedūras laikā tiek vērtēta arī no procesuālā viedokļa, piemēram, vai parādnieks sniedz visu nepieciešamo informāciju, ir gatavs sadarboties un</w:t>
      </w:r>
    </w:p>
    <w:p>
      <w:pPr>
        <w:pStyle w:val="BodyText"/>
        <w:spacing w:before="3"/>
        <w:jc w:val="left"/>
        <w:rPr>
          <w:sz w:val="28"/>
        </w:rPr>
      </w:pPr>
      <w:r>
        <w:rPr/>
        <w:pict>
          <v:shape style="position:absolute;margin-left:90pt;margin-top:18.546436pt;width:144pt;height:.1pt;mso-position-horizontal-relative:page;mso-position-vertical-relative:paragraph;z-index:-251481088;mso-wrap-distance-left:0;mso-wrap-distance-right:0" coordorigin="1800,371" coordsize="2880,0" path="m1800,371l4680,371e" filled="false" stroked="true" strokeweight=".599991pt" strokecolor="#000000">
            <v:path arrowok="t"/>
            <v:stroke dashstyle="solid"/>
            <w10:wrap type="topAndBottom"/>
          </v:shape>
        </w:pict>
      </w:r>
    </w:p>
    <w:p>
      <w:pPr>
        <w:spacing w:line="235" w:lineRule="auto" w:before="73"/>
        <w:ind w:left="620" w:right="6061" w:firstLine="0"/>
        <w:jc w:val="both"/>
        <w:rPr>
          <w:sz w:val="20"/>
        </w:rPr>
      </w:pPr>
      <w:r>
        <w:rPr>
          <w:position w:val="7"/>
          <w:sz w:val="13"/>
        </w:rPr>
        <w:t>383 </w:t>
      </w:r>
      <w:r>
        <w:rPr>
          <w:sz w:val="20"/>
        </w:rPr>
        <w:t>Dānijas Bankrota likums, 65.pants </w:t>
      </w:r>
      <w:r>
        <w:rPr>
          <w:position w:val="7"/>
          <w:sz w:val="13"/>
        </w:rPr>
        <w:t>384 </w:t>
      </w:r>
      <w:r>
        <w:rPr>
          <w:sz w:val="20"/>
        </w:rPr>
        <w:t>Dānijas Bankrota likums, 66.pants </w:t>
      </w:r>
      <w:r>
        <w:rPr>
          <w:position w:val="7"/>
          <w:sz w:val="13"/>
        </w:rPr>
        <w:t>385 </w:t>
      </w:r>
      <w:r>
        <w:rPr>
          <w:sz w:val="20"/>
        </w:rPr>
        <w:t>Dānijas Bankrota likums. 67.pants</w:t>
      </w:r>
    </w:p>
    <w:p>
      <w:pPr>
        <w:tabs>
          <w:tab w:pos="7484" w:val="left" w:leader="none"/>
        </w:tabs>
        <w:spacing w:line="240" w:lineRule="auto" w:before="0"/>
        <w:ind w:left="620" w:right="404" w:firstLine="0"/>
        <w:jc w:val="left"/>
        <w:rPr>
          <w:sz w:val="20"/>
        </w:rPr>
      </w:pPr>
      <w:r>
        <w:rPr>
          <w:position w:val="7"/>
          <w:sz w:val="13"/>
        </w:rPr>
        <w:t>386 </w:t>
      </w:r>
      <w:r>
        <w:rPr>
          <w:sz w:val="20"/>
        </w:rPr>
        <w:t>Elqueta G. R.. The Paradoxical Bankruptcy Discharge: Rereading the Common Law- Civil Law Relationship.    Fordham   Journal    of    Corporate    &amp;   Financial </w:t>
      </w:r>
      <w:r>
        <w:rPr>
          <w:spacing w:val="30"/>
          <w:sz w:val="20"/>
        </w:rPr>
        <w:t> </w:t>
      </w:r>
      <w:r>
        <w:rPr>
          <w:sz w:val="20"/>
        </w:rPr>
        <w:t>Law,  </w:t>
      </w:r>
      <w:r>
        <w:rPr>
          <w:spacing w:val="28"/>
          <w:sz w:val="20"/>
        </w:rPr>
        <w:t> </w:t>
      </w:r>
      <w:r>
        <w:rPr>
          <w:sz w:val="20"/>
        </w:rPr>
        <w:t>2013,</w:t>
        <w:tab/>
        <w:t>Volume 19., </w:t>
      </w:r>
      <w:r>
        <w:rPr>
          <w:spacing w:val="-3"/>
          <w:sz w:val="20"/>
        </w:rPr>
        <w:t>p.338. </w:t>
      </w:r>
      <w:r>
        <w:rPr>
          <w:sz w:val="20"/>
        </w:rPr>
        <w:t>Pieejams:</w:t>
      </w:r>
      <w:r>
        <w:rPr>
          <w:color w:val="0562C1"/>
          <w:sz w:val="20"/>
          <w:u w:val="single" w:color="0562C1"/>
        </w:rPr>
        <w:t>https://ir.lawnet.fordham.edu/cgi/viewcontent.cgi?referer=https://</w:t>
      </w:r>
      <w:hyperlink r:id="rId88">
        <w:r>
          <w:rPr>
            <w:color w:val="0562C1"/>
            <w:sz w:val="20"/>
            <w:u w:val="single" w:color="0562C1"/>
          </w:rPr>
          <w:t>www.google.lv/&amp;httpsredir=1&amp;</w:t>
        </w:r>
      </w:hyperlink>
      <w:r>
        <w:rPr>
          <w:color w:val="0562C1"/>
          <w:sz w:val="20"/>
        </w:rPr>
        <w:t> </w:t>
      </w:r>
      <w:r>
        <w:rPr>
          <w:color w:val="0562C1"/>
          <w:sz w:val="20"/>
          <w:u w:val="single" w:color="0562C1"/>
        </w:rPr>
        <w:t>article=1384&amp;context=jcfl</w:t>
      </w:r>
      <w:r>
        <w:rPr>
          <w:color w:val="0562C1"/>
          <w:sz w:val="20"/>
        </w:rPr>
        <w:t> </w:t>
      </w:r>
      <w:r>
        <w:rPr>
          <w:sz w:val="20"/>
        </w:rPr>
        <w:t>[aplūkots 2018.gada</w:t>
      </w:r>
      <w:r>
        <w:rPr>
          <w:spacing w:val="-2"/>
          <w:sz w:val="20"/>
        </w:rPr>
        <w:t> </w:t>
      </w:r>
      <w:r>
        <w:rPr>
          <w:sz w:val="20"/>
        </w:rPr>
        <w:t>24.oktobrī].</w:t>
      </w:r>
    </w:p>
    <w:p>
      <w:pPr>
        <w:spacing w:after="0" w:line="240" w:lineRule="auto"/>
        <w:jc w:val="left"/>
        <w:rPr>
          <w:sz w:val="20"/>
        </w:rPr>
        <w:sectPr>
          <w:pgSz w:w="11910" w:h="16840"/>
          <w:pgMar w:header="0" w:footer="1055" w:top="1340" w:bottom="1240" w:left="1180" w:right="1040"/>
        </w:sectPr>
      </w:pPr>
    </w:p>
    <w:p>
      <w:pPr>
        <w:pStyle w:val="BodyText"/>
        <w:spacing w:line="235" w:lineRule="auto" w:before="78"/>
        <w:ind w:left="260" w:right="763"/>
        <w:rPr>
          <w:sz w:val="16"/>
        </w:rPr>
      </w:pPr>
      <w:r>
        <w:rPr/>
        <w:t>pats ir ieinteresēts procedūras īstenošanā, vai bez attaisnojošiem iemesliem neapmeklē tiesas sēdes. Turklāt tiesa noraida parādnieka iesniegto parāda pārplānošanas plānu un atsaka atbrīvojumu no parādiem, konstatējot, ka parādnieks rīkojies finansiāli</w:t>
      </w:r>
      <w:r>
        <w:rPr>
          <w:spacing w:val="-27"/>
        </w:rPr>
        <w:t> </w:t>
      </w:r>
      <w:r>
        <w:rPr/>
        <w:t>bezatbildīgā veidā.</w:t>
      </w:r>
      <w:r>
        <w:rPr>
          <w:position w:val="9"/>
          <w:sz w:val="16"/>
        </w:rPr>
        <w:t>387</w:t>
      </w:r>
    </w:p>
    <w:p>
      <w:pPr>
        <w:pStyle w:val="ListParagraph"/>
        <w:numPr>
          <w:ilvl w:val="0"/>
          <w:numId w:val="93"/>
        </w:numPr>
        <w:tabs>
          <w:tab w:pos="980" w:val="left" w:leader="none"/>
        </w:tabs>
        <w:spacing w:line="240" w:lineRule="auto" w:before="2" w:after="0"/>
        <w:ind w:left="980" w:right="764" w:hanging="360"/>
        <w:jc w:val="both"/>
        <w:rPr>
          <w:sz w:val="24"/>
        </w:rPr>
      </w:pPr>
      <w:r>
        <w:rPr>
          <w:sz w:val="24"/>
          <w:u w:val="single"/>
        </w:rPr>
        <w:t>apstākļi un parādnieka rīcība pēc tam, kad ir uzsākta maksājumu plānu izpilde</w:t>
      </w:r>
      <w:r>
        <w:rPr>
          <w:sz w:val="24"/>
        </w:rPr>
        <w:t> Maksājumu</w:t>
      </w:r>
      <w:r>
        <w:rPr>
          <w:spacing w:val="20"/>
          <w:sz w:val="24"/>
        </w:rPr>
        <w:t> </w:t>
      </w:r>
      <w:r>
        <w:rPr>
          <w:sz w:val="24"/>
        </w:rPr>
        <w:t>plāna</w:t>
      </w:r>
      <w:r>
        <w:rPr>
          <w:spacing w:val="19"/>
          <w:sz w:val="24"/>
        </w:rPr>
        <w:t> </w:t>
      </w:r>
      <w:r>
        <w:rPr>
          <w:sz w:val="24"/>
        </w:rPr>
        <w:t>izpildes</w:t>
      </w:r>
      <w:r>
        <w:rPr>
          <w:spacing w:val="18"/>
          <w:sz w:val="24"/>
        </w:rPr>
        <w:t> </w:t>
      </w:r>
      <w:r>
        <w:rPr>
          <w:sz w:val="24"/>
        </w:rPr>
        <w:t>laikā</w:t>
      </w:r>
      <w:r>
        <w:rPr>
          <w:spacing w:val="22"/>
          <w:sz w:val="24"/>
        </w:rPr>
        <w:t> </w:t>
      </w:r>
      <w:r>
        <w:rPr>
          <w:sz w:val="24"/>
        </w:rPr>
        <w:t>godprātības</w:t>
      </w:r>
      <w:r>
        <w:rPr>
          <w:spacing w:val="20"/>
          <w:sz w:val="24"/>
        </w:rPr>
        <w:t> </w:t>
      </w:r>
      <w:r>
        <w:rPr>
          <w:sz w:val="24"/>
        </w:rPr>
        <w:t>kritērija</w:t>
      </w:r>
      <w:r>
        <w:rPr>
          <w:spacing w:val="15"/>
          <w:sz w:val="24"/>
        </w:rPr>
        <w:t> </w:t>
      </w:r>
      <w:r>
        <w:rPr>
          <w:sz w:val="24"/>
        </w:rPr>
        <w:t>vērtējums</w:t>
      </w:r>
      <w:r>
        <w:rPr>
          <w:spacing w:val="20"/>
          <w:sz w:val="24"/>
        </w:rPr>
        <w:t> </w:t>
      </w:r>
      <w:r>
        <w:rPr>
          <w:sz w:val="24"/>
        </w:rPr>
        <w:t>izpaužas</w:t>
      </w:r>
      <w:r>
        <w:rPr>
          <w:spacing w:val="19"/>
          <w:sz w:val="24"/>
        </w:rPr>
        <w:t> </w:t>
      </w:r>
      <w:r>
        <w:rPr>
          <w:sz w:val="24"/>
        </w:rPr>
        <w:t>tajā,</w:t>
      </w:r>
      <w:r>
        <w:rPr>
          <w:spacing w:val="18"/>
          <w:sz w:val="24"/>
        </w:rPr>
        <w:t> </w:t>
      </w:r>
      <w:r>
        <w:rPr>
          <w:sz w:val="24"/>
        </w:rPr>
        <w:t>vai</w:t>
      </w:r>
    </w:p>
    <w:p>
      <w:pPr>
        <w:pStyle w:val="BodyText"/>
        <w:ind w:left="260" w:right="766"/>
      </w:pPr>
      <w:r>
        <w:rPr/>
        <w:t>parādnieks veic viņam noteiktos pienākumus vai atklājas, ka parādnieks ir ticis iesaistīts krāpnieciskās darbībās procedūras laikā.</w:t>
      </w:r>
    </w:p>
    <w:p>
      <w:pPr>
        <w:pStyle w:val="BodyText"/>
        <w:jc w:val="left"/>
        <w:rPr>
          <w:sz w:val="26"/>
        </w:rPr>
      </w:pPr>
    </w:p>
    <w:p>
      <w:pPr>
        <w:pStyle w:val="BodyText"/>
        <w:jc w:val="left"/>
        <w:rPr>
          <w:sz w:val="26"/>
        </w:rPr>
      </w:pPr>
    </w:p>
    <w:p>
      <w:pPr>
        <w:pStyle w:val="Heading4"/>
        <w:numPr>
          <w:ilvl w:val="1"/>
          <w:numId w:val="89"/>
        </w:numPr>
        <w:tabs>
          <w:tab w:pos="676" w:val="left" w:leader="none"/>
        </w:tabs>
        <w:spacing w:line="240" w:lineRule="auto" w:before="0" w:after="0"/>
        <w:ind w:left="675" w:right="0" w:hanging="416"/>
        <w:jc w:val="left"/>
        <w:rPr>
          <w:i/>
        </w:rPr>
      </w:pPr>
      <w:r>
        <w:rPr>
          <w:i/>
        </w:rPr>
        <w:t>Priekšlikumi</w:t>
      </w:r>
      <w:r>
        <w:rPr>
          <w:i/>
          <w:spacing w:val="-4"/>
        </w:rPr>
        <w:t> </w:t>
      </w:r>
      <w:r>
        <w:rPr>
          <w:i/>
        </w:rPr>
        <w:t>attiecībā</w:t>
      </w:r>
      <w:r>
        <w:rPr>
          <w:i/>
          <w:spacing w:val="-5"/>
        </w:rPr>
        <w:t> </w:t>
      </w:r>
      <w:r>
        <w:rPr>
          <w:i/>
        </w:rPr>
        <w:t>uz</w:t>
      </w:r>
      <w:r>
        <w:rPr>
          <w:i/>
          <w:spacing w:val="-4"/>
        </w:rPr>
        <w:t> </w:t>
      </w:r>
      <w:r>
        <w:rPr>
          <w:i/>
        </w:rPr>
        <w:t>tiesisko</w:t>
      </w:r>
      <w:r>
        <w:rPr>
          <w:i/>
          <w:spacing w:val="-5"/>
        </w:rPr>
        <w:t> </w:t>
      </w:r>
      <w:r>
        <w:rPr>
          <w:i/>
        </w:rPr>
        <w:t>regulējumu,</w:t>
      </w:r>
      <w:r>
        <w:rPr>
          <w:i/>
          <w:spacing w:val="-5"/>
        </w:rPr>
        <w:t> </w:t>
      </w:r>
      <w:r>
        <w:rPr>
          <w:i/>
        </w:rPr>
        <w:t>ko</w:t>
      </w:r>
      <w:r>
        <w:rPr>
          <w:i/>
          <w:spacing w:val="-5"/>
        </w:rPr>
        <w:t> </w:t>
      </w:r>
      <w:r>
        <w:rPr>
          <w:i/>
        </w:rPr>
        <w:t>Latvija</w:t>
      </w:r>
      <w:r>
        <w:rPr>
          <w:i/>
          <w:spacing w:val="-4"/>
        </w:rPr>
        <w:t> </w:t>
      </w:r>
      <w:r>
        <w:rPr>
          <w:i/>
        </w:rPr>
        <w:t>varētu</w:t>
      </w:r>
      <w:r>
        <w:rPr>
          <w:i/>
          <w:spacing w:val="-5"/>
        </w:rPr>
        <w:t> </w:t>
      </w:r>
      <w:r>
        <w:rPr>
          <w:i/>
        </w:rPr>
        <w:t>pārņemt</w:t>
      </w:r>
      <w:r>
        <w:rPr>
          <w:i/>
          <w:spacing w:val="-4"/>
        </w:rPr>
        <w:t> </w:t>
      </w:r>
      <w:r>
        <w:rPr>
          <w:i/>
        </w:rPr>
        <w:t>no</w:t>
      </w:r>
      <w:r>
        <w:rPr>
          <w:i/>
          <w:spacing w:val="-5"/>
        </w:rPr>
        <w:t> </w:t>
      </w:r>
      <w:r>
        <w:rPr>
          <w:i/>
        </w:rPr>
        <w:t>Dānijas</w:t>
      </w:r>
    </w:p>
    <w:p>
      <w:pPr>
        <w:pStyle w:val="BodyText"/>
        <w:spacing w:before="6"/>
        <w:jc w:val="left"/>
        <w:rPr>
          <w:b/>
          <w:i/>
          <w:sz w:val="23"/>
        </w:rPr>
      </w:pPr>
    </w:p>
    <w:p>
      <w:pPr>
        <w:pStyle w:val="ListParagraph"/>
        <w:numPr>
          <w:ilvl w:val="0"/>
          <w:numId w:val="94"/>
        </w:numPr>
        <w:tabs>
          <w:tab w:pos="827" w:val="left" w:leader="none"/>
        </w:tabs>
        <w:spacing w:line="240" w:lineRule="auto" w:before="1" w:after="0"/>
        <w:ind w:left="826" w:right="764" w:hanging="567"/>
        <w:jc w:val="both"/>
        <w:rPr>
          <w:sz w:val="24"/>
        </w:rPr>
      </w:pPr>
      <w:r>
        <w:rPr>
          <w:sz w:val="24"/>
        </w:rPr>
        <w:t>Noteikt tiesai tiesības pašai pēc savas iniciatīvas pieprasīt pierādījumus fiziskās personas maksātnespējas procesa</w:t>
      </w:r>
      <w:r>
        <w:rPr>
          <w:spacing w:val="1"/>
          <w:sz w:val="24"/>
        </w:rPr>
        <w:t> </w:t>
      </w:r>
      <w:r>
        <w:rPr>
          <w:sz w:val="24"/>
        </w:rPr>
        <w:t>lietās.</w:t>
      </w:r>
    </w:p>
    <w:p>
      <w:pPr>
        <w:pStyle w:val="BodyText"/>
        <w:spacing w:before="11"/>
        <w:jc w:val="left"/>
        <w:rPr>
          <w:sz w:val="23"/>
        </w:rPr>
      </w:pPr>
    </w:p>
    <w:p>
      <w:pPr>
        <w:pStyle w:val="ListParagraph"/>
        <w:numPr>
          <w:ilvl w:val="0"/>
          <w:numId w:val="94"/>
        </w:numPr>
        <w:tabs>
          <w:tab w:pos="827" w:val="left" w:leader="none"/>
        </w:tabs>
        <w:spacing w:line="240" w:lineRule="auto" w:before="0" w:after="0"/>
        <w:ind w:left="826" w:right="765" w:hanging="567"/>
        <w:jc w:val="both"/>
        <w:rPr>
          <w:sz w:val="24"/>
        </w:rPr>
      </w:pPr>
      <w:r>
        <w:rPr>
          <w:sz w:val="24"/>
        </w:rPr>
        <w:t>Noteikt speciālus noteikumus darījumu apstrīdēšanai fiziskās personas maksātnespējas</w:t>
      </w:r>
      <w:r>
        <w:rPr>
          <w:spacing w:val="-1"/>
          <w:sz w:val="24"/>
        </w:rPr>
        <w:t> </w:t>
      </w:r>
      <w:r>
        <w:rPr>
          <w:sz w:val="24"/>
        </w:rPr>
        <w:t>procesā.</w:t>
      </w:r>
    </w:p>
    <w:p>
      <w:pPr>
        <w:pStyle w:val="BodyText"/>
        <w:jc w:val="left"/>
      </w:pPr>
    </w:p>
    <w:p>
      <w:pPr>
        <w:pStyle w:val="ListParagraph"/>
        <w:numPr>
          <w:ilvl w:val="0"/>
          <w:numId w:val="94"/>
        </w:numPr>
        <w:tabs>
          <w:tab w:pos="827" w:val="left" w:leader="none"/>
        </w:tabs>
        <w:spacing w:line="240" w:lineRule="auto" w:before="0" w:after="0"/>
        <w:ind w:left="826" w:right="767" w:hanging="567"/>
        <w:jc w:val="both"/>
        <w:rPr>
          <w:sz w:val="24"/>
        </w:rPr>
      </w:pPr>
      <w:r>
        <w:rPr>
          <w:sz w:val="24"/>
        </w:rPr>
        <w:t>Noteikt kreditoram tiesības iesniegt fiziskās personas maksātnespējas procesa pieteikumu (skatīt arī priekšlikumus attiecībā uz Lielbritāniju, Igauniju un</w:t>
      </w:r>
      <w:r>
        <w:rPr>
          <w:spacing w:val="-7"/>
          <w:sz w:val="24"/>
        </w:rPr>
        <w:t> </w:t>
      </w:r>
      <w:r>
        <w:rPr>
          <w:sz w:val="24"/>
        </w:rPr>
        <w:t>Vāciju).</w:t>
      </w:r>
    </w:p>
    <w:p>
      <w:pPr>
        <w:pStyle w:val="BodyText"/>
        <w:jc w:val="left"/>
      </w:pPr>
    </w:p>
    <w:p>
      <w:pPr>
        <w:pStyle w:val="ListParagraph"/>
        <w:numPr>
          <w:ilvl w:val="0"/>
          <w:numId w:val="94"/>
        </w:numPr>
        <w:tabs>
          <w:tab w:pos="827" w:val="left" w:leader="none"/>
        </w:tabs>
        <w:spacing w:line="240" w:lineRule="auto" w:before="0" w:after="0"/>
        <w:ind w:left="826" w:right="762" w:hanging="567"/>
        <w:jc w:val="both"/>
        <w:rPr>
          <w:sz w:val="24"/>
        </w:rPr>
      </w:pPr>
      <w:r>
        <w:rPr>
          <w:sz w:val="24"/>
        </w:rPr>
        <w:t>Ieviest parādu restrukturizēšanas procesu fiziskām personām (ņemot vērā sekmīgo Lielbritānijas pieredzi, iespējams, ka vēlams būtu vairāk izmanot tieši Lielbritānijas paraugu).</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1"/>
        </w:rPr>
      </w:pPr>
      <w:r>
        <w:rPr/>
        <w:pict>
          <v:shape style="position:absolute;margin-left:72pt;margin-top:14.361864pt;width:144pt;height:.1pt;mso-position-horizontal-relative:page;mso-position-vertical-relative:paragraph;z-index:-251480064;mso-wrap-distance-left:0;mso-wrap-distance-right:0" coordorigin="1440,287" coordsize="2880,0" path="m1440,287l4320,287e" filled="false" stroked="true" strokeweight=".599991pt" strokecolor="#000000">
            <v:path arrowok="t"/>
            <v:stroke dashstyle="solid"/>
            <w10:wrap type="topAndBottom"/>
          </v:shape>
        </w:pict>
      </w:r>
    </w:p>
    <w:p>
      <w:pPr>
        <w:tabs>
          <w:tab w:pos="7124" w:val="left" w:leader="none"/>
        </w:tabs>
        <w:spacing w:before="70"/>
        <w:ind w:left="260" w:right="767" w:firstLine="0"/>
        <w:jc w:val="left"/>
        <w:rPr>
          <w:sz w:val="20"/>
        </w:rPr>
      </w:pPr>
      <w:r>
        <w:rPr>
          <w:position w:val="7"/>
          <w:sz w:val="13"/>
        </w:rPr>
        <w:t>387 </w:t>
      </w:r>
      <w:r>
        <w:rPr>
          <w:sz w:val="20"/>
        </w:rPr>
        <w:t>Elqueta G. R.. The Paradoxical Bankruptcy Discharge: Rereading the Common Law- Civil Law Relationship.    Fordham   Journal    of    Corporate    &amp;   Financial </w:t>
      </w:r>
      <w:r>
        <w:rPr>
          <w:spacing w:val="30"/>
          <w:sz w:val="20"/>
        </w:rPr>
        <w:t> </w:t>
      </w:r>
      <w:r>
        <w:rPr>
          <w:sz w:val="20"/>
        </w:rPr>
        <w:t>Law,  </w:t>
      </w:r>
      <w:r>
        <w:rPr>
          <w:spacing w:val="28"/>
          <w:sz w:val="20"/>
        </w:rPr>
        <w:t> </w:t>
      </w:r>
      <w:r>
        <w:rPr>
          <w:sz w:val="20"/>
        </w:rPr>
        <w:t>2013,</w:t>
        <w:tab/>
        <w:t>Volume 19., </w:t>
      </w:r>
      <w:r>
        <w:rPr>
          <w:spacing w:val="-3"/>
          <w:sz w:val="20"/>
        </w:rPr>
        <w:t>p.338. </w:t>
      </w:r>
      <w:r>
        <w:rPr>
          <w:sz w:val="20"/>
        </w:rPr>
        <w:t>Pieejams:</w:t>
      </w:r>
      <w:r>
        <w:rPr>
          <w:color w:val="0562C1"/>
          <w:sz w:val="20"/>
          <w:u w:val="single" w:color="0562C1"/>
        </w:rPr>
        <w:t>https://ir.lawnet.fordham.edu/cgi/viewcontent.cgi?referer=https://</w:t>
      </w:r>
      <w:hyperlink r:id="rId88">
        <w:r>
          <w:rPr>
            <w:color w:val="0562C1"/>
            <w:sz w:val="20"/>
            <w:u w:val="single" w:color="0562C1"/>
          </w:rPr>
          <w:t>www.google.lv/&amp;httpsredir=1&amp;</w:t>
        </w:r>
      </w:hyperlink>
      <w:r>
        <w:rPr>
          <w:color w:val="0562C1"/>
          <w:sz w:val="20"/>
        </w:rPr>
        <w:t> </w:t>
      </w:r>
      <w:r>
        <w:rPr>
          <w:color w:val="0562C1"/>
          <w:sz w:val="20"/>
          <w:u w:val="single" w:color="0562C1"/>
        </w:rPr>
        <w:t>article=1384&amp;context=jcfl</w:t>
      </w:r>
      <w:r>
        <w:rPr>
          <w:color w:val="0562C1"/>
          <w:sz w:val="20"/>
        </w:rPr>
        <w:t> </w:t>
      </w:r>
      <w:r>
        <w:rPr>
          <w:sz w:val="20"/>
        </w:rPr>
        <w:t>[aplūkots 2018.gada</w:t>
      </w:r>
      <w:r>
        <w:rPr>
          <w:spacing w:val="-2"/>
          <w:sz w:val="20"/>
        </w:rPr>
        <w:t> </w:t>
      </w:r>
      <w:r>
        <w:rPr>
          <w:sz w:val="20"/>
        </w:rPr>
        <w:t>24.oktobrī].</w:t>
      </w:r>
    </w:p>
    <w:p>
      <w:pPr>
        <w:spacing w:after="0"/>
        <w:jc w:val="left"/>
        <w:rPr>
          <w:sz w:val="20"/>
        </w:rPr>
        <w:sectPr>
          <w:pgSz w:w="11910" w:h="16840"/>
          <w:pgMar w:header="0" w:footer="1055" w:top="1340" w:bottom="1240" w:left="1180" w:right="1040"/>
        </w:sectPr>
      </w:pPr>
    </w:p>
    <w:p>
      <w:pPr>
        <w:pStyle w:val="Heading2"/>
        <w:ind w:left="4419"/>
      </w:pPr>
      <w:bookmarkStart w:name="_TOC_250034" w:id="44"/>
      <w:bookmarkEnd w:id="44"/>
      <w:r>
        <w:rPr/>
        <w:t>4. Vācija</w:t>
      </w:r>
    </w:p>
    <w:p>
      <w:pPr>
        <w:pStyle w:val="BodyText"/>
        <w:spacing w:before="10"/>
        <w:jc w:val="left"/>
        <w:rPr>
          <w:b/>
          <w:sz w:val="23"/>
        </w:rPr>
      </w:pPr>
    </w:p>
    <w:p>
      <w:pPr>
        <w:pStyle w:val="Heading4"/>
        <w:numPr>
          <w:ilvl w:val="1"/>
          <w:numId w:val="94"/>
        </w:numPr>
        <w:tabs>
          <w:tab w:pos="1342" w:val="left" w:leader="none"/>
        </w:tabs>
        <w:spacing w:line="240" w:lineRule="auto" w:before="0" w:after="0"/>
        <w:ind w:left="1340" w:right="0" w:hanging="360"/>
        <w:jc w:val="left"/>
        <w:rPr>
          <w:i/>
        </w:rPr>
      </w:pPr>
      <w:r>
        <w:rPr>
          <w:i/>
        </w:rPr>
        <w:t>Vispārējs fiziskās personas maksātnespējas procesa tiesiskā regulējuma</w:t>
      </w:r>
      <w:r>
        <w:rPr>
          <w:i/>
          <w:spacing w:val="-12"/>
        </w:rPr>
        <w:t> </w:t>
      </w:r>
      <w:r>
        <w:rPr>
          <w:i/>
        </w:rPr>
        <w:t>apraksts</w:t>
      </w:r>
    </w:p>
    <w:p>
      <w:pPr>
        <w:pStyle w:val="BodyText"/>
        <w:spacing w:before="7"/>
        <w:jc w:val="left"/>
        <w:rPr>
          <w:b/>
          <w:i/>
          <w:sz w:val="23"/>
        </w:rPr>
      </w:pPr>
    </w:p>
    <w:p>
      <w:pPr>
        <w:pStyle w:val="BodyText"/>
        <w:ind w:left="620" w:right="402" w:firstLine="720"/>
      </w:pPr>
      <w:r>
        <w:rPr/>
        <w:t>Ņemot vērā vācu tiesību lielo ietekmi uz Latvijas tiesībām, nolūkā pilnvērtīgāk izvērtēt iespēju ieviest Latvijas tiesībās kādus atsevišķus vācu maksātnespējas tiesību elementus, esam detalizētāk izpētījuši vispārējo fiziskās personas maksātnespējas procesa tiesisko regulējumu.</w:t>
      </w:r>
    </w:p>
    <w:p>
      <w:pPr>
        <w:pStyle w:val="ListParagraph"/>
        <w:numPr>
          <w:ilvl w:val="2"/>
          <w:numId w:val="94"/>
        </w:numPr>
        <w:tabs>
          <w:tab w:pos="1645" w:val="left" w:leader="none"/>
        </w:tabs>
        <w:spacing w:line="237" w:lineRule="auto" w:before="2" w:after="0"/>
        <w:ind w:left="620" w:right="402" w:firstLine="720"/>
        <w:jc w:val="both"/>
        <w:rPr>
          <w:sz w:val="24"/>
        </w:rPr>
      </w:pPr>
      <w:r>
        <w:rPr>
          <w:b/>
          <w:i/>
          <w:sz w:val="24"/>
        </w:rPr>
        <w:t>Fiziskās personas maksātnespējas procesa pasludināšanas kritēriji</w:t>
      </w:r>
      <w:r>
        <w:rPr>
          <w:b/>
          <w:sz w:val="24"/>
        </w:rPr>
        <w:t>. </w:t>
      </w:r>
      <w:r>
        <w:rPr>
          <w:sz w:val="24"/>
        </w:rPr>
        <w:t>Saskaņā ar Vācijas Maksātnespējas likuma (Insolvenzordnung)</w:t>
      </w:r>
      <w:r>
        <w:rPr>
          <w:position w:val="9"/>
          <w:sz w:val="16"/>
        </w:rPr>
        <w:t>388 </w:t>
      </w:r>
      <w:r>
        <w:rPr>
          <w:sz w:val="24"/>
        </w:rPr>
        <w:t>§ </w:t>
      </w:r>
      <w:r>
        <w:rPr>
          <w:i/>
          <w:sz w:val="24"/>
        </w:rPr>
        <w:t>304 </w:t>
      </w:r>
      <w:r>
        <w:rPr>
          <w:sz w:val="24"/>
        </w:rPr>
        <w:t>fiziskās personas maksātnespējas process (Verbraucherinsolvenz</w:t>
      </w:r>
      <w:r>
        <w:rPr>
          <w:position w:val="9"/>
          <w:sz w:val="16"/>
        </w:rPr>
        <w:t>389</w:t>
      </w:r>
      <w:r>
        <w:rPr>
          <w:sz w:val="24"/>
        </w:rPr>
        <w:t>) tiek piemērots tādām fiziskajām personām, kuras neveic patstāvīgu saimniecisko darbību vai tādu nav veikušas pirms maksātnespējas procesa pieteikuma iesniegšanas tiesā. Tomēr </w:t>
      </w:r>
      <w:r>
        <w:rPr>
          <w:i/>
          <w:sz w:val="24"/>
        </w:rPr>
        <w:t>§ 304 otrā daļa </w:t>
      </w:r>
      <w:r>
        <w:rPr>
          <w:sz w:val="24"/>
        </w:rPr>
        <w:t>nosaka izņēmumu attiecībā uz tām personām, kuras ir veikušas patstāvīgu saimniecisko darbību pirms maksātnespējas procesa pieteikuma iesniegšanas tiesā, proti, arī tādas personas var iesniegt tiesā fiziskās personas maksātnespējas procesa pieteikumu saskaņā ar Vācijas Maksātnespējas likuma </w:t>
      </w:r>
      <w:r>
        <w:rPr>
          <w:i/>
          <w:sz w:val="24"/>
        </w:rPr>
        <w:t>§ 304</w:t>
      </w:r>
      <w:r>
        <w:rPr>
          <w:sz w:val="24"/>
        </w:rPr>
        <w:t>, ja kopējais kreditoru skaits ir mazāks par divdesmit kreditoriem un nepastāv kreditoru prasījumi, kas izriet no darba tiesiskajām</w:t>
      </w:r>
      <w:r>
        <w:rPr>
          <w:spacing w:val="-7"/>
          <w:sz w:val="24"/>
        </w:rPr>
        <w:t> </w:t>
      </w:r>
      <w:r>
        <w:rPr>
          <w:sz w:val="24"/>
        </w:rPr>
        <w:t>attiecībām.</w:t>
      </w:r>
    </w:p>
    <w:p>
      <w:pPr>
        <w:pStyle w:val="BodyText"/>
        <w:ind w:left="620" w:right="404" w:firstLine="720"/>
      </w:pPr>
      <w:r>
        <w:rPr/>
        <w:t>Saskaņā ar Vācijas Maksātnespējas likuma § </w:t>
      </w:r>
      <w:r>
        <w:rPr>
          <w:i/>
        </w:rPr>
        <w:t>17 un </w:t>
      </w:r>
      <w:r>
        <w:rPr/>
        <w:t>§ </w:t>
      </w:r>
      <w:r>
        <w:rPr>
          <w:i/>
        </w:rPr>
        <w:t>18 </w:t>
      </w:r>
      <w:r>
        <w:rPr/>
        <w:t>fiziskajām personām ir šādas maksātnespējas procesa pasludināšanas pazīmes: 1) personai nav iespēju nokārtot parādsaistības, kurām iestājies izpildes termiņš. Nespēja nokārtot parādsaistības ir prezumējama, ja parādnieks ir pārtraucis veikt maksājumus saviem kreditoriem; 2) paredzams, ka personai nebūs iespējas nokārtot parādsaistības līdz to izpildes termiņa iestāšanās brīdim.</w:t>
      </w:r>
    </w:p>
    <w:p>
      <w:pPr>
        <w:pStyle w:val="ListParagraph"/>
        <w:numPr>
          <w:ilvl w:val="2"/>
          <w:numId w:val="94"/>
        </w:numPr>
        <w:tabs>
          <w:tab w:pos="1717" w:val="left" w:leader="none"/>
        </w:tabs>
        <w:spacing w:line="237" w:lineRule="auto" w:before="0" w:after="0"/>
        <w:ind w:left="620" w:right="400" w:firstLine="720"/>
        <w:jc w:val="both"/>
        <w:rPr>
          <w:sz w:val="24"/>
        </w:rPr>
      </w:pPr>
      <w:r>
        <w:rPr>
          <w:b/>
          <w:i/>
          <w:sz w:val="24"/>
        </w:rPr>
        <w:t>Maksātnespējas procesa pieteikums</w:t>
      </w:r>
      <w:r>
        <w:rPr>
          <w:b/>
          <w:sz w:val="24"/>
        </w:rPr>
        <w:t>. </w:t>
      </w:r>
      <w:r>
        <w:rPr>
          <w:sz w:val="24"/>
        </w:rPr>
        <w:t>Maksātnespējas procesa pieteikuma iesniegšanai</w:t>
      </w:r>
      <w:r>
        <w:rPr>
          <w:spacing w:val="-13"/>
          <w:sz w:val="24"/>
        </w:rPr>
        <w:t> </w:t>
      </w:r>
      <w:r>
        <w:rPr>
          <w:sz w:val="24"/>
        </w:rPr>
        <w:t>Vācijā</w:t>
      </w:r>
      <w:r>
        <w:rPr>
          <w:spacing w:val="-13"/>
          <w:sz w:val="24"/>
        </w:rPr>
        <w:t> </w:t>
      </w:r>
      <w:r>
        <w:rPr>
          <w:sz w:val="24"/>
        </w:rPr>
        <w:t>ir</w:t>
      </w:r>
      <w:r>
        <w:rPr>
          <w:spacing w:val="-13"/>
          <w:sz w:val="24"/>
        </w:rPr>
        <w:t> </w:t>
      </w:r>
      <w:r>
        <w:rPr>
          <w:sz w:val="24"/>
        </w:rPr>
        <w:t>izveidota</w:t>
      </w:r>
      <w:r>
        <w:rPr>
          <w:spacing w:val="-12"/>
          <w:sz w:val="24"/>
        </w:rPr>
        <w:t> </w:t>
      </w:r>
      <w:r>
        <w:rPr>
          <w:sz w:val="24"/>
        </w:rPr>
        <w:t>vienota</w:t>
      </w:r>
      <w:r>
        <w:rPr>
          <w:spacing w:val="-11"/>
          <w:sz w:val="24"/>
        </w:rPr>
        <w:t> </w:t>
      </w:r>
      <w:r>
        <w:rPr>
          <w:sz w:val="24"/>
        </w:rPr>
        <w:t>veidlapa,</w:t>
      </w:r>
      <w:r>
        <w:rPr>
          <w:spacing w:val="-13"/>
          <w:sz w:val="24"/>
        </w:rPr>
        <w:t> </w:t>
      </w:r>
      <w:r>
        <w:rPr>
          <w:sz w:val="24"/>
        </w:rPr>
        <w:t>kas</w:t>
      </w:r>
      <w:r>
        <w:rPr>
          <w:spacing w:val="-16"/>
          <w:sz w:val="24"/>
        </w:rPr>
        <w:t> </w:t>
      </w:r>
      <w:r>
        <w:rPr>
          <w:sz w:val="24"/>
        </w:rPr>
        <w:t>ir</w:t>
      </w:r>
      <w:r>
        <w:rPr>
          <w:spacing w:val="-12"/>
          <w:sz w:val="24"/>
        </w:rPr>
        <w:t> </w:t>
      </w:r>
      <w:r>
        <w:rPr>
          <w:sz w:val="24"/>
        </w:rPr>
        <w:t>pieejama</w:t>
      </w:r>
      <w:r>
        <w:rPr>
          <w:spacing w:val="-11"/>
          <w:sz w:val="24"/>
        </w:rPr>
        <w:t> </w:t>
      </w:r>
      <w:r>
        <w:rPr>
          <w:sz w:val="24"/>
        </w:rPr>
        <w:t>tīmekļa</w:t>
      </w:r>
      <w:r>
        <w:rPr>
          <w:spacing w:val="-13"/>
          <w:sz w:val="24"/>
        </w:rPr>
        <w:t> </w:t>
      </w:r>
      <w:r>
        <w:rPr>
          <w:sz w:val="24"/>
        </w:rPr>
        <w:t>vietnē.</w:t>
      </w:r>
      <w:r>
        <w:rPr>
          <w:i/>
          <w:position w:val="9"/>
          <w:sz w:val="16"/>
        </w:rPr>
        <w:t>390</w:t>
      </w:r>
      <w:r>
        <w:rPr>
          <w:i/>
          <w:spacing w:val="8"/>
          <w:position w:val="9"/>
          <w:sz w:val="16"/>
        </w:rPr>
        <w:t> </w:t>
      </w:r>
      <w:r>
        <w:rPr>
          <w:sz w:val="24"/>
        </w:rPr>
        <w:t>Saskaņā ar Vācijas Maksātnespējas likuma </w:t>
      </w:r>
      <w:r>
        <w:rPr>
          <w:i/>
          <w:sz w:val="24"/>
        </w:rPr>
        <w:t>§ 305 pirmās daļas 1.punktu</w:t>
      </w:r>
      <w:r>
        <w:rPr>
          <w:sz w:val="24"/>
        </w:rPr>
        <w:t>, iesniedzot tiesā maksātnespējas</w:t>
      </w:r>
      <w:r>
        <w:rPr>
          <w:spacing w:val="-16"/>
          <w:sz w:val="24"/>
        </w:rPr>
        <w:t> </w:t>
      </w:r>
      <w:r>
        <w:rPr>
          <w:sz w:val="24"/>
        </w:rPr>
        <w:t>procesa</w:t>
      </w:r>
      <w:r>
        <w:rPr>
          <w:spacing w:val="-15"/>
          <w:sz w:val="24"/>
        </w:rPr>
        <w:t> </w:t>
      </w:r>
      <w:r>
        <w:rPr>
          <w:sz w:val="24"/>
        </w:rPr>
        <w:t>pieteikumu</w:t>
      </w:r>
      <w:r>
        <w:rPr>
          <w:spacing w:val="-12"/>
          <w:sz w:val="24"/>
        </w:rPr>
        <w:t> </w:t>
      </w:r>
      <w:r>
        <w:rPr>
          <w:sz w:val="24"/>
        </w:rPr>
        <w:t>vai</w:t>
      </w:r>
      <w:r>
        <w:rPr>
          <w:spacing w:val="-17"/>
          <w:sz w:val="24"/>
        </w:rPr>
        <w:t> </w:t>
      </w:r>
      <w:r>
        <w:rPr>
          <w:sz w:val="24"/>
        </w:rPr>
        <w:t>nekavējoties</w:t>
      </w:r>
      <w:r>
        <w:rPr>
          <w:spacing w:val="-15"/>
          <w:sz w:val="24"/>
        </w:rPr>
        <w:t> </w:t>
      </w:r>
      <w:r>
        <w:rPr>
          <w:sz w:val="24"/>
        </w:rPr>
        <w:t>pēc</w:t>
      </w:r>
      <w:r>
        <w:rPr>
          <w:spacing w:val="-18"/>
          <w:sz w:val="24"/>
        </w:rPr>
        <w:t> </w:t>
      </w:r>
      <w:r>
        <w:rPr>
          <w:sz w:val="24"/>
        </w:rPr>
        <w:t>tā</w:t>
      </w:r>
      <w:r>
        <w:rPr>
          <w:spacing w:val="-13"/>
          <w:sz w:val="24"/>
        </w:rPr>
        <w:t> </w:t>
      </w:r>
      <w:r>
        <w:rPr>
          <w:sz w:val="24"/>
        </w:rPr>
        <w:t>iesniegšanas</w:t>
      </w:r>
      <w:r>
        <w:rPr>
          <w:spacing w:val="-17"/>
          <w:sz w:val="24"/>
        </w:rPr>
        <w:t> </w:t>
      </w:r>
      <w:r>
        <w:rPr>
          <w:sz w:val="24"/>
        </w:rPr>
        <w:t>tiesā,</w:t>
      </w:r>
      <w:r>
        <w:rPr>
          <w:spacing w:val="-15"/>
          <w:sz w:val="24"/>
        </w:rPr>
        <w:t> </w:t>
      </w:r>
      <w:r>
        <w:rPr>
          <w:sz w:val="24"/>
        </w:rPr>
        <w:t>parādniekam ir jāsniedz tiesā šādi</w:t>
      </w:r>
      <w:r>
        <w:rPr>
          <w:spacing w:val="-2"/>
          <w:sz w:val="24"/>
        </w:rPr>
        <w:t> </w:t>
      </w:r>
      <w:r>
        <w:rPr>
          <w:sz w:val="24"/>
        </w:rPr>
        <w:t>dokumenti:</w:t>
      </w:r>
    </w:p>
    <w:p>
      <w:pPr>
        <w:pStyle w:val="ListParagraph"/>
        <w:numPr>
          <w:ilvl w:val="0"/>
          <w:numId w:val="95"/>
        </w:numPr>
        <w:tabs>
          <w:tab w:pos="1898" w:val="left" w:leader="none"/>
        </w:tabs>
        <w:spacing w:line="240" w:lineRule="auto" w:before="0" w:after="0"/>
        <w:ind w:left="1896" w:right="402" w:hanging="569"/>
        <w:jc w:val="both"/>
        <w:rPr>
          <w:sz w:val="24"/>
        </w:rPr>
      </w:pPr>
      <w:r>
        <w:rPr>
          <w:sz w:val="24"/>
        </w:rPr>
        <w:t>Apliecinājums par parādnieka centieniem sešu mēnešu laikā pirms maksātnespējas procesa pieteikuma iesniegšanas tiesā panākt vienošanos ar kreditoriem par parādu segšanas kārtību, pamatojoties uz parādnieka izstrādātu</w:t>
      </w:r>
      <w:r>
        <w:rPr>
          <w:spacing w:val="-11"/>
          <w:sz w:val="24"/>
        </w:rPr>
        <w:t> </w:t>
      </w:r>
      <w:r>
        <w:rPr>
          <w:sz w:val="24"/>
        </w:rPr>
        <w:t>parādu</w:t>
      </w:r>
      <w:r>
        <w:rPr>
          <w:spacing w:val="-8"/>
          <w:sz w:val="24"/>
        </w:rPr>
        <w:t> </w:t>
      </w:r>
      <w:r>
        <w:rPr>
          <w:sz w:val="24"/>
        </w:rPr>
        <w:t>segšanas</w:t>
      </w:r>
      <w:r>
        <w:rPr>
          <w:spacing w:val="-10"/>
          <w:sz w:val="24"/>
        </w:rPr>
        <w:t> </w:t>
      </w:r>
      <w:r>
        <w:rPr>
          <w:sz w:val="24"/>
        </w:rPr>
        <w:t>plānu</w:t>
      </w:r>
      <w:r>
        <w:rPr>
          <w:spacing w:val="-10"/>
          <w:sz w:val="24"/>
        </w:rPr>
        <w:t> </w:t>
      </w:r>
      <w:r>
        <w:rPr>
          <w:sz w:val="24"/>
        </w:rPr>
        <w:t>un</w:t>
      </w:r>
      <w:r>
        <w:rPr>
          <w:spacing w:val="-8"/>
          <w:sz w:val="24"/>
        </w:rPr>
        <w:t> </w:t>
      </w:r>
      <w:r>
        <w:rPr>
          <w:sz w:val="24"/>
        </w:rPr>
        <w:t>apliecinājumu</w:t>
      </w:r>
      <w:r>
        <w:rPr>
          <w:spacing w:val="-8"/>
          <w:sz w:val="24"/>
        </w:rPr>
        <w:t> </w:t>
      </w:r>
      <w:r>
        <w:rPr>
          <w:sz w:val="24"/>
        </w:rPr>
        <w:t>tam,</w:t>
      </w:r>
      <w:r>
        <w:rPr>
          <w:spacing w:val="-10"/>
          <w:sz w:val="24"/>
        </w:rPr>
        <w:t> </w:t>
      </w:r>
      <w:r>
        <w:rPr>
          <w:sz w:val="24"/>
        </w:rPr>
        <w:t>ka</w:t>
      </w:r>
      <w:r>
        <w:rPr>
          <w:spacing w:val="-10"/>
          <w:sz w:val="24"/>
        </w:rPr>
        <w:t> </w:t>
      </w:r>
      <w:r>
        <w:rPr>
          <w:sz w:val="24"/>
        </w:rPr>
        <w:t>šāda</w:t>
      </w:r>
      <w:r>
        <w:rPr>
          <w:spacing w:val="-12"/>
          <w:sz w:val="24"/>
        </w:rPr>
        <w:t> </w:t>
      </w:r>
      <w:r>
        <w:rPr>
          <w:sz w:val="24"/>
        </w:rPr>
        <w:t>vienošanās</w:t>
      </w:r>
      <w:r>
        <w:rPr>
          <w:spacing w:val="-10"/>
          <w:sz w:val="24"/>
        </w:rPr>
        <w:t> </w:t>
      </w:r>
      <w:r>
        <w:rPr>
          <w:sz w:val="24"/>
        </w:rPr>
        <w:t>ar kreditoriem nav tikusi panākta. Šādu apliecinājumu par mēģinājumiem panākt vienošanos ar kreditoriem izsniedz kompetenta persona, kura</w:t>
      </w:r>
      <w:r>
        <w:rPr>
          <w:spacing w:val="-44"/>
          <w:sz w:val="24"/>
        </w:rPr>
        <w:t> </w:t>
      </w:r>
      <w:r>
        <w:rPr>
          <w:sz w:val="24"/>
        </w:rPr>
        <w:t>sniegusi parādniekam</w:t>
      </w:r>
      <w:r>
        <w:rPr>
          <w:spacing w:val="-12"/>
          <w:sz w:val="24"/>
        </w:rPr>
        <w:t> </w:t>
      </w:r>
      <w:r>
        <w:rPr>
          <w:sz w:val="24"/>
        </w:rPr>
        <w:t>tiesisko</w:t>
      </w:r>
      <w:r>
        <w:rPr>
          <w:spacing w:val="-9"/>
          <w:sz w:val="24"/>
        </w:rPr>
        <w:t> </w:t>
      </w:r>
      <w:r>
        <w:rPr>
          <w:sz w:val="24"/>
        </w:rPr>
        <w:t>palīdzību</w:t>
      </w:r>
      <w:r>
        <w:rPr>
          <w:spacing w:val="-9"/>
          <w:sz w:val="24"/>
        </w:rPr>
        <w:t> </w:t>
      </w:r>
      <w:r>
        <w:rPr>
          <w:sz w:val="24"/>
        </w:rPr>
        <w:t>un</w:t>
      </w:r>
      <w:r>
        <w:rPr>
          <w:spacing w:val="-10"/>
          <w:sz w:val="24"/>
        </w:rPr>
        <w:t> </w:t>
      </w:r>
      <w:r>
        <w:rPr>
          <w:sz w:val="24"/>
        </w:rPr>
        <w:t>veikusi</w:t>
      </w:r>
      <w:r>
        <w:rPr>
          <w:spacing w:val="-9"/>
          <w:sz w:val="24"/>
        </w:rPr>
        <w:t> </w:t>
      </w:r>
      <w:r>
        <w:rPr>
          <w:sz w:val="24"/>
        </w:rPr>
        <w:t>parādnieka</w:t>
      </w:r>
      <w:r>
        <w:rPr>
          <w:spacing w:val="-11"/>
          <w:sz w:val="24"/>
        </w:rPr>
        <w:t> </w:t>
      </w:r>
      <w:r>
        <w:rPr>
          <w:sz w:val="24"/>
        </w:rPr>
        <w:t>ieņēmumu</w:t>
      </w:r>
      <w:r>
        <w:rPr>
          <w:spacing w:val="-7"/>
          <w:sz w:val="24"/>
        </w:rPr>
        <w:t> </w:t>
      </w:r>
      <w:r>
        <w:rPr>
          <w:sz w:val="24"/>
        </w:rPr>
        <w:t>un</w:t>
      </w:r>
      <w:r>
        <w:rPr>
          <w:spacing w:val="-10"/>
          <w:sz w:val="24"/>
        </w:rPr>
        <w:t> </w:t>
      </w:r>
      <w:r>
        <w:rPr>
          <w:sz w:val="24"/>
        </w:rPr>
        <w:t>mantiskā stāvokļa padziļinātu izpēti. Pievienojams ir parādnieka izstrādātais parādu segšanas plāns, un jānorāda galvenie iemesli, kāpēc plāns ticis noraidīts ārpustiesas kārtībā. Vācijas Federatīvās Republikas pavalstis ir tiesīgas</w:t>
      </w:r>
      <w:r>
        <w:rPr>
          <w:spacing w:val="-14"/>
          <w:sz w:val="24"/>
        </w:rPr>
        <w:t> </w:t>
      </w:r>
      <w:r>
        <w:rPr>
          <w:sz w:val="24"/>
        </w:rPr>
        <w:t>pašas noteikt, kuras ir tās kompetentās personas vai iestādes, kuras ir tiesīgas izsniegt šādu</w:t>
      </w:r>
      <w:r>
        <w:rPr>
          <w:spacing w:val="-1"/>
          <w:sz w:val="24"/>
        </w:rPr>
        <w:t> </w:t>
      </w:r>
      <w:r>
        <w:rPr>
          <w:sz w:val="24"/>
        </w:rPr>
        <w:t>apliecinājumu.</w:t>
      </w:r>
    </w:p>
    <w:p>
      <w:pPr>
        <w:pStyle w:val="ListParagraph"/>
        <w:numPr>
          <w:ilvl w:val="0"/>
          <w:numId w:val="95"/>
        </w:numPr>
        <w:tabs>
          <w:tab w:pos="1898" w:val="left" w:leader="none"/>
        </w:tabs>
        <w:spacing w:line="240" w:lineRule="auto" w:before="0" w:after="0"/>
        <w:ind w:left="1896" w:right="402" w:hanging="569"/>
        <w:jc w:val="both"/>
        <w:rPr>
          <w:sz w:val="24"/>
        </w:rPr>
      </w:pPr>
      <w:r>
        <w:rPr>
          <w:sz w:val="24"/>
        </w:rPr>
        <w:t>Parādniekam piederošās mantas saraksts un ienākumu saraksts, to apraksts, kreditoru un to prasījuma tiesību saraksts; tiem pievienojams parādnieka apliecinājums, ka parādnieka sniegtās ziņas ir pareizas un</w:t>
      </w:r>
      <w:r>
        <w:rPr>
          <w:spacing w:val="-8"/>
          <w:sz w:val="24"/>
        </w:rPr>
        <w:t> </w:t>
      </w:r>
      <w:r>
        <w:rPr>
          <w:sz w:val="24"/>
        </w:rPr>
        <w:t>pilnīgas.</w:t>
      </w:r>
    </w:p>
    <w:p>
      <w:pPr>
        <w:pStyle w:val="BodyText"/>
        <w:jc w:val="left"/>
        <w:rPr>
          <w:sz w:val="20"/>
        </w:rPr>
      </w:pPr>
    </w:p>
    <w:p>
      <w:pPr>
        <w:pStyle w:val="BodyText"/>
        <w:spacing w:before="2"/>
        <w:jc w:val="left"/>
        <w:rPr>
          <w:sz w:val="20"/>
        </w:rPr>
      </w:pPr>
      <w:r>
        <w:rPr/>
        <w:pict>
          <v:shape style="position:absolute;margin-left:90pt;margin-top:13.895546pt;width:144pt;height:.1pt;mso-position-horizontal-relative:page;mso-position-vertical-relative:paragraph;z-index:-251479040;mso-wrap-distance-left:0;mso-wrap-distance-right:0" coordorigin="1800,278" coordsize="2880,0" path="m1800,278l4680,278e" filled="false" stroked="true" strokeweight=".599991pt" strokecolor="#000000">
            <v:path arrowok="t"/>
            <v:stroke dashstyle="solid"/>
            <w10:wrap type="topAndBottom"/>
          </v:shape>
        </w:pict>
      </w:r>
    </w:p>
    <w:p>
      <w:pPr>
        <w:spacing w:before="70"/>
        <w:ind w:left="620" w:right="398" w:firstLine="0"/>
        <w:jc w:val="left"/>
        <w:rPr>
          <w:sz w:val="20"/>
        </w:rPr>
      </w:pPr>
      <w:r>
        <w:rPr>
          <w:position w:val="7"/>
          <w:sz w:val="13"/>
        </w:rPr>
        <w:t>388 </w:t>
      </w:r>
      <w:r>
        <w:rPr>
          <w:sz w:val="20"/>
        </w:rPr>
        <w:t>"Insolvenzordnung vom 5. Oktober 1994 (BGBl. I S. 2866), die zuletzt durch Artikel 24 Absatz 3 des Gesetzes vom 23. Juni 2017 (BGBl. I S. 1693) geändert worden ist"</w:t>
      </w:r>
    </w:p>
    <w:p>
      <w:pPr>
        <w:spacing w:line="226" w:lineRule="exact" w:before="0"/>
        <w:ind w:left="620" w:right="0" w:firstLine="0"/>
        <w:jc w:val="left"/>
        <w:rPr>
          <w:sz w:val="20"/>
        </w:rPr>
      </w:pPr>
      <w:r>
        <w:rPr>
          <w:position w:val="7"/>
          <w:sz w:val="13"/>
        </w:rPr>
        <w:t>389 </w:t>
      </w:r>
      <w:r>
        <w:rPr>
          <w:sz w:val="20"/>
        </w:rPr>
        <w:t>Verbraucherinsolvenz – tulkojumā no vācu valodas “Patērētāju maksātnespējas process”</w:t>
      </w:r>
    </w:p>
    <w:p>
      <w:pPr>
        <w:tabs>
          <w:tab w:pos="1027" w:val="left" w:leader="none"/>
          <w:tab w:pos="2139" w:val="left" w:leader="none"/>
          <w:tab w:pos="3334" w:val="left" w:leader="none"/>
          <w:tab w:pos="3912" w:val="left" w:leader="none"/>
          <w:tab w:pos="4248" w:val="left" w:leader="none"/>
          <w:tab w:pos="5196" w:val="left" w:leader="none"/>
          <w:tab w:pos="6000" w:val="left" w:leader="none"/>
          <w:tab w:pos="6941" w:val="left" w:leader="none"/>
          <w:tab w:pos="7875" w:val="left" w:leader="none"/>
          <w:tab w:pos="8789" w:val="left" w:leader="none"/>
        </w:tabs>
        <w:spacing w:line="240" w:lineRule="auto" w:before="0"/>
        <w:ind w:left="620" w:right="408" w:firstLine="0"/>
        <w:jc w:val="left"/>
        <w:rPr>
          <w:sz w:val="20"/>
        </w:rPr>
      </w:pPr>
      <w:r>
        <w:rPr>
          <w:position w:val="7"/>
          <w:sz w:val="13"/>
        </w:rPr>
        <w:t>390</w:t>
        <w:tab/>
      </w:r>
      <w:r>
        <w:rPr>
          <w:sz w:val="20"/>
        </w:rPr>
        <w:t>Pieteikuma</w:t>
        <w:tab/>
        <w:t>iesniegšanai</w:t>
        <w:tab/>
        <w:t>tiesā</w:t>
        <w:tab/>
        <w:t>ir</w:t>
        <w:tab/>
        <w:t>izveidota</w:t>
        <w:tab/>
        <w:t>vienota</w:t>
        <w:tab/>
        <w:t>veidlapa,</w:t>
        <w:tab/>
        <w:t>pieejama</w:t>
        <w:tab/>
        <w:t>interneta</w:t>
        <w:tab/>
      </w:r>
      <w:r>
        <w:rPr>
          <w:spacing w:val="-4"/>
          <w:sz w:val="20"/>
        </w:rPr>
        <w:t>vietnē </w:t>
      </w:r>
      <w:r>
        <w:rPr>
          <w:color w:val="0562C1"/>
          <w:sz w:val="20"/>
          <w:u w:val="single" w:color="0562C1"/>
        </w:rPr>
        <w:t>https://justiz.de/formulare/zwi_bund/vinsolvenz.pdf</w:t>
      </w:r>
      <w:r>
        <w:rPr>
          <w:color w:val="0562C1"/>
          <w:sz w:val="20"/>
        </w:rPr>
        <w:t> </w:t>
      </w:r>
      <w:r>
        <w:rPr>
          <w:sz w:val="20"/>
        </w:rPr>
        <w:t>[aplūkots 2018.gada</w:t>
      </w:r>
      <w:r>
        <w:rPr>
          <w:spacing w:val="-3"/>
          <w:sz w:val="20"/>
        </w:rPr>
        <w:t> </w:t>
      </w:r>
      <w:r>
        <w:rPr>
          <w:sz w:val="20"/>
        </w:rPr>
        <w:t>15.oktobrī].</w:t>
      </w:r>
    </w:p>
    <w:p>
      <w:pPr>
        <w:spacing w:after="0" w:line="240" w:lineRule="auto"/>
        <w:jc w:val="left"/>
        <w:rPr>
          <w:sz w:val="20"/>
        </w:rPr>
        <w:sectPr>
          <w:pgSz w:w="11910" w:h="16840"/>
          <w:pgMar w:header="0" w:footer="1055" w:top="1360" w:bottom="1240" w:left="1180" w:right="1040"/>
        </w:sectPr>
      </w:pPr>
    </w:p>
    <w:p>
      <w:pPr>
        <w:pStyle w:val="ListParagraph"/>
        <w:numPr>
          <w:ilvl w:val="0"/>
          <w:numId w:val="95"/>
        </w:numPr>
        <w:tabs>
          <w:tab w:pos="1538" w:val="left" w:leader="none"/>
        </w:tabs>
        <w:spacing w:line="240" w:lineRule="auto" w:before="73" w:after="0"/>
        <w:ind w:left="1536" w:right="761" w:hanging="569"/>
        <w:jc w:val="both"/>
        <w:rPr>
          <w:sz w:val="24"/>
        </w:rPr>
      </w:pPr>
      <w:r>
        <w:rPr>
          <w:sz w:val="24"/>
        </w:rPr>
        <w:t>Kreditoru parādu segšanas plāns, kas ietver tādus noteikumus, kas, ņemot vērā kreditoru intereses un parādnieka mantisko stāvokli, ienākumus un ģimenes stāvokli, nepieciešami saprātīgai parādu segšanai. Plānā ir atrunājams, vai un cik lielā mērā plānā ietvertie noteikumi skar </w:t>
      </w:r>
      <w:r>
        <w:rPr>
          <w:spacing w:val="-3"/>
          <w:sz w:val="24"/>
        </w:rPr>
        <w:t>galvojumu, </w:t>
      </w:r>
      <w:r>
        <w:rPr>
          <w:sz w:val="24"/>
        </w:rPr>
        <w:t>ķīlas tiesības un citus kreditoriem izsniegtus</w:t>
      </w:r>
      <w:r>
        <w:rPr>
          <w:spacing w:val="-4"/>
          <w:sz w:val="24"/>
        </w:rPr>
        <w:t> </w:t>
      </w:r>
      <w:r>
        <w:rPr>
          <w:sz w:val="24"/>
        </w:rPr>
        <w:t>nodrošinājumus.</w:t>
      </w:r>
    </w:p>
    <w:p>
      <w:pPr>
        <w:pStyle w:val="ListParagraph"/>
        <w:numPr>
          <w:ilvl w:val="0"/>
          <w:numId w:val="95"/>
        </w:numPr>
        <w:tabs>
          <w:tab w:pos="1538" w:val="left" w:leader="none"/>
        </w:tabs>
        <w:spacing w:line="240" w:lineRule="auto" w:before="0" w:after="0"/>
        <w:ind w:left="1536" w:right="763" w:hanging="569"/>
        <w:jc w:val="both"/>
        <w:rPr>
          <w:sz w:val="24"/>
        </w:rPr>
      </w:pPr>
      <w:r>
        <w:rPr>
          <w:sz w:val="24"/>
        </w:rPr>
        <w:t>Pieteikums par parādnieka atbrīvošanu no atlikušajām neizpildītajām saistībām vai paziņojums, ka pieteikums par atbrīvošanu no atlikušajām neizpildītajām parāda saistībām netiks tiesā</w:t>
      </w:r>
      <w:r>
        <w:rPr>
          <w:spacing w:val="-4"/>
          <w:sz w:val="24"/>
        </w:rPr>
        <w:t> </w:t>
      </w:r>
      <w:r>
        <w:rPr>
          <w:sz w:val="24"/>
        </w:rPr>
        <w:t>sniegts:</w:t>
      </w:r>
    </w:p>
    <w:p>
      <w:pPr>
        <w:pStyle w:val="ListParagraph"/>
        <w:numPr>
          <w:ilvl w:val="1"/>
          <w:numId w:val="95"/>
        </w:numPr>
        <w:tabs>
          <w:tab w:pos="1962" w:val="left" w:leader="none"/>
        </w:tabs>
        <w:spacing w:line="240" w:lineRule="auto" w:before="0" w:after="0"/>
        <w:ind w:left="1961" w:right="760" w:hanging="569"/>
        <w:jc w:val="both"/>
        <w:rPr>
          <w:i/>
          <w:sz w:val="24"/>
        </w:rPr>
      </w:pPr>
      <w:r>
        <w:rPr>
          <w:sz w:val="24"/>
        </w:rPr>
        <w:t>Saskaņā ar Vācijas Maksātnespējas likuma </w:t>
      </w:r>
      <w:r>
        <w:rPr>
          <w:i/>
          <w:sz w:val="24"/>
        </w:rPr>
        <w:t>§ 287 pirmo daļu </w:t>
      </w:r>
      <w:r>
        <w:rPr>
          <w:sz w:val="24"/>
        </w:rPr>
        <w:t>pieteikumam par parādnieka atbrīvošanu no neizpildītajām parāda saistībām parādnieks pievieno apliecinājumu, ka nepastāv Vācijas Maksātnespējas</w:t>
      </w:r>
      <w:r>
        <w:rPr>
          <w:spacing w:val="-7"/>
          <w:sz w:val="24"/>
        </w:rPr>
        <w:t> </w:t>
      </w:r>
      <w:r>
        <w:rPr>
          <w:sz w:val="24"/>
        </w:rPr>
        <w:t>likuma</w:t>
      </w:r>
      <w:r>
        <w:rPr>
          <w:spacing w:val="-11"/>
          <w:sz w:val="24"/>
        </w:rPr>
        <w:t> </w:t>
      </w:r>
      <w:r>
        <w:rPr>
          <w:i/>
          <w:sz w:val="24"/>
        </w:rPr>
        <w:t>§</w:t>
      </w:r>
      <w:r>
        <w:rPr>
          <w:i/>
          <w:spacing w:val="-7"/>
          <w:sz w:val="24"/>
        </w:rPr>
        <w:t> </w:t>
      </w:r>
      <w:r>
        <w:rPr>
          <w:i/>
          <w:sz w:val="24"/>
        </w:rPr>
        <w:t>287a</w:t>
      </w:r>
      <w:r>
        <w:rPr>
          <w:i/>
          <w:spacing w:val="-10"/>
          <w:sz w:val="24"/>
        </w:rPr>
        <w:t> </w:t>
      </w:r>
      <w:r>
        <w:rPr>
          <w:i/>
          <w:sz w:val="24"/>
        </w:rPr>
        <w:t>otrajā</w:t>
      </w:r>
      <w:r>
        <w:rPr>
          <w:i/>
          <w:spacing w:val="-8"/>
          <w:sz w:val="24"/>
        </w:rPr>
        <w:t> </w:t>
      </w:r>
      <w:r>
        <w:rPr>
          <w:i/>
          <w:sz w:val="24"/>
        </w:rPr>
        <w:t>daļā</w:t>
      </w:r>
      <w:r>
        <w:rPr>
          <w:i/>
          <w:spacing w:val="-10"/>
          <w:sz w:val="24"/>
        </w:rPr>
        <w:t> </w:t>
      </w:r>
      <w:r>
        <w:rPr>
          <w:sz w:val="24"/>
        </w:rPr>
        <w:t>noteiktie</w:t>
      </w:r>
      <w:r>
        <w:rPr>
          <w:spacing w:val="-10"/>
          <w:sz w:val="24"/>
        </w:rPr>
        <w:t> </w:t>
      </w:r>
      <w:r>
        <w:rPr>
          <w:sz w:val="24"/>
        </w:rPr>
        <w:t>ierobežojumi.</w:t>
      </w:r>
      <w:r>
        <w:rPr>
          <w:spacing w:val="-7"/>
          <w:sz w:val="24"/>
        </w:rPr>
        <w:t> </w:t>
      </w:r>
      <w:r>
        <w:rPr>
          <w:sz w:val="24"/>
        </w:rPr>
        <w:t>Un</w:t>
      </w:r>
      <w:r>
        <w:rPr>
          <w:spacing w:val="-12"/>
          <w:sz w:val="24"/>
        </w:rPr>
        <w:t> </w:t>
      </w:r>
      <w:r>
        <w:rPr>
          <w:spacing w:val="-4"/>
          <w:sz w:val="24"/>
        </w:rPr>
        <w:t>tie </w:t>
      </w:r>
      <w:r>
        <w:rPr>
          <w:sz w:val="24"/>
        </w:rPr>
        <w:t>ir: (aa) parādniekam pēdējo desmit gadu laikā pirms pieteikuma par maksātnespējas procesa pasludināšanu iesniegšanas tiesā vai pēc tā iesniegšanas tiesā ir tikusi pasludināta atlikušo saistību dzēšana,</w:t>
      </w:r>
      <w:r>
        <w:rPr>
          <w:spacing w:val="32"/>
          <w:sz w:val="24"/>
        </w:rPr>
        <w:t> </w:t>
      </w:r>
      <w:r>
        <w:rPr>
          <w:sz w:val="24"/>
        </w:rPr>
        <w:t>vai pēdējo piecu gadu laikā vai pēc pieteikuma iesniegšanas tiesā ir atteikta parādu dzēšana, pamatojoties uz Vācijas Maksātnespējas likuma </w:t>
      </w:r>
      <w:r>
        <w:rPr>
          <w:i/>
          <w:sz w:val="24"/>
        </w:rPr>
        <w:t>§ </w:t>
      </w:r>
      <w:r>
        <w:rPr>
          <w:i/>
          <w:sz w:val="24"/>
        </w:rPr>
        <w:t>297</w:t>
      </w:r>
      <w:r>
        <w:rPr>
          <w:position w:val="9"/>
          <w:sz w:val="16"/>
        </w:rPr>
        <w:t>391</w:t>
      </w:r>
      <w:r>
        <w:rPr>
          <w:sz w:val="24"/>
        </w:rPr>
        <w:t>; (ab) parādniekam pēdējo trīs gadu laikā pirms pieteikuma par maksātnespējas procesa pasludināšanu iesniegšanu tiesā vai pēc tā iesniegšanas tiesā ir atteikta parādu dzēšana, pamatojoties uz Vācijas Maksātnespējas</w:t>
      </w:r>
      <w:r>
        <w:rPr>
          <w:spacing w:val="-6"/>
          <w:sz w:val="24"/>
        </w:rPr>
        <w:t> </w:t>
      </w:r>
      <w:r>
        <w:rPr>
          <w:sz w:val="24"/>
        </w:rPr>
        <w:t>likuma</w:t>
      </w:r>
      <w:r>
        <w:rPr>
          <w:spacing w:val="-6"/>
          <w:sz w:val="24"/>
        </w:rPr>
        <w:t> </w:t>
      </w:r>
      <w:r>
        <w:rPr>
          <w:i/>
          <w:sz w:val="24"/>
        </w:rPr>
        <w:t>§</w:t>
      </w:r>
      <w:r>
        <w:rPr>
          <w:i/>
          <w:spacing w:val="-3"/>
          <w:sz w:val="24"/>
        </w:rPr>
        <w:t> </w:t>
      </w:r>
      <w:r>
        <w:rPr>
          <w:i/>
          <w:sz w:val="24"/>
        </w:rPr>
        <w:t>290</w:t>
      </w:r>
      <w:r>
        <w:rPr>
          <w:i/>
          <w:spacing w:val="-5"/>
          <w:sz w:val="24"/>
        </w:rPr>
        <w:t> </w:t>
      </w:r>
      <w:r>
        <w:rPr>
          <w:i/>
          <w:sz w:val="24"/>
        </w:rPr>
        <w:t>pirmās</w:t>
      </w:r>
      <w:r>
        <w:rPr>
          <w:i/>
          <w:spacing w:val="-5"/>
          <w:sz w:val="24"/>
        </w:rPr>
        <w:t> </w:t>
      </w:r>
      <w:r>
        <w:rPr>
          <w:i/>
          <w:sz w:val="24"/>
        </w:rPr>
        <w:t>daļas</w:t>
      </w:r>
      <w:r>
        <w:rPr>
          <w:i/>
          <w:spacing w:val="-5"/>
          <w:sz w:val="24"/>
        </w:rPr>
        <w:t> </w:t>
      </w:r>
      <w:r>
        <w:rPr>
          <w:i/>
          <w:sz w:val="24"/>
        </w:rPr>
        <w:t>5.,</w:t>
      </w:r>
      <w:r>
        <w:rPr>
          <w:i/>
          <w:spacing w:val="-5"/>
          <w:sz w:val="24"/>
        </w:rPr>
        <w:t> </w:t>
      </w:r>
      <w:r>
        <w:rPr>
          <w:i/>
          <w:sz w:val="24"/>
        </w:rPr>
        <w:t>6.,</w:t>
      </w:r>
      <w:r>
        <w:rPr>
          <w:i/>
          <w:spacing w:val="-5"/>
          <w:sz w:val="24"/>
        </w:rPr>
        <w:t> </w:t>
      </w:r>
      <w:r>
        <w:rPr>
          <w:i/>
          <w:sz w:val="24"/>
        </w:rPr>
        <w:t>7.punktu</w:t>
      </w:r>
      <w:r>
        <w:rPr>
          <w:sz w:val="24"/>
        </w:rPr>
        <w:t>;</w:t>
      </w:r>
      <w:r>
        <w:rPr>
          <w:spacing w:val="-5"/>
          <w:sz w:val="24"/>
        </w:rPr>
        <w:t> </w:t>
      </w:r>
      <w:r>
        <w:rPr>
          <w:sz w:val="24"/>
        </w:rPr>
        <w:t>pamatojoties uz Vācijas Maksātnespējas likuma </w:t>
      </w:r>
      <w:r>
        <w:rPr>
          <w:i/>
          <w:sz w:val="24"/>
        </w:rPr>
        <w:t>§ 296</w:t>
      </w:r>
      <w:r>
        <w:rPr>
          <w:sz w:val="24"/>
        </w:rPr>
        <w:t>; saskaņā ar Vācijas Maksātnespējas likuma </w:t>
      </w:r>
      <w:r>
        <w:rPr>
          <w:i/>
          <w:sz w:val="24"/>
        </w:rPr>
        <w:t>§ 297a </w:t>
      </w:r>
      <w:r>
        <w:rPr>
          <w:sz w:val="24"/>
        </w:rPr>
        <w:t>ietverto regulējumu par atteikumu dzēst saistības, ņemot vērā, ka atteikuma iemesli kļuvuši zināmi</w:t>
      </w:r>
      <w:r>
        <w:rPr>
          <w:spacing w:val="1"/>
          <w:sz w:val="24"/>
        </w:rPr>
        <w:t> </w:t>
      </w:r>
      <w:r>
        <w:rPr>
          <w:sz w:val="24"/>
        </w:rPr>
        <w:t>vēlāk</w:t>
      </w:r>
      <w:r>
        <w:rPr>
          <w:i/>
          <w:sz w:val="24"/>
        </w:rPr>
        <w:t>;</w:t>
      </w:r>
    </w:p>
    <w:p>
      <w:pPr>
        <w:pStyle w:val="ListParagraph"/>
        <w:numPr>
          <w:ilvl w:val="1"/>
          <w:numId w:val="95"/>
        </w:numPr>
        <w:tabs>
          <w:tab w:pos="1962" w:val="left" w:leader="none"/>
        </w:tabs>
        <w:spacing w:line="237" w:lineRule="auto" w:before="0" w:after="0"/>
        <w:ind w:left="1961" w:right="760" w:hanging="569"/>
        <w:jc w:val="both"/>
        <w:rPr>
          <w:sz w:val="24"/>
        </w:rPr>
      </w:pPr>
      <w:r>
        <w:rPr>
          <w:sz w:val="24"/>
        </w:rPr>
        <w:t>Pieteikumam pievieno parādnieka apliecinājumu, ka parādnieks nodod (cedē)</w:t>
      </w:r>
      <w:r>
        <w:rPr>
          <w:spacing w:val="-9"/>
          <w:sz w:val="24"/>
        </w:rPr>
        <w:t> </w:t>
      </w:r>
      <w:r>
        <w:rPr>
          <w:sz w:val="24"/>
        </w:rPr>
        <w:t>tiesas</w:t>
      </w:r>
      <w:r>
        <w:rPr>
          <w:spacing w:val="-8"/>
          <w:sz w:val="24"/>
        </w:rPr>
        <w:t> </w:t>
      </w:r>
      <w:r>
        <w:rPr>
          <w:sz w:val="24"/>
        </w:rPr>
        <w:t>ieceltajai</w:t>
      </w:r>
      <w:r>
        <w:rPr>
          <w:spacing w:val="-8"/>
          <w:sz w:val="24"/>
        </w:rPr>
        <w:t> </w:t>
      </w:r>
      <w:r>
        <w:rPr>
          <w:sz w:val="24"/>
        </w:rPr>
        <w:t>uzticamības</w:t>
      </w:r>
      <w:r>
        <w:rPr>
          <w:spacing w:val="-8"/>
          <w:sz w:val="24"/>
        </w:rPr>
        <w:t> </w:t>
      </w:r>
      <w:r>
        <w:rPr>
          <w:sz w:val="24"/>
        </w:rPr>
        <w:t>personai</w:t>
      </w:r>
      <w:r>
        <w:rPr>
          <w:spacing w:val="-9"/>
          <w:sz w:val="24"/>
        </w:rPr>
        <w:t> </w:t>
      </w:r>
      <w:r>
        <w:rPr>
          <w:sz w:val="24"/>
        </w:rPr>
        <w:t>(</w:t>
      </w:r>
      <w:r>
        <w:rPr>
          <w:i/>
          <w:sz w:val="24"/>
        </w:rPr>
        <w:t>Treuhaender</w:t>
      </w:r>
      <w:r>
        <w:rPr>
          <w:position w:val="9"/>
          <w:sz w:val="16"/>
        </w:rPr>
        <w:t>392</w:t>
      </w:r>
      <w:r>
        <w:rPr>
          <w:sz w:val="24"/>
        </w:rPr>
        <w:t>)</w:t>
      </w:r>
      <w:r>
        <w:rPr>
          <w:spacing w:val="-8"/>
          <w:sz w:val="24"/>
        </w:rPr>
        <w:t> </w:t>
      </w:r>
      <w:r>
        <w:rPr>
          <w:sz w:val="24"/>
        </w:rPr>
        <w:t>visas</w:t>
      </w:r>
      <w:r>
        <w:rPr>
          <w:spacing w:val="-8"/>
          <w:sz w:val="24"/>
        </w:rPr>
        <w:t> </w:t>
      </w:r>
      <w:r>
        <w:rPr>
          <w:spacing w:val="-3"/>
          <w:sz w:val="24"/>
        </w:rPr>
        <w:t>savas </w:t>
      </w:r>
      <w:r>
        <w:rPr>
          <w:sz w:val="24"/>
        </w:rPr>
        <w:t>apķīlājamās prasījuma tiesības</w:t>
      </w:r>
      <w:r>
        <w:rPr>
          <w:position w:val="9"/>
          <w:sz w:val="16"/>
        </w:rPr>
        <w:t>393 </w:t>
      </w:r>
      <w:r>
        <w:rPr>
          <w:sz w:val="24"/>
        </w:rPr>
        <w:t>par tam pienākošos atlīdzību no darba tiesiskajām attiecībām vai prasījuma tiesības par citu tā vietā gūto atlīdzību sešus gadus no brīža, kad pasludināts parādnieks maksātnespējas process. Tādējādi atšķirībā no Latvijas Maksātnespējas likumā noteiktā regulējuma, kas paredz parādniekam izstrādāt saistību dzēšanas plānu, paredzot kreditoriem izmaksājamo daļu no saviem ienākumiem saistību dzēšanas procedūras laikā, Vācijā administrators (</w:t>
      </w:r>
      <w:r>
        <w:rPr>
          <w:i/>
          <w:sz w:val="24"/>
        </w:rPr>
        <w:t>Treuhaender</w:t>
      </w:r>
      <w:r>
        <w:rPr>
          <w:sz w:val="24"/>
        </w:rPr>
        <w:t>), līdzīgi kā tiesu izpildītājs Latvijā, saistību dzēšanas procedūras laikā saņem apķīlājamo daļu no parādnieka darba algas nepastarpināti, un vienu reizi gadā administrators veic izmaksu kreditoriem.</w:t>
      </w:r>
    </w:p>
    <w:p>
      <w:pPr>
        <w:pStyle w:val="BodyText"/>
        <w:jc w:val="left"/>
        <w:rPr>
          <w:sz w:val="20"/>
        </w:rPr>
      </w:pPr>
    </w:p>
    <w:p>
      <w:pPr>
        <w:pStyle w:val="BodyText"/>
        <w:jc w:val="left"/>
        <w:rPr>
          <w:sz w:val="20"/>
        </w:rPr>
      </w:pPr>
    </w:p>
    <w:p>
      <w:pPr>
        <w:pStyle w:val="BodyText"/>
        <w:spacing w:before="9"/>
        <w:jc w:val="left"/>
        <w:rPr>
          <w:sz w:val="11"/>
        </w:rPr>
      </w:pPr>
      <w:r>
        <w:rPr/>
        <w:pict>
          <v:shape style="position:absolute;margin-left:72pt;margin-top:9.072264pt;width:144pt;height:.1pt;mso-position-horizontal-relative:page;mso-position-vertical-relative:paragraph;z-index:-251478016;mso-wrap-distance-left:0;mso-wrap-distance-right:0" coordorigin="1440,181" coordsize="2880,0" path="m1440,181l4320,181e" filled="false" stroked="true" strokeweight=".599991pt" strokecolor="#000000">
            <v:path arrowok="t"/>
            <v:stroke dashstyle="solid"/>
            <w10:wrap type="topAndBottom"/>
          </v:shape>
        </w:pict>
      </w:r>
    </w:p>
    <w:p>
      <w:pPr>
        <w:spacing w:line="240" w:lineRule="auto" w:before="70"/>
        <w:ind w:left="260" w:right="761" w:firstLine="0"/>
        <w:jc w:val="both"/>
        <w:rPr>
          <w:sz w:val="20"/>
        </w:rPr>
      </w:pPr>
      <w:r>
        <w:rPr>
          <w:position w:val="7"/>
          <w:sz w:val="13"/>
        </w:rPr>
        <w:t>391</w:t>
      </w:r>
      <w:r>
        <w:rPr>
          <w:sz w:val="20"/>
        </w:rPr>
        <w:t>Saskaņā ar § 297 Tiesa priekšlaicīgi atsaka atbrīvošanu no atlikušajām parāda saistībām, pamatojoties uz kreditora pieteikumu, ja laika posmā no brīža, kad kreditoru prasījumi bankrota procedūras ietvaros ir segti no</w:t>
      </w:r>
      <w:r>
        <w:rPr>
          <w:spacing w:val="-5"/>
          <w:sz w:val="20"/>
        </w:rPr>
        <w:t> </w:t>
      </w:r>
      <w:r>
        <w:rPr>
          <w:sz w:val="20"/>
        </w:rPr>
        <w:t>ieņēmumiem</w:t>
      </w:r>
      <w:r>
        <w:rPr>
          <w:spacing w:val="-8"/>
          <w:sz w:val="20"/>
        </w:rPr>
        <w:t> </w:t>
      </w:r>
      <w:r>
        <w:rPr>
          <w:sz w:val="20"/>
        </w:rPr>
        <w:t>no</w:t>
      </w:r>
      <w:r>
        <w:rPr>
          <w:spacing w:val="-5"/>
          <w:sz w:val="20"/>
        </w:rPr>
        <w:t> </w:t>
      </w:r>
      <w:r>
        <w:rPr>
          <w:sz w:val="20"/>
        </w:rPr>
        <w:t>parādnieka</w:t>
      </w:r>
      <w:r>
        <w:rPr>
          <w:spacing w:val="-5"/>
          <w:sz w:val="20"/>
        </w:rPr>
        <w:t> </w:t>
      </w:r>
      <w:r>
        <w:rPr>
          <w:sz w:val="20"/>
        </w:rPr>
        <w:t>mantas</w:t>
      </w:r>
      <w:r>
        <w:rPr>
          <w:spacing w:val="-7"/>
          <w:sz w:val="20"/>
        </w:rPr>
        <w:t> </w:t>
      </w:r>
      <w:r>
        <w:rPr>
          <w:sz w:val="20"/>
        </w:rPr>
        <w:t>pārdošanas</w:t>
      </w:r>
      <w:r>
        <w:rPr>
          <w:spacing w:val="-7"/>
          <w:sz w:val="20"/>
        </w:rPr>
        <w:t> </w:t>
      </w:r>
      <w:r>
        <w:rPr>
          <w:sz w:val="20"/>
        </w:rPr>
        <w:t>(der</w:t>
      </w:r>
      <w:r>
        <w:rPr>
          <w:spacing w:val="-7"/>
          <w:sz w:val="20"/>
        </w:rPr>
        <w:t> </w:t>
      </w:r>
      <w:r>
        <w:rPr>
          <w:sz w:val="20"/>
        </w:rPr>
        <w:t>Schlusstermin</w:t>
      </w:r>
      <w:r>
        <w:rPr>
          <w:position w:val="7"/>
          <w:sz w:val="13"/>
        </w:rPr>
        <w:t>391</w:t>
      </w:r>
      <w:r>
        <w:rPr>
          <w:sz w:val="20"/>
        </w:rPr>
        <w:t>)</w:t>
      </w:r>
      <w:r>
        <w:rPr>
          <w:spacing w:val="-4"/>
          <w:sz w:val="20"/>
        </w:rPr>
        <w:t> </w:t>
      </w:r>
      <w:r>
        <w:rPr>
          <w:sz w:val="20"/>
        </w:rPr>
        <w:t>līdz</w:t>
      </w:r>
      <w:r>
        <w:rPr>
          <w:spacing w:val="-7"/>
          <w:sz w:val="20"/>
        </w:rPr>
        <w:t> </w:t>
      </w:r>
      <w:r>
        <w:rPr>
          <w:sz w:val="20"/>
        </w:rPr>
        <w:t>bankrota</w:t>
      </w:r>
      <w:r>
        <w:rPr>
          <w:spacing w:val="-5"/>
          <w:sz w:val="20"/>
        </w:rPr>
        <w:t> </w:t>
      </w:r>
      <w:r>
        <w:rPr>
          <w:sz w:val="20"/>
        </w:rPr>
        <w:t>procedūras</w:t>
      </w:r>
      <w:r>
        <w:rPr>
          <w:spacing w:val="-8"/>
          <w:sz w:val="20"/>
        </w:rPr>
        <w:t> </w:t>
      </w:r>
      <w:r>
        <w:rPr>
          <w:sz w:val="20"/>
        </w:rPr>
        <w:t>atcelšanai (Aufhebung des Insolvenzverfahren), vai laika posmā no bankrota procedūras pabeigšanas (Beendigung des Insolvenzverfahrens) līdz saistību dzēšanas procedūras beigām (Ende der Abtretungsfrist), parādnieks ir notiesāts ar spēkā stājušos tiesas spriedumu par noziedzīgiem nodarījumiem, kas paredzēti Vācijas Krimināllikuma §§ 283 – 283c, piespriežot naudas sodu 90 vienas dienas vid. izpeļņu apmērā (90 Tagessaetze) vai brīvības atņemšanu ilgāk kā 3</w:t>
      </w:r>
      <w:r>
        <w:rPr>
          <w:spacing w:val="-2"/>
          <w:sz w:val="20"/>
        </w:rPr>
        <w:t> </w:t>
      </w:r>
      <w:r>
        <w:rPr>
          <w:sz w:val="20"/>
        </w:rPr>
        <w:t>mēneši.</w:t>
      </w:r>
    </w:p>
    <w:p>
      <w:pPr>
        <w:spacing w:line="237" w:lineRule="auto" w:before="0"/>
        <w:ind w:left="260" w:right="761" w:firstLine="0"/>
        <w:jc w:val="both"/>
        <w:rPr>
          <w:sz w:val="20"/>
        </w:rPr>
      </w:pPr>
      <w:r>
        <w:rPr>
          <w:position w:val="7"/>
          <w:sz w:val="13"/>
        </w:rPr>
        <w:t>392 </w:t>
      </w:r>
      <w:r>
        <w:rPr>
          <w:sz w:val="20"/>
        </w:rPr>
        <w:t>Šī persona var nebūt maksātnespējas procesa administrators, bet gan cita kompetenta persona, piemēram, revidents, advokāts, kuru iecēlusi tiesa. Persona, kurai jāievēro uzticības pienākums – ievērot otras puses</w:t>
      </w:r>
    </w:p>
    <w:p>
      <w:pPr>
        <w:spacing w:line="228" w:lineRule="exact" w:before="0"/>
        <w:ind w:left="260" w:right="0" w:firstLine="0"/>
        <w:jc w:val="both"/>
        <w:rPr>
          <w:sz w:val="20"/>
        </w:rPr>
      </w:pPr>
      <w:r>
        <w:rPr>
          <w:sz w:val="20"/>
        </w:rPr>
        <w:t>intereses (Treuepflicht).</w:t>
      </w:r>
    </w:p>
    <w:p>
      <w:pPr>
        <w:spacing w:line="240" w:lineRule="auto" w:before="0"/>
        <w:ind w:left="260" w:right="765" w:firstLine="0"/>
        <w:jc w:val="both"/>
        <w:rPr>
          <w:sz w:val="20"/>
        </w:rPr>
      </w:pPr>
      <w:r>
        <w:rPr>
          <w:position w:val="7"/>
          <w:sz w:val="13"/>
        </w:rPr>
        <w:t>393 </w:t>
      </w:r>
      <w:r>
        <w:rPr>
          <w:sz w:val="20"/>
        </w:rPr>
        <w:t>Vācijas Maksātnespējas likums neregulē jautājumu par ienākumu apmēru, kāds jānovirza kreditoru prasījumu segšanai.</w:t>
      </w:r>
    </w:p>
    <w:p>
      <w:pPr>
        <w:spacing w:after="0" w:line="240" w:lineRule="auto"/>
        <w:jc w:val="both"/>
        <w:rPr>
          <w:sz w:val="20"/>
        </w:rPr>
        <w:sectPr>
          <w:pgSz w:w="11910" w:h="16840"/>
          <w:pgMar w:header="0" w:footer="1055" w:top="1340" w:bottom="1240" w:left="1180" w:right="1040"/>
        </w:sectPr>
      </w:pPr>
    </w:p>
    <w:p>
      <w:pPr>
        <w:pStyle w:val="ListParagraph"/>
        <w:numPr>
          <w:ilvl w:val="2"/>
          <w:numId w:val="94"/>
        </w:numPr>
        <w:tabs>
          <w:tab w:pos="1743" w:val="left" w:leader="none"/>
        </w:tabs>
        <w:spacing w:line="235" w:lineRule="auto" w:before="83" w:after="0"/>
        <w:ind w:left="620" w:right="405" w:firstLine="708"/>
        <w:jc w:val="both"/>
        <w:rPr>
          <w:i/>
          <w:sz w:val="24"/>
        </w:rPr>
      </w:pPr>
      <w:r>
        <w:rPr>
          <w:b/>
          <w:i/>
          <w:sz w:val="24"/>
        </w:rPr>
        <w:t>Kreditoru tiesības iesniegt fiziskās personas maksātnespējas procesa </w:t>
      </w:r>
      <w:r>
        <w:rPr>
          <w:b/>
          <w:i/>
          <w:sz w:val="24"/>
        </w:rPr>
        <w:t>pieteikumu.</w:t>
      </w:r>
      <w:r>
        <w:rPr>
          <w:b/>
          <w:i/>
          <w:spacing w:val="-4"/>
          <w:sz w:val="24"/>
        </w:rPr>
        <w:t> </w:t>
      </w:r>
      <w:r>
        <w:rPr>
          <w:sz w:val="24"/>
        </w:rPr>
        <w:t>Saskaņā</w:t>
      </w:r>
      <w:r>
        <w:rPr>
          <w:spacing w:val="-8"/>
          <w:sz w:val="24"/>
        </w:rPr>
        <w:t> </w:t>
      </w:r>
      <w:r>
        <w:rPr>
          <w:sz w:val="24"/>
        </w:rPr>
        <w:t>ar</w:t>
      </w:r>
      <w:r>
        <w:rPr>
          <w:spacing w:val="-3"/>
          <w:sz w:val="24"/>
        </w:rPr>
        <w:t> </w:t>
      </w:r>
      <w:r>
        <w:rPr>
          <w:sz w:val="24"/>
        </w:rPr>
        <w:t>Vācijas</w:t>
      </w:r>
      <w:r>
        <w:rPr>
          <w:spacing w:val="-5"/>
          <w:sz w:val="24"/>
        </w:rPr>
        <w:t> </w:t>
      </w:r>
      <w:r>
        <w:rPr>
          <w:sz w:val="24"/>
        </w:rPr>
        <w:t>Maksātnespējas</w:t>
      </w:r>
      <w:r>
        <w:rPr>
          <w:spacing w:val="-6"/>
          <w:sz w:val="24"/>
        </w:rPr>
        <w:t> </w:t>
      </w:r>
      <w:r>
        <w:rPr>
          <w:sz w:val="24"/>
        </w:rPr>
        <w:t>likuma</w:t>
      </w:r>
      <w:r>
        <w:rPr>
          <w:spacing w:val="-6"/>
          <w:sz w:val="24"/>
        </w:rPr>
        <w:t> </w:t>
      </w:r>
      <w:r>
        <w:rPr>
          <w:i/>
          <w:sz w:val="24"/>
        </w:rPr>
        <w:t>§</w:t>
      </w:r>
      <w:r>
        <w:rPr>
          <w:i/>
          <w:spacing w:val="-5"/>
          <w:sz w:val="24"/>
        </w:rPr>
        <w:t> </w:t>
      </w:r>
      <w:r>
        <w:rPr>
          <w:i/>
          <w:sz w:val="24"/>
        </w:rPr>
        <w:t>13</w:t>
      </w:r>
      <w:r>
        <w:rPr>
          <w:i/>
          <w:spacing w:val="-5"/>
          <w:sz w:val="24"/>
        </w:rPr>
        <w:t> </w:t>
      </w:r>
      <w:r>
        <w:rPr>
          <w:i/>
          <w:sz w:val="24"/>
        </w:rPr>
        <w:t>pirmās</w:t>
      </w:r>
      <w:r>
        <w:rPr>
          <w:i/>
          <w:spacing w:val="-6"/>
          <w:sz w:val="24"/>
        </w:rPr>
        <w:t> </w:t>
      </w:r>
      <w:r>
        <w:rPr>
          <w:i/>
          <w:sz w:val="24"/>
        </w:rPr>
        <w:t>daļas</w:t>
      </w:r>
      <w:r>
        <w:rPr>
          <w:i/>
          <w:spacing w:val="-3"/>
          <w:sz w:val="24"/>
        </w:rPr>
        <w:t> </w:t>
      </w:r>
      <w:r>
        <w:rPr>
          <w:i/>
          <w:sz w:val="24"/>
        </w:rPr>
        <w:t>otro</w:t>
      </w:r>
      <w:r>
        <w:rPr>
          <w:i/>
          <w:spacing w:val="-5"/>
          <w:sz w:val="24"/>
        </w:rPr>
        <w:t> </w:t>
      </w:r>
      <w:r>
        <w:rPr>
          <w:i/>
          <w:sz w:val="24"/>
        </w:rPr>
        <w:t>teikumu</w:t>
      </w:r>
      <w:r>
        <w:rPr>
          <w:i/>
          <w:spacing w:val="-5"/>
          <w:sz w:val="24"/>
        </w:rPr>
        <w:t> </w:t>
      </w:r>
      <w:r>
        <w:rPr>
          <w:i/>
          <w:sz w:val="24"/>
        </w:rPr>
        <w:t>un</w:t>
      </w:r>
    </w:p>
    <w:p>
      <w:pPr>
        <w:pStyle w:val="BodyText"/>
        <w:spacing w:before="1"/>
        <w:ind w:left="620" w:right="402"/>
      </w:pPr>
      <w:r>
        <w:rPr>
          <w:i/>
        </w:rPr>
        <w:t>§ 304 pirmo daļu </w:t>
      </w:r>
      <w:r>
        <w:rPr/>
        <w:t>fiziskās personas maksātnespējas procesa pieteikumu ir tiesīgs iesniegt parādnieks un kreditors. Gadījumos, kad kreditors ir iesniedzis tiesā fiziskās personas maksātnespējas pieteikumu, Vācijas Maksātnespējas likuma </w:t>
      </w:r>
      <w:r>
        <w:rPr>
          <w:i/>
        </w:rPr>
        <w:t>§ 306 </w:t>
      </w:r>
      <w:r>
        <w:rPr/>
        <w:t>trešajā daļā ir noteikta speciāla</w:t>
      </w:r>
      <w:r>
        <w:rPr>
          <w:spacing w:val="-5"/>
        </w:rPr>
        <w:t> </w:t>
      </w:r>
      <w:r>
        <w:rPr/>
        <w:t>kārtība</w:t>
      </w:r>
      <w:r>
        <w:rPr>
          <w:spacing w:val="-8"/>
        </w:rPr>
        <w:t> </w:t>
      </w:r>
      <w:r>
        <w:rPr/>
        <w:t>tālākai</w:t>
      </w:r>
      <w:r>
        <w:rPr>
          <w:spacing w:val="-7"/>
        </w:rPr>
        <w:t> </w:t>
      </w:r>
      <w:r>
        <w:rPr/>
        <w:t>procesa</w:t>
      </w:r>
      <w:r>
        <w:rPr>
          <w:spacing w:val="-8"/>
        </w:rPr>
        <w:t> </w:t>
      </w:r>
      <w:r>
        <w:rPr/>
        <w:t>virzībai</w:t>
      </w:r>
      <w:r>
        <w:rPr>
          <w:spacing w:val="-7"/>
        </w:rPr>
        <w:t> </w:t>
      </w:r>
      <w:r>
        <w:rPr/>
        <w:t>tiesā.</w:t>
      </w:r>
      <w:r>
        <w:rPr>
          <w:spacing w:val="-4"/>
        </w:rPr>
        <w:t> </w:t>
      </w:r>
      <w:r>
        <w:rPr/>
        <w:t>Proti,</w:t>
      </w:r>
      <w:r>
        <w:rPr>
          <w:spacing w:val="-5"/>
        </w:rPr>
        <w:t> </w:t>
      </w:r>
      <w:r>
        <w:rPr/>
        <w:t>lai</w:t>
      </w:r>
      <w:r>
        <w:rPr>
          <w:spacing w:val="-5"/>
        </w:rPr>
        <w:t> </w:t>
      </w:r>
      <w:r>
        <w:rPr/>
        <w:t>netiktu</w:t>
      </w:r>
      <w:r>
        <w:rPr>
          <w:spacing w:val="-3"/>
        </w:rPr>
        <w:t> </w:t>
      </w:r>
      <w:r>
        <w:rPr/>
        <w:t>apietas</w:t>
      </w:r>
      <w:r>
        <w:rPr>
          <w:spacing w:val="-5"/>
        </w:rPr>
        <w:t> </w:t>
      </w:r>
      <w:r>
        <w:rPr/>
        <w:t>parādniekam</w:t>
      </w:r>
      <w:r>
        <w:rPr>
          <w:spacing w:val="-5"/>
        </w:rPr>
        <w:t> </w:t>
      </w:r>
      <w:r>
        <w:rPr/>
        <w:t>likumā noteiktās</w:t>
      </w:r>
      <w:r>
        <w:rPr>
          <w:spacing w:val="-10"/>
        </w:rPr>
        <w:t> </w:t>
      </w:r>
      <w:r>
        <w:rPr/>
        <w:t>tiesības</w:t>
      </w:r>
      <w:r>
        <w:rPr>
          <w:spacing w:val="-9"/>
        </w:rPr>
        <w:t> </w:t>
      </w:r>
      <w:r>
        <w:rPr/>
        <w:t>panākt</w:t>
      </w:r>
      <w:r>
        <w:rPr>
          <w:spacing w:val="-6"/>
        </w:rPr>
        <w:t> </w:t>
      </w:r>
      <w:r>
        <w:rPr/>
        <w:t>vienošanos</w:t>
      </w:r>
      <w:r>
        <w:rPr>
          <w:spacing w:val="-9"/>
        </w:rPr>
        <w:t> </w:t>
      </w:r>
      <w:r>
        <w:rPr/>
        <w:t>ar</w:t>
      </w:r>
      <w:r>
        <w:rPr>
          <w:spacing w:val="-9"/>
        </w:rPr>
        <w:t> </w:t>
      </w:r>
      <w:r>
        <w:rPr/>
        <w:t>kreditoriem</w:t>
      </w:r>
      <w:r>
        <w:rPr>
          <w:spacing w:val="-6"/>
        </w:rPr>
        <w:t> </w:t>
      </w:r>
      <w:r>
        <w:rPr/>
        <w:t>par</w:t>
      </w:r>
      <w:r>
        <w:rPr>
          <w:spacing w:val="-12"/>
        </w:rPr>
        <w:t> </w:t>
      </w:r>
      <w:r>
        <w:rPr/>
        <w:t>parādu</w:t>
      </w:r>
      <w:r>
        <w:rPr>
          <w:spacing w:val="-9"/>
        </w:rPr>
        <w:t> </w:t>
      </w:r>
      <w:r>
        <w:rPr/>
        <w:t>segšanas</w:t>
      </w:r>
      <w:r>
        <w:rPr>
          <w:spacing w:val="-9"/>
        </w:rPr>
        <w:t> </w:t>
      </w:r>
      <w:r>
        <w:rPr/>
        <w:t>kārtību</w:t>
      </w:r>
      <w:r>
        <w:rPr>
          <w:spacing w:val="-9"/>
        </w:rPr>
        <w:t> </w:t>
      </w:r>
      <w:r>
        <w:rPr/>
        <w:t>ārpustiesas ceļā un tiesas ceļā, kā arī parādnieka tiesības sniegt tiesai pieteikumu par atbrīvošanu no neizpildītajām parādsaistībām (</w:t>
      </w:r>
      <w:r>
        <w:rPr>
          <w:i/>
        </w:rPr>
        <w:t>§ 305 pirmās daļas 2.punkts un § 287), </w:t>
      </w:r>
      <w:r>
        <w:rPr/>
        <w:t>kā arī pieteikumu par maksātnespējas procesa izmaksu segšanas atlikšanu </w:t>
      </w:r>
      <w:r>
        <w:rPr>
          <w:i/>
        </w:rPr>
        <w:t>(§ 4a), </w:t>
      </w:r>
      <w:r>
        <w:rPr/>
        <w:t>saskaņā ar Vācijas Maksātnespējas likuma </w:t>
      </w:r>
      <w:r>
        <w:rPr>
          <w:i/>
        </w:rPr>
        <w:t>§ </w:t>
      </w:r>
      <w:r>
        <w:rPr/>
        <w:t>306 trešo daļu tiesa pirms lēmuma pieņemšanas par parādnieka maksātnespējas procesa pasludināšanu dod iespēju parādniekam pašam iesniegt savu maksātnespējas procesa</w:t>
      </w:r>
      <w:r>
        <w:rPr>
          <w:spacing w:val="1"/>
        </w:rPr>
        <w:t> </w:t>
      </w:r>
      <w:r>
        <w:rPr/>
        <w:t>pieteikumu.</w:t>
      </w:r>
    </w:p>
    <w:p>
      <w:pPr>
        <w:pStyle w:val="BodyText"/>
        <w:spacing w:before="1"/>
        <w:ind w:left="620" w:right="400" w:firstLine="708"/>
        <w:rPr>
          <w:i/>
        </w:rPr>
      </w:pPr>
      <w:r>
        <w:rPr/>
        <w:t>Tas, ka pieteikumam par saistību dzēšanas procedūras piemērošanu nepieciešams arī paša parādnieka iesniegts maksātnespējas procesa pieteikums, izriet arī no Vācijas Maksātnespējas</w:t>
      </w:r>
      <w:r>
        <w:rPr>
          <w:spacing w:val="-10"/>
        </w:rPr>
        <w:t> </w:t>
      </w:r>
      <w:r>
        <w:rPr/>
        <w:t>likuma</w:t>
      </w:r>
      <w:r>
        <w:rPr>
          <w:spacing w:val="-10"/>
        </w:rPr>
        <w:t> </w:t>
      </w:r>
      <w:r>
        <w:rPr>
          <w:i/>
        </w:rPr>
        <w:t>§</w:t>
      </w:r>
      <w:r>
        <w:rPr>
          <w:i/>
          <w:spacing w:val="-8"/>
        </w:rPr>
        <w:t> </w:t>
      </w:r>
      <w:r>
        <w:rPr>
          <w:i/>
        </w:rPr>
        <w:t>287</w:t>
      </w:r>
      <w:r>
        <w:rPr>
          <w:i/>
          <w:spacing w:val="-10"/>
        </w:rPr>
        <w:t> </w:t>
      </w:r>
      <w:r>
        <w:rPr>
          <w:i/>
        </w:rPr>
        <w:t>pirmās</w:t>
      </w:r>
      <w:r>
        <w:rPr>
          <w:i/>
          <w:spacing w:val="-10"/>
        </w:rPr>
        <w:t> </w:t>
      </w:r>
      <w:r>
        <w:rPr>
          <w:i/>
        </w:rPr>
        <w:t>daļas</w:t>
      </w:r>
      <w:r>
        <w:rPr>
          <w:i/>
          <w:spacing w:val="-10"/>
        </w:rPr>
        <w:t> </w:t>
      </w:r>
      <w:r>
        <w:rPr>
          <w:i/>
        </w:rPr>
        <w:t>pirmā</w:t>
      </w:r>
      <w:r>
        <w:rPr>
          <w:i/>
          <w:spacing w:val="-12"/>
        </w:rPr>
        <w:t> </w:t>
      </w:r>
      <w:r>
        <w:rPr>
          <w:i/>
        </w:rPr>
        <w:t>teikuma</w:t>
      </w:r>
      <w:r>
        <w:rPr/>
        <w:t>,</w:t>
      </w:r>
      <w:r>
        <w:rPr>
          <w:spacing w:val="-10"/>
        </w:rPr>
        <w:t> </w:t>
      </w:r>
      <w:r>
        <w:rPr/>
        <w:t>kas</w:t>
      </w:r>
      <w:r>
        <w:rPr>
          <w:spacing w:val="-10"/>
        </w:rPr>
        <w:t> </w:t>
      </w:r>
      <w:r>
        <w:rPr/>
        <w:t>nosaka,</w:t>
      </w:r>
      <w:r>
        <w:rPr>
          <w:spacing w:val="-10"/>
        </w:rPr>
        <w:t> </w:t>
      </w:r>
      <w:r>
        <w:rPr/>
        <w:t>ka</w:t>
      </w:r>
      <w:r>
        <w:rPr>
          <w:spacing w:val="-11"/>
        </w:rPr>
        <w:t> </w:t>
      </w:r>
      <w:r>
        <w:rPr/>
        <w:t>priekšnoteikums parādnieka</w:t>
      </w:r>
      <w:r>
        <w:rPr>
          <w:spacing w:val="-9"/>
        </w:rPr>
        <w:t> </w:t>
      </w:r>
      <w:r>
        <w:rPr/>
        <w:t>atlikušo</w:t>
      </w:r>
      <w:r>
        <w:rPr>
          <w:spacing w:val="-7"/>
        </w:rPr>
        <w:t> </w:t>
      </w:r>
      <w:r>
        <w:rPr/>
        <w:t>parādsaistību</w:t>
      </w:r>
      <w:r>
        <w:rPr>
          <w:spacing w:val="-6"/>
        </w:rPr>
        <w:t> </w:t>
      </w:r>
      <w:r>
        <w:rPr/>
        <w:t>dzēšanai</w:t>
      </w:r>
      <w:r>
        <w:rPr>
          <w:spacing w:val="-6"/>
        </w:rPr>
        <w:t> </w:t>
      </w:r>
      <w:r>
        <w:rPr/>
        <w:t>ir</w:t>
      </w:r>
      <w:r>
        <w:rPr>
          <w:spacing w:val="-6"/>
        </w:rPr>
        <w:t> </w:t>
      </w:r>
      <w:r>
        <w:rPr/>
        <w:t>parādnieka</w:t>
      </w:r>
      <w:r>
        <w:rPr>
          <w:spacing w:val="-9"/>
        </w:rPr>
        <w:t> </w:t>
      </w:r>
      <w:r>
        <w:rPr/>
        <w:t>pieteikums,</w:t>
      </w:r>
      <w:r>
        <w:rPr>
          <w:spacing w:val="-6"/>
        </w:rPr>
        <w:t> </w:t>
      </w:r>
      <w:r>
        <w:rPr/>
        <w:t>kuram</w:t>
      </w:r>
      <w:r>
        <w:rPr>
          <w:spacing w:val="-1"/>
        </w:rPr>
        <w:t> </w:t>
      </w:r>
      <w:r>
        <w:rPr/>
        <w:t>jābūt</w:t>
      </w:r>
      <w:r>
        <w:rPr>
          <w:spacing w:val="-4"/>
        </w:rPr>
        <w:t> </w:t>
      </w:r>
      <w:r>
        <w:rPr/>
        <w:t>saistītam ar pieteikumu par maksātnespējas procesa pasludināšanu. Savukārt, ja pieteikums par saistību dzēšanas procedūras piemērošanu netiek sniegts vienlaicīgi ar pieteikumu par maksātnespējas procesa pasludināšanu, tad saskaņā ar Vācijas Maksātnespējas likuma </w:t>
      </w:r>
      <w:r>
        <w:rPr>
          <w:i/>
        </w:rPr>
        <w:t>§ </w:t>
      </w:r>
      <w:r>
        <w:rPr>
          <w:i/>
        </w:rPr>
        <w:t>287 pirmās daļas 2.teikumu </w:t>
      </w:r>
      <w:r>
        <w:rPr/>
        <w:t>parādnieks iesniedz to tiesā 2 nedēļu laikā pēc tiesas dota uzaicinājuma</w:t>
      </w:r>
      <w:r>
        <w:rPr>
          <w:i/>
        </w:rPr>
        <w:t>.</w:t>
      </w:r>
    </w:p>
    <w:p>
      <w:pPr>
        <w:pStyle w:val="BodyText"/>
        <w:spacing w:line="237" w:lineRule="auto" w:before="2"/>
        <w:ind w:left="620" w:right="401" w:firstLine="708"/>
        <w:rPr>
          <w:sz w:val="16"/>
        </w:rPr>
      </w:pPr>
      <w:r>
        <w:rPr/>
        <w:t>Juridiskajā literatūrā ir norādīts, ka, lai arī tas nav tieši saprotams no Vācijas Maksātnespējas likuma </w:t>
      </w:r>
      <w:r>
        <w:rPr>
          <w:i/>
        </w:rPr>
        <w:t>§ 287 </w:t>
      </w:r>
      <w:r>
        <w:rPr/>
        <w:t>pirmās daļas burtiski, tomēr izolēts pieteikums </w:t>
      </w:r>
      <w:r>
        <w:rPr>
          <w:spacing w:val="-4"/>
        </w:rPr>
        <w:t>par</w:t>
      </w:r>
      <w:r>
        <w:rPr>
          <w:spacing w:val="52"/>
        </w:rPr>
        <w:t> </w:t>
      </w:r>
      <w:r>
        <w:rPr/>
        <w:t>parādnieka atbrīvošanu no neizpildītajām parādsaistībām kreditora pieteikuma gadījumā nav pieļaujams. Tāpēc Vācijas Federatīvā Augstākā tiesa ir norādījusi tiesām sniegt parādniekam detalizētu norādi par iespēju un priekšnoteikumiem atbrīvošanai no parādsaistībām kreditora iesniegta maksātnespējas procesa pieteikuma gadījumā.</w:t>
      </w:r>
      <w:r>
        <w:rPr>
          <w:position w:val="9"/>
          <w:sz w:val="16"/>
        </w:rPr>
        <w:t>394</w:t>
      </w:r>
    </w:p>
    <w:p>
      <w:pPr>
        <w:pStyle w:val="BodyText"/>
        <w:spacing w:line="237" w:lineRule="auto" w:before="1"/>
        <w:ind w:left="620" w:right="404" w:firstLine="708"/>
        <w:rPr>
          <w:sz w:val="16"/>
        </w:rPr>
      </w:pPr>
      <w:r>
        <w:rPr/>
        <w:t>Iesniedzot savu maksātnespējas procesa pieteikumu sākotnēji iesniegta kreditora pieteikuma gadījumā, parādnieks piesakās maksātnespējas procesam un parāda gatavību līdzdarboties procesā. Tādā veidā viņš pasaka, ka maksātnespējas procesā nodos savu mantu ar mērķi vismaz daļējai kreditoru prasījumu apmierināšanai, kā arī ar mērķi atbrīvošanai no neizpildītajām parādsaistībām.</w:t>
      </w:r>
      <w:r>
        <w:rPr>
          <w:position w:val="9"/>
          <w:sz w:val="16"/>
        </w:rPr>
        <w:t>395</w:t>
      </w:r>
    </w:p>
    <w:p>
      <w:pPr>
        <w:pStyle w:val="BodyText"/>
        <w:spacing w:line="232" w:lineRule="auto" w:before="4"/>
        <w:ind w:left="620" w:right="403" w:firstLine="708"/>
        <w:rPr>
          <w:sz w:val="16"/>
        </w:rPr>
      </w:pPr>
      <w:r>
        <w:rPr/>
        <w:t>Vācijas Federatīvā Augstākā Tiesa ir lēmusi, ka parādniekam nav iespēja aizstāvēties pret kreditora iesniegtu maksātnespējas procesa pieteikumu, ceļot iebildumus, ka nepastāv maksātnespējas procesa pazīme.</w:t>
      </w:r>
      <w:r>
        <w:rPr>
          <w:position w:val="9"/>
          <w:sz w:val="16"/>
        </w:rPr>
        <w:t>396</w:t>
      </w:r>
    </w:p>
    <w:p>
      <w:pPr>
        <w:pStyle w:val="BodyText"/>
        <w:spacing w:line="237" w:lineRule="auto" w:before="5"/>
        <w:ind w:left="620" w:right="401" w:firstLine="708"/>
      </w:pPr>
      <w:r>
        <w:rPr/>
        <w:t>Ja parādnieka nokavē maksātnespējas procesa pieteikuma un pieteikuma par atbrīvošanu no neizpildītajām parādsaistībām iesniegšanas termiņu un maksātnespējas process tiek pasludināts, pamatojoties uz kreditora pieteikumu, tad parādnieka iesniegts maksātnespējas procesa pieteikums jau pasludinātā maksātnespējas procesā vairs nav pieļaujams, un tādā gadījumā parādnieks nevar šādā procesā tikt atbrīvots no neizpildītajām parādsaistībām.</w:t>
      </w:r>
      <w:r>
        <w:rPr>
          <w:position w:val="9"/>
          <w:sz w:val="16"/>
        </w:rPr>
        <w:t>397 </w:t>
      </w:r>
      <w:r>
        <w:rPr/>
        <w:t>Izņēmums ir pieļaujams gadījumā, ja tiesa nav</w:t>
      </w:r>
      <w:r>
        <w:rPr>
          <w:spacing w:val="-43"/>
        </w:rPr>
        <w:t> </w:t>
      </w:r>
      <w:r>
        <w:rPr/>
        <w:t>norādījusi</w:t>
      </w:r>
    </w:p>
    <w:p>
      <w:pPr>
        <w:pStyle w:val="BodyText"/>
        <w:spacing w:before="6"/>
        <w:jc w:val="left"/>
        <w:rPr>
          <w:sz w:val="28"/>
        </w:rPr>
      </w:pPr>
      <w:r>
        <w:rPr/>
        <w:pict>
          <v:shape style="position:absolute;margin-left:90pt;margin-top:18.65633pt;width:144pt;height:.1pt;mso-position-horizontal-relative:page;mso-position-vertical-relative:paragraph;z-index:-251476992;mso-wrap-distance-left:0;mso-wrap-distance-right:0" coordorigin="1800,373" coordsize="2880,0" path="m1800,373l4680,373e" filled="false" stroked="true" strokeweight=".599991pt" strokecolor="#000000">
            <v:path arrowok="t"/>
            <v:stroke dashstyle="solid"/>
            <w10:wrap type="topAndBottom"/>
          </v:shape>
        </w:pict>
      </w:r>
    </w:p>
    <w:p>
      <w:pPr>
        <w:spacing w:line="249" w:lineRule="auto" w:before="58"/>
        <w:ind w:left="620" w:right="0" w:firstLine="0"/>
        <w:jc w:val="left"/>
        <w:rPr>
          <w:sz w:val="20"/>
        </w:rPr>
      </w:pPr>
      <w:r>
        <w:rPr>
          <w:position w:val="9"/>
          <w:sz w:val="16"/>
        </w:rPr>
        <w:t>394 </w:t>
      </w:r>
      <w:r>
        <w:rPr>
          <w:sz w:val="20"/>
        </w:rPr>
        <w:t>BGH 17.2.2005 – IXZB173/03; Kayser/Thole “Insolvenzordnung” Heidelberger Kommentar, 9. neu bearbeitete Auflage, C.F.Mueller, 2018,/Waltenberger Kommentare § 287, S.2178.</w:t>
      </w:r>
    </w:p>
    <w:p>
      <w:pPr>
        <w:spacing w:line="222" w:lineRule="exact" w:before="0"/>
        <w:ind w:left="620" w:right="0" w:firstLine="0"/>
        <w:jc w:val="left"/>
        <w:rPr>
          <w:sz w:val="20"/>
        </w:rPr>
      </w:pPr>
      <w:r>
        <w:rPr>
          <w:position w:val="7"/>
          <w:sz w:val="13"/>
        </w:rPr>
        <w:t>395 </w:t>
      </w:r>
      <w:r>
        <w:rPr>
          <w:sz w:val="20"/>
        </w:rPr>
        <w:t>Kayser/Thole “Insolvenzordnung” Heidelberger Kommentar, 9. neu bearbeitete Auflage, C.F.Mueller,</w:t>
      </w:r>
    </w:p>
    <w:p>
      <w:pPr>
        <w:spacing w:line="227" w:lineRule="exact" w:before="0"/>
        <w:ind w:left="620" w:right="0" w:firstLine="0"/>
        <w:jc w:val="left"/>
        <w:rPr>
          <w:sz w:val="20"/>
        </w:rPr>
      </w:pPr>
      <w:r>
        <w:rPr>
          <w:sz w:val="20"/>
        </w:rPr>
        <w:t>2018,/Waltenberger  Kommentare § 287,</w:t>
      </w:r>
      <w:r>
        <w:rPr>
          <w:spacing w:val="-2"/>
          <w:sz w:val="20"/>
        </w:rPr>
        <w:t> </w:t>
      </w:r>
      <w:r>
        <w:rPr>
          <w:sz w:val="20"/>
        </w:rPr>
        <w:t>S.2178.</w:t>
      </w:r>
    </w:p>
    <w:p>
      <w:pPr>
        <w:spacing w:line="240" w:lineRule="auto" w:before="0"/>
        <w:ind w:left="620" w:right="0" w:firstLine="0"/>
        <w:jc w:val="left"/>
        <w:rPr>
          <w:sz w:val="20"/>
        </w:rPr>
      </w:pPr>
      <w:r>
        <w:rPr>
          <w:position w:val="7"/>
          <w:sz w:val="13"/>
        </w:rPr>
        <w:t>396</w:t>
      </w:r>
      <w:r>
        <w:rPr>
          <w:sz w:val="20"/>
        </w:rPr>
        <w:t>Kayser/Thole “Insolvenzordnung” Heidelberger Kommentar, 9. neu bearbeitete Auflage, C.F.Mueller, 2018,/Waltenberger Kommentare § 287,</w:t>
      </w:r>
      <w:r>
        <w:rPr>
          <w:spacing w:val="-1"/>
          <w:sz w:val="20"/>
        </w:rPr>
        <w:t> </w:t>
      </w:r>
      <w:r>
        <w:rPr>
          <w:sz w:val="20"/>
        </w:rPr>
        <w:t>S.2178.</w:t>
      </w:r>
    </w:p>
    <w:p>
      <w:pPr>
        <w:spacing w:line="240" w:lineRule="auto" w:before="0"/>
        <w:ind w:left="620" w:right="0" w:firstLine="0"/>
        <w:jc w:val="left"/>
        <w:rPr>
          <w:sz w:val="20"/>
        </w:rPr>
      </w:pPr>
      <w:r>
        <w:rPr>
          <w:position w:val="7"/>
          <w:sz w:val="13"/>
        </w:rPr>
        <w:t>397 </w:t>
      </w:r>
      <w:r>
        <w:rPr>
          <w:sz w:val="20"/>
        </w:rPr>
        <w:t>Kayser/Thole “Insolvenzordnung” Heidelberger Kommentar, 9. neu bearbeitete Auflage, C.F.Mueller, 2018,/Waltenberger Kommentare § 287,</w:t>
      </w:r>
      <w:r>
        <w:rPr>
          <w:spacing w:val="-1"/>
          <w:sz w:val="20"/>
        </w:rPr>
        <w:t> </w:t>
      </w:r>
      <w:r>
        <w:rPr>
          <w:sz w:val="20"/>
        </w:rPr>
        <w:t>S.2179.</w:t>
      </w:r>
    </w:p>
    <w:p>
      <w:pPr>
        <w:spacing w:after="0" w:line="240" w:lineRule="auto"/>
        <w:jc w:val="left"/>
        <w:rPr>
          <w:sz w:val="20"/>
        </w:rPr>
        <w:sectPr>
          <w:pgSz w:w="11910" w:h="16840"/>
          <w:pgMar w:header="0" w:footer="1055" w:top="1340" w:bottom="1240" w:left="1180" w:right="1040"/>
        </w:sectPr>
      </w:pPr>
    </w:p>
    <w:p>
      <w:pPr>
        <w:pStyle w:val="BodyText"/>
        <w:spacing w:line="237" w:lineRule="auto" w:before="75"/>
        <w:ind w:left="260" w:right="761"/>
        <w:rPr>
          <w:sz w:val="16"/>
        </w:rPr>
      </w:pPr>
      <w:r>
        <w:rPr/>
        <w:t>parādniekam par iespēju sniegt maksātnespējas procesa pieteikumu un pieteikumu par atbrīvošanu no neizpildītajām parādsaistībām, vai šī norāde nav bijusi pilnīga, vai nav nonākusi līdz parādniekam. Šādā gadījumā ir pietiekami un pieļaujams, ja parādnieks pieteikumu par atbrīvošanu no neizpildītajām parādsaistībām iesniedz līdz bankrota procedūras pabeigšanai.</w:t>
      </w:r>
      <w:r>
        <w:rPr>
          <w:position w:val="9"/>
          <w:sz w:val="16"/>
        </w:rPr>
        <w:t>398</w:t>
      </w:r>
    </w:p>
    <w:p>
      <w:pPr>
        <w:pStyle w:val="BodyText"/>
        <w:spacing w:line="235" w:lineRule="auto" w:before="1"/>
        <w:ind w:left="260" w:right="763" w:firstLine="708"/>
        <w:rPr>
          <w:sz w:val="16"/>
        </w:rPr>
      </w:pPr>
      <w:r>
        <w:rPr/>
        <w:t>Ja parādnieks neiesniedz savu maksātnespējas procesa pieteikumu, tad, pamatojoties uz kreditora maksātnespējas procesa pieteikumu, var tikt pasludināts parādnieka maksātnespējas process. Šādā gadījumā parādu saistību dzēšana netiek piemērota un netiek piemērota arī maksātnespējas procesa izmaksu segšanas atlikšana.</w:t>
      </w:r>
      <w:r>
        <w:rPr>
          <w:position w:val="9"/>
          <w:sz w:val="16"/>
        </w:rPr>
        <w:t>399</w:t>
      </w:r>
    </w:p>
    <w:p>
      <w:pPr>
        <w:pStyle w:val="BodyText"/>
        <w:spacing w:line="237" w:lineRule="auto" w:before="5"/>
        <w:ind w:left="260" w:right="762" w:firstLine="708"/>
        <w:rPr>
          <w:sz w:val="16"/>
        </w:rPr>
      </w:pPr>
      <w:r>
        <w:rPr/>
        <w:t>Saskaņā ar statistikas datiem 2017. gadā kopā pasludināti 69 960 fizisko personu maksātnespējas procesi (taču netiek atsevišķi izdalīti statistikas dati par kreditoru iniciētiem</w:t>
      </w:r>
      <w:r>
        <w:rPr>
          <w:spacing w:val="-8"/>
        </w:rPr>
        <w:t> </w:t>
      </w:r>
      <w:r>
        <w:rPr/>
        <w:t>fiziskās</w:t>
      </w:r>
      <w:r>
        <w:rPr>
          <w:spacing w:val="-8"/>
        </w:rPr>
        <w:t> </w:t>
      </w:r>
      <w:r>
        <w:rPr/>
        <w:t>personas</w:t>
      </w:r>
      <w:r>
        <w:rPr>
          <w:spacing w:val="-7"/>
        </w:rPr>
        <w:t> </w:t>
      </w:r>
      <w:r>
        <w:rPr/>
        <w:t>maksātnespējas</w:t>
      </w:r>
      <w:r>
        <w:rPr>
          <w:spacing w:val="-8"/>
        </w:rPr>
        <w:t> </w:t>
      </w:r>
      <w:r>
        <w:rPr/>
        <w:t>procesiem),</w:t>
      </w:r>
      <w:r>
        <w:rPr>
          <w:spacing w:val="-8"/>
        </w:rPr>
        <w:t> </w:t>
      </w:r>
      <w:r>
        <w:rPr/>
        <w:t>nepietiekošas</w:t>
      </w:r>
      <w:r>
        <w:rPr>
          <w:spacing w:val="-7"/>
        </w:rPr>
        <w:t> </w:t>
      </w:r>
      <w:r>
        <w:rPr/>
        <w:t>mantas</w:t>
      </w:r>
      <w:r>
        <w:rPr>
          <w:spacing w:val="-10"/>
        </w:rPr>
        <w:t> </w:t>
      </w:r>
      <w:r>
        <w:rPr/>
        <w:t>dēļ</w:t>
      </w:r>
      <w:r>
        <w:rPr>
          <w:spacing w:val="-8"/>
        </w:rPr>
        <w:t> </w:t>
      </w:r>
      <w:r>
        <w:rPr/>
        <w:t>noraidīti 256 maksātnespējas procesa noteikumi, pieņemta Vienošanās par parādu segšanas kārtību 1680 gadījumos.</w:t>
      </w:r>
      <w:r>
        <w:rPr>
          <w:position w:val="9"/>
          <w:sz w:val="16"/>
        </w:rPr>
        <w:t>400</w:t>
      </w:r>
    </w:p>
    <w:p>
      <w:pPr>
        <w:pStyle w:val="BodyText"/>
        <w:ind w:left="260" w:right="761" w:firstLine="708"/>
      </w:pPr>
      <w:r>
        <w:rPr/>
        <w:t>Ņemot vērā minēto, secināms, ka Vācijas Maksātnespējas likums pieļauj kreditora sniegtu</w:t>
      </w:r>
      <w:r>
        <w:rPr>
          <w:spacing w:val="-11"/>
        </w:rPr>
        <w:t> </w:t>
      </w:r>
      <w:r>
        <w:rPr/>
        <w:t>maksātnespējas</w:t>
      </w:r>
      <w:r>
        <w:rPr>
          <w:spacing w:val="-11"/>
        </w:rPr>
        <w:t> </w:t>
      </w:r>
      <w:r>
        <w:rPr/>
        <w:t>procesa</w:t>
      </w:r>
      <w:r>
        <w:rPr>
          <w:spacing w:val="-11"/>
        </w:rPr>
        <w:t> </w:t>
      </w:r>
      <w:r>
        <w:rPr/>
        <w:t>pieteikumu</w:t>
      </w:r>
      <w:r>
        <w:rPr>
          <w:spacing w:val="-8"/>
        </w:rPr>
        <w:t> </w:t>
      </w:r>
      <w:r>
        <w:rPr/>
        <w:t>fiziskās</w:t>
      </w:r>
      <w:r>
        <w:rPr>
          <w:spacing w:val="-13"/>
        </w:rPr>
        <w:t> </w:t>
      </w:r>
      <w:r>
        <w:rPr/>
        <w:t>personas</w:t>
      </w:r>
      <w:r>
        <w:rPr>
          <w:spacing w:val="-13"/>
        </w:rPr>
        <w:t> </w:t>
      </w:r>
      <w:r>
        <w:rPr/>
        <w:t>maksātnespējas</w:t>
      </w:r>
      <w:r>
        <w:rPr>
          <w:spacing w:val="-10"/>
        </w:rPr>
        <w:t> </w:t>
      </w:r>
      <w:r>
        <w:rPr/>
        <w:t>procesā,</w:t>
      </w:r>
      <w:r>
        <w:rPr>
          <w:spacing w:val="-11"/>
        </w:rPr>
        <w:t> </w:t>
      </w:r>
      <w:r>
        <w:rPr/>
        <w:t>taču šīs kreditora tiesības tiek līdzsvarotas ar parādniekam dotu iespēju pašam sniegt maksātnespējas procesa pieteikumu un pieteikumu par atbrīvošanu no neizpildītajām parādsaistībām, lai tādejādi izmantotu Vācijas Maksātnespējas likumā noteiktos instrumentus sekmīgai saistību dzēšanas procedūras īstenošanai. Ja parādnieks šīs tiesības neizmanto, tiek īstenota tikai bankrota procedūra bez saistību dzēšanas.</w:t>
      </w:r>
    </w:p>
    <w:p>
      <w:pPr>
        <w:pStyle w:val="ListParagraph"/>
        <w:numPr>
          <w:ilvl w:val="2"/>
          <w:numId w:val="94"/>
        </w:numPr>
        <w:tabs>
          <w:tab w:pos="1271" w:val="left" w:leader="none"/>
        </w:tabs>
        <w:spacing w:line="240" w:lineRule="auto" w:before="0" w:after="0"/>
        <w:ind w:left="260" w:right="762" w:firstLine="708"/>
        <w:jc w:val="both"/>
        <w:rPr>
          <w:sz w:val="24"/>
        </w:rPr>
      </w:pPr>
      <w:r>
        <w:rPr>
          <w:b/>
          <w:i/>
          <w:sz w:val="24"/>
        </w:rPr>
        <w:t>Fiziskās personas maksātnespējas procesa pasludināšanas kārtība</w:t>
      </w:r>
      <w:r>
        <w:rPr>
          <w:b/>
          <w:sz w:val="24"/>
        </w:rPr>
        <w:t>. </w:t>
      </w:r>
      <w:r>
        <w:rPr>
          <w:sz w:val="24"/>
        </w:rPr>
        <w:t>Atbilstoši Vācijas</w:t>
      </w:r>
      <w:r>
        <w:rPr>
          <w:spacing w:val="-13"/>
          <w:sz w:val="24"/>
        </w:rPr>
        <w:t> </w:t>
      </w:r>
      <w:r>
        <w:rPr>
          <w:sz w:val="24"/>
        </w:rPr>
        <w:t>tiesībām</w:t>
      </w:r>
      <w:r>
        <w:rPr>
          <w:spacing w:val="-11"/>
          <w:sz w:val="24"/>
        </w:rPr>
        <w:t> </w:t>
      </w:r>
      <w:r>
        <w:rPr>
          <w:sz w:val="24"/>
        </w:rPr>
        <w:t>tiesa</w:t>
      </w:r>
      <w:r>
        <w:rPr>
          <w:spacing w:val="-11"/>
          <w:sz w:val="24"/>
        </w:rPr>
        <w:t> </w:t>
      </w:r>
      <w:r>
        <w:rPr>
          <w:sz w:val="24"/>
        </w:rPr>
        <w:t>pirms</w:t>
      </w:r>
      <w:r>
        <w:rPr>
          <w:spacing w:val="-9"/>
          <w:sz w:val="24"/>
        </w:rPr>
        <w:t> </w:t>
      </w:r>
      <w:r>
        <w:rPr>
          <w:sz w:val="24"/>
        </w:rPr>
        <w:t>maksātnespējas</w:t>
      </w:r>
      <w:r>
        <w:rPr>
          <w:spacing w:val="-12"/>
          <w:sz w:val="24"/>
        </w:rPr>
        <w:t> </w:t>
      </w:r>
      <w:r>
        <w:rPr>
          <w:sz w:val="24"/>
        </w:rPr>
        <w:t>procesa</w:t>
      </w:r>
      <w:r>
        <w:rPr>
          <w:spacing w:val="-13"/>
          <w:sz w:val="24"/>
        </w:rPr>
        <w:t> </w:t>
      </w:r>
      <w:r>
        <w:rPr>
          <w:sz w:val="24"/>
        </w:rPr>
        <w:t>pieteikuma</w:t>
      </w:r>
      <w:r>
        <w:rPr>
          <w:spacing w:val="-10"/>
          <w:sz w:val="24"/>
        </w:rPr>
        <w:t> </w:t>
      </w:r>
      <w:r>
        <w:rPr>
          <w:sz w:val="24"/>
        </w:rPr>
        <w:t>izskatīšanas</w:t>
      </w:r>
      <w:r>
        <w:rPr>
          <w:spacing w:val="-12"/>
          <w:sz w:val="24"/>
        </w:rPr>
        <w:t> </w:t>
      </w:r>
      <w:r>
        <w:rPr>
          <w:sz w:val="24"/>
        </w:rPr>
        <w:t>vispirms</w:t>
      </w:r>
      <w:r>
        <w:rPr>
          <w:spacing w:val="-9"/>
          <w:sz w:val="24"/>
        </w:rPr>
        <w:t> </w:t>
      </w:r>
      <w:r>
        <w:rPr>
          <w:sz w:val="24"/>
        </w:rPr>
        <w:t>lemj par parādnieka parādu segšanas plānu. Respektīvi, saskaņā ar Vācijas Maksātnespējas likuma § </w:t>
      </w:r>
      <w:r>
        <w:rPr>
          <w:i/>
          <w:sz w:val="24"/>
        </w:rPr>
        <w:t>306 </w:t>
      </w:r>
      <w:r>
        <w:rPr>
          <w:sz w:val="24"/>
        </w:rPr>
        <w:t>tiesa atliek lēmuma pieņemšanu par parādnieka maksātnespējas procesa pasludināšanu, iekams nav ticis pieņemts lēmums par parādnieka parādu segšanas plānu, ko parādnieks iesniedz tiesā kopā ar maksātnespējas procesa pieteikumu. Lēmuma pieņemšana par parādnieka maksātnespējas procesa pasludināšanu tiek atlikta uz laiku ne ilgāku</w:t>
      </w:r>
      <w:r>
        <w:rPr>
          <w:spacing w:val="-5"/>
          <w:sz w:val="24"/>
        </w:rPr>
        <w:t> </w:t>
      </w:r>
      <w:r>
        <w:rPr>
          <w:sz w:val="24"/>
        </w:rPr>
        <w:t>par</w:t>
      </w:r>
      <w:r>
        <w:rPr>
          <w:spacing w:val="-4"/>
          <w:sz w:val="24"/>
        </w:rPr>
        <w:t> </w:t>
      </w:r>
      <w:r>
        <w:rPr>
          <w:sz w:val="24"/>
        </w:rPr>
        <w:t>3</w:t>
      </w:r>
      <w:r>
        <w:rPr>
          <w:spacing w:val="-4"/>
          <w:sz w:val="24"/>
        </w:rPr>
        <w:t> </w:t>
      </w:r>
      <w:r>
        <w:rPr>
          <w:sz w:val="24"/>
        </w:rPr>
        <w:t>mēnešiem.</w:t>
      </w:r>
      <w:r>
        <w:rPr>
          <w:spacing w:val="-5"/>
          <w:sz w:val="24"/>
        </w:rPr>
        <w:t> </w:t>
      </w:r>
      <w:r>
        <w:rPr>
          <w:sz w:val="24"/>
        </w:rPr>
        <w:t>Tiesa</w:t>
      </w:r>
      <w:r>
        <w:rPr>
          <w:spacing w:val="-4"/>
          <w:sz w:val="24"/>
        </w:rPr>
        <w:t> </w:t>
      </w:r>
      <w:r>
        <w:rPr>
          <w:sz w:val="24"/>
        </w:rPr>
        <w:t>atsāk</w:t>
      </w:r>
      <w:r>
        <w:rPr>
          <w:spacing w:val="-3"/>
          <w:sz w:val="24"/>
        </w:rPr>
        <w:t> </w:t>
      </w:r>
      <w:r>
        <w:rPr>
          <w:sz w:val="24"/>
        </w:rPr>
        <w:t>lietas</w:t>
      </w:r>
      <w:r>
        <w:rPr>
          <w:spacing w:val="-7"/>
          <w:sz w:val="24"/>
        </w:rPr>
        <w:t> </w:t>
      </w:r>
      <w:r>
        <w:rPr>
          <w:sz w:val="24"/>
        </w:rPr>
        <w:t>izskatīšanu,</w:t>
      </w:r>
      <w:r>
        <w:rPr>
          <w:spacing w:val="-4"/>
          <w:sz w:val="24"/>
        </w:rPr>
        <w:t> </w:t>
      </w:r>
      <w:r>
        <w:rPr>
          <w:sz w:val="24"/>
        </w:rPr>
        <w:t>lai</w:t>
      </w:r>
      <w:r>
        <w:rPr>
          <w:spacing w:val="-7"/>
          <w:sz w:val="24"/>
        </w:rPr>
        <w:t> </w:t>
      </w:r>
      <w:r>
        <w:rPr>
          <w:sz w:val="24"/>
        </w:rPr>
        <w:t>izlemtu</w:t>
      </w:r>
      <w:r>
        <w:rPr>
          <w:spacing w:val="-2"/>
          <w:sz w:val="24"/>
        </w:rPr>
        <w:t> </w:t>
      </w:r>
      <w:r>
        <w:rPr>
          <w:sz w:val="24"/>
        </w:rPr>
        <w:t>jautājumu</w:t>
      </w:r>
      <w:r>
        <w:rPr>
          <w:spacing w:val="-3"/>
          <w:sz w:val="24"/>
        </w:rPr>
        <w:t> </w:t>
      </w:r>
      <w:r>
        <w:rPr>
          <w:sz w:val="24"/>
        </w:rPr>
        <w:t>par</w:t>
      </w:r>
      <w:r>
        <w:rPr>
          <w:spacing w:val="-8"/>
          <w:sz w:val="24"/>
        </w:rPr>
        <w:t> </w:t>
      </w:r>
      <w:r>
        <w:rPr>
          <w:sz w:val="24"/>
        </w:rPr>
        <w:t>parādnieka maksātnespējas procesa pasludināšanu, ja uzklausot parādnieku, tiesa gūst pārliecību, ka plāns netiks apstiprināts.</w:t>
      </w:r>
    </w:p>
    <w:p>
      <w:pPr>
        <w:pStyle w:val="BodyText"/>
        <w:ind w:left="260" w:right="760" w:firstLine="708"/>
      </w:pPr>
      <w:r>
        <w:rPr/>
        <w:t>Saskaņā ar Vācijas Maksātnespējas likuma </w:t>
      </w:r>
      <w:r>
        <w:rPr>
          <w:i/>
        </w:rPr>
        <w:t>§ 306 otro daļu </w:t>
      </w:r>
      <w:r>
        <w:rPr/>
        <w:t>parādnieka parāda segšanas plāna saskaņošanas laikā kreditori var nodrošināt ar ķīlas tiesībām savas prasījuma tiesības pret parādnieku.</w:t>
      </w:r>
    </w:p>
    <w:p>
      <w:pPr>
        <w:pStyle w:val="BodyText"/>
        <w:ind w:left="260" w:right="763" w:firstLine="708"/>
      </w:pPr>
      <w:r>
        <w:rPr/>
        <w:t>Ja saskaņā ar Vācijas Maksātnespējas likuma </w:t>
      </w:r>
      <w:r>
        <w:rPr>
          <w:i/>
        </w:rPr>
        <w:t>§ 306 trešo daļu </w:t>
      </w:r>
      <w:r>
        <w:rPr/>
        <w:t>pieteikumu </w:t>
      </w:r>
      <w:r>
        <w:rPr>
          <w:spacing w:val="-4"/>
        </w:rPr>
        <w:t>par </w:t>
      </w:r>
      <w:r>
        <w:rPr/>
        <w:t>parādnieka maksātnespējas procesa pasludināšanu iesniedz kreditors, tad tiesa, pirms lēmuma pieņemšanas par parādnieka maksātnespējas procesa pasludināšanu, dod parādniekam iespēju iesniegt maksātnespējas procesa pieteikumu. Ja parādnieks iesniedz maksātnespējas procesa pieteikumu, tiesa atliek lēmuma par parādnieka maksātnespējas procesa pasludināšanu pieņemšanu līdz lēmuma pieņemšanai par parādu segšanas plānu. Tāpat parādniekam vispirms tiek dota iespēja vienoties ar kreditoriem par parādu</w:t>
      </w:r>
      <w:r>
        <w:rPr>
          <w:spacing w:val="-39"/>
        </w:rPr>
        <w:t> </w:t>
      </w:r>
      <w:r>
        <w:rPr/>
        <w:t>segšanas kārtību ārpus tiesas ceļā saskaņā ar Vācijas Maksātnespējas likuma </w:t>
      </w:r>
      <w:r>
        <w:rPr>
          <w:i/>
        </w:rPr>
        <w:t>§ 305 pirmo</w:t>
      </w:r>
      <w:r>
        <w:rPr>
          <w:i/>
          <w:spacing w:val="-8"/>
        </w:rPr>
        <w:t> </w:t>
      </w:r>
      <w:r>
        <w:rPr>
          <w:i/>
        </w:rPr>
        <w:t>daļu</w:t>
      </w:r>
      <w:r>
        <w:rPr/>
        <w:t>.</w:t>
      </w:r>
    </w:p>
    <w:p>
      <w:pPr>
        <w:pStyle w:val="BodyText"/>
        <w:spacing w:before="9"/>
        <w:jc w:val="left"/>
        <w:rPr>
          <w:sz w:val="29"/>
        </w:rPr>
      </w:pPr>
      <w:r>
        <w:rPr/>
        <w:pict>
          <v:shape style="position:absolute;margin-left:72pt;margin-top:19.406092pt;width:144pt;height:.1pt;mso-position-horizontal-relative:page;mso-position-vertical-relative:paragraph;z-index:-251475968;mso-wrap-distance-left:0;mso-wrap-distance-right:0" coordorigin="1440,388" coordsize="2880,0" path="m1440,388l4320,388e" filled="false" stroked="true" strokeweight=".599991pt" strokecolor="#000000">
            <v:path arrowok="t"/>
            <v:stroke dashstyle="solid"/>
            <w10:wrap type="topAndBottom"/>
          </v:shape>
        </w:pict>
      </w:r>
    </w:p>
    <w:p>
      <w:pPr>
        <w:spacing w:before="70"/>
        <w:ind w:left="260" w:right="0" w:firstLine="0"/>
        <w:jc w:val="left"/>
        <w:rPr>
          <w:sz w:val="20"/>
        </w:rPr>
      </w:pPr>
      <w:r>
        <w:rPr>
          <w:position w:val="7"/>
          <w:sz w:val="13"/>
        </w:rPr>
        <w:t>398 </w:t>
      </w:r>
      <w:r>
        <w:rPr>
          <w:sz w:val="20"/>
        </w:rPr>
        <w:t>Kayser/Thole “Insolvenzordnung” Heidelberger Kommentar, 9. neu bearbeitete Auflage, C.F.Mueller, 2018,/Waltenberger Kommentare § 287,</w:t>
      </w:r>
      <w:r>
        <w:rPr>
          <w:spacing w:val="-1"/>
          <w:sz w:val="20"/>
        </w:rPr>
        <w:t> </w:t>
      </w:r>
      <w:r>
        <w:rPr>
          <w:sz w:val="20"/>
        </w:rPr>
        <w:t>S.2179.</w:t>
      </w:r>
    </w:p>
    <w:p>
      <w:pPr>
        <w:spacing w:line="240" w:lineRule="auto" w:before="0"/>
        <w:ind w:left="260" w:right="0" w:firstLine="0"/>
        <w:jc w:val="left"/>
        <w:rPr>
          <w:sz w:val="20"/>
        </w:rPr>
      </w:pPr>
      <w:r>
        <w:rPr>
          <w:position w:val="7"/>
          <w:sz w:val="13"/>
        </w:rPr>
        <w:t>399 </w:t>
      </w:r>
      <w:r>
        <w:rPr>
          <w:sz w:val="20"/>
        </w:rPr>
        <w:t>Kayser/Thole “Insolvenzordnung” Heidelberger Kommentar, 9. neu bearbeitete Auflage, C.F.Mueller, 2018,/Waltenberger Kommentare § 287,</w:t>
      </w:r>
      <w:r>
        <w:rPr>
          <w:spacing w:val="-1"/>
          <w:sz w:val="20"/>
        </w:rPr>
        <w:t> </w:t>
      </w:r>
      <w:r>
        <w:rPr>
          <w:sz w:val="20"/>
        </w:rPr>
        <w:t>S.2303.</w:t>
      </w:r>
    </w:p>
    <w:p>
      <w:pPr>
        <w:tabs>
          <w:tab w:pos="2157" w:val="left" w:leader="none"/>
          <w:tab w:pos="3342" w:val="left" w:leader="none"/>
          <w:tab w:pos="4910" w:val="left" w:leader="none"/>
          <w:tab w:pos="6492" w:val="left" w:leader="none"/>
          <w:tab w:pos="7865" w:val="left" w:leader="none"/>
          <w:tab w:pos="8175" w:val="left" w:leader="none"/>
        </w:tabs>
        <w:spacing w:line="240" w:lineRule="auto" w:before="0"/>
        <w:ind w:left="260" w:right="767" w:firstLine="0"/>
        <w:jc w:val="left"/>
        <w:rPr>
          <w:rFonts w:ascii="Symbol" w:hAnsi="Symbol"/>
          <w:sz w:val="20"/>
        </w:rPr>
      </w:pPr>
      <w:r>
        <w:rPr>
          <w:position w:val="7"/>
          <w:sz w:val="13"/>
        </w:rPr>
        <w:t>400</w:t>
      </w:r>
      <w:r>
        <w:rPr>
          <w:sz w:val="20"/>
        </w:rPr>
        <w:t>Statistikas</w:t>
        <w:tab/>
        <w:t>dati</w:t>
        <w:tab/>
        <w:t>pieejami</w:t>
        <w:tab/>
        <w:t>interneta</w:t>
        <w:tab/>
        <w:t>vietnē</w:t>
        <w:tab/>
      </w:r>
      <w:r>
        <w:rPr>
          <w:color w:val="0562C1"/>
          <w:spacing w:val="-3"/>
          <w:sz w:val="20"/>
          <w:u w:val="single" w:color="0562C1"/>
        </w:rPr>
        <w:t>https://www-</w:t>
      </w:r>
      <w:r>
        <w:rPr>
          <w:color w:val="0562C1"/>
          <w:spacing w:val="-3"/>
          <w:sz w:val="20"/>
        </w:rPr>
        <w:t> </w:t>
      </w:r>
      <w:r>
        <w:rPr>
          <w:color w:val="0562C1"/>
          <w:sz w:val="20"/>
          <w:u w:val="single" w:color="0562C1"/>
        </w:rPr>
        <w:t>genesis.destatis.de/genesis/online/data;sid=7A4A0A576F8B44AAC0EF3B39F79041B1.GO_2_1?operatio</w:t>
      </w:r>
      <w:r>
        <w:rPr>
          <w:color w:val="0562C1"/>
          <w:sz w:val="20"/>
        </w:rPr>
        <w:t> </w:t>
      </w:r>
      <w:r>
        <w:rPr>
          <w:color w:val="0562C1"/>
          <w:sz w:val="20"/>
          <w:u w:val="single" w:color="0562C1"/>
        </w:rPr>
        <w:t>n=previous&amp;levelindex=3&amp;levelid=1544547974905&amp;levelid=1544547938615&amp;step=2</w:t>
      </w:r>
      <w:r>
        <w:rPr>
          <w:color w:val="0562C1"/>
          <w:sz w:val="20"/>
        </w:rPr>
        <w:tab/>
        <w:tab/>
      </w:r>
      <w:r>
        <w:rPr>
          <w:rFonts w:ascii="Symbol" w:hAnsi="Symbol"/>
          <w:spacing w:val="-1"/>
          <w:sz w:val="20"/>
        </w:rPr>
        <w:t></w:t>
      </w:r>
      <w:r>
        <w:rPr>
          <w:spacing w:val="-1"/>
          <w:sz w:val="20"/>
        </w:rPr>
        <w:t>aplūkots </w:t>
      </w:r>
      <w:r>
        <w:rPr>
          <w:sz w:val="20"/>
        </w:rPr>
        <w:t>2018.gada</w:t>
      </w:r>
      <w:r>
        <w:rPr>
          <w:spacing w:val="-2"/>
          <w:sz w:val="20"/>
        </w:rPr>
        <w:t> </w:t>
      </w:r>
      <w:r>
        <w:rPr>
          <w:sz w:val="20"/>
        </w:rPr>
        <w:t>23.novembrī</w:t>
      </w:r>
      <w:r>
        <w:rPr>
          <w:rFonts w:ascii="Symbol" w:hAnsi="Symbol"/>
          <w:sz w:val="20"/>
        </w:rPr>
        <w:t></w:t>
      </w:r>
    </w:p>
    <w:p>
      <w:pPr>
        <w:spacing w:after="0" w:line="240" w:lineRule="auto"/>
        <w:jc w:val="left"/>
        <w:rPr>
          <w:rFonts w:ascii="Symbol" w:hAnsi="Symbol"/>
          <w:sz w:val="20"/>
        </w:rPr>
        <w:sectPr>
          <w:pgSz w:w="11910" w:h="16840"/>
          <w:pgMar w:header="0" w:footer="1055" w:top="1340" w:bottom="1240" w:left="1180" w:right="1040"/>
        </w:sectPr>
      </w:pPr>
    </w:p>
    <w:p>
      <w:pPr>
        <w:pStyle w:val="BodyText"/>
        <w:spacing w:before="73"/>
        <w:ind w:left="620" w:right="401" w:firstLine="708"/>
      </w:pPr>
      <w:r>
        <w:rPr/>
        <w:t>Vācijas Maksātnespējas likuma § </w:t>
      </w:r>
      <w:r>
        <w:rPr>
          <w:i/>
        </w:rPr>
        <w:t>307 </w:t>
      </w:r>
      <w:r>
        <w:rPr/>
        <w:t>nosaka kārtību, kādā tiesa un kreditori veic darbības parādnieka parādu segšanas plāna saskaņošanai tiesas ceļā. Proti, tiesa nosūta parādnieka norādītajiem kreditoriem parādu segšanas plānu un pārskatu par parādnieka mantu/ienākumiem un vienlaicīgi pieprasa kreditoriem viena mēneša laikā sniegt savu viedokli</w:t>
      </w:r>
      <w:r>
        <w:rPr>
          <w:spacing w:val="-9"/>
        </w:rPr>
        <w:t> </w:t>
      </w:r>
      <w:r>
        <w:rPr/>
        <w:t>par</w:t>
      </w:r>
      <w:r>
        <w:rPr>
          <w:spacing w:val="-9"/>
        </w:rPr>
        <w:t> </w:t>
      </w:r>
      <w:r>
        <w:rPr/>
        <w:t>Vācijas</w:t>
      </w:r>
      <w:r>
        <w:rPr>
          <w:spacing w:val="-9"/>
        </w:rPr>
        <w:t> </w:t>
      </w:r>
      <w:r>
        <w:rPr/>
        <w:t>Maksātnespējas</w:t>
      </w:r>
      <w:r>
        <w:rPr>
          <w:spacing w:val="-9"/>
        </w:rPr>
        <w:t> </w:t>
      </w:r>
      <w:r>
        <w:rPr/>
        <w:t>likuma</w:t>
      </w:r>
      <w:r>
        <w:rPr>
          <w:spacing w:val="-8"/>
        </w:rPr>
        <w:t> </w:t>
      </w:r>
      <w:r>
        <w:rPr>
          <w:i/>
        </w:rPr>
        <w:t>§</w:t>
      </w:r>
      <w:r>
        <w:rPr>
          <w:i/>
          <w:spacing w:val="-9"/>
        </w:rPr>
        <w:t> </w:t>
      </w:r>
      <w:r>
        <w:rPr>
          <w:i/>
        </w:rPr>
        <w:t>305</w:t>
      </w:r>
      <w:r>
        <w:rPr>
          <w:i/>
          <w:spacing w:val="-9"/>
        </w:rPr>
        <w:t> </w:t>
      </w:r>
      <w:r>
        <w:rPr>
          <w:i/>
        </w:rPr>
        <w:t>pirmās</w:t>
      </w:r>
      <w:r>
        <w:rPr>
          <w:i/>
          <w:spacing w:val="-9"/>
        </w:rPr>
        <w:t> </w:t>
      </w:r>
      <w:r>
        <w:rPr>
          <w:i/>
        </w:rPr>
        <w:t>daļas</w:t>
      </w:r>
      <w:r>
        <w:rPr>
          <w:i/>
          <w:spacing w:val="-8"/>
        </w:rPr>
        <w:t> </w:t>
      </w:r>
      <w:r>
        <w:rPr>
          <w:i/>
        </w:rPr>
        <w:t>3.apakšpunktā</w:t>
      </w:r>
      <w:r>
        <w:rPr>
          <w:i/>
          <w:spacing w:val="-9"/>
        </w:rPr>
        <w:t> </w:t>
      </w:r>
      <w:r>
        <w:rPr/>
        <w:t>minētajiem sarakstiem un parādu segšanas plānu. Kreditoriem tiek dota iespēja arī pārbaudīt savu kreditora prasījuma pareizību tiesā iesniegtajā kreditoru prasījumu sarakstā viena mēneša laikā no parāda segšanas plāna saņemšanas, un nepieciešamības gadījumā kreditors var kreditora prasījuma sarakstu papildināt,</w:t>
      </w:r>
      <w:r>
        <w:rPr>
          <w:spacing w:val="-4"/>
        </w:rPr>
        <w:t> </w:t>
      </w:r>
      <w:r>
        <w:rPr/>
        <w:t>precizēt.</w:t>
      </w:r>
    </w:p>
    <w:p>
      <w:pPr>
        <w:pStyle w:val="BodyText"/>
        <w:ind w:left="620" w:right="402" w:firstLine="708"/>
      </w:pPr>
      <w:r>
        <w:rPr/>
        <w:t>Vācijas Maksātnespējas likuma </w:t>
      </w:r>
      <w:r>
        <w:rPr>
          <w:i/>
        </w:rPr>
        <w:t>§ 308 trešā daļas 1.teikums </w:t>
      </w:r>
      <w:r>
        <w:rPr/>
        <w:t>nosaka, ka ja kreditora prasījums nav iekļauts parādnieka sastādītajā un tiesai iesniegtajā kreditoru prasījumu sarakstā, un ja arī vēlāk, kad stājas spēkā Vienošanās ar kreditoriem par parādu segšanas kārtību kreditora prasījums nav ņemts vērā, tad kreditors var prasīt no parādnieka saistību izpildījumu. Savukārt </w:t>
      </w:r>
      <w:r>
        <w:rPr>
          <w:i/>
        </w:rPr>
        <w:t>§ 308 trešās daļas 2.teikums </w:t>
      </w:r>
      <w:r>
        <w:rPr/>
        <w:t>nosaka, ka kreditora prasījums, kuru parādnieks nav iekļāvis kreditoru prasījumu reģistrā vai arī tas nav ņemts vērā vēlāk, stājoties spēkā parādu segšanas plānam, nav izpildāms un tiek dzēsts, ja kreditors pats to nav iekļāvis tiesas noteiktajā termiņā parādnieka tiesas iesniegtajā kreditoru prasījumu reģistrā, neskatoties uz to, ka viņam tika nosūtīts parādnieka segšanas plāns un ņemot</w:t>
      </w:r>
      <w:r>
        <w:rPr>
          <w:spacing w:val="-37"/>
        </w:rPr>
        <w:t> </w:t>
      </w:r>
      <w:r>
        <w:rPr/>
        <w:t>vērā apstākli, ka viņa prasījums ir radies pirms tiesas noteiktā plāna saskaņošanas</w:t>
      </w:r>
      <w:r>
        <w:rPr>
          <w:spacing w:val="-3"/>
        </w:rPr>
        <w:t> </w:t>
      </w:r>
      <w:r>
        <w:rPr/>
        <w:t>termiņa.</w:t>
      </w:r>
    </w:p>
    <w:p>
      <w:pPr>
        <w:pStyle w:val="BodyText"/>
        <w:spacing w:before="1"/>
        <w:ind w:left="620" w:right="401" w:firstLine="708"/>
        <w:jc w:val="right"/>
      </w:pPr>
      <w:r>
        <w:rPr/>
        <w:t>Saskaņā</w:t>
      </w:r>
      <w:r>
        <w:rPr>
          <w:spacing w:val="16"/>
        </w:rPr>
        <w:t> </w:t>
      </w:r>
      <w:r>
        <w:rPr/>
        <w:t>ar</w:t>
      </w:r>
      <w:r>
        <w:rPr>
          <w:spacing w:val="19"/>
        </w:rPr>
        <w:t> </w:t>
      </w:r>
      <w:r>
        <w:rPr/>
        <w:t>Vācijas</w:t>
      </w:r>
      <w:r>
        <w:rPr>
          <w:spacing w:val="20"/>
        </w:rPr>
        <w:t> </w:t>
      </w:r>
      <w:r>
        <w:rPr/>
        <w:t>Maksātnespējas</w:t>
      </w:r>
      <w:r>
        <w:rPr>
          <w:spacing w:val="19"/>
        </w:rPr>
        <w:t> </w:t>
      </w:r>
      <w:r>
        <w:rPr/>
        <w:t>likuma</w:t>
      </w:r>
      <w:r>
        <w:rPr>
          <w:spacing w:val="20"/>
        </w:rPr>
        <w:t> </w:t>
      </w:r>
      <w:r>
        <w:rPr/>
        <w:t>§</w:t>
      </w:r>
      <w:r>
        <w:rPr>
          <w:spacing w:val="22"/>
        </w:rPr>
        <w:t> </w:t>
      </w:r>
      <w:r>
        <w:rPr>
          <w:i/>
        </w:rPr>
        <w:t>307</w:t>
      </w:r>
      <w:r>
        <w:rPr>
          <w:i/>
          <w:spacing w:val="19"/>
        </w:rPr>
        <w:t> </w:t>
      </w:r>
      <w:r>
        <w:rPr>
          <w:i/>
        </w:rPr>
        <w:t>otro</w:t>
      </w:r>
      <w:r>
        <w:rPr>
          <w:i/>
          <w:spacing w:val="20"/>
        </w:rPr>
        <w:t> </w:t>
      </w:r>
      <w:r>
        <w:rPr>
          <w:i/>
        </w:rPr>
        <w:t>daļu,</w:t>
      </w:r>
      <w:r>
        <w:rPr>
          <w:i/>
          <w:spacing w:val="18"/>
        </w:rPr>
        <w:t> </w:t>
      </w:r>
      <w:r>
        <w:rPr/>
        <w:t>ja</w:t>
      </w:r>
      <w:r>
        <w:rPr>
          <w:spacing w:val="20"/>
        </w:rPr>
        <w:t> </w:t>
      </w:r>
      <w:r>
        <w:rPr/>
        <w:t>kreditors</w:t>
      </w:r>
      <w:r>
        <w:rPr>
          <w:spacing w:val="19"/>
        </w:rPr>
        <w:t> </w:t>
      </w:r>
      <w:r>
        <w:rPr/>
        <w:t>šā</w:t>
      </w:r>
      <w:r>
        <w:rPr>
          <w:spacing w:val="20"/>
        </w:rPr>
        <w:t> </w:t>
      </w:r>
      <w:r>
        <w:rPr/>
        <w:t>panta pirmajā daļā noteiktajā termiņā nesniedz savu viedokli par parāda segšanas</w:t>
      </w:r>
      <w:r>
        <w:rPr>
          <w:spacing w:val="-24"/>
        </w:rPr>
        <w:t> </w:t>
      </w:r>
      <w:r>
        <w:rPr/>
        <w:t>plānu,</w:t>
      </w:r>
      <w:r>
        <w:rPr>
          <w:spacing w:val="40"/>
        </w:rPr>
        <w:t> </w:t>
      </w:r>
      <w:r>
        <w:rPr/>
        <w:t>tad uzskatāms,</w:t>
      </w:r>
      <w:r>
        <w:rPr>
          <w:spacing w:val="-13"/>
        </w:rPr>
        <w:t> </w:t>
      </w:r>
      <w:r>
        <w:rPr/>
        <w:t>ka</w:t>
      </w:r>
      <w:r>
        <w:rPr>
          <w:spacing w:val="-16"/>
        </w:rPr>
        <w:t> </w:t>
      </w:r>
      <w:r>
        <w:rPr/>
        <w:t>kreditors</w:t>
      </w:r>
      <w:r>
        <w:rPr>
          <w:spacing w:val="-12"/>
        </w:rPr>
        <w:t> </w:t>
      </w:r>
      <w:r>
        <w:rPr/>
        <w:t>ir</w:t>
      </w:r>
      <w:r>
        <w:rPr>
          <w:spacing w:val="-13"/>
        </w:rPr>
        <w:t> </w:t>
      </w:r>
      <w:r>
        <w:rPr/>
        <w:t>piekritis</w:t>
      </w:r>
      <w:r>
        <w:rPr>
          <w:spacing w:val="-13"/>
        </w:rPr>
        <w:t> </w:t>
      </w:r>
      <w:r>
        <w:rPr/>
        <w:t>parādnieka</w:t>
      </w:r>
      <w:r>
        <w:rPr>
          <w:spacing w:val="-15"/>
        </w:rPr>
        <w:t> </w:t>
      </w:r>
      <w:r>
        <w:rPr/>
        <w:t>izstrādātā</w:t>
      </w:r>
      <w:r>
        <w:rPr>
          <w:spacing w:val="-13"/>
        </w:rPr>
        <w:t> </w:t>
      </w:r>
      <w:r>
        <w:rPr/>
        <w:t>parādu</w:t>
      </w:r>
      <w:r>
        <w:rPr>
          <w:spacing w:val="-12"/>
        </w:rPr>
        <w:t> </w:t>
      </w:r>
      <w:r>
        <w:rPr/>
        <w:t>segšanas</w:t>
      </w:r>
      <w:r>
        <w:rPr>
          <w:spacing w:val="-16"/>
        </w:rPr>
        <w:t> </w:t>
      </w:r>
      <w:r>
        <w:rPr/>
        <w:t>plāna</w:t>
      </w:r>
      <w:r>
        <w:rPr>
          <w:spacing w:val="-12"/>
        </w:rPr>
        <w:t> </w:t>
      </w:r>
      <w:r>
        <w:rPr/>
        <w:t>īstenošanai. Vācijas</w:t>
      </w:r>
      <w:r>
        <w:rPr>
          <w:spacing w:val="-8"/>
        </w:rPr>
        <w:t> </w:t>
      </w:r>
      <w:r>
        <w:rPr/>
        <w:t>Maksātnespējas</w:t>
      </w:r>
      <w:r>
        <w:rPr>
          <w:spacing w:val="-5"/>
        </w:rPr>
        <w:t> </w:t>
      </w:r>
      <w:r>
        <w:rPr/>
        <w:t>likuma</w:t>
      </w:r>
      <w:r>
        <w:rPr>
          <w:spacing w:val="-5"/>
        </w:rPr>
        <w:t> </w:t>
      </w:r>
      <w:r>
        <w:rPr/>
        <w:t>§</w:t>
      </w:r>
      <w:r>
        <w:rPr>
          <w:spacing w:val="-6"/>
        </w:rPr>
        <w:t> </w:t>
      </w:r>
      <w:r>
        <w:rPr>
          <w:i/>
        </w:rPr>
        <w:t>307</w:t>
      </w:r>
      <w:r>
        <w:rPr>
          <w:i/>
          <w:spacing w:val="-6"/>
        </w:rPr>
        <w:t> </w:t>
      </w:r>
      <w:r>
        <w:rPr>
          <w:i/>
        </w:rPr>
        <w:t>trešā</w:t>
      </w:r>
      <w:r>
        <w:rPr>
          <w:i/>
          <w:spacing w:val="-8"/>
        </w:rPr>
        <w:t> </w:t>
      </w:r>
      <w:r>
        <w:rPr>
          <w:i/>
        </w:rPr>
        <w:t>daļa</w:t>
      </w:r>
      <w:r>
        <w:rPr>
          <w:i/>
          <w:spacing w:val="-6"/>
        </w:rPr>
        <w:t> </w:t>
      </w:r>
      <w:r>
        <w:rPr/>
        <w:t>nosaka,</w:t>
      </w:r>
      <w:r>
        <w:rPr>
          <w:spacing w:val="-8"/>
        </w:rPr>
        <w:t> </w:t>
      </w:r>
      <w:r>
        <w:rPr/>
        <w:t>ka</w:t>
      </w:r>
      <w:r>
        <w:rPr>
          <w:spacing w:val="-6"/>
        </w:rPr>
        <w:t> </w:t>
      </w:r>
      <w:r>
        <w:rPr/>
        <w:t>pēc</w:t>
      </w:r>
      <w:r>
        <w:rPr>
          <w:spacing w:val="-7"/>
        </w:rPr>
        <w:t> </w:t>
      </w:r>
      <w:r>
        <w:rPr>
          <w:i/>
        </w:rPr>
        <w:t>§</w:t>
      </w:r>
      <w:r>
        <w:rPr>
          <w:i/>
          <w:spacing w:val="-6"/>
        </w:rPr>
        <w:t> </w:t>
      </w:r>
      <w:r>
        <w:rPr>
          <w:i/>
        </w:rPr>
        <w:t>307</w:t>
      </w:r>
      <w:r>
        <w:rPr>
          <w:i/>
          <w:spacing w:val="-5"/>
        </w:rPr>
        <w:t> </w:t>
      </w:r>
      <w:r>
        <w:rPr>
          <w:i/>
        </w:rPr>
        <w:t>pirmajā</w:t>
      </w:r>
      <w:r>
        <w:rPr>
          <w:i/>
          <w:spacing w:val="-5"/>
        </w:rPr>
        <w:t> </w:t>
      </w:r>
      <w:r>
        <w:rPr>
          <w:i/>
        </w:rPr>
        <w:t>daļā</w:t>
      </w:r>
      <w:r>
        <w:rPr>
          <w:i/>
        </w:rPr>
        <w:t> </w:t>
      </w:r>
      <w:r>
        <w:rPr/>
        <w:t>noteiktā</w:t>
      </w:r>
      <w:r>
        <w:rPr>
          <w:spacing w:val="-6"/>
        </w:rPr>
        <w:t> </w:t>
      </w:r>
      <w:r>
        <w:rPr/>
        <w:t>termiņa</w:t>
      </w:r>
      <w:r>
        <w:rPr>
          <w:spacing w:val="-8"/>
        </w:rPr>
        <w:t> </w:t>
      </w:r>
      <w:r>
        <w:rPr/>
        <w:t>tiesa</w:t>
      </w:r>
      <w:r>
        <w:rPr>
          <w:spacing w:val="-8"/>
        </w:rPr>
        <w:t> </w:t>
      </w:r>
      <w:r>
        <w:rPr/>
        <w:t>dod</w:t>
      </w:r>
      <w:r>
        <w:rPr>
          <w:spacing w:val="-6"/>
        </w:rPr>
        <w:t> </w:t>
      </w:r>
      <w:r>
        <w:rPr/>
        <w:t>parādniekam</w:t>
      </w:r>
      <w:r>
        <w:rPr>
          <w:spacing w:val="-7"/>
        </w:rPr>
        <w:t> </w:t>
      </w:r>
      <w:r>
        <w:rPr/>
        <w:t>iespēju</w:t>
      </w:r>
      <w:r>
        <w:rPr>
          <w:spacing w:val="-5"/>
        </w:rPr>
        <w:t> </w:t>
      </w:r>
      <w:r>
        <w:rPr/>
        <w:t>grozīt</w:t>
      </w:r>
      <w:r>
        <w:rPr>
          <w:spacing w:val="-5"/>
        </w:rPr>
        <w:t> </w:t>
      </w:r>
      <w:r>
        <w:rPr/>
        <w:t>vai</w:t>
      </w:r>
      <w:r>
        <w:rPr>
          <w:spacing w:val="-8"/>
        </w:rPr>
        <w:t> </w:t>
      </w:r>
      <w:r>
        <w:rPr/>
        <w:t>papildināt</w:t>
      </w:r>
      <w:r>
        <w:rPr>
          <w:spacing w:val="-5"/>
        </w:rPr>
        <w:t> </w:t>
      </w:r>
      <w:r>
        <w:rPr/>
        <w:t>parādu</w:t>
      </w:r>
      <w:r>
        <w:rPr>
          <w:spacing w:val="-5"/>
        </w:rPr>
        <w:t> </w:t>
      </w:r>
      <w:r>
        <w:rPr/>
        <w:t>segšanas</w:t>
      </w:r>
      <w:r>
        <w:rPr>
          <w:spacing w:val="-7"/>
        </w:rPr>
        <w:t> </w:t>
      </w:r>
      <w:r>
        <w:rPr/>
        <w:t>plānu tiesas</w:t>
      </w:r>
      <w:r>
        <w:rPr>
          <w:spacing w:val="11"/>
        </w:rPr>
        <w:t> </w:t>
      </w:r>
      <w:r>
        <w:rPr/>
        <w:t>noteiktajā</w:t>
      </w:r>
      <w:r>
        <w:rPr>
          <w:spacing w:val="12"/>
        </w:rPr>
        <w:t> </w:t>
      </w:r>
      <w:r>
        <w:rPr/>
        <w:t>termiņā.</w:t>
      </w:r>
      <w:r>
        <w:rPr>
          <w:spacing w:val="11"/>
        </w:rPr>
        <w:t> </w:t>
      </w:r>
      <w:r>
        <w:rPr/>
        <w:t>Grozīt</w:t>
      </w:r>
      <w:r>
        <w:rPr>
          <w:spacing w:val="12"/>
        </w:rPr>
        <w:t> </w:t>
      </w:r>
      <w:r>
        <w:rPr/>
        <w:t>vai</w:t>
      </w:r>
      <w:r>
        <w:rPr>
          <w:spacing w:val="12"/>
        </w:rPr>
        <w:t> </w:t>
      </w:r>
      <w:r>
        <w:rPr/>
        <w:t>papildināt</w:t>
      </w:r>
      <w:r>
        <w:rPr>
          <w:spacing w:val="11"/>
        </w:rPr>
        <w:t> </w:t>
      </w:r>
      <w:r>
        <w:rPr/>
        <w:t>plānu</w:t>
      </w:r>
      <w:r>
        <w:rPr>
          <w:spacing w:val="12"/>
        </w:rPr>
        <w:t> </w:t>
      </w:r>
      <w:r>
        <w:rPr/>
        <w:t>parādnieks</w:t>
      </w:r>
      <w:r>
        <w:rPr>
          <w:spacing w:val="12"/>
        </w:rPr>
        <w:t> </w:t>
      </w:r>
      <w:r>
        <w:rPr/>
        <w:t>var,</w:t>
      </w:r>
      <w:r>
        <w:rPr>
          <w:spacing w:val="8"/>
        </w:rPr>
        <w:t> </w:t>
      </w:r>
      <w:r>
        <w:rPr/>
        <w:t>ja</w:t>
      </w:r>
      <w:r>
        <w:rPr>
          <w:spacing w:val="15"/>
        </w:rPr>
        <w:t> </w:t>
      </w:r>
      <w:r>
        <w:rPr/>
        <w:t>tas</w:t>
      </w:r>
      <w:r>
        <w:rPr>
          <w:spacing w:val="14"/>
        </w:rPr>
        <w:t> </w:t>
      </w:r>
      <w:r>
        <w:rPr/>
        <w:t>nepieciešams, lai ņemtu vērā kreditora sniegto viedokli par plānu vai arī, lai veicinātu</w:t>
      </w:r>
      <w:r>
        <w:rPr>
          <w:spacing w:val="-11"/>
        </w:rPr>
        <w:t> </w:t>
      </w:r>
      <w:r>
        <w:rPr/>
        <w:t>plāna saskaņošanu ar kreditoriem. Parāda segšanas plāna grozījumi vai papildinājumi ir jānosūta</w:t>
      </w:r>
      <w:r>
        <w:rPr>
          <w:spacing w:val="-15"/>
        </w:rPr>
        <w:t> </w:t>
      </w:r>
      <w:r>
        <w:rPr/>
        <w:t>kreditoriem,</w:t>
      </w:r>
    </w:p>
    <w:p>
      <w:pPr>
        <w:pStyle w:val="BodyText"/>
        <w:ind w:left="620"/>
      </w:pPr>
      <w:r>
        <w:rPr/>
        <w:t>ja tas ir nepieciešams.</w:t>
      </w:r>
    </w:p>
    <w:p>
      <w:pPr>
        <w:pStyle w:val="BodyText"/>
        <w:ind w:left="620" w:right="401" w:firstLine="708"/>
      </w:pPr>
      <w:r>
        <w:rPr/>
        <w:t>Saskaņā ar Vācijas Maksātnespējas likuma § </w:t>
      </w:r>
      <w:r>
        <w:rPr>
          <w:i/>
        </w:rPr>
        <w:t>308 pirmo daļu, </w:t>
      </w:r>
      <w:r>
        <w:rPr/>
        <w:t>ja kreditoriem nav iebildumi pret parādnieka izstrādāto parādu segšanas plānu vai plāns uzskatāms par saskaņotu saskaņā ar Vācijas Maksātnespējas likuma </w:t>
      </w:r>
      <w:r>
        <w:rPr>
          <w:i/>
        </w:rPr>
        <w:t>§ 309</w:t>
      </w:r>
      <w:r>
        <w:rPr/>
        <w:t>, tad plāns uzskatāms par pieņemtu,</w:t>
      </w:r>
      <w:r>
        <w:rPr>
          <w:spacing w:val="-7"/>
        </w:rPr>
        <w:t> </w:t>
      </w:r>
      <w:r>
        <w:rPr/>
        <w:t>ko</w:t>
      </w:r>
      <w:r>
        <w:rPr>
          <w:spacing w:val="-6"/>
        </w:rPr>
        <w:t> </w:t>
      </w:r>
      <w:r>
        <w:rPr/>
        <w:t>tiesa</w:t>
      </w:r>
      <w:r>
        <w:rPr>
          <w:spacing w:val="-9"/>
        </w:rPr>
        <w:t> </w:t>
      </w:r>
      <w:r>
        <w:rPr/>
        <w:t>apstiprina</w:t>
      </w:r>
      <w:r>
        <w:rPr>
          <w:spacing w:val="-9"/>
        </w:rPr>
        <w:t> </w:t>
      </w:r>
      <w:r>
        <w:rPr/>
        <w:t>ar</w:t>
      </w:r>
      <w:r>
        <w:rPr>
          <w:spacing w:val="-6"/>
        </w:rPr>
        <w:t> </w:t>
      </w:r>
      <w:r>
        <w:rPr/>
        <w:t>savu</w:t>
      </w:r>
      <w:r>
        <w:rPr>
          <w:spacing w:val="-7"/>
        </w:rPr>
        <w:t> </w:t>
      </w:r>
      <w:r>
        <w:rPr/>
        <w:t>lēmumu.</w:t>
      </w:r>
      <w:r>
        <w:rPr>
          <w:spacing w:val="-6"/>
        </w:rPr>
        <w:t> </w:t>
      </w:r>
      <w:r>
        <w:rPr/>
        <w:t>Plānam</w:t>
      </w:r>
      <w:r>
        <w:rPr>
          <w:spacing w:val="-8"/>
        </w:rPr>
        <w:t> </w:t>
      </w:r>
      <w:r>
        <w:rPr/>
        <w:t>ir</w:t>
      </w:r>
      <w:r>
        <w:rPr>
          <w:spacing w:val="-2"/>
        </w:rPr>
        <w:t> </w:t>
      </w:r>
      <w:r>
        <w:rPr/>
        <w:t>Izlīguma</w:t>
      </w:r>
      <w:r>
        <w:rPr>
          <w:spacing w:val="-6"/>
        </w:rPr>
        <w:t> </w:t>
      </w:r>
      <w:r>
        <w:rPr/>
        <w:t>spēks</w:t>
      </w:r>
      <w:r>
        <w:rPr>
          <w:spacing w:val="-7"/>
        </w:rPr>
        <w:t> </w:t>
      </w:r>
      <w:r>
        <w:rPr/>
        <w:t>saskaņā</w:t>
      </w:r>
      <w:r>
        <w:rPr>
          <w:spacing w:val="-6"/>
        </w:rPr>
        <w:t> </w:t>
      </w:r>
      <w:r>
        <w:rPr/>
        <w:t>ar</w:t>
      </w:r>
      <w:r>
        <w:rPr>
          <w:spacing w:val="-9"/>
        </w:rPr>
        <w:t> </w:t>
      </w:r>
      <w:r>
        <w:rPr/>
        <w:t>Vācijas Civilprocesa likuma § 794 pirmās daļas 1.punktu. Tādā gadījumā saskaņā ar Vācijas Maksātnespējas likuma § </w:t>
      </w:r>
      <w:r>
        <w:rPr>
          <w:i/>
        </w:rPr>
        <w:t>308 otro daļu </w:t>
      </w:r>
      <w:r>
        <w:rPr/>
        <w:t>pieteikums par maksātnespējas procesa pasludināšanu un pieteikums par parādnieka atbrīvošanu no saistībām uzskatāmi par atsauktiem.</w:t>
      </w:r>
    </w:p>
    <w:p>
      <w:pPr>
        <w:pStyle w:val="BodyText"/>
        <w:ind w:left="620" w:right="403" w:firstLine="708"/>
      </w:pPr>
      <w:r>
        <w:rPr/>
        <w:t>Vācijas Maksātnespējas likuma § </w:t>
      </w:r>
      <w:r>
        <w:rPr>
          <w:i/>
        </w:rPr>
        <w:t>309 </w:t>
      </w:r>
      <w:r>
        <w:rPr/>
        <w:t>nosaka kārtību, kādā tiek saskaņots parādnieka</w:t>
      </w:r>
      <w:r>
        <w:rPr>
          <w:spacing w:val="-12"/>
        </w:rPr>
        <w:t> </w:t>
      </w:r>
      <w:r>
        <w:rPr/>
        <w:t>parādu</w:t>
      </w:r>
      <w:r>
        <w:rPr>
          <w:spacing w:val="-10"/>
        </w:rPr>
        <w:t> </w:t>
      </w:r>
      <w:r>
        <w:rPr/>
        <w:t>segšanas</w:t>
      </w:r>
      <w:r>
        <w:rPr>
          <w:spacing w:val="-12"/>
        </w:rPr>
        <w:t> </w:t>
      </w:r>
      <w:r>
        <w:rPr/>
        <w:t>plāns,</w:t>
      </w:r>
      <w:r>
        <w:rPr>
          <w:spacing w:val="-10"/>
        </w:rPr>
        <w:t> </w:t>
      </w:r>
      <w:r>
        <w:rPr/>
        <w:t>ja</w:t>
      </w:r>
      <w:r>
        <w:rPr>
          <w:spacing w:val="-9"/>
        </w:rPr>
        <w:t> </w:t>
      </w:r>
      <w:r>
        <w:rPr/>
        <w:t>tomēr</w:t>
      </w:r>
      <w:r>
        <w:rPr>
          <w:spacing w:val="-11"/>
        </w:rPr>
        <w:t> </w:t>
      </w:r>
      <w:r>
        <w:rPr/>
        <w:t>kreditoriem</w:t>
      </w:r>
      <w:r>
        <w:rPr>
          <w:spacing w:val="-10"/>
        </w:rPr>
        <w:t> </w:t>
      </w:r>
      <w:r>
        <w:rPr/>
        <w:t>ir</w:t>
      </w:r>
      <w:r>
        <w:rPr>
          <w:spacing w:val="-10"/>
        </w:rPr>
        <w:t> </w:t>
      </w:r>
      <w:r>
        <w:rPr/>
        <w:t>iebildumi</w:t>
      </w:r>
      <w:r>
        <w:rPr>
          <w:spacing w:val="-8"/>
        </w:rPr>
        <w:t> </w:t>
      </w:r>
      <w:r>
        <w:rPr/>
        <w:t>pret</w:t>
      </w:r>
      <w:r>
        <w:rPr>
          <w:spacing w:val="-7"/>
        </w:rPr>
        <w:t> </w:t>
      </w:r>
      <w:r>
        <w:rPr/>
        <w:t>parādnieka</w:t>
      </w:r>
      <w:r>
        <w:rPr>
          <w:spacing w:val="-12"/>
        </w:rPr>
        <w:t> </w:t>
      </w:r>
      <w:r>
        <w:rPr/>
        <w:t>parāda segšanas plānu. Saskaņā § </w:t>
      </w:r>
      <w:r>
        <w:rPr>
          <w:i/>
        </w:rPr>
        <w:t>309 pirmo daļu, </w:t>
      </w:r>
      <w:r>
        <w:rPr/>
        <w:t>ja parāda segšanas plānam ir piekritusi vairāk kā</w:t>
      </w:r>
      <w:r>
        <w:rPr>
          <w:spacing w:val="-8"/>
        </w:rPr>
        <w:t> </w:t>
      </w:r>
      <w:r>
        <w:rPr/>
        <w:t>puse</w:t>
      </w:r>
      <w:r>
        <w:rPr>
          <w:spacing w:val="-6"/>
        </w:rPr>
        <w:t> </w:t>
      </w:r>
      <w:r>
        <w:rPr/>
        <w:t>kreditori</w:t>
      </w:r>
      <w:r>
        <w:rPr>
          <w:spacing w:val="-5"/>
        </w:rPr>
        <w:t> </w:t>
      </w:r>
      <w:r>
        <w:rPr/>
        <w:t>un</w:t>
      </w:r>
      <w:r>
        <w:rPr>
          <w:spacing w:val="-7"/>
        </w:rPr>
        <w:t> </w:t>
      </w:r>
      <w:r>
        <w:rPr/>
        <w:t>šo</w:t>
      </w:r>
      <w:r>
        <w:rPr>
          <w:spacing w:val="-8"/>
        </w:rPr>
        <w:t> </w:t>
      </w:r>
      <w:r>
        <w:rPr/>
        <w:t>kreditoru</w:t>
      </w:r>
      <w:r>
        <w:rPr>
          <w:spacing w:val="-10"/>
        </w:rPr>
        <w:t> </w:t>
      </w:r>
      <w:r>
        <w:rPr/>
        <w:t>prasījumu</w:t>
      </w:r>
      <w:r>
        <w:rPr>
          <w:spacing w:val="-8"/>
        </w:rPr>
        <w:t> </w:t>
      </w:r>
      <w:r>
        <w:rPr/>
        <w:t>summa</w:t>
      </w:r>
      <w:r>
        <w:rPr>
          <w:spacing w:val="-5"/>
        </w:rPr>
        <w:t> </w:t>
      </w:r>
      <w:r>
        <w:rPr/>
        <w:t>veido</w:t>
      </w:r>
      <w:r>
        <w:rPr>
          <w:spacing w:val="-8"/>
        </w:rPr>
        <w:t> </w:t>
      </w:r>
      <w:r>
        <w:rPr/>
        <w:t>vairāk</w:t>
      </w:r>
      <w:r>
        <w:rPr>
          <w:spacing w:val="-10"/>
        </w:rPr>
        <w:t> </w:t>
      </w:r>
      <w:r>
        <w:rPr/>
        <w:t>kā</w:t>
      </w:r>
      <w:r>
        <w:rPr>
          <w:spacing w:val="-7"/>
        </w:rPr>
        <w:t> </w:t>
      </w:r>
      <w:r>
        <w:rPr/>
        <w:t>pusi</w:t>
      </w:r>
      <w:r>
        <w:rPr>
          <w:spacing w:val="-5"/>
        </w:rPr>
        <w:t> </w:t>
      </w:r>
      <w:r>
        <w:rPr/>
        <w:t>no</w:t>
      </w:r>
      <w:r>
        <w:rPr>
          <w:spacing w:val="-8"/>
        </w:rPr>
        <w:t> </w:t>
      </w:r>
      <w:r>
        <w:rPr/>
        <w:t>kopējo</w:t>
      </w:r>
      <w:r>
        <w:rPr>
          <w:spacing w:val="-8"/>
        </w:rPr>
        <w:t> </w:t>
      </w:r>
      <w:r>
        <w:rPr/>
        <w:t>sarakstā iekļauto kreditoru prasījumu summas, tad tiesa, pamatojoties uz kreditora vai parādnieka pieteikumu, aizstāj kāda kreditora izteiktos iebildumus pret plānu ar piekrišanu </w:t>
      </w:r>
      <w:r>
        <w:rPr>
          <w:spacing w:val="-3"/>
        </w:rPr>
        <w:t>plānam. </w:t>
      </w:r>
      <w:r>
        <w:rPr/>
        <w:t>Tomēr šādu kārtību tiesa nepiemēro,</w:t>
      </w:r>
      <w:r>
        <w:rPr>
          <w:spacing w:val="-4"/>
        </w:rPr>
        <w:t> </w:t>
      </w:r>
      <w:r>
        <w:rPr/>
        <w:t>ja:</w:t>
      </w:r>
    </w:p>
    <w:p>
      <w:pPr>
        <w:pStyle w:val="ListParagraph"/>
        <w:numPr>
          <w:ilvl w:val="3"/>
          <w:numId w:val="94"/>
        </w:numPr>
        <w:tabs>
          <w:tab w:pos="1700" w:val="left" w:leader="none"/>
        </w:tabs>
        <w:spacing w:line="240" w:lineRule="auto" w:before="0" w:after="0"/>
        <w:ind w:left="1700" w:right="401" w:hanging="360"/>
        <w:jc w:val="both"/>
        <w:rPr>
          <w:sz w:val="24"/>
        </w:rPr>
      </w:pPr>
      <w:r>
        <w:rPr>
          <w:sz w:val="24"/>
        </w:rPr>
        <w:t>kreditors, kurš cēlis iebildumus par plāna apstiprināšanu, salīdzinot ar citiem kreditoriem, tiek ar plānu vairāk ierobežots saņemt sava prasījuma apmierināšanu;</w:t>
      </w:r>
    </w:p>
    <w:p>
      <w:pPr>
        <w:pStyle w:val="ListParagraph"/>
        <w:numPr>
          <w:ilvl w:val="3"/>
          <w:numId w:val="94"/>
        </w:numPr>
        <w:tabs>
          <w:tab w:pos="1700" w:val="left" w:leader="none"/>
        </w:tabs>
        <w:spacing w:line="240" w:lineRule="auto" w:before="0" w:after="0"/>
        <w:ind w:left="1700" w:right="401" w:hanging="360"/>
        <w:jc w:val="both"/>
        <w:rPr>
          <w:sz w:val="24"/>
        </w:rPr>
      </w:pPr>
      <w:r>
        <w:rPr>
          <w:sz w:val="24"/>
        </w:rPr>
        <w:t>kreditors,</w:t>
      </w:r>
      <w:r>
        <w:rPr>
          <w:spacing w:val="-11"/>
          <w:sz w:val="24"/>
        </w:rPr>
        <w:t> </w:t>
      </w:r>
      <w:r>
        <w:rPr>
          <w:sz w:val="24"/>
        </w:rPr>
        <w:t>kurš</w:t>
      </w:r>
      <w:r>
        <w:rPr>
          <w:spacing w:val="-8"/>
          <w:sz w:val="24"/>
        </w:rPr>
        <w:t> </w:t>
      </w:r>
      <w:r>
        <w:rPr>
          <w:sz w:val="24"/>
        </w:rPr>
        <w:t>cēlis</w:t>
      </w:r>
      <w:r>
        <w:rPr>
          <w:spacing w:val="-8"/>
          <w:sz w:val="24"/>
        </w:rPr>
        <w:t> </w:t>
      </w:r>
      <w:r>
        <w:rPr>
          <w:sz w:val="24"/>
        </w:rPr>
        <w:t>iebildumus</w:t>
      </w:r>
      <w:r>
        <w:rPr>
          <w:spacing w:val="-10"/>
          <w:sz w:val="24"/>
        </w:rPr>
        <w:t> </w:t>
      </w:r>
      <w:r>
        <w:rPr>
          <w:sz w:val="24"/>
        </w:rPr>
        <w:t>par</w:t>
      </w:r>
      <w:r>
        <w:rPr>
          <w:spacing w:val="-14"/>
          <w:sz w:val="24"/>
        </w:rPr>
        <w:t> </w:t>
      </w:r>
      <w:r>
        <w:rPr>
          <w:sz w:val="24"/>
        </w:rPr>
        <w:t>plānu,</w:t>
      </w:r>
      <w:r>
        <w:rPr>
          <w:spacing w:val="-8"/>
          <w:sz w:val="24"/>
        </w:rPr>
        <w:t> </w:t>
      </w:r>
      <w:r>
        <w:rPr>
          <w:sz w:val="24"/>
        </w:rPr>
        <w:t>ir</w:t>
      </w:r>
      <w:r>
        <w:rPr>
          <w:spacing w:val="-10"/>
          <w:sz w:val="24"/>
        </w:rPr>
        <w:t> </w:t>
      </w:r>
      <w:r>
        <w:rPr>
          <w:sz w:val="24"/>
        </w:rPr>
        <w:t>nostādīts</w:t>
      </w:r>
      <w:r>
        <w:rPr>
          <w:spacing w:val="-10"/>
          <w:sz w:val="24"/>
        </w:rPr>
        <w:t> </w:t>
      </w:r>
      <w:r>
        <w:rPr>
          <w:sz w:val="24"/>
        </w:rPr>
        <w:t>ekonomiski</w:t>
      </w:r>
      <w:r>
        <w:rPr>
          <w:spacing w:val="-10"/>
          <w:sz w:val="24"/>
        </w:rPr>
        <w:t> </w:t>
      </w:r>
      <w:r>
        <w:rPr>
          <w:sz w:val="24"/>
        </w:rPr>
        <w:t>neizdevīgākā situācijā, nekā gadījumā, ja tiktu pasludināta parādnieka maksātnespēja. Šaubu gadījumā, izvērtējot ekonomisko izdevīgumu, tiek pieņemts, ka parādnieka ienākumi, mantiskais un ģimenes stāvoklis nemainīsies visa procesa laikā,</w:t>
      </w:r>
      <w:r>
        <w:rPr>
          <w:spacing w:val="12"/>
          <w:sz w:val="24"/>
        </w:rPr>
        <w:t> </w:t>
      </w:r>
      <w:r>
        <w:rPr>
          <w:sz w:val="24"/>
        </w:rPr>
        <w:t>par</w:t>
      </w:r>
    </w:p>
    <w:p>
      <w:pPr>
        <w:spacing w:after="0" w:line="240" w:lineRule="auto"/>
        <w:jc w:val="both"/>
        <w:rPr>
          <w:sz w:val="24"/>
        </w:rPr>
        <w:sectPr>
          <w:pgSz w:w="11910" w:h="16840"/>
          <w:pgMar w:header="0" w:footer="1055" w:top="1340" w:bottom="1240" w:left="1180" w:right="1040"/>
        </w:sectPr>
      </w:pPr>
    </w:p>
    <w:p>
      <w:pPr>
        <w:pStyle w:val="BodyText"/>
        <w:spacing w:before="73"/>
        <w:ind w:left="1340" w:right="764"/>
      </w:pPr>
      <w:r>
        <w:rPr/>
        <w:t>atskaites punktu izmantojot parādnieka mantisko stāvokli pieteikuma iesniegšanas dienu</w:t>
      </w:r>
      <w:r>
        <w:rPr>
          <w:spacing w:val="-1"/>
        </w:rPr>
        <w:t> </w:t>
      </w:r>
      <w:r>
        <w:rPr/>
        <w:t>tiesā.</w:t>
      </w:r>
    </w:p>
    <w:p>
      <w:pPr>
        <w:pStyle w:val="BodyText"/>
        <w:ind w:left="260" w:right="762" w:firstLine="720"/>
      </w:pPr>
      <w:r>
        <w:rPr/>
        <w:t>Saskaņā ar Vācijas Maksātnespējas likuma § </w:t>
      </w:r>
      <w:r>
        <w:rPr>
          <w:i/>
        </w:rPr>
        <w:t>309 otro daļu </w:t>
      </w:r>
      <w:r>
        <w:rPr/>
        <w:t>pirms tiesa pieņem lēmumu saskaņā </w:t>
      </w:r>
      <w:r>
        <w:rPr>
          <w:i/>
        </w:rPr>
        <w:t>ar § 309 pirmo daļu</w:t>
      </w:r>
      <w:r>
        <w:rPr/>
        <w:t>, tiesa uzklausa kreditoru, kurš sniedzis iebildumus par plānu. Kreditoram tie apstākļi, kas neļauj tiesai kreditora iebildumus parādnieka segšanas plānam aizstāt ar piekrišanu plānam, jānorāda ticami. Pieteikuma iesniedzējam un kreditoram, kura iebildumus tiesa aizstājusi ar piekrišanu, ir tiesības nekavējoties iesniegt sūdzību par tiesas</w:t>
      </w:r>
      <w:r>
        <w:rPr>
          <w:spacing w:val="-1"/>
        </w:rPr>
        <w:t> </w:t>
      </w:r>
      <w:r>
        <w:rPr/>
        <w:t>lēmumu.</w:t>
      </w:r>
    </w:p>
    <w:p>
      <w:pPr>
        <w:pStyle w:val="BodyText"/>
        <w:ind w:left="260" w:right="763" w:firstLine="720"/>
      </w:pPr>
      <w:r>
        <w:rPr/>
        <w:t>Saskaņā</w:t>
      </w:r>
      <w:r>
        <w:rPr>
          <w:spacing w:val="-10"/>
        </w:rPr>
        <w:t> </w:t>
      </w:r>
      <w:r>
        <w:rPr/>
        <w:t>ar</w:t>
      </w:r>
      <w:r>
        <w:rPr>
          <w:spacing w:val="-8"/>
        </w:rPr>
        <w:t> </w:t>
      </w:r>
      <w:r>
        <w:rPr/>
        <w:t>Vācijas</w:t>
      </w:r>
      <w:r>
        <w:rPr>
          <w:spacing w:val="-8"/>
        </w:rPr>
        <w:t> </w:t>
      </w:r>
      <w:r>
        <w:rPr/>
        <w:t>Maksātnespējas</w:t>
      </w:r>
      <w:r>
        <w:rPr>
          <w:spacing w:val="-8"/>
        </w:rPr>
        <w:t> </w:t>
      </w:r>
      <w:r>
        <w:rPr/>
        <w:t>likuma</w:t>
      </w:r>
      <w:r>
        <w:rPr>
          <w:spacing w:val="-8"/>
        </w:rPr>
        <w:t> </w:t>
      </w:r>
      <w:r>
        <w:rPr/>
        <w:t>§</w:t>
      </w:r>
      <w:r>
        <w:rPr>
          <w:spacing w:val="-5"/>
        </w:rPr>
        <w:t> </w:t>
      </w:r>
      <w:r>
        <w:rPr>
          <w:i/>
        </w:rPr>
        <w:t>309</w:t>
      </w:r>
      <w:r>
        <w:rPr>
          <w:i/>
          <w:spacing w:val="-7"/>
        </w:rPr>
        <w:t> </w:t>
      </w:r>
      <w:r>
        <w:rPr>
          <w:i/>
        </w:rPr>
        <w:t>trešo</w:t>
      </w:r>
      <w:r>
        <w:rPr>
          <w:i/>
          <w:spacing w:val="-8"/>
        </w:rPr>
        <w:t> </w:t>
      </w:r>
      <w:r>
        <w:rPr>
          <w:i/>
        </w:rPr>
        <w:t>daļu,</w:t>
      </w:r>
      <w:r>
        <w:rPr>
          <w:i/>
          <w:spacing w:val="-8"/>
        </w:rPr>
        <w:t> </w:t>
      </w:r>
      <w:r>
        <w:rPr/>
        <w:t>ja</w:t>
      </w:r>
      <w:r>
        <w:rPr>
          <w:spacing w:val="-8"/>
        </w:rPr>
        <w:t> </w:t>
      </w:r>
      <w:r>
        <w:rPr/>
        <w:t>kāds</w:t>
      </w:r>
      <w:r>
        <w:rPr>
          <w:spacing w:val="-5"/>
        </w:rPr>
        <w:t> </w:t>
      </w:r>
      <w:r>
        <w:rPr/>
        <w:t>no</w:t>
      </w:r>
      <w:r>
        <w:rPr>
          <w:spacing w:val="-8"/>
        </w:rPr>
        <w:t> </w:t>
      </w:r>
      <w:r>
        <w:rPr/>
        <w:t>kreditoriem norāda tiesai uz ticamiem faktiskajiem apstākļiem, kas savukārt rada pamatotas šaubas</w:t>
      </w:r>
      <w:r>
        <w:rPr>
          <w:spacing w:val="-42"/>
        </w:rPr>
        <w:t> </w:t>
      </w:r>
      <w:r>
        <w:rPr/>
        <w:t>par to, vai parādnieka norādītais kreditora prasījums pastāv, kā arī pamatotas šaubas par kreditora</w:t>
      </w:r>
      <w:r>
        <w:rPr>
          <w:spacing w:val="-18"/>
        </w:rPr>
        <w:t> </w:t>
      </w:r>
      <w:r>
        <w:rPr/>
        <w:t>prasījuma</w:t>
      </w:r>
      <w:r>
        <w:rPr>
          <w:spacing w:val="-15"/>
        </w:rPr>
        <w:t> </w:t>
      </w:r>
      <w:r>
        <w:rPr/>
        <w:t>apmēru,</w:t>
      </w:r>
      <w:r>
        <w:rPr>
          <w:spacing w:val="-15"/>
        </w:rPr>
        <w:t> </w:t>
      </w:r>
      <w:r>
        <w:rPr/>
        <w:t>un</w:t>
      </w:r>
      <w:r>
        <w:rPr>
          <w:spacing w:val="-15"/>
        </w:rPr>
        <w:t> </w:t>
      </w:r>
      <w:r>
        <w:rPr/>
        <w:t>tikai</w:t>
      </w:r>
      <w:r>
        <w:rPr>
          <w:spacing w:val="-17"/>
        </w:rPr>
        <w:t> </w:t>
      </w:r>
      <w:r>
        <w:rPr/>
        <w:t>strīda</w:t>
      </w:r>
      <w:r>
        <w:rPr>
          <w:spacing w:val="-17"/>
        </w:rPr>
        <w:t> </w:t>
      </w:r>
      <w:r>
        <w:rPr/>
        <w:t>iznākums</w:t>
      </w:r>
      <w:r>
        <w:rPr>
          <w:spacing w:val="-15"/>
        </w:rPr>
        <w:t> </w:t>
      </w:r>
      <w:r>
        <w:rPr/>
        <w:t>radīs</w:t>
      </w:r>
      <w:r>
        <w:rPr>
          <w:spacing w:val="-15"/>
        </w:rPr>
        <w:t> </w:t>
      </w:r>
      <w:r>
        <w:rPr/>
        <w:t>skaidrību,</w:t>
      </w:r>
      <w:r>
        <w:rPr>
          <w:spacing w:val="-15"/>
        </w:rPr>
        <w:t> </w:t>
      </w:r>
      <w:r>
        <w:rPr/>
        <w:t>vai</w:t>
      </w:r>
      <w:r>
        <w:rPr>
          <w:spacing w:val="-15"/>
        </w:rPr>
        <w:t> </w:t>
      </w:r>
      <w:r>
        <w:rPr/>
        <w:t>minētais</w:t>
      </w:r>
      <w:r>
        <w:rPr>
          <w:spacing w:val="-15"/>
        </w:rPr>
        <w:t> </w:t>
      </w:r>
      <w:r>
        <w:rPr/>
        <w:t>kreditors, salīdzinot ar pārējiem kreditoriem samērīgi savam prasījumam piedalīsies plāna izpildē </w:t>
      </w:r>
      <w:r>
        <w:rPr>
          <w:i/>
        </w:rPr>
        <w:t>(§ </w:t>
      </w:r>
      <w:r>
        <w:rPr>
          <w:i/>
        </w:rPr>
        <w:t>309 pirmās daļas 2.teikums nr.1</w:t>
      </w:r>
      <w:r>
        <w:rPr/>
        <w:t>), tad šāda kreditora nepiekrišanu plānam tiesa </w:t>
      </w:r>
      <w:r>
        <w:rPr>
          <w:spacing w:val="-3"/>
        </w:rPr>
        <w:t>nevar </w:t>
      </w:r>
      <w:r>
        <w:rPr/>
        <w:t>aizvietot ar piekrišanu</w:t>
      </w:r>
      <w:r>
        <w:rPr>
          <w:spacing w:val="-4"/>
        </w:rPr>
        <w:t> </w:t>
      </w:r>
      <w:r>
        <w:rPr/>
        <w:t>plānam.</w:t>
      </w:r>
    </w:p>
    <w:p>
      <w:pPr>
        <w:pStyle w:val="BodyText"/>
        <w:spacing w:before="1"/>
        <w:ind w:left="260" w:right="763" w:firstLine="720"/>
      </w:pPr>
      <w:r>
        <w:rPr/>
        <w:t>Saskaņā ar Vācijas Maksātnespējas likuma § </w:t>
      </w:r>
      <w:r>
        <w:rPr>
          <w:i/>
        </w:rPr>
        <w:t>311, </w:t>
      </w:r>
      <w:r>
        <w:rPr/>
        <w:t>ja kreditori ceļ iebildumus pret parādnieka parāda segšanas plānu, un tiesa nav tos aizvietojusi ar piekrišanu plānam saskaņā</w:t>
      </w:r>
      <w:r>
        <w:rPr>
          <w:spacing w:val="-9"/>
        </w:rPr>
        <w:t> </w:t>
      </w:r>
      <w:r>
        <w:rPr/>
        <w:t>ar</w:t>
      </w:r>
      <w:r>
        <w:rPr>
          <w:spacing w:val="-11"/>
        </w:rPr>
        <w:t> </w:t>
      </w:r>
      <w:r>
        <w:rPr/>
        <w:t>Vācijas</w:t>
      </w:r>
      <w:r>
        <w:rPr>
          <w:spacing w:val="-7"/>
        </w:rPr>
        <w:t> </w:t>
      </w:r>
      <w:r>
        <w:rPr/>
        <w:t>Maksātnespējas</w:t>
      </w:r>
      <w:r>
        <w:rPr>
          <w:spacing w:val="-11"/>
        </w:rPr>
        <w:t> </w:t>
      </w:r>
      <w:r>
        <w:rPr/>
        <w:t>likuma</w:t>
      </w:r>
      <w:r>
        <w:rPr>
          <w:spacing w:val="-11"/>
        </w:rPr>
        <w:t> </w:t>
      </w:r>
      <w:r>
        <w:rPr>
          <w:i/>
        </w:rPr>
        <w:t>§</w:t>
      </w:r>
      <w:r>
        <w:rPr>
          <w:i/>
          <w:spacing w:val="-8"/>
        </w:rPr>
        <w:t> </w:t>
      </w:r>
      <w:r>
        <w:rPr>
          <w:i/>
        </w:rPr>
        <w:t>309</w:t>
      </w:r>
      <w:r>
        <w:rPr/>
        <w:t>,</w:t>
      </w:r>
      <w:r>
        <w:rPr>
          <w:spacing w:val="-11"/>
        </w:rPr>
        <w:t> </w:t>
      </w:r>
      <w:r>
        <w:rPr/>
        <w:t>tad</w:t>
      </w:r>
      <w:r>
        <w:rPr>
          <w:spacing w:val="-11"/>
        </w:rPr>
        <w:t> </w:t>
      </w:r>
      <w:r>
        <w:rPr/>
        <w:t>tiesa</w:t>
      </w:r>
      <w:r>
        <w:rPr>
          <w:spacing w:val="-10"/>
        </w:rPr>
        <w:t> </w:t>
      </w:r>
      <w:r>
        <w:rPr/>
        <w:t>atsāk</w:t>
      </w:r>
      <w:r>
        <w:rPr>
          <w:spacing w:val="-11"/>
        </w:rPr>
        <w:t> </w:t>
      </w:r>
      <w:r>
        <w:rPr/>
        <w:t>pieteikuma</w:t>
      </w:r>
      <w:r>
        <w:rPr>
          <w:spacing w:val="-7"/>
        </w:rPr>
        <w:t> </w:t>
      </w:r>
      <w:r>
        <w:rPr/>
        <w:t>izskatīšanu</w:t>
      </w:r>
      <w:r>
        <w:rPr>
          <w:spacing w:val="-10"/>
        </w:rPr>
        <w:t> </w:t>
      </w:r>
      <w:r>
        <w:rPr/>
        <w:t>par parādnieka maksātnespējas procesa</w:t>
      </w:r>
      <w:r>
        <w:rPr>
          <w:spacing w:val="-4"/>
        </w:rPr>
        <w:t> </w:t>
      </w:r>
      <w:r>
        <w:rPr/>
        <w:t>pasludināšanu.</w:t>
      </w:r>
    </w:p>
    <w:p>
      <w:pPr>
        <w:pStyle w:val="BodyText"/>
        <w:ind w:left="260" w:right="761" w:firstLine="720"/>
      </w:pPr>
      <w:r>
        <w:rPr/>
        <w:t>Izskatot maksātnespējas procesa pieteikumu, tiesa vērtē, vai parādnieks ir maksātnespējīgs, vai parādnieks pirms pieteikuma iesniegšanas tiesā centies panākt vienošanos ar kreditoriem par parādu segšanas kārtību, pamatojoties uz parādnieka izstrādātu</w:t>
      </w:r>
      <w:r>
        <w:rPr>
          <w:spacing w:val="-14"/>
        </w:rPr>
        <w:t> </w:t>
      </w:r>
      <w:r>
        <w:rPr/>
        <w:t>parādu</w:t>
      </w:r>
      <w:r>
        <w:rPr>
          <w:spacing w:val="-13"/>
        </w:rPr>
        <w:t> </w:t>
      </w:r>
      <w:r>
        <w:rPr/>
        <w:t>segšanas</w:t>
      </w:r>
      <w:r>
        <w:rPr>
          <w:spacing w:val="-13"/>
        </w:rPr>
        <w:t> </w:t>
      </w:r>
      <w:r>
        <w:rPr/>
        <w:t>plānu.</w:t>
      </w:r>
      <w:r>
        <w:rPr>
          <w:spacing w:val="33"/>
        </w:rPr>
        <w:t> </w:t>
      </w:r>
      <w:r>
        <w:rPr/>
        <w:t>Tā</w:t>
      </w:r>
      <w:r>
        <w:rPr>
          <w:spacing w:val="-13"/>
        </w:rPr>
        <w:t> </w:t>
      </w:r>
      <w:r>
        <w:rPr/>
        <w:t>kā</w:t>
      </w:r>
      <w:r>
        <w:rPr>
          <w:spacing w:val="-16"/>
        </w:rPr>
        <w:t> </w:t>
      </w:r>
      <w:r>
        <w:rPr/>
        <w:t>pieteikums</w:t>
      </w:r>
      <w:r>
        <w:rPr>
          <w:spacing w:val="-13"/>
        </w:rPr>
        <w:t> </w:t>
      </w:r>
      <w:r>
        <w:rPr/>
        <w:t>par</w:t>
      </w:r>
      <w:r>
        <w:rPr>
          <w:spacing w:val="-13"/>
        </w:rPr>
        <w:t> </w:t>
      </w:r>
      <w:r>
        <w:rPr/>
        <w:t>parādnieka</w:t>
      </w:r>
      <w:r>
        <w:rPr>
          <w:spacing w:val="-13"/>
        </w:rPr>
        <w:t> </w:t>
      </w:r>
      <w:r>
        <w:rPr/>
        <w:t>maksātnespējas</w:t>
      </w:r>
      <w:r>
        <w:rPr>
          <w:spacing w:val="-13"/>
        </w:rPr>
        <w:t> </w:t>
      </w:r>
      <w:r>
        <w:rPr/>
        <w:t>procesa pasludināšanu</w:t>
      </w:r>
      <w:r>
        <w:rPr>
          <w:spacing w:val="-11"/>
        </w:rPr>
        <w:t> </w:t>
      </w:r>
      <w:r>
        <w:rPr/>
        <w:t>tiek</w:t>
      </w:r>
      <w:r>
        <w:rPr>
          <w:spacing w:val="-12"/>
        </w:rPr>
        <w:t> </w:t>
      </w:r>
      <w:r>
        <w:rPr/>
        <w:t>skatīts</w:t>
      </w:r>
      <w:r>
        <w:rPr>
          <w:spacing w:val="-7"/>
        </w:rPr>
        <w:t> </w:t>
      </w:r>
      <w:r>
        <w:rPr/>
        <w:t>kopā</w:t>
      </w:r>
      <w:r>
        <w:rPr>
          <w:spacing w:val="-12"/>
        </w:rPr>
        <w:t> </w:t>
      </w:r>
      <w:r>
        <w:rPr/>
        <w:t>ar</w:t>
      </w:r>
      <w:r>
        <w:rPr>
          <w:spacing w:val="-10"/>
        </w:rPr>
        <w:t> </w:t>
      </w:r>
      <w:r>
        <w:rPr/>
        <w:t>pieteikumu</w:t>
      </w:r>
      <w:r>
        <w:rPr>
          <w:spacing w:val="-11"/>
        </w:rPr>
        <w:t> </w:t>
      </w:r>
      <w:r>
        <w:rPr/>
        <w:t>par</w:t>
      </w:r>
      <w:r>
        <w:rPr>
          <w:spacing w:val="-10"/>
        </w:rPr>
        <w:t> </w:t>
      </w:r>
      <w:r>
        <w:rPr/>
        <w:t>parādnieka</w:t>
      </w:r>
      <w:r>
        <w:rPr>
          <w:spacing w:val="-12"/>
        </w:rPr>
        <w:t> </w:t>
      </w:r>
      <w:r>
        <w:rPr/>
        <w:t>atbrīvošanu</w:t>
      </w:r>
      <w:r>
        <w:rPr>
          <w:spacing w:val="-10"/>
        </w:rPr>
        <w:t> </w:t>
      </w:r>
      <w:r>
        <w:rPr/>
        <w:t>no</w:t>
      </w:r>
      <w:r>
        <w:rPr>
          <w:spacing w:val="-8"/>
        </w:rPr>
        <w:t> </w:t>
      </w:r>
      <w:r>
        <w:rPr/>
        <w:t>neizpildītajām saistībām, tad saskaņā ar Vācijas Maksātnespējas likuma </w:t>
      </w:r>
      <w:r>
        <w:rPr>
          <w:i/>
        </w:rPr>
        <w:t>§ 287a otro daļu </w:t>
      </w:r>
      <w:r>
        <w:rPr/>
        <w:t>tiesa papildus vēl</w:t>
      </w:r>
      <w:r>
        <w:rPr>
          <w:spacing w:val="-13"/>
        </w:rPr>
        <w:t> </w:t>
      </w:r>
      <w:r>
        <w:rPr/>
        <w:t>vērtē</w:t>
      </w:r>
      <w:r>
        <w:rPr>
          <w:spacing w:val="-12"/>
        </w:rPr>
        <w:t> </w:t>
      </w:r>
      <w:r>
        <w:rPr/>
        <w:t>šādus</w:t>
      </w:r>
      <w:r>
        <w:rPr>
          <w:spacing w:val="-13"/>
        </w:rPr>
        <w:t> </w:t>
      </w:r>
      <w:r>
        <w:rPr/>
        <w:t>apstākļus,</w:t>
      </w:r>
      <w:r>
        <w:rPr>
          <w:spacing w:val="-13"/>
        </w:rPr>
        <w:t> </w:t>
      </w:r>
      <w:r>
        <w:rPr/>
        <w:t>kas</w:t>
      </w:r>
      <w:r>
        <w:rPr>
          <w:spacing w:val="-13"/>
        </w:rPr>
        <w:t> </w:t>
      </w:r>
      <w:r>
        <w:rPr/>
        <w:t>savukārt</w:t>
      </w:r>
      <w:r>
        <w:rPr>
          <w:spacing w:val="-13"/>
        </w:rPr>
        <w:t> </w:t>
      </w:r>
      <w:r>
        <w:rPr/>
        <w:t>ir</w:t>
      </w:r>
      <w:r>
        <w:rPr>
          <w:spacing w:val="-12"/>
        </w:rPr>
        <w:t> </w:t>
      </w:r>
      <w:r>
        <w:rPr/>
        <w:t>par</w:t>
      </w:r>
      <w:r>
        <w:rPr>
          <w:spacing w:val="-17"/>
        </w:rPr>
        <w:t> </w:t>
      </w:r>
      <w:r>
        <w:rPr/>
        <w:t>pamatu</w:t>
      </w:r>
      <w:r>
        <w:rPr>
          <w:spacing w:val="-13"/>
        </w:rPr>
        <w:t> </w:t>
      </w:r>
      <w:r>
        <w:rPr/>
        <w:t>pieteikuma</w:t>
      </w:r>
      <w:r>
        <w:rPr>
          <w:spacing w:val="-13"/>
        </w:rPr>
        <w:t> </w:t>
      </w:r>
      <w:r>
        <w:rPr/>
        <w:t>par</w:t>
      </w:r>
      <w:r>
        <w:rPr>
          <w:spacing w:val="-17"/>
        </w:rPr>
        <w:t> </w:t>
      </w:r>
      <w:r>
        <w:rPr/>
        <w:t>parādnieka</w:t>
      </w:r>
      <w:r>
        <w:rPr>
          <w:spacing w:val="-16"/>
        </w:rPr>
        <w:t> </w:t>
      </w:r>
      <w:r>
        <w:rPr/>
        <w:t>atbrīvošanu no atlikušajām saistībām</w:t>
      </w:r>
      <w:r>
        <w:rPr>
          <w:spacing w:val="-1"/>
        </w:rPr>
        <w:t> </w:t>
      </w:r>
      <w:r>
        <w:rPr/>
        <w:t>noraidīšanai:</w:t>
      </w:r>
    </w:p>
    <w:p>
      <w:pPr>
        <w:pStyle w:val="ListParagraph"/>
        <w:numPr>
          <w:ilvl w:val="0"/>
          <w:numId w:val="96"/>
        </w:numPr>
        <w:tabs>
          <w:tab w:pos="1340" w:val="left" w:leader="none"/>
        </w:tabs>
        <w:spacing w:line="240" w:lineRule="auto" w:before="0" w:after="0"/>
        <w:ind w:left="1340" w:right="761" w:hanging="360"/>
        <w:jc w:val="both"/>
        <w:rPr>
          <w:sz w:val="24"/>
        </w:rPr>
      </w:pPr>
      <w:r>
        <w:rPr>
          <w:sz w:val="24"/>
        </w:rPr>
        <w:t>parādniekam pēdējo desmit gadu laikā pirms pieteikuma par maksātnespējas procesa pasludināšanu iesniegšanas tiesā vai pēc pieteikuma iesniegšanas tiesā ir tikusi pasludināta atlikušo parādu dzēšana, vai pēdējo piecu gadu laikā</w:t>
      </w:r>
      <w:r>
        <w:rPr>
          <w:spacing w:val="-26"/>
          <w:sz w:val="24"/>
        </w:rPr>
        <w:t> </w:t>
      </w:r>
      <w:r>
        <w:rPr>
          <w:sz w:val="24"/>
        </w:rPr>
        <w:t>pirms pieteikuma par maksātnespējas procesa pasludināšanu iesniegšanas tiesā vai pēc pieteikuma iesniegšanas tiesā ir atteikta parādu dzēšana, pamatojoties uz Vācijas Maksātnespējas likuma </w:t>
      </w:r>
      <w:r>
        <w:rPr>
          <w:i/>
          <w:sz w:val="24"/>
        </w:rPr>
        <w:t>§ 297</w:t>
      </w:r>
      <w:r>
        <w:rPr>
          <w:sz w:val="24"/>
        </w:rPr>
        <w:t>. Vācijas Maksātnespējas likuma </w:t>
      </w:r>
      <w:r>
        <w:rPr>
          <w:i/>
          <w:sz w:val="24"/>
        </w:rPr>
        <w:t>§ 297 </w:t>
      </w:r>
      <w:r>
        <w:rPr>
          <w:sz w:val="24"/>
        </w:rPr>
        <w:t>nosaka, ka tiesa noraida atlikušo neizpildīto parādu dzēšanu, ja parādnieks maksātnespējas procesa laikā ir notiesāts par noziedzīgiem nodarījumiem maksātnespējas jomā, kas noteikti Vācijas Krimināllikuma </w:t>
      </w:r>
      <w:r>
        <w:rPr>
          <w:i/>
          <w:sz w:val="24"/>
        </w:rPr>
        <w:t>§§ 283-283c</w:t>
      </w:r>
      <w:r>
        <w:rPr>
          <w:sz w:val="24"/>
        </w:rPr>
        <w:t>, piespriežot naudas sodu 90 dienas likmes vai brīvības atņemšanu līdz </w:t>
      </w:r>
      <w:r>
        <w:rPr>
          <w:spacing w:val="-11"/>
          <w:sz w:val="24"/>
        </w:rPr>
        <w:t>3 </w:t>
      </w:r>
      <w:r>
        <w:rPr>
          <w:sz w:val="24"/>
        </w:rPr>
        <w:t>mēnešiem;</w:t>
      </w:r>
    </w:p>
    <w:p>
      <w:pPr>
        <w:pStyle w:val="ListParagraph"/>
        <w:numPr>
          <w:ilvl w:val="0"/>
          <w:numId w:val="96"/>
        </w:numPr>
        <w:tabs>
          <w:tab w:pos="1340" w:val="left" w:leader="none"/>
        </w:tabs>
        <w:spacing w:line="240" w:lineRule="auto" w:before="0" w:after="0"/>
        <w:ind w:left="1340" w:right="762" w:hanging="360"/>
        <w:jc w:val="both"/>
        <w:rPr>
          <w:sz w:val="24"/>
        </w:rPr>
      </w:pPr>
      <w:r>
        <w:rPr>
          <w:sz w:val="24"/>
        </w:rPr>
        <w:t>parādniekam pēdējo trīs gadu laikā pirms pieteikuma par maksātnespējas procesa</w:t>
      </w:r>
      <w:r>
        <w:rPr>
          <w:spacing w:val="-5"/>
          <w:sz w:val="24"/>
        </w:rPr>
        <w:t> </w:t>
      </w:r>
      <w:r>
        <w:rPr>
          <w:sz w:val="24"/>
        </w:rPr>
        <w:t>pasludināšanu</w:t>
      </w:r>
      <w:r>
        <w:rPr>
          <w:spacing w:val="-6"/>
          <w:sz w:val="24"/>
        </w:rPr>
        <w:t> </w:t>
      </w:r>
      <w:r>
        <w:rPr>
          <w:sz w:val="24"/>
        </w:rPr>
        <w:t>iesniegšanas</w:t>
      </w:r>
      <w:r>
        <w:rPr>
          <w:spacing w:val="-5"/>
          <w:sz w:val="24"/>
        </w:rPr>
        <w:t> </w:t>
      </w:r>
      <w:r>
        <w:rPr>
          <w:sz w:val="24"/>
        </w:rPr>
        <w:t>tiesā</w:t>
      </w:r>
      <w:r>
        <w:rPr>
          <w:spacing w:val="-6"/>
          <w:sz w:val="24"/>
        </w:rPr>
        <w:t> </w:t>
      </w:r>
      <w:r>
        <w:rPr>
          <w:sz w:val="24"/>
        </w:rPr>
        <w:t>vai</w:t>
      </w:r>
      <w:r>
        <w:rPr>
          <w:spacing w:val="-7"/>
          <w:sz w:val="24"/>
        </w:rPr>
        <w:t> </w:t>
      </w:r>
      <w:r>
        <w:rPr>
          <w:sz w:val="24"/>
        </w:rPr>
        <w:t>pēc</w:t>
      </w:r>
      <w:r>
        <w:rPr>
          <w:spacing w:val="-5"/>
          <w:sz w:val="24"/>
        </w:rPr>
        <w:t> </w:t>
      </w:r>
      <w:r>
        <w:rPr>
          <w:sz w:val="24"/>
        </w:rPr>
        <w:t>tā</w:t>
      </w:r>
      <w:r>
        <w:rPr>
          <w:spacing w:val="-6"/>
          <w:sz w:val="24"/>
        </w:rPr>
        <w:t> </w:t>
      </w:r>
      <w:r>
        <w:rPr>
          <w:sz w:val="24"/>
        </w:rPr>
        <w:t>iesniegšanas</w:t>
      </w:r>
      <w:r>
        <w:rPr>
          <w:spacing w:val="-7"/>
          <w:sz w:val="24"/>
        </w:rPr>
        <w:t> </w:t>
      </w:r>
      <w:r>
        <w:rPr>
          <w:sz w:val="24"/>
        </w:rPr>
        <w:t>tiesā</w:t>
      </w:r>
      <w:r>
        <w:rPr>
          <w:spacing w:val="-6"/>
          <w:sz w:val="24"/>
        </w:rPr>
        <w:t> </w:t>
      </w:r>
      <w:r>
        <w:rPr>
          <w:sz w:val="24"/>
        </w:rPr>
        <w:t>ir</w:t>
      </w:r>
      <w:r>
        <w:rPr>
          <w:spacing w:val="-3"/>
          <w:sz w:val="24"/>
        </w:rPr>
        <w:t> </w:t>
      </w:r>
      <w:r>
        <w:rPr>
          <w:sz w:val="24"/>
        </w:rPr>
        <w:t>atteikta parādu dzēšana, pamatojoties uz Vācijas Maksātnespējas likuma </w:t>
      </w:r>
      <w:r>
        <w:rPr>
          <w:i/>
          <w:sz w:val="24"/>
        </w:rPr>
        <w:t>§ 290 pirmās </w:t>
      </w:r>
      <w:r>
        <w:rPr>
          <w:i/>
          <w:sz w:val="24"/>
        </w:rPr>
        <w:t>daļas 5., 6. vai 7.punktu</w:t>
      </w:r>
      <w:r>
        <w:rPr>
          <w:sz w:val="24"/>
        </w:rPr>
        <w:t>, vai pamatojoties uz Vācijas Maksātnespējas likuma </w:t>
      </w:r>
      <w:r>
        <w:rPr>
          <w:i/>
          <w:sz w:val="24"/>
        </w:rPr>
        <w:t>§ </w:t>
      </w:r>
      <w:r>
        <w:rPr>
          <w:i/>
          <w:sz w:val="24"/>
        </w:rPr>
        <w:t>296</w:t>
      </w:r>
      <w:r>
        <w:rPr>
          <w:sz w:val="24"/>
        </w:rPr>
        <w:t>; kā arī saskaņā ar Vācijas Maksātnespējas likuma </w:t>
      </w:r>
      <w:r>
        <w:rPr>
          <w:i/>
          <w:sz w:val="24"/>
        </w:rPr>
        <w:t>§ 297a </w:t>
      </w:r>
      <w:r>
        <w:rPr>
          <w:sz w:val="24"/>
        </w:rPr>
        <w:t>ietverto regulējumu par atteikumu dzēst saistības, ņemot vērā, ka atteikuma iemesli kļuvuši zināmi</w:t>
      </w:r>
      <w:r>
        <w:rPr>
          <w:spacing w:val="3"/>
          <w:sz w:val="24"/>
        </w:rPr>
        <w:t> </w:t>
      </w:r>
      <w:r>
        <w:rPr>
          <w:sz w:val="24"/>
        </w:rPr>
        <w:t>vēlāk.</w:t>
      </w:r>
    </w:p>
    <w:p>
      <w:pPr>
        <w:pStyle w:val="BodyText"/>
        <w:ind w:left="260" w:right="760" w:firstLine="720"/>
      </w:pPr>
      <w:r>
        <w:rPr/>
        <w:t>Tā kā tiesa lēmumu par saistību dzēšanu tiesa pieņem kopā ar lēmumu par maksātnespējas</w:t>
      </w:r>
      <w:r>
        <w:rPr>
          <w:spacing w:val="-8"/>
        </w:rPr>
        <w:t> </w:t>
      </w:r>
      <w:r>
        <w:rPr/>
        <w:t>procesa</w:t>
      </w:r>
      <w:r>
        <w:rPr>
          <w:spacing w:val="-8"/>
        </w:rPr>
        <w:t> </w:t>
      </w:r>
      <w:r>
        <w:rPr/>
        <w:t>pasludināšanu,</w:t>
      </w:r>
      <w:r>
        <w:rPr>
          <w:spacing w:val="-8"/>
        </w:rPr>
        <w:t> </w:t>
      </w:r>
      <w:r>
        <w:rPr/>
        <w:t>tad</w:t>
      </w:r>
      <w:r>
        <w:rPr>
          <w:spacing w:val="-8"/>
        </w:rPr>
        <w:t> </w:t>
      </w:r>
      <w:r>
        <w:rPr/>
        <w:t>jau</w:t>
      </w:r>
      <w:r>
        <w:rPr>
          <w:spacing w:val="-8"/>
        </w:rPr>
        <w:t> </w:t>
      </w:r>
      <w:r>
        <w:rPr/>
        <w:t>sākotnēji</w:t>
      </w:r>
      <w:r>
        <w:rPr>
          <w:spacing w:val="-8"/>
        </w:rPr>
        <w:t> </w:t>
      </w:r>
      <w:r>
        <w:rPr/>
        <w:t>tiesa</w:t>
      </w:r>
      <w:r>
        <w:rPr>
          <w:spacing w:val="-8"/>
        </w:rPr>
        <w:t> </w:t>
      </w:r>
      <w:r>
        <w:rPr/>
        <w:t>lēmumā</w:t>
      </w:r>
      <w:r>
        <w:rPr>
          <w:spacing w:val="-8"/>
        </w:rPr>
        <w:t> </w:t>
      </w:r>
      <w:r>
        <w:rPr/>
        <w:t>par</w:t>
      </w:r>
      <w:r>
        <w:rPr>
          <w:spacing w:val="-11"/>
        </w:rPr>
        <w:t> </w:t>
      </w:r>
      <w:r>
        <w:rPr/>
        <w:t>saistību</w:t>
      </w:r>
      <w:r>
        <w:rPr>
          <w:spacing w:val="-8"/>
        </w:rPr>
        <w:t> </w:t>
      </w:r>
      <w:r>
        <w:rPr/>
        <w:t>dzēšanu ieraksta nosacījumus, kādus parādniekam jāievēro, lai saistību dzēšanu varētu izpildīt: 1) parādniekam</w:t>
      </w:r>
      <w:r>
        <w:rPr>
          <w:spacing w:val="-14"/>
        </w:rPr>
        <w:t> </w:t>
      </w:r>
      <w:r>
        <w:rPr/>
        <w:t>jāievēro</w:t>
      </w:r>
      <w:r>
        <w:rPr>
          <w:spacing w:val="-9"/>
        </w:rPr>
        <w:t> </w:t>
      </w:r>
      <w:r>
        <w:rPr/>
        <w:t>Vācijas</w:t>
      </w:r>
      <w:r>
        <w:rPr>
          <w:spacing w:val="-11"/>
        </w:rPr>
        <w:t> </w:t>
      </w:r>
      <w:r>
        <w:rPr/>
        <w:t>Maksātnespējas</w:t>
      </w:r>
      <w:r>
        <w:rPr>
          <w:spacing w:val="-15"/>
        </w:rPr>
        <w:t> </w:t>
      </w:r>
      <w:r>
        <w:rPr/>
        <w:t>likuma</w:t>
      </w:r>
      <w:r>
        <w:rPr>
          <w:spacing w:val="-13"/>
        </w:rPr>
        <w:t> </w:t>
      </w:r>
      <w:r>
        <w:rPr>
          <w:i/>
        </w:rPr>
        <w:t>§</w:t>
      </w:r>
      <w:r>
        <w:rPr>
          <w:i/>
          <w:spacing w:val="-11"/>
        </w:rPr>
        <w:t> </w:t>
      </w:r>
      <w:r>
        <w:rPr>
          <w:i/>
        </w:rPr>
        <w:t>295</w:t>
      </w:r>
      <w:r>
        <w:rPr>
          <w:i/>
          <w:spacing w:val="-13"/>
        </w:rPr>
        <w:t> </w:t>
      </w:r>
      <w:r>
        <w:rPr/>
        <w:t>noteiktie</w:t>
      </w:r>
      <w:r>
        <w:rPr>
          <w:spacing w:val="-11"/>
        </w:rPr>
        <w:t> </w:t>
      </w:r>
      <w:r>
        <w:rPr/>
        <w:t>pienākumi;</w:t>
      </w:r>
      <w:r>
        <w:rPr>
          <w:spacing w:val="-11"/>
        </w:rPr>
        <w:t> </w:t>
      </w:r>
      <w:r>
        <w:rPr/>
        <w:t>2)</w:t>
      </w:r>
      <w:r>
        <w:rPr>
          <w:spacing w:val="-15"/>
        </w:rPr>
        <w:t> </w:t>
      </w:r>
      <w:r>
        <w:rPr/>
        <w:t>parādu dzēšana</w:t>
      </w:r>
      <w:r>
        <w:rPr>
          <w:spacing w:val="-14"/>
        </w:rPr>
        <w:t> </w:t>
      </w:r>
      <w:r>
        <w:rPr/>
        <w:t>var</w:t>
      </w:r>
      <w:r>
        <w:rPr>
          <w:spacing w:val="-16"/>
        </w:rPr>
        <w:t> </w:t>
      </w:r>
      <w:r>
        <w:rPr/>
        <w:t>notikt</w:t>
      </w:r>
      <w:r>
        <w:rPr>
          <w:spacing w:val="-13"/>
        </w:rPr>
        <w:t> </w:t>
      </w:r>
      <w:r>
        <w:rPr/>
        <w:t>pie</w:t>
      </w:r>
      <w:r>
        <w:rPr>
          <w:spacing w:val="-13"/>
        </w:rPr>
        <w:t> </w:t>
      </w:r>
      <w:r>
        <w:rPr/>
        <w:t>nosacījuma,</w:t>
      </w:r>
      <w:r>
        <w:rPr>
          <w:spacing w:val="-17"/>
        </w:rPr>
        <w:t> </w:t>
      </w:r>
      <w:r>
        <w:rPr/>
        <w:t>ja</w:t>
      </w:r>
      <w:r>
        <w:rPr>
          <w:spacing w:val="-12"/>
        </w:rPr>
        <w:t> </w:t>
      </w:r>
      <w:r>
        <w:rPr/>
        <w:t>nav</w:t>
      </w:r>
      <w:r>
        <w:rPr>
          <w:spacing w:val="-16"/>
        </w:rPr>
        <w:t> </w:t>
      </w:r>
      <w:r>
        <w:rPr/>
        <w:t>izpildījušies</w:t>
      </w:r>
      <w:r>
        <w:rPr>
          <w:spacing w:val="-13"/>
        </w:rPr>
        <w:t> </w:t>
      </w:r>
      <w:r>
        <w:rPr/>
        <w:t>priekšnoteikumi,</w:t>
      </w:r>
      <w:r>
        <w:rPr>
          <w:spacing w:val="-13"/>
        </w:rPr>
        <w:t> </w:t>
      </w:r>
      <w:r>
        <w:rPr/>
        <w:t>kas</w:t>
      </w:r>
      <w:r>
        <w:rPr>
          <w:spacing w:val="-14"/>
        </w:rPr>
        <w:t> </w:t>
      </w:r>
      <w:r>
        <w:rPr/>
        <w:t>noteikti</w:t>
      </w:r>
      <w:r>
        <w:rPr>
          <w:spacing w:val="-11"/>
        </w:rPr>
        <w:t> </w:t>
      </w:r>
      <w:r>
        <w:rPr/>
        <w:t>Vācijas</w:t>
      </w:r>
    </w:p>
    <w:p>
      <w:pPr>
        <w:spacing w:after="0"/>
        <w:sectPr>
          <w:pgSz w:w="11910" w:h="16840"/>
          <w:pgMar w:header="0" w:footer="1055" w:top="1340" w:bottom="1240" w:left="1180" w:right="1040"/>
        </w:sectPr>
      </w:pPr>
    </w:p>
    <w:p>
      <w:pPr>
        <w:spacing w:before="73"/>
        <w:ind w:left="620" w:right="405" w:firstLine="0"/>
        <w:jc w:val="both"/>
        <w:rPr>
          <w:sz w:val="24"/>
        </w:rPr>
      </w:pPr>
      <w:r>
        <w:rPr>
          <w:sz w:val="24"/>
        </w:rPr>
        <w:t>Maksātnespējas likuma </w:t>
      </w:r>
      <w:r>
        <w:rPr>
          <w:i/>
          <w:sz w:val="24"/>
        </w:rPr>
        <w:t>§ 290 </w:t>
      </w:r>
      <w:r>
        <w:rPr>
          <w:sz w:val="24"/>
        </w:rPr>
        <w:t>un §§ </w:t>
      </w:r>
      <w:r>
        <w:rPr>
          <w:i/>
          <w:sz w:val="24"/>
        </w:rPr>
        <w:t>297 – 298</w:t>
      </w:r>
      <w:r>
        <w:rPr>
          <w:sz w:val="24"/>
        </w:rPr>
        <w:t>, saistību dzēšanas atteikumam </w:t>
      </w:r>
      <w:r>
        <w:rPr>
          <w:spacing w:val="-3"/>
          <w:sz w:val="24"/>
        </w:rPr>
        <w:t>(Vācijas</w:t>
      </w:r>
      <w:r>
        <w:rPr>
          <w:spacing w:val="54"/>
          <w:sz w:val="24"/>
        </w:rPr>
        <w:t> </w:t>
      </w:r>
      <w:r>
        <w:rPr>
          <w:sz w:val="24"/>
        </w:rPr>
        <w:t>Maksātnespējas likuma </w:t>
      </w:r>
      <w:r>
        <w:rPr>
          <w:i/>
          <w:sz w:val="24"/>
        </w:rPr>
        <w:t>§ 287 a pirmā daļa</w:t>
      </w:r>
      <w:r>
        <w:rPr>
          <w:sz w:val="24"/>
        </w:rPr>
        <w:t>).</w:t>
      </w:r>
    </w:p>
    <w:p>
      <w:pPr>
        <w:pStyle w:val="ListParagraph"/>
        <w:numPr>
          <w:ilvl w:val="2"/>
          <w:numId w:val="94"/>
        </w:numPr>
        <w:tabs>
          <w:tab w:pos="1726" w:val="left" w:leader="none"/>
        </w:tabs>
        <w:spacing w:line="240" w:lineRule="auto" w:before="0" w:after="0"/>
        <w:ind w:left="620" w:right="403" w:firstLine="720"/>
        <w:jc w:val="both"/>
        <w:rPr>
          <w:i/>
          <w:sz w:val="24"/>
        </w:rPr>
      </w:pPr>
      <w:r>
        <w:rPr>
          <w:b/>
          <w:i/>
          <w:sz w:val="24"/>
        </w:rPr>
        <w:t>Parādnieka pienākumi saistību dzēšanas procedūras laikā</w:t>
      </w:r>
      <w:r>
        <w:rPr>
          <w:b/>
          <w:sz w:val="24"/>
        </w:rPr>
        <w:t>. </w:t>
      </w:r>
      <w:r>
        <w:rPr>
          <w:sz w:val="24"/>
        </w:rPr>
        <w:t>Parādnieka pienākumi saistību dzēšanas procedūras laikā noteikti Vācijas Maksātnespējas likuma </w:t>
      </w:r>
      <w:r>
        <w:rPr>
          <w:i/>
          <w:sz w:val="24"/>
        </w:rPr>
        <w:t>§ </w:t>
      </w:r>
      <w:r>
        <w:rPr>
          <w:i/>
          <w:sz w:val="24"/>
        </w:rPr>
        <w:t>295:</w:t>
      </w:r>
    </w:p>
    <w:p>
      <w:pPr>
        <w:pStyle w:val="ListParagraph"/>
        <w:numPr>
          <w:ilvl w:val="0"/>
          <w:numId w:val="97"/>
        </w:numPr>
        <w:tabs>
          <w:tab w:pos="1617" w:val="left" w:leader="none"/>
        </w:tabs>
        <w:spacing w:line="240" w:lineRule="auto" w:before="0" w:after="0"/>
        <w:ind w:left="620" w:right="404" w:firstLine="720"/>
        <w:jc w:val="both"/>
        <w:rPr>
          <w:sz w:val="24"/>
        </w:rPr>
      </w:pPr>
      <w:r>
        <w:rPr>
          <w:sz w:val="24"/>
        </w:rPr>
        <w:t>jābūt nodarbinātam un jāgūst ienākumi atbilstoši savām spējām. Ja parādnieks nav nodarbināts, tad jāpieliek visas pūles, lai atrastu nodarbošanos, un parādnieks </w:t>
      </w:r>
      <w:r>
        <w:rPr>
          <w:spacing w:val="-3"/>
          <w:sz w:val="24"/>
        </w:rPr>
        <w:t>nedrīkst </w:t>
      </w:r>
      <w:r>
        <w:rPr>
          <w:sz w:val="24"/>
        </w:rPr>
        <w:t>noraidīt piemērotu, atbilstošu darba</w:t>
      </w:r>
      <w:r>
        <w:rPr>
          <w:spacing w:val="3"/>
          <w:sz w:val="24"/>
        </w:rPr>
        <w:t> </w:t>
      </w:r>
      <w:r>
        <w:rPr>
          <w:sz w:val="24"/>
        </w:rPr>
        <w:t>piedāvājumu;</w:t>
      </w:r>
    </w:p>
    <w:p>
      <w:pPr>
        <w:pStyle w:val="ListParagraph"/>
        <w:numPr>
          <w:ilvl w:val="0"/>
          <w:numId w:val="97"/>
        </w:numPr>
        <w:tabs>
          <w:tab w:pos="1617" w:val="left" w:leader="none"/>
        </w:tabs>
        <w:spacing w:line="240" w:lineRule="auto" w:before="0" w:after="0"/>
        <w:ind w:left="620" w:right="401" w:firstLine="720"/>
        <w:jc w:val="both"/>
        <w:rPr>
          <w:sz w:val="24"/>
        </w:rPr>
      </w:pPr>
      <w:r>
        <w:rPr>
          <w:sz w:val="24"/>
        </w:rPr>
        <w:t>pusi no mantas, kuru parādnieks ieguvis mantojuma ceļā vai iegūs mantojuma ceļā, parādniekam ir pienākums nodot kompetentajai personai, kuru tiesa iecēlusi par maksātnespējas procesa administratoru</w:t>
      </w:r>
      <w:r>
        <w:rPr>
          <w:spacing w:val="-2"/>
          <w:sz w:val="24"/>
        </w:rPr>
        <w:t> </w:t>
      </w:r>
      <w:r>
        <w:rPr>
          <w:sz w:val="24"/>
        </w:rPr>
        <w:t>(</w:t>
      </w:r>
      <w:r>
        <w:rPr>
          <w:i/>
          <w:sz w:val="24"/>
        </w:rPr>
        <w:t>Treuhaender</w:t>
      </w:r>
      <w:r>
        <w:rPr>
          <w:sz w:val="24"/>
        </w:rPr>
        <w:t>);</w:t>
      </w:r>
    </w:p>
    <w:p>
      <w:pPr>
        <w:pStyle w:val="ListParagraph"/>
        <w:numPr>
          <w:ilvl w:val="0"/>
          <w:numId w:val="97"/>
        </w:numPr>
        <w:tabs>
          <w:tab w:pos="1634" w:val="left" w:leader="none"/>
        </w:tabs>
        <w:spacing w:line="240" w:lineRule="auto" w:before="0" w:after="0"/>
        <w:ind w:left="620" w:right="401" w:firstLine="720"/>
        <w:jc w:val="both"/>
        <w:rPr>
          <w:sz w:val="24"/>
        </w:rPr>
      </w:pPr>
      <w:r>
        <w:rPr>
          <w:sz w:val="24"/>
        </w:rPr>
        <w:t>par katru dzīves vietas vai darba vietas maiņu nekavējoties paziņot tiesai un administratoram,</w:t>
      </w:r>
      <w:r>
        <w:rPr>
          <w:spacing w:val="-12"/>
          <w:sz w:val="24"/>
        </w:rPr>
        <w:t> </w:t>
      </w:r>
      <w:r>
        <w:rPr>
          <w:sz w:val="24"/>
        </w:rPr>
        <w:t>neslēpt</w:t>
      </w:r>
      <w:r>
        <w:rPr>
          <w:spacing w:val="-11"/>
          <w:sz w:val="24"/>
        </w:rPr>
        <w:t> </w:t>
      </w:r>
      <w:r>
        <w:rPr>
          <w:sz w:val="24"/>
        </w:rPr>
        <w:t>administratoram</w:t>
      </w:r>
      <w:r>
        <w:rPr>
          <w:spacing w:val="-10"/>
          <w:sz w:val="24"/>
        </w:rPr>
        <w:t> </w:t>
      </w:r>
      <w:r>
        <w:rPr>
          <w:sz w:val="24"/>
        </w:rPr>
        <w:t>nododamos</w:t>
      </w:r>
      <w:r>
        <w:rPr>
          <w:spacing w:val="-11"/>
          <w:sz w:val="24"/>
        </w:rPr>
        <w:t> </w:t>
      </w:r>
      <w:r>
        <w:rPr>
          <w:sz w:val="24"/>
        </w:rPr>
        <w:t>ienākumus</w:t>
      </w:r>
      <w:r>
        <w:rPr>
          <w:spacing w:val="-12"/>
          <w:sz w:val="24"/>
        </w:rPr>
        <w:t> </w:t>
      </w:r>
      <w:r>
        <w:rPr>
          <w:sz w:val="24"/>
        </w:rPr>
        <w:t>un</w:t>
      </w:r>
      <w:r>
        <w:rPr>
          <w:spacing w:val="-11"/>
          <w:sz w:val="24"/>
        </w:rPr>
        <w:t> </w:t>
      </w:r>
      <w:r>
        <w:rPr>
          <w:sz w:val="24"/>
        </w:rPr>
        <w:t>nododamo</w:t>
      </w:r>
      <w:r>
        <w:rPr>
          <w:spacing w:val="-12"/>
          <w:sz w:val="24"/>
        </w:rPr>
        <w:t> </w:t>
      </w:r>
      <w:r>
        <w:rPr>
          <w:sz w:val="24"/>
        </w:rPr>
        <w:t>mantu,</w:t>
      </w:r>
      <w:r>
        <w:rPr>
          <w:spacing w:val="-11"/>
          <w:sz w:val="24"/>
        </w:rPr>
        <w:t> </w:t>
      </w:r>
      <w:r>
        <w:rPr>
          <w:sz w:val="24"/>
        </w:rPr>
        <w:t>kas iegūta mantojuma ceļā, sniegt tiesai pēc tās pieprasījuma ziņas par nodarbošanos un mēģinājumiem tādu atrast, kā arī par parādnieka ienākumiem un</w:t>
      </w:r>
      <w:r>
        <w:rPr>
          <w:spacing w:val="-7"/>
          <w:sz w:val="24"/>
        </w:rPr>
        <w:t> </w:t>
      </w:r>
      <w:r>
        <w:rPr>
          <w:sz w:val="24"/>
        </w:rPr>
        <w:t>mantu;</w:t>
      </w:r>
    </w:p>
    <w:p>
      <w:pPr>
        <w:pStyle w:val="ListParagraph"/>
        <w:numPr>
          <w:ilvl w:val="0"/>
          <w:numId w:val="97"/>
        </w:numPr>
        <w:tabs>
          <w:tab w:pos="1920" w:val="left" w:leader="none"/>
        </w:tabs>
        <w:spacing w:line="232" w:lineRule="auto" w:before="7" w:after="0"/>
        <w:ind w:left="620" w:right="405" w:firstLine="780"/>
        <w:jc w:val="both"/>
        <w:rPr>
          <w:sz w:val="16"/>
        </w:rPr>
      </w:pPr>
      <w:r>
        <w:rPr>
          <w:sz w:val="24"/>
        </w:rPr>
        <w:t>kreditoru apmierināšanai paredzētos maksājumus nodot </w:t>
      </w:r>
      <w:r>
        <w:rPr>
          <w:spacing w:val="-3"/>
          <w:sz w:val="24"/>
        </w:rPr>
        <w:t>vienīgi </w:t>
      </w:r>
      <w:r>
        <w:rPr>
          <w:sz w:val="24"/>
        </w:rPr>
        <w:t>administratoram, un nenostādīt kādu kreditoru izdevīgākā situācijā iepretim pārējiem kreditoriem.</w:t>
      </w:r>
      <w:r>
        <w:rPr>
          <w:position w:val="9"/>
          <w:sz w:val="16"/>
        </w:rPr>
        <w:t>401</w:t>
      </w:r>
    </w:p>
    <w:p>
      <w:pPr>
        <w:pStyle w:val="ListParagraph"/>
        <w:numPr>
          <w:ilvl w:val="2"/>
          <w:numId w:val="94"/>
        </w:numPr>
        <w:tabs>
          <w:tab w:pos="1858" w:val="left" w:leader="none"/>
        </w:tabs>
        <w:spacing w:line="240" w:lineRule="auto" w:before="3" w:after="0"/>
        <w:ind w:left="620" w:right="401" w:firstLine="720"/>
        <w:jc w:val="both"/>
        <w:rPr>
          <w:sz w:val="24"/>
        </w:rPr>
      </w:pPr>
      <w:r>
        <w:rPr>
          <w:b/>
          <w:i/>
          <w:sz w:val="24"/>
        </w:rPr>
        <w:t>Ierobežojumi saistību dzēšanas procedūras uzsākšanai</w:t>
      </w:r>
      <w:r>
        <w:rPr>
          <w:b/>
          <w:sz w:val="24"/>
        </w:rPr>
        <w:t>. </w:t>
      </w:r>
      <w:r>
        <w:rPr>
          <w:sz w:val="24"/>
        </w:rPr>
        <w:t>Vācijas Maksātnespējas</w:t>
      </w:r>
      <w:r>
        <w:rPr>
          <w:spacing w:val="-15"/>
          <w:sz w:val="24"/>
        </w:rPr>
        <w:t> </w:t>
      </w:r>
      <w:r>
        <w:rPr>
          <w:sz w:val="24"/>
        </w:rPr>
        <w:t>likuma</w:t>
      </w:r>
      <w:r>
        <w:rPr>
          <w:spacing w:val="-13"/>
          <w:sz w:val="24"/>
        </w:rPr>
        <w:t> </w:t>
      </w:r>
      <w:r>
        <w:rPr>
          <w:i/>
          <w:sz w:val="24"/>
        </w:rPr>
        <w:t>§</w:t>
      </w:r>
      <w:r>
        <w:rPr>
          <w:i/>
          <w:spacing w:val="-12"/>
          <w:sz w:val="24"/>
        </w:rPr>
        <w:t> </w:t>
      </w:r>
      <w:r>
        <w:rPr>
          <w:i/>
          <w:sz w:val="24"/>
        </w:rPr>
        <w:t>290</w:t>
      </w:r>
      <w:r>
        <w:rPr>
          <w:i/>
          <w:spacing w:val="-15"/>
          <w:sz w:val="24"/>
        </w:rPr>
        <w:t> </w:t>
      </w:r>
      <w:r>
        <w:rPr>
          <w:sz w:val="24"/>
        </w:rPr>
        <w:t>nosaka</w:t>
      </w:r>
      <w:r>
        <w:rPr>
          <w:spacing w:val="-17"/>
          <w:sz w:val="24"/>
        </w:rPr>
        <w:t> </w:t>
      </w:r>
      <w:r>
        <w:rPr>
          <w:sz w:val="24"/>
        </w:rPr>
        <w:t>tos</w:t>
      </w:r>
      <w:r>
        <w:rPr>
          <w:spacing w:val="-12"/>
          <w:sz w:val="24"/>
        </w:rPr>
        <w:t> </w:t>
      </w:r>
      <w:r>
        <w:rPr>
          <w:sz w:val="24"/>
        </w:rPr>
        <w:t>gadījumus,</w:t>
      </w:r>
      <w:r>
        <w:rPr>
          <w:spacing w:val="-15"/>
          <w:sz w:val="24"/>
        </w:rPr>
        <w:t> </w:t>
      </w:r>
      <w:r>
        <w:rPr>
          <w:sz w:val="24"/>
        </w:rPr>
        <w:t>kad</w:t>
      </w:r>
      <w:r>
        <w:rPr>
          <w:spacing w:val="-15"/>
          <w:sz w:val="24"/>
        </w:rPr>
        <w:t> </w:t>
      </w:r>
      <w:r>
        <w:rPr>
          <w:sz w:val="24"/>
        </w:rPr>
        <w:t>saistību</w:t>
      </w:r>
      <w:r>
        <w:rPr>
          <w:spacing w:val="-15"/>
          <w:sz w:val="24"/>
        </w:rPr>
        <w:t> </w:t>
      </w:r>
      <w:r>
        <w:rPr>
          <w:sz w:val="24"/>
        </w:rPr>
        <w:t>dzēšanas</w:t>
      </w:r>
      <w:r>
        <w:rPr>
          <w:spacing w:val="-17"/>
          <w:sz w:val="24"/>
        </w:rPr>
        <w:t> </w:t>
      </w:r>
      <w:r>
        <w:rPr>
          <w:sz w:val="24"/>
        </w:rPr>
        <w:t>procedūra</w:t>
      </w:r>
      <w:r>
        <w:rPr>
          <w:spacing w:val="-15"/>
          <w:sz w:val="24"/>
        </w:rPr>
        <w:t> </w:t>
      </w:r>
      <w:r>
        <w:rPr>
          <w:sz w:val="24"/>
        </w:rPr>
        <w:t>netiek piemērota, tai vēl nesākoties. Saskaņā ar minēto paragrāfu tiesa atsaka piemērot saistību dzēšanas procedūru, ja kreditors, kurš ir pieteicis savu kreditora prasījumu, iesniedz tiesā pieteikumu par saistību dzēšanas procedūras nepiemērošanu parādniekam un, ja pastāv kāds no zemāk minētajiem</w:t>
      </w:r>
      <w:r>
        <w:rPr>
          <w:spacing w:val="-1"/>
          <w:sz w:val="24"/>
        </w:rPr>
        <w:t> </w:t>
      </w:r>
      <w:r>
        <w:rPr>
          <w:sz w:val="24"/>
        </w:rPr>
        <w:t>apstākļiem:</w:t>
      </w:r>
    </w:p>
    <w:p>
      <w:pPr>
        <w:pStyle w:val="ListParagraph"/>
        <w:numPr>
          <w:ilvl w:val="0"/>
          <w:numId w:val="98"/>
        </w:numPr>
        <w:tabs>
          <w:tab w:pos="1753" w:val="left" w:leader="none"/>
        </w:tabs>
        <w:spacing w:line="240" w:lineRule="auto" w:before="0" w:after="0"/>
        <w:ind w:left="1752" w:right="403" w:hanging="425"/>
        <w:jc w:val="both"/>
        <w:rPr>
          <w:sz w:val="24"/>
        </w:rPr>
      </w:pPr>
      <w:r>
        <w:rPr>
          <w:sz w:val="24"/>
        </w:rPr>
        <w:t>parādnieks pēdējo piecu gadu laikā pirms maksātnespējas procesa pieteikuma iesniegšanas tiesā vai pēc pieteikuma iesniegšanas tiesā, ir ticis notiesāts ar spēkā stājušos tiesas spriedumu par noziedzīgu nodarījumu, kas paredzēti Vācijas Krimināllikuma </w:t>
      </w:r>
      <w:r>
        <w:rPr>
          <w:i/>
          <w:sz w:val="24"/>
        </w:rPr>
        <w:t>§§ 283 – 283c</w:t>
      </w:r>
      <w:r>
        <w:rPr>
          <w:sz w:val="24"/>
        </w:rPr>
        <w:t>, piespriežot naudas sodu 90 vienas dienas vid. izpeļņu apmērā (90 </w:t>
      </w:r>
      <w:r>
        <w:rPr>
          <w:i/>
          <w:sz w:val="24"/>
        </w:rPr>
        <w:t>Tagessaetze</w:t>
      </w:r>
      <w:r>
        <w:rPr>
          <w:sz w:val="24"/>
        </w:rPr>
        <w:t>) vai brīvības atņemšanu ilgāk kā 3 mēneši;</w:t>
      </w:r>
    </w:p>
    <w:p>
      <w:pPr>
        <w:pStyle w:val="ListParagraph"/>
        <w:numPr>
          <w:ilvl w:val="0"/>
          <w:numId w:val="98"/>
        </w:numPr>
        <w:tabs>
          <w:tab w:pos="1753" w:val="left" w:leader="none"/>
        </w:tabs>
        <w:spacing w:line="240" w:lineRule="auto" w:before="0" w:after="0"/>
        <w:ind w:left="1752" w:right="403" w:hanging="425"/>
        <w:jc w:val="both"/>
        <w:rPr>
          <w:sz w:val="24"/>
        </w:rPr>
      </w:pPr>
      <w:r>
        <w:rPr>
          <w:sz w:val="24"/>
        </w:rPr>
        <w:t>parādnieks pēdējo trīs gadu laikā pirms maksātnespējas procesa pieteikuma iesniegšanas tiesā vai pēc tā iesniegšanas tiesā, ar nodomu vai aiz rupjas neuzmanības sniedzis rakstiski nepatiesas vai nepilnīgas ziņas par savu finansiālo stāvokli (</w:t>
      </w:r>
      <w:r>
        <w:rPr>
          <w:i/>
          <w:sz w:val="24"/>
        </w:rPr>
        <w:t>wirtschaftliche Verhaeltnisse</w:t>
      </w:r>
      <w:r>
        <w:rPr>
          <w:sz w:val="24"/>
        </w:rPr>
        <w:t>), lai saņemtu kredītu, lai saņemtu pakalpojumus (finansējumu) no publiskiem līdzekļiem, vai lai novērstu maksājumus publiskajai</w:t>
      </w:r>
      <w:r>
        <w:rPr>
          <w:spacing w:val="3"/>
          <w:sz w:val="24"/>
        </w:rPr>
        <w:t> </w:t>
      </w:r>
      <w:r>
        <w:rPr>
          <w:sz w:val="24"/>
        </w:rPr>
        <w:t>kasei;</w:t>
      </w:r>
    </w:p>
    <w:p>
      <w:pPr>
        <w:pStyle w:val="ListParagraph"/>
        <w:numPr>
          <w:ilvl w:val="0"/>
          <w:numId w:val="98"/>
        </w:numPr>
        <w:tabs>
          <w:tab w:pos="1753" w:val="left" w:leader="none"/>
        </w:tabs>
        <w:spacing w:line="240" w:lineRule="auto" w:before="1" w:after="0"/>
        <w:ind w:left="1752" w:right="401" w:hanging="425"/>
        <w:jc w:val="both"/>
        <w:rPr>
          <w:sz w:val="24"/>
        </w:rPr>
      </w:pPr>
      <w:r>
        <w:rPr>
          <w:sz w:val="24"/>
        </w:rPr>
        <w:t>parādnieks pēdējo trīs gadu laikā pirms maksātnespējas procesa pieteikuma iesniegšanas tiesā vai pēc tā iesniegšanas tiesā ir ar nodomu vai aiz neuzmanības aizskāris kreditora tiesības saņemt sava prasījuma apmierinājumu, kas izpaudās kā radot sev nesamērīgi augstas parādsaistības, izsaimniekojot mantu, vai, nepastāvot izredzēm uz parādnieka finansiālā stāvokļa uzlabošanos, novilcināja maksātnespējas procesa pieteikuma iesniegšanu</w:t>
      </w:r>
      <w:r>
        <w:rPr>
          <w:spacing w:val="-1"/>
          <w:sz w:val="24"/>
        </w:rPr>
        <w:t> </w:t>
      </w:r>
      <w:r>
        <w:rPr>
          <w:sz w:val="24"/>
        </w:rPr>
        <w:t>tiesā;</w:t>
      </w:r>
    </w:p>
    <w:p>
      <w:pPr>
        <w:pStyle w:val="ListParagraph"/>
        <w:numPr>
          <w:ilvl w:val="0"/>
          <w:numId w:val="98"/>
        </w:numPr>
        <w:tabs>
          <w:tab w:pos="1753" w:val="left" w:leader="none"/>
        </w:tabs>
        <w:spacing w:line="240" w:lineRule="auto" w:before="0" w:after="0"/>
        <w:ind w:left="1752" w:right="405" w:hanging="425"/>
        <w:jc w:val="both"/>
        <w:rPr>
          <w:sz w:val="24"/>
        </w:rPr>
      </w:pPr>
      <w:r>
        <w:rPr>
          <w:sz w:val="24"/>
        </w:rPr>
        <w:t>parādnieks ar nodomu vai aiz rupjas neuzmanības ir pārkāpis šajā likumā noteikto ziņu sniegšanas un līdzdarbošanās</w:t>
      </w:r>
      <w:r>
        <w:rPr>
          <w:spacing w:val="1"/>
          <w:sz w:val="24"/>
        </w:rPr>
        <w:t> </w:t>
      </w:r>
      <w:r>
        <w:rPr>
          <w:sz w:val="24"/>
        </w:rPr>
        <w:t>pienākumu;</w:t>
      </w:r>
    </w:p>
    <w:p>
      <w:pPr>
        <w:pStyle w:val="BodyText"/>
        <w:jc w:val="left"/>
        <w:rPr>
          <w:sz w:val="20"/>
        </w:rPr>
      </w:pPr>
    </w:p>
    <w:p>
      <w:pPr>
        <w:pStyle w:val="BodyText"/>
        <w:jc w:val="left"/>
        <w:rPr>
          <w:sz w:val="20"/>
        </w:rPr>
      </w:pPr>
    </w:p>
    <w:p>
      <w:pPr>
        <w:pStyle w:val="BodyText"/>
        <w:spacing w:before="6"/>
        <w:jc w:val="left"/>
        <w:rPr>
          <w:sz w:val="16"/>
        </w:rPr>
      </w:pPr>
      <w:r>
        <w:rPr/>
        <w:pict>
          <v:shape style="position:absolute;margin-left:90pt;margin-top:11.790932pt;width:144pt;height:.1pt;mso-position-horizontal-relative:page;mso-position-vertical-relative:paragraph;z-index:-251474944;mso-wrap-distance-left:0;mso-wrap-distance-right:0" coordorigin="1800,236" coordsize="2880,0" path="m1800,236l4680,236e" filled="false" stroked="true" strokeweight=".599991pt" strokecolor="#000000">
            <v:path arrowok="t"/>
            <v:stroke dashstyle="solid"/>
            <w10:wrap type="topAndBottom"/>
          </v:shape>
        </w:pict>
      </w:r>
    </w:p>
    <w:p>
      <w:pPr>
        <w:spacing w:line="244" w:lineRule="auto" w:before="58"/>
        <w:ind w:left="620" w:right="403" w:firstLine="0"/>
        <w:jc w:val="both"/>
        <w:rPr>
          <w:sz w:val="20"/>
        </w:rPr>
      </w:pPr>
      <w:r>
        <w:rPr>
          <w:position w:val="9"/>
          <w:sz w:val="16"/>
        </w:rPr>
        <w:t>401 </w:t>
      </w:r>
      <w:r>
        <w:rPr>
          <w:sz w:val="20"/>
        </w:rPr>
        <w:t>Lai gan Likums nosaka, ka parādnieks prasījuma tiesības par sev pienākošo apķīlājamo daļu no ienākumiem nodod administratoram, taču varu būt arī maksājumi, kurus viņš pats tālāk samaksā administratoram.</w:t>
      </w:r>
    </w:p>
    <w:p>
      <w:pPr>
        <w:spacing w:after="0" w:line="244" w:lineRule="auto"/>
        <w:jc w:val="both"/>
        <w:rPr>
          <w:sz w:val="20"/>
        </w:rPr>
        <w:sectPr>
          <w:pgSz w:w="11910" w:h="16840"/>
          <w:pgMar w:header="0" w:footer="1055" w:top="1340" w:bottom="1240" w:left="1180" w:right="1040"/>
        </w:sectPr>
      </w:pPr>
    </w:p>
    <w:p>
      <w:pPr>
        <w:pStyle w:val="ListParagraph"/>
        <w:numPr>
          <w:ilvl w:val="0"/>
          <w:numId w:val="98"/>
        </w:numPr>
        <w:tabs>
          <w:tab w:pos="1393" w:val="left" w:leader="none"/>
        </w:tabs>
        <w:spacing w:line="240" w:lineRule="auto" w:before="73" w:after="0"/>
        <w:ind w:left="1392" w:right="765" w:hanging="425"/>
        <w:jc w:val="both"/>
        <w:rPr>
          <w:sz w:val="24"/>
        </w:rPr>
      </w:pPr>
      <w:r>
        <w:rPr>
          <w:sz w:val="24"/>
        </w:rPr>
        <w:t>parādnieks</w:t>
      </w:r>
      <w:r>
        <w:rPr>
          <w:spacing w:val="-7"/>
          <w:sz w:val="24"/>
        </w:rPr>
        <w:t> </w:t>
      </w:r>
      <w:r>
        <w:rPr>
          <w:sz w:val="24"/>
        </w:rPr>
        <w:t>ar</w:t>
      </w:r>
      <w:r>
        <w:rPr>
          <w:spacing w:val="-9"/>
          <w:sz w:val="24"/>
        </w:rPr>
        <w:t> </w:t>
      </w:r>
      <w:r>
        <w:rPr>
          <w:sz w:val="24"/>
        </w:rPr>
        <w:t>nodomu</w:t>
      </w:r>
      <w:r>
        <w:rPr>
          <w:spacing w:val="-6"/>
          <w:sz w:val="24"/>
        </w:rPr>
        <w:t> </w:t>
      </w:r>
      <w:r>
        <w:rPr>
          <w:sz w:val="24"/>
        </w:rPr>
        <w:t>vai</w:t>
      </w:r>
      <w:r>
        <w:rPr>
          <w:spacing w:val="-4"/>
          <w:sz w:val="24"/>
        </w:rPr>
        <w:t> </w:t>
      </w:r>
      <w:r>
        <w:rPr>
          <w:sz w:val="24"/>
        </w:rPr>
        <w:t>aiz</w:t>
      </w:r>
      <w:r>
        <w:rPr>
          <w:spacing w:val="-5"/>
          <w:sz w:val="24"/>
        </w:rPr>
        <w:t> </w:t>
      </w:r>
      <w:r>
        <w:rPr>
          <w:sz w:val="24"/>
        </w:rPr>
        <w:t>rupjas</w:t>
      </w:r>
      <w:r>
        <w:rPr>
          <w:spacing w:val="-8"/>
          <w:sz w:val="24"/>
        </w:rPr>
        <w:t> </w:t>
      </w:r>
      <w:r>
        <w:rPr>
          <w:sz w:val="24"/>
        </w:rPr>
        <w:t>neuzmanības</w:t>
      </w:r>
      <w:r>
        <w:rPr>
          <w:spacing w:val="-11"/>
          <w:sz w:val="24"/>
        </w:rPr>
        <w:t> </w:t>
      </w:r>
      <w:r>
        <w:rPr>
          <w:sz w:val="24"/>
        </w:rPr>
        <w:t>sniedzis</w:t>
      </w:r>
      <w:r>
        <w:rPr>
          <w:spacing w:val="-4"/>
          <w:sz w:val="24"/>
        </w:rPr>
        <w:t> </w:t>
      </w:r>
      <w:r>
        <w:rPr>
          <w:sz w:val="24"/>
        </w:rPr>
        <w:t>tiesai</w:t>
      </w:r>
      <w:r>
        <w:rPr>
          <w:spacing w:val="-6"/>
          <w:sz w:val="24"/>
        </w:rPr>
        <w:t> </w:t>
      </w:r>
      <w:r>
        <w:rPr>
          <w:sz w:val="24"/>
        </w:rPr>
        <w:t>nepatiesas</w:t>
      </w:r>
      <w:r>
        <w:rPr>
          <w:spacing w:val="-8"/>
          <w:sz w:val="24"/>
        </w:rPr>
        <w:t> </w:t>
      </w:r>
      <w:r>
        <w:rPr>
          <w:sz w:val="24"/>
        </w:rPr>
        <w:t>vai nepilnīgas ziņas par savu mantisko</w:t>
      </w:r>
      <w:r>
        <w:rPr>
          <w:spacing w:val="-3"/>
          <w:sz w:val="24"/>
        </w:rPr>
        <w:t> </w:t>
      </w:r>
      <w:r>
        <w:rPr>
          <w:sz w:val="24"/>
        </w:rPr>
        <w:t>stāvokli;</w:t>
      </w:r>
    </w:p>
    <w:p>
      <w:pPr>
        <w:pStyle w:val="ListParagraph"/>
        <w:numPr>
          <w:ilvl w:val="0"/>
          <w:numId w:val="98"/>
        </w:numPr>
        <w:tabs>
          <w:tab w:pos="1393" w:val="left" w:leader="none"/>
        </w:tabs>
        <w:spacing w:line="240" w:lineRule="auto" w:before="0" w:after="0"/>
        <w:ind w:left="1392" w:right="762" w:hanging="425"/>
        <w:jc w:val="both"/>
        <w:rPr>
          <w:sz w:val="24"/>
        </w:rPr>
      </w:pPr>
      <w:r>
        <w:rPr>
          <w:sz w:val="24"/>
        </w:rPr>
        <w:t>parādnieks maksātnespējas procesa laikā pārkāpj Vācijas maksātnespējas likuma </w:t>
      </w:r>
      <w:r>
        <w:rPr>
          <w:i/>
          <w:sz w:val="24"/>
        </w:rPr>
        <w:t>§ 287b </w:t>
      </w:r>
      <w:r>
        <w:rPr>
          <w:sz w:val="24"/>
        </w:rPr>
        <w:t>noteikto pienākumu būt nodarbinātam un gūt ienākumus atbilstoši savām spējām, un tādejādi pasliktina kreditoru iespējas gūt sava prasījuma pilnīgāku apmierinājumu, izņemot ja nav konstatēta parādnieka vaina. Parādniekam par to, ka viņš nav pārkāpis </w:t>
      </w:r>
      <w:r>
        <w:rPr>
          <w:i/>
          <w:sz w:val="24"/>
        </w:rPr>
        <w:t>§ 287b </w:t>
      </w:r>
      <w:r>
        <w:rPr>
          <w:sz w:val="24"/>
        </w:rPr>
        <w:t>noteikto pienākumu, jāsniedz paskaidrojumi tiesai, un pēc kreditora pieprasījuma, minētie paskaidrojumi jāapliecina ar zvērestu. Ja parādnieks nesniedz tiesai paskaidrojumus vai zvērestu tiesas noteiktajā termiņā bez attaisnojoša pamata, vai neierodas uz tiesu, neinformējot tiesu par attaisnojošiem neierašanās iemesliem, tad tiesa nepiemēro parādniekam saistību dzēšanas</w:t>
      </w:r>
      <w:r>
        <w:rPr>
          <w:spacing w:val="-7"/>
          <w:sz w:val="24"/>
        </w:rPr>
        <w:t> </w:t>
      </w:r>
      <w:r>
        <w:rPr>
          <w:sz w:val="24"/>
        </w:rPr>
        <w:t>procedūru.</w:t>
      </w:r>
    </w:p>
    <w:p>
      <w:pPr>
        <w:pStyle w:val="BodyText"/>
        <w:spacing w:before="1"/>
        <w:ind w:left="260" w:right="764" w:firstLine="427"/>
        <w:rPr>
          <w:i/>
        </w:rPr>
      </w:pPr>
      <w:r>
        <w:rPr/>
        <w:t>Saskaņā ar Vācijas Maksātnespējas likuma </w:t>
      </w:r>
      <w:r>
        <w:rPr>
          <w:i/>
        </w:rPr>
        <w:t>§ 290 otro daļu </w:t>
      </w:r>
      <w:r>
        <w:rPr/>
        <w:t>kreditors pieteikumu var iesniegt līdz brīdim, kad tiesa nozīmējusi noslēguma kreditoru sapulci (</w:t>
      </w:r>
      <w:r>
        <w:rPr>
          <w:i/>
        </w:rPr>
        <w:t>der</w:t>
      </w:r>
      <w:r>
        <w:rPr>
          <w:i/>
          <w:spacing w:val="54"/>
        </w:rPr>
        <w:t> </w:t>
      </w:r>
      <w:r>
        <w:rPr>
          <w:i/>
        </w:rPr>
        <w:t>Schlusstermin</w:t>
      </w:r>
    </w:p>
    <w:p>
      <w:pPr>
        <w:pStyle w:val="ListParagraph"/>
        <w:numPr>
          <w:ilvl w:val="0"/>
          <w:numId w:val="57"/>
        </w:numPr>
        <w:tabs>
          <w:tab w:pos="469" w:val="left" w:leader="none"/>
        </w:tabs>
        <w:spacing w:line="240" w:lineRule="auto" w:before="0" w:after="0"/>
        <w:ind w:left="260" w:right="763" w:firstLine="0"/>
        <w:jc w:val="both"/>
        <w:rPr>
          <w:sz w:val="24"/>
        </w:rPr>
      </w:pPr>
      <w:r>
        <w:rPr>
          <w:sz w:val="24"/>
        </w:rPr>
        <w:t>kad veikta parādnieka mantas pārdošanas un ieņēmumu no mantas pārdošanas sadale kreditoriem) vai līdz tiesas lēmumam par mantas nepietiekamību saskaņā ar Vācijas Maksātnespējas likuma </w:t>
      </w:r>
      <w:r>
        <w:rPr>
          <w:i/>
          <w:sz w:val="24"/>
        </w:rPr>
        <w:t>§ 211 pirmo daļu</w:t>
      </w:r>
      <w:r>
        <w:rPr>
          <w:sz w:val="24"/>
        </w:rPr>
        <w:t>. Pieteikums ir pieļaujams, ja saistību dzēšanas procedūras</w:t>
      </w:r>
      <w:r>
        <w:rPr>
          <w:spacing w:val="-6"/>
          <w:sz w:val="24"/>
        </w:rPr>
        <w:t> </w:t>
      </w:r>
      <w:r>
        <w:rPr>
          <w:sz w:val="24"/>
        </w:rPr>
        <w:t>nepiemērošanas</w:t>
      </w:r>
      <w:r>
        <w:rPr>
          <w:spacing w:val="-5"/>
          <w:sz w:val="24"/>
        </w:rPr>
        <w:t> </w:t>
      </w:r>
      <w:r>
        <w:rPr>
          <w:sz w:val="24"/>
        </w:rPr>
        <w:t>pamats</w:t>
      </w:r>
      <w:r>
        <w:rPr>
          <w:spacing w:val="-5"/>
          <w:sz w:val="24"/>
        </w:rPr>
        <w:t> </w:t>
      </w:r>
      <w:r>
        <w:rPr>
          <w:sz w:val="24"/>
        </w:rPr>
        <w:t>ir</w:t>
      </w:r>
      <w:r>
        <w:rPr>
          <w:spacing w:val="-5"/>
          <w:sz w:val="24"/>
        </w:rPr>
        <w:t> </w:t>
      </w:r>
      <w:r>
        <w:rPr>
          <w:sz w:val="24"/>
        </w:rPr>
        <w:t>ticams.</w:t>
      </w:r>
      <w:r>
        <w:rPr>
          <w:spacing w:val="-3"/>
          <w:sz w:val="24"/>
        </w:rPr>
        <w:t> </w:t>
      </w:r>
      <w:r>
        <w:rPr>
          <w:sz w:val="24"/>
        </w:rPr>
        <w:t>Saskaņā</w:t>
      </w:r>
      <w:r>
        <w:rPr>
          <w:spacing w:val="-3"/>
          <w:sz w:val="24"/>
        </w:rPr>
        <w:t> </w:t>
      </w:r>
      <w:r>
        <w:rPr>
          <w:sz w:val="24"/>
        </w:rPr>
        <w:t>ar</w:t>
      </w:r>
      <w:r>
        <w:rPr>
          <w:spacing w:val="-5"/>
          <w:sz w:val="24"/>
        </w:rPr>
        <w:t> </w:t>
      </w:r>
      <w:r>
        <w:rPr>
          <w:sz w:val="24"/>
        </w:rPr>
        <w:t>Vācijas</w:t>
      </w:r>
      <w:r>
        <w:rPr>
          <w:spacing w:val="-5"/>
          <w:sz w:val="24"/>
        </w:rPr>
        <w:t> </w:t>
      </w:r>
      <w:r>
        <w:rPr>
          <w:sz w:val="24"/>
        </w:rPr>
        <w:t>Maksātnespējas</w:t>
      </w:r>
      <w:r>
        <w:rPr>
          <w:spacing w:val="-7"/>
          <w:sz w:val="24"/>
        </w:rPr>
        <w:t> </w:t>
      </w:r>
      <w:r>
        <w:rPr>
          <w:sz w:val="24"/>
        </w:rPr>
        <w:t>likuma</w:t>
      </w:r>
      <w:r>
        <w:rPr>
          <w:spacing w:val="-7"/>
          <w:sz w:val="24"/>
        </w:rPr>
        <w:t> </w:t>
      </w:r>
      <w:r>
        <w:rPr>
          <w:i/>
          <w:sz w:val="24"/>
        </w:rPr>
        <w:t>§ </w:t>
      </w:r>
      <w:r>
        <w:rPr>
          <w:i/>
          <w:sz w:val="24"/>
        </w:rPr>
        <w:t>290 trešo daļu </w:t>
      </w:r>
      <w:r>
        <w:rPr>
          <w:sz w:val="24"/>
        </w:rPr>
        <w:t>parādnieks un kreditors, kurš sniedzis tiesai pieteikumu, var nekavējoties iesniegt sūdzību par tiesas</w:t>
      </w:r>
      <w:r>
        <w:rPr>
          <w:spacing w:val="-1"/>
          <w:sz w:val="24"/>
        </w:rPr>
        <w:t> </w:t>
      </w:r>
      <w:r>
        <w:rPr>
          <w:sz w:val="24"/>
        </w:rPr>
        <w:t>lēmumu.</w:t>
      </w:r>
    </w:p>
    <w:p>
      <w:pPr>
        <w:pStyle w:val="ListParagraph"/>
        <w:numPr>
          <w:ilvl w:val="2"/>
          <w:numId w:val="94"/>
        </w:numPr>
        <w:tabs>
          <w:tab w:pos="971" w:val="left" w:leader="none"/>
        </w:tabs>
        <w:spacing w:line="240" w:lineRule="auto" w:before="0" w:after="0"/>
        <w:ind w:left="260" w:right="761" w:firstLine="427"/>
        <w:jc w:val="both"/>
        <w:rPr>
          <w:sz w:val="24"/>
        </w:rPr>
      </w:pPr>
      <w:r>
        <w:rPr>
          <w:b/>
          <w:i/>
          <w:sz w:val="24"/>
        </w:rPr>
        <w:t>Saistību</w:t>
      </w:r>
      <w:r>
        <w:rPr>
          <w:b/>
          <w:i/>
          <w:spacing w:val="-11"/>
          <w:sz w:val="24"/>
        </w:rPr>
        <w:t> </w:t>
      </w:r>
      <w:r>
        <w:rPr>
          <w:b/>
          <w:i/>
          <w:sz w:val="24"/>
        </w:rPr>
        <w:t>dzēšanas</w:t>
      </w:r>
      <w:r>
        <w:rPr>
          <w:b/>
          <w:i/>
          <w:spacing w:val="-11"/>
          <w:sz w:val="24"/>
        </w:rPr>
        <w:t> </w:t>
      </w:r>
      <w:r>
        <w:rPr>
          <w:b/>
          <w:i/>
          <w:sz w:val="24"/>
        </w:rPr>
        <w:t>procedūras</w:t>
      </w:r>
      <w:r>
        <w:rPr>
          <w:b/>
          <w:i/>
          <w:spacing w:val="-11"/>
          <w:sz w:val="24"/>
        </w:rPr>
        <w:t> </w:t>
      </w:r>
      <w:r>
        <w:rPr>
          <w:b/>
          <w:i/>
          <w:sz w:val="24"/>
        </w:rPr>
        <w:t>termiņi</w:t>
      </w:r>
      <w:r>
        <w:rPr>
          <w:b/>
          <w:i/>
          <w:spacing w:val="-9"/>
          <w:sz w:val="24"/>
        </w:rPr>
        <w:t> </w:t>
      </w:r>
      <w:r>
        <w:rPr>
          <w:b/>
          <w:i/>
          <w:sz w:val="24"/>
        </w:rPr>
        <w:t>un</w:t>
      </w:r>
      <w:r>
        <w:rPr>
          <w:b/>
          <w:i/>
          <w:spacing w:val="-13"/>
          <w:sz w:val="24"/>
        </w:rPr>
        <w:t> </w:t>
      </w:r>
      <w:r>
        <w:rPr>
          <w:b/>
          <w:i/>
          <w:sz w:val="24"/>
        </w:rPr>
        <w:t>kārtība.</w:t>
      </w:r>
      <w:r>
        <w:rPr>
          <w:b/>
          <w:i/>
          <w:spacing w:val="-11"/>
          <w:sz w:val="24"/>
        </w:rPr>
        <w:t> </w:t>
      </w:r>
      <w:r>
        <w:rPr>
          <w:sz w:val="24"/>
        </w:rPr>
        <w:t>Vācijā</w:t>
      </w:r>
      <w:r>
        <w:rPr>
          <w:spacing w:val="-13"/>
          <w:sz w:val="24"/>
        </w:rPr>
        <w:t> </w:t>
      </w:r>
      <w:r>
        <w:rPr>
          <w:sz w:val="24"/>
        </w:rPr>
        <w:t>ir</w:t>
      </w:r>
      <w:r>
        <w:rPr>
          <w:spacing w:val="-10"/>
          <w:sz w:val="24"/>
        </w:rPr>
        <w:t> </w:t>
      </w:r>
      <w:r>
        <w:rPr>
          <w:sz w:val="24"/>
        </w:rPr>
        <w:t>salīdzinoši</w:t>
      </w:r>
      <w:r>
        <w:rPr>
          <w:spacing w:val="-8"/>
          <w:sz w:val="24"/>
        </w:rPr>
        <w:t> </w:t>
      </w:r>
      <w:r>
        <w:rPr>
          <w:sz w:val="24"/>
        </w:rPr>
        <w:t>gari</w:t>
      </w:r>
      <w:r>
        <w:rPr>
          <w:spacing w:val="-11"/>
          <w:sz w:val="24"/>
        </w:rPr>
        <w:t> </w:t>
      </w:r>
      <w:r>
        <w:rPr>
          <w:sz w:val="24"/>
        </w:rPr>
        <w:t>saistību dzēšanas</w:t>
      </w:r>
      <w:r>
        <w:rPr>
          <w:spacing w:val="-1"/>
          <w:sz w:val="24"/>
        </w:rPr>
        <w:t> </w:t>
      </w:r>
      <w:r>
        <w:rPr>
          <w:sz w:val="24"/>
        </w:rPr>
        <w:t>termiņi.</w:t>
      </w:r>
    </w:p>
    <w:p>
      <w:pPr>
        <w:pStyle w:val="BodyText"/>
        <w:ind w:left="260" w:right="762" w:firstLine="720"/>
      </w:pPr>
      <w:r>
        <w:rPr>
          <w:b/>
          <w:i/>
        </w:rPr>
        <w:t>Sešu gadu termiņš. </w:t>
      </w:r>
      <w:r>
        <w:rPr/>
        <w:t>Vācijas Maksātnespējas likuma </w:t>
      </w:r>
      <w:r>
        <w:rPr>
          <w:i/>
        </w:rPr>
        <w:t>§287 otrā daļa </w:t>
      </w:r>
      <w:r>
        <w:rPr/>
        <w:t>nosaka, ka, iesniedzot maksātnespējas pieteikumu un pieteikumu par parādnieka atbrīvošanu no neizpildītajām</w:t>
      </w:r>
      <w:r>
        <w:rPr>
          <w:spacing w:val="-8"/>
        </w:rPr>
        <w:t> </w:t>
      </w:r>
      <w:r>
        <w:rPr/>
        <w:t>saistībām,</w:t>
      </w:r>
      <w:r>
        <w:rPr>
          <w:spacing w:val="-8"/>
        </w:rPr>
        <w:t> </w:t>
      </w:r>
      <w:r>
        <w:rPr/>
        <w:t>parādnieks</w:t>
      </w:r>
      <w:r>
        <w:rPr>
          <w:spacing w:val="-4"/>
        </w:rPr>
        <w:t> </w:t>
      </w:r>
      <w:r>
        <w:rPr/>
        <w:t>pievieno</w:t>
      </w:r>
      <w:r>
        <w:rPr>
          <w:spacing w:val="-8"/>
        </w:rPr>
        <w:t> </w:t>
      </w:r>
      <w:r>
        <w:rPr/>
        <w:t>pieteikumam</w:t>
      </w:r>
      <w:r>
        <w:rPr>
          <w:spacing w:val="-7"/>
        </w:rPr>
        <w:t> </w:t>
      </w:r>
      <w:r>
        <w:rPr/>
        <w:t>paziņojumu,</w:t>
      </w:r>
      <w:r>
        <w:rPr>
          <w:spacing w:val="-8"/>
        </w:rPr>
        <w:t> </w:t>
      </w:r>
      <w:r>
        <w:rPr/>
        <w:t>kurā</w:t>
      </w:r>
      <w:r>
        <w:rPr>
          <w:spacing w:val="-10"/>
        </w:rPr>
        <w:t> </w:t>
      </w:r>
      <w:r>
        <w:rPr/>
        <w:t>apliecina,</w:t>
      </w:r>
      <w:r>
        <w:rPr>
          <w:spacing w:val="-8"/>
        </w:rPr>
        <w:t> </w:t>
      </w:r>
      <w:r>
        <w:rPr/>
        <w:t>ka 6 gadus no brīža, kad pasludināts parādnieka maksātnespējas process, parādnieks nodod (cedē) apķīlājamo daļu no prasījuma tiesībām no ieņēmumiem no darba tiesiskajām attiecībām vai to vietā saņemtajiem citiem ieņēmumiem tiesas ieceltam administratoram. Minētā norma nosaka “saistību dzēšanas procedūras” termiņu, proti, 6 gadi no tiesas lēmumā</w:t>
      </w:r>
      <w:r>
        <w:rPr>
          <w:spacing w:val="-13"/>
        </w:rPr>
        <w:t> </w:t>
      </w:r>
      <w:r>
        <w:rPr/>
        <w:t>par</w:t>
      </w:r>
      <w:r>
        <w:rPr>
          <w:spacing w:val="-16"/>
        </w:rPr>
        <w:t> </w:t>
      </w:r>
      <w:r>
        <w:rPr/>
        <w:t>maksātnespējas</w:t>
      </w:r>
      <w:r>
        <w:rPr>
          <w:spacing w:val="-12"/>
        </w:rPr>
        <w:t> </w:t>
      </w:r>
      <w:r>
        <w:rPr/>
        <w:t>procesa</w:t>
      </w:r>
      <w:r>
        <w:rPr>
          <w:spacing w:val="-13"/>
        </w:rPr>
        <w:t> </w:t>
      </w:r>
      <w:r>
        <w:rPr/>
        <w:t>pasludināšanu</w:t>
      </w:r>
      <w:r>
        <w:rPr>
          <w:spacing w:val="-10"/>
        </w:rPr>
        <w:t> </w:t>
      </w:r>
      <w:r>
        <w:rPr/>
        <w:t>noteiktā</w:t>
      </w:r>
      <w:r>
        <w:rPr>
          <w:spacing w:val="-12"/>
        </w:rPr>
        <w:t> </w:t>
      </w:r>
      <w:r>
        <w:rPr/>
        <w:t>laika</w:t>
      </w:r>
      <w:r>
        <w:rPr>
          <w:spacing w:val="-13"/>
        </w:rPr>
        <w:t> </w:t>
      </w:r>
      <w:r>
        <w:rPr/>
        <w:t>brīža,</w:t>
      </w:r>
      <w:r>
        <w:rPr>
          <w:spacing w:val="-12"/>
        </w:rPr>
        <w:t> </w:t>
      </w:r>
      <w:r>
        <w:rPr/>
        <w:t>respektīvi,</w:t>
      </w:r>
      <w:r>
        <w:rPr>
          <w:spacing w:val="-12"/>
        </w:rPr>
        <w:t> </w:t>
      </w:r>
      <w:r>
        <w:rPr/>
        <w:t>noteiktā pulksteņa laika, kad tiesnesis paraksta lēmumu un tiek atklāts maksātnespējas process (Vācijas Maksātnespējas likuma </w:t>
      </w:r>
      <w:r>
        <w:rPr>
          <w:i/>
        </w:rPr>
        <w:t>§27 otrās daļas 3.punkts, trešā daļa). </w:t>
      </w:r>
      <w:r>
        <w:rPr/>
        <w:t>Tādejādi atšķirībā no Latvijas maksātnespējas tiesību regulējuma, Vācijas Maksātnespējas likums saistību dzēšanas procedūras 6 gadu termiņā ieskaita arī laiku, kad tiek apzināta un pārdota parādnieka manta (bankrota</w:t>
      </w:r>
      <w:r>
        <w:rPr>
          <w:spacing w:val="-3"/>
        </w:rPr>
        <w:t> </w:t>
      </w:r>
      <w:r>
        <w:rPr/>
        <w:t>procedūra).</w:t>
      </w:r>
    </w:p>
    <w:p>
      <w:pPr>
        <w:pStyle w:val="BodyText"/>
        <w:spacing w:line="237" w:lineRule="auto" w:before="2"/>
        <w:ind w:left="260" w:right="762" w:firstLine="720"/>
        <w:rPr>
          <w:sz w:val="16"/>
        </w:rPr>
      </w:pPr>
      <w:r>
        <w:rPr/>
        <w:t>Kamēr notiek bankrota procedūra (</w:t>
      </w:r>
      <w:r>
        <w:rPr>
          <w:i/>
        </w:rPr>
        <w:t>Insolvenzprozess</w:t>
      </w:r>
      <w:r>
        <w:rPr/>
        <w:t>), visi parādnieka apķīlājamie ienākumi nonāk parādnieka mantas masā, kurus pārvalda bankrota procedūras administrators </w:t>
      </w:r>
      <w:r>
        <w:rPr>
          <w:rFonts w:ascii="Calibri" w:hAnsi="Calibri"/>
          <w:sz w:val="22"/>
        </w:rPr>
        <w:t>(</w:t>
      </w:r>
      <w:r>
        <w:rPr>
          <w:i/>
        </w:rPr>
        <w:t>Insolvenzverwalter</w:t>
      </w:r>
      <w:r>
        <w:rPr>
          <w:rFonts w:ascii="Calibri" w:hAnsi="Calibri"/>
          <w:sz w:val="22"/>
        </w:rPr>
        <w:t>)</w:t>
      </w:r>
      <w:r>
        <w:rPr/>
        <w:t>. Tikai tad, kad ir pabeigta bankrota procedūra, ieņēmumi, pamatojoties uz parādnieka doto prasījuma cesiju, var pāriet tiesas ieceltajam administratoram (</w:t>
      </w:r>
      <w:r>
        <w:rPr>
          <w:i/>
        </w:rPr>
        <w:t>Treuhaender</w:t>
      </w:r>
      <w:r>
        <w:rPr/>
        <w:t>), kurš ar tiem rīkojas Vācijas Maksātnespējas likuma </w:t>
      </w:r>
      <w:r>
        <w:rPr>
          <w:i/>
        </w:rPr>
        <w:t>§292 </w:t>
      </w:r>
      <w:r>
        <w:rPr/>
        <w:t>noteiktajā kārtībā</w:t>
      </w:r>
      <w:r>
        <w:rPr>
          <w:i/>
        </w:rPr>
        <w:t>.</w:t>
      </w:r>
      <w:r>
        <w:rPr>
          <w:position w:val="9"/>
          <w:sz w:val="16"/>
        </w:rPr>
        <w:t>402</w:t>
      </w:r>
    </w:p>
    <w:p>
      <w:pPr>
        <w:pStyle w:val="BodyText"/>
        <w:spacing w:line="237" w:lineRule="auto" w:before="2"/>
        <w:ind w:left="260" w:right="764" w:firstLine="720"/>
        <w:rPr>
          <w:sz w:val="16"/>
        </w:rPr>
      </w:pPr>
      <w:r>
        <w:rPr/>
        <w:t>Beidzoties 6 gadu termiņam, tiesa pēc savas iniciatīvas, negaidot pieteikumu no parādnieka, lemj par parādnieka atbrīvošanu no neizpildītajām parādsaistībām saskaņā ar Vācijas Maksātnespējas likuma </w:t>
      </w:r>
      <w:r>
        <w:rPr>
          <w:i/>
        </w:rPr>
        <w:t>§300 pirmo daļu 1.teikumu. </w:t>
      </w:r>
      <w:r>
        <w:rPr/>
        <w:t>Tiesa lemj par atbrīvošanu no neizpildītajām parādsaistībām arī gadījumā, ja bankrota procedūra vēl nav pabeigta (asimetriskais process</w:t>
      </w:r>
      <w:r>
        <w:rPr>
          <w:position w:val="9"/>
          <w:sz w:val="16"/>
        </w:rPr>
        <w:t>403</w:t>
      </w:r>
      <w:r>
        <w:rPr/>
        <w:t>).</w:t>
      </w:r>
      <w:r>
        <w:rPr>
          <w:position w:val="9"/>
          <w:sz w:val="16"/>
        </w:rPr>
        <w:t>404</w:t>
      </w:r>
    </w:p>
    <w:p>
      <w:pPr>
        <w:pStyle w:val="BodyText"/>
        <w:spacing w:before="6"/>
        <w:jc w:val="left"/>
        <w:rPr>
          <w:sz w:val="15"/>
        </w:rPr>
      </w:pPr>
      <w:r>
        <w:rPr/>
        <w:pict>
          <v:shape style="position:absolute;margin-left:72pt;margin-top:11.202098pt;width:144pt;height:.1pt;mso-position-horizontal-relative:page;mso-position-vertical-relative:paragraph;z-index:-251473920;mso-wrap-distance-left:0;mso-wrap-distance-right:0" coordorigin="1440,224" coordsize="2880,0" path="m1440,224l4320,224e" filled="false" stroked="true" strokeweight=".599991pt" strokecolor="#000000">
            <v:path arrowok="t"/>
            <v:stroke dashstyle="solid"/>
            <w10:wrap type="topAndBottom"/>
          </v:shape>
        </w:pict>
      </w:r>
    </w:p>
    <w:p>
      <w:pPr>
        <w:spacing w:line="233" w:lineRule="exact" w:before="70"/>
        <w:ind w:left="260" w:right="0" w:firstLine="0"/>
        <w:jc w:val="left"/>
        <w:rPr>
          <w:sz w:val="20"/>
        </w:rPr>
      </w:pPr>
      <w:r>
        <w:rPr>
          <w:position w:val="7"/>
          <w:sz w:val="13"/>
        </w:rPr>
        <w:t>402 </w:t>
      </w:r>
      <w:r>
        <w:rPr>
          <w:sz w:val="20"/>
        </w:rPr>
        <w:t>Kayser/Thole “Insolvenzordnung”, Waltenberger Kommentare §287, S. 2183.</w:t>
      </w:r>
    </w:p>
    <w:p>
      <w:pPr>
        <w:spacing w:line="240" w:lineRule="auto" w:before="0"/>
        <w:ind w:left="260" w:right="882" w:firstLine="0"/>
        <w:jc w:val="left"/>
        <w:rPr>
          <w:sz w:val="20"/>
        </w:rPr>
      </w:pPr>
      <w:r>
        <w:rPr>
          <w:position w:val="7"/>
          <w:sz w:val="13"/>
        </w:rPr>
        <w:t>403 </w:t>
      </w:r>
      <w:r>
        <w:rPr>
          <w:sz w:val="20"/>
        </w:rPr>
        <w:t>BGH 3.12.2009 – IX ZB 247/08; Kayser/Thole “Insolvenzordnung”, Waltenberger Kommentare §300, S.</w:t>
      </w:r>
      <w:r>
        <w:rPr>
          <w:spacing w:val="1"/>
          <w:sz w:val="20"/>
        </w:rPr>
        <w:t> </w:t>
      </w:r>
      <w:r>
        <w:rPr>
          <w:sz w:val="20"/>
        </w:rPr>
        <w:t>2247.</w:t>
      </w:r>
    </w:p>
    <w:p>
      <w:pPr>
        <w:spacing w:line="231" w:lineRule="exact" w:before="0"/>
        <w:ind w:left="260" w:right="0" w:firstLine="0"/>
        <w:jc w:val="left"/>
        <w:rPr>
          <w:sz w:val="20"/>
        </w:rPr>
      </w:pPr>
      <w:r>
        <w:rPr>
          <w:position w:val="7"/>
          <w:sz w:val="13"/>
        </w:rPr>
        <w:t>404 </w:t>
      </w:r>
      <w:r>
        <w:rPr>
          <w:sz w:val="20"/>
        </w:rPr>
        <w:t>Kayser/Thole “Insolvenzordnung”, Waltenberger Kommentare §287, S.2183.</w:t>
      </w:r>
    </w:p>
    <w:p>
      <w:pPr>
        <w:spacing w:after="0" w:line="231" w:lineRule="exact"/>
        <w:jc w:val="left"/>
        <w:rPr>
          <w:sz w:val="20"/>
        </w:rPr>
        <w:sectPr>
          <w:pgSz w:w="11910" w:h="16840"/>
          <w:pgMar w:header="0" w:footer="1055" w:top="1340" w:bottom="1240" w:left="1180" w:right="1040"/>
        </w:sectPr>
      </w:pPr>
    </w:p>
    <w:p>
      <w:pPr>
        <w:pStyle w:val="BodyText"/>
        <w:spacing w:before="73"/>
        <w:ind w:left="620" w:right="402" w:firstLine="360"/>
      </w:pPr>
      <w:r>
        <w:rPr/>
        <w:t>Saskaņā</w:t>
      </w:r>
      <w:r>
        <w:rPr>
          <w:spacing w:val="-15"/>
        </w:rPr>
        <w:t> </w:t>
      </w:r>
      <w:r>
        <w:rPr/>
        <w:t>ar</w:t>
      </w:r>
      <w:r>
        <w:rPr>
          <w:spacing w:val="-12"/>
        </w:rPr>
        <w:t> </w:t>
      </w:r>
      <w:r>
        <w:rPr/>
        <w:t>Vācijas</w:t>
      </w:r>
      <w:r>
        <w:rPr>
          <w:spacing w:val="-12"/>
        </w:rPr>
        <w:t> </w:t>
      </w:r>
      <w:r>
        <w:rPr/>
        <w:t>Maksātnespējas</w:t>
      </w:r>
      <w:r>
        <w:rPr>
          <w:spacing w:val="-12"/>
        </w:rPr>
        <w:t> </w:t>
      </w:r>
      <w:r>
        <w:rPr/>
        <w:t>likuma</w:t>
      </w:r>
      <w:r>
        <w:rPr>
          <w:spacing w:val="-13"/>
        </w:rPr>
        <w:t> </w:t>
      </w:r>
      <w:r>
        <w:rPr>
          <w:i/>
        </w:rPr>
        <w:t>§300</w:t>
      </w:r>
      <w:r>
        <w:rPr>
          <w:i/>
          <w:spacing w:val="-10"/>
        </w:rPr>
        <w:t> </w:t>
      </w:r>
      <w:r>
        <w:rPr>
          <w:i/>
        </w:rPr>
        <w:t>pirmo</w:t>
      </w:r>
      <w:r>
        <w:rPr>
          <w:i/>
          <w:spacing w:val="-12"/>
        </w:rPr>
        <w:t> </w:t>
      </w:r>
      <w:r>
        <w:rPr>
          <w:i/>
        </w:rPr>
        <w:t>daļu</w:t>
      </w:r>
      <w:r>
        <w:rPr>
          <w:i/>
          <w:spacing w:val="-12"/>
        </w:rPr>
        <w:t> </w:t>
      </w:r>
      <w:r>
        <w:rPr/>
        <w:t>tiesa,</w:t>
      </w:r>
      <w:r>
        <w:rPr>
          <w:spacing w:val="-12"/>
        </w:rPr>
        <w:t> </w:t>
      </w:r>
      <w:r>
        <w:rPr/>
        <w:t>uzklausot</w:t>
      </w:r>
      <w:r>
        <w:rPr>
          <w:spacing w:val="-12"/>
        </w:rPr>
        <w:t> </w:t>
      </w:r>
      <w:r>
        <w:rPr/>
        <w:t>kreditorus, saistību dzēšanas procedūras administratoru (</w:t>
      </w:r>
      <w:r>
        <w:rPr>
          <w:i/>
        </w:rPr>
        <w:t>Treuhaender</w:t>
      </w:r>
      <w:r>
        <w:rPr/>
        <w:t>) vai bankrota procedūras administratoru (</w:t>
      </w:r>
      <w:r>
        <w:rPr>
          <w:i/>
        </w:rPr>
        <w:t>Insolvenzverwalter</w:t>
      </w:r>
      <w:r>
        <w:rPr/>
        <w:t>), parādnieku, pieņem lēmumu par parādnieka atlikušo parāda saistību dzēšanu, ja saistību dzēšanas procedūra (</w:t>
      </w:r>
      <w:r>
        <w:rPr>
          <w:i/>
        </w:rPr>
        <w:t>die Abtretungsfrist</w:t>
      </w:r>
      <w:r>
        <w:rPr/>
        <w:t>) nav tikusi priekšlaicīgi</w:t>
      </w:r>
      <w:r>
        <w:rPr>
          <w:spacing w:val="-1"/>
        </w:rPr>
        <w:t> </w:t>
      </w:r>
      <w:r>
        <w:rPr/>
        <w:t>izbeigta.</w:t>
      </w:r>
    </w:p>
    <w:p>
      <w:pPr>
        <w:spacing w:before="0"/>
        <w:ind w:left="620" w:right="401" w:firstLine="720"/>
        <w:jc w:val="both"/>
        <w:rPr>
          <w:sz w:val="24"/>
        </w:rPr>
      </w:pPr>
      <w:r>
        <w:rPr>
          <w:b/>
          <w:i/>
          <w:sz w:val="24"/>
        </w:rPr>
        <w:t>Nenoteikts termiņš, kas nepārsniedz 6 gadu termiņu</w:t>
      </w:r>
      <w:r>
        <w:rPr>
          <w:i/>
          <w:sz w:val="24"/>
        </w:rPr>
        <w:t>. </w:t>
      </w:r>
      <w:r>
        <w:rPr>
          <w:sz w:val="24"/>
        </w:rPr>
        <w:t>Saskaņā ar Vācijas Maksātnespējas likuma </w:t>
      </w:r>
      <w:r>
        <w:rPr>
          <w:i/>
          <w:sz w:val="24"/>
        </w:rPr>
        <w:t>§300 pirmās daļas 2.teikuma 1.punktu, </w:t>
      </w:r>
      <w:r>
        <w:rPr>
          <w:sz w:val="24"/>
        </w:rPr>
        <w:t>ja parādnieks ir sedzis maksātnespējas procesa izmaksas, tiesa, pamatojoties uz parādnieks pieteikumu, lemj par atlikušo parāda saistību dzēšanu, ja nav pieteicies neviens kreditors vai visi kreditoru prasījumi ir apmierināti un parādnieks ir sedzis maksātnespējas procesa izmaksas.</w:t>
      </w:r>
    </w:p>
    <w:p>
      <w:pPr>
        <w:pStyle w:val="BodyText"/>
        <w:ind w:left="620" w:right="402" w:firstLine="720"/>
      </w:pPr>
      <w:r>
        <w:rPr>
          <w:b/>
          <w:i/>
        </w:rPr>
        <w:t>Trīs gadi. </w:t>
      </w:r>
      <w:r>
        <w:rPr/>
        <w:t>Saskaņā ar Vācijas Maksātnespējas likuma </w:t>
      </w:r>
      <w:r>
        <w:rPr>
          <w:i/>
        </w:rPr>
        <w:t>§300 pirmās daļas</w:t>
      </w:r>
      <w:r>
        <w:rPr>
          <w:i/>
          <w:spacing w:val="-42"/>
        </w:rPr>
        <w:t> </w:t>
      </w:r>
      <w:r>
        <w:rPr>
          <w:i/>
        </w:rPr>
        <w:t>2.teikuma </w:t>
      </w:r>
      <w:r>
        <w:rPr>
          <w:i/>
        </w:rPr>
        <w:t>2.punktu</w:t>
      </w:r>
      <w:r>
        <w:rPr/>
        <w:t>, ja parādnieks ir sedzis maksātnespējas procesa izmaksas, tiesa, pamatojoties uz parādnieks</w:t>
      </w:r>
      <w:r>
        <w:rPr>
          <w:spacing w:val="-9"/>
        </w:rPr>
        <w:t> </w:t>
      </w:r>
      <w:r>
        <w:rPr/>
        <w:t>pieteikumu,</w:t>
      </w:r>
      <w:r>
        <w:rPr>
          <w:spacing w:val="-9"/>
        </w:rPr>
        <w:t> </w:t>
      </w:r>
      <w:r>
        <w:rPr/>
        <w:t>lemj</w:t>
      </w:r>
      <w:r>
        <w:rPr>
          <w:spacing w:val="-8"/>
        </w:rPr>
        <w:t> </w:t>
      </w:r>
      <w:r>
        <w:rPr/>
        <w:t>par</w:t>
      </w:r>
      <w:r>
        <w:rPr>
          <w:spacing w:val="-9"/>
        </w:rPr>
        <w:t> </w:t>
      </w:r>
      <w:r>
        <w:rPr/>
        <w:t>atlikušo</w:t>
      </w:r>
      <w:r>
        <w:rPr>
          <w:spacing w:val="-9"/>
        </w:rPr>
        <w:t> </w:t>
      </w:r>
      <w:r>
        <w:rPr/>
        <w:t>parāda</w:t>
      </w:r>
      <w:r>
        <w:rPr>
          <w:spacing w:val="-10"/>
        </w:rPr>
        <w:t> </w:t>
      </w:r>
      <w:r>
        <w:rPr/>
        <w:t>saistību</w:t>
      </w:r>
      <w:r>
        <w:rPr>
          <w:spacing w:val="-9"/>
        </w:rPr>
        <w:t> </w:t>
      </w:r>
      <w:r>
        <w:rPr/>
        <w:t>dzēšanu,</w:t>
      </w:r>
      <w:r>
        <w:rPr>
          <w:spacing w:val="-9"/>
        </w:rPr>
        <w:t> </w:t>
      </w:r>
      <w:r>
        <w:rPr/>
        <w:t>ja</w:t>
      </w:r>
      <w:r>
        <w:rPr>
          <w:spacing w:val="-8"/>
        </w:rPr>
        <w:t> </w:t>
      </w:r>
      <w:r>
        <w:rPr/>
        <w:t>pagājuši</w:t>
      </w:r>
      <w:r>
        <w:rPr>
          <w:spacing w:val="-6"/>
        </w:rPr>
        <w:t> </w:t>
      </w:r>
      <w:r>
        <w:rPr/>
        <w:t>trīs</w:t>
      </w:r>
      <w:r>
        <w:rPr>
          <w:spacing w:val="-9"/>
        </w:rPr>
        <w:t> </w:t>
      </w:r>
      <w:r>
        <w:rPr/>
        <w:t>gadi</w:t>
      </w:r>
      <w:r>
        <w:rPr>
          <w:spacing w:val="-5"/>
        </w:rPr>
        <w:t> </w:t>
      </w:r>
      <w:r>
        <w:rPr/>
        <w:t>kopš saistību dzēšanas procedūras uzsākšanas un bankrota procedūras administrators (</w:t>
      </w:r>
      <w:r>
        <w:rPr>
          <w:i/>
        </w:rPr>
        <w:t>Insolvenzverwalter</w:t>
      </w:r>
      <w:r>
        <w:rPr/>
        <w:t>) vai saistību dzēšanas procedūras administrators (</w:t>
      </w:r>
      <w:r>
        <w:rPr>
          <w:i/>
        </w:rPr>
        <w:t>Treuhaender</w:t>
      </w:r>
      <w:r>
        <w:rPr/>
        <w:t>) šajā trīs gadu laikā ir saņēmis naudas summu tādā apmērā, kas bijusi pietiekama kreditoru prasījumu</w:t>
      </w:r>
      <w:r>
        <w:rPr>
          <w:spacing w:val="-11"/>
        </w:rPr>
        <w:t> </w:t>
      </w:r>
      <w:r>
        <w:rPr/>
        <w:t>segšanai</w:t>
      </w:r>
      <w:r>
        <w:rPr>
          <w:spacing w:val="-12"/>
        </w:rPr>
        <w:t> </w:t>
      </w:r>
      <w:r>
        <w:rPr/>
        <w:t>ne</w:t>
      </w:r>
      <w:r>
        <w:rPr>
          <w:spacing w:val="-11"/>
        </w:rPr>
        <w:t> </w:t>
      </w:r>
      <w:r>
        <w:rPr/>
        <w:t>mazāk</w:t>
      </w:r>
      <w:r>
        <w:rPr>
          <w:spacing w:val="-10"/>
        </w:rPr>
        <w:t> </w:t>
      </w:r>
      <w:r>
        <w:rPr/>
        <w:t>kā</w:t>
      </w:r>
      <w:r>
        <w:rPr>
          <w:spacing w:val="-12"/>
        </w:rPr>
        <w:t> </w:t>
      </w:r>
      <w:r>
        <w:rPr/>
        <w:t>35%</w:t>
      </w:r>
      <w:r>
        <w:rPr>
          <w:spacing w:val="-11"/>
        </w:rPr>
        <w:t> </w:t>
      </w:r>
      <w:r>
        <w:rPr/>
        <w:t>apmērā.</w:t>
      </w:r>
      <w:r>
        <w:rPr>
          <w:spacing w:val="-10"/>
        </w:rPr>
        <w:t> </w:t>
      </w:r>
      <w:r>
        <w:rPr/>
        <w:t>Vācijas</w:t>
      </w:r>
      <w:r>
        <w:rPr>
          <w:spacing w:val="-10"/>
        </w:rPr>
        <w:t> </w:t>
      </w:r>
      <w:r>
        <w:rPr/>
        <w:t>Maksātnespējas</w:t>
      </w:r>
      <w:r>
        <w:rPr>
          <w:spacing w:val="-13"/>
        </w:rPr>
        <w:t> </w:t>
      </w:r>
      <w:r>
        <w:rPr/>
        <w:t>likuma</w:t>
      </w:r>
      <w:r>
        <w:rPr>
          <w:spacing w:val="-11"/>
        </w:rPr>
        <w:t> </w:t>
      </w:r>
      <w:r>
        <w:rPr>
          <w:i/>
        </w:rPr>
        <w:t>§300</w:t>
      </w:r>
      <w:r>
        <w:rPr>
          <w:i/>
          <w:spacing w:val="-10"/>
        </w:rPr>
        <w:t> </w:t>
      </w:r>
      <w:r>
        <w:rPr>
          <w:i/>
        </w:rPr>
        <w:t>pirmās </w:t>
      </w:r>
      <w:r>
        <w:rPr>
          <w:i/>
        </w:rPr>
        <w:t>daļas 4.teikums nosaka, ka a</w:t>
      </w:r>
      <w:r>
        <w:rPr/>
        <w:t>prēķinot </w:t>
      </w:r>
      <w:r>
        <w:rPr>
          <w:i/>
        </w:rPr>
        <w:t>§300 pirmās daļas 2.teikuma 2.punktā </w:t>
      </w:r>
      <w:r>
        <w:rPr/>
        <w:t>noteikto procentu apmēru, procentu aprēķinā tiek ņemts vērā kreditoru prasījums, kas ticis iekļauts nobeiguma kreditoru prasījumu segšanas plānā. Ja kreditoru prasījumu segšanas plāns nav ticis sastādīts, tad, veicot procentu aprēķinu, tiek ņemts vērā tāds kreditoru prasījums, kas ir atzīts (konstatēts) vai par kuru kreditors saskaņā ar Vācijas Maksātnespējas</w:t>
      </w:r>
      <w:r>
        <w:rPr>
          <w:spacing w:val="6"/>
        </w:rPr>
        <w:t> </w:t>
      </w:r>
      <w:r>
        <w:rPr/>
        <w:t>likuma</w:t>
      </w:r>
    </w:p>
    <w:p>
      <w:pPr>
        <w:pStyle w:val="BodyText"/>
        <w:spacing w:line="276" w:lineRule="exact" w:before="4"/>
        <w:ind w:left="620" w:right="403"/>
      </w:pPr>
      <w:r>
        <w:rPr>
          <w:i/>
        </w:rPr>
        <w:t>§189</w:t>
      </w:r>
      <w:r>
        <w:rPr>
          <w:i/>
          <w:position w:val="9"/>
          <w:sz w:val="16"/>
        </w:rPr>
        <w:t>405</w:t>
      </w:r>
      <w:r>
        <w:rPr>
          <w:i/>
          <w:spacing w:val="14"/>
          <w:position w:val="9"/>
          <w:sz w:val="16"/>
        </w:rPr>
        <w:t> </w:t>
      </w:r>
      <w:r>
        <w:rPr>
          <w:i/>
        </w:rPr>
        <w:t>pirmo</w:t>
      </w:r>
      <w:r>
        <w:rPr>
          <w:i/>
          <w:spacing w:val="-8"/>
        </w:rPr>
        <w:t> </w:t>
      </w:r>
      <w:r>
        <w:rPr>
          <w:i/>
        </w:rPr>
        <w:t>daļu</w:t>
      </w:r>
      <w:r>
        <w:rPr>
          <w:i/>
          <w:spacing w:val="-5"/>
        </w:rPr>
        <w:t> </w:t>
      </w:r>
      <w:r>
        <w:rPr/>
        <w:t>cēlis</w:t>
      </w:r>
      <w:r>
        <w:rPr>
          <w:spacing w:val="-5"/>
        </w:rPr>
        <w:t> </w:t>
      </w:r>
      <w:r>
        <w:rPr/>
        <w:t>atzīšanas</w:t>
      </w:r>
      <w:r>
        <w:rPr>
          <w:spacing w:val="-8"/>
        </w:rPr>
        <w:t> </w:t>
      </w:r>
      <w:r>
        <w:rPr/>
        <w:t>prasību</w:t>
      </w:r>
      <w:r>
        <w:rPr>
          <w:spacing w:val="-8"/>
        </w:rPr>
        <w:t> </w:t>
      </w:r>
      <w:r>
        <w:rPr/>
        <w:t>vai</w:t>
      </w:r>
      <w:r>
        <w:rPr>
          <w:spacing w:val="-10"/>
        </w:rPr>
        <w:t> </w:t>
      </w:r>
      <w:r>
        <w:rPr/>
        <w:t>tiesa</w:t>
      </w:r>
      <w:r>
        <w:rPr>
          <w:spacing w:val="-10"/>
        </w:rPr>
        <w:t> </w:t>
      </w:r>
      <w:r>
        <w:rPr/>
        <w:t>ir</w:t>
      </w:r>
      <w:r>
        <w:rPr>
          <w:spacing w:val="-4"/>
        </w:rPr>
        <w:t> </w:t>
      </w:r>
      <w:r>
        <w:rPr/>
        <w:t>atsākusi</w:t>
      </w:r>
      <w:r>
        <w:rPr>
          <w:spacing w:val="-8"/>
        </w:rPr>
        <w:t> </w:t>
      </w:r>
      <w:r>
        <w:rPr/>
        <w:t>strīda</w:t>
      </w:r>
      <w:r>
        <w:rPr>
          <w:spacing w:val="-10"/>
        </w:rPr>
        <w:t> </w:t>
      </w:r>
      <w:r>
        <w:rPr/>
        <w:t>izskatīšanu</w:t>
      </w:r>
      <w:r>
        <w:rPr>
          <w:spacing w:val="-7"/>
        </w:rPr>
        <w:t> </w:t>
      </w:r>
      <w:r>
        <w:rPr/>
        <w:t>par</w:t>
      </w:r>
      <w:r>
        <w:rPr>
          <w:spacing w:val="-6"/>
        </w:rPr>
        <w:t> </w:t>
      </w:r>
      <w:r>
        <w:rPr/>
        <w:t>minēto prasījumu.</w:t>
      </w:r>
    </w:p>
    <w:p>
      <w:pPr>
        <w:pStyle w:val="BodyText"/>
        <w:ind w:left="620" w:right="402" w:firstLine="720"/>
      </w:pPr>
      <w:r>
        <w:rPr/>
        <w:t>Saskaņā ar Vācijas Maksātnespējas likuma </w:t>
      </w:r>
      <w:r>
        <w:rPr>
          <w:i/>
        </w:rPr>
        <w:t>§300 otro daļu </w:t>
      </w:r>
      <w:r>
        <w:rPr/>
        <w:t>parādnieka pieteikums par atlikušo parāda saistību dzēšanu saskaņā ar Maksātnespējas likuma </w:t>
      </w:r>
      <w:r>
        <w:rPr>
          <w:i/>
        </w:rPr>
        <w:t>§300 pirmās daļas </w:t>
      </w:r>
      <w:r>
        <w:rPr>
          <w:i/>
        </w:rPr>
        <w:t>2.teikuma 2.punktu </w:t>
      </w:r>
      <w:r>
        <w:rPr/>
        <w:t>ir pieļaujams, ja parādnieks ir ticami un pilnīgi pierādījis to naudas līdzekļu izcelsmi (avotu), kas nonākuši administratora rīcībā, pamatojoties uz parādnieka paziņojumu par prasījuma tiesību cedēšanu, kā arī sniedzis ziņas par tiem naudas līdzekļiem, kas saņemti ārpus cesijas</w:t>
      </w:r>
      <w:r>
        <w:rPr>
          <w:spacing w:val="-2"/>
        </w:rPr>
        <w:t> </w:t>
      </w:r>
      <w:r>
        <w:rPr/>
        <w:t>robežām.</w:t>
      </w:r>
    </w:p>
    <w:p>
      <w:pPr>
        <w:pStyle w:val="BodyText"/>
        <w:ind w:left="620" w:right="404" w:firstLine="720"/>
      </w:pPr>
      <w:r>
        <w:rPr>
          <w:b/>
          <w:i/>
        </w:rPr>
        <w:t>Pieci</w:t>
      </w:r>
      <w:r>
        <w:rPr>
          <w:b/>
          <w:i/>
          <w:spacing w:val="-14"/>
        </w:rPr>
        <w:t> </w:t>
      </w:r>
      <w:r>
        <w:rPr>
          <w:b/>
          <w:i/>
        </w:rPr>
        <w:t>gadi.</w:t>
      </w:r>
      <w:r>
        <w:rPr>
          <w:b/>
          <w:i/>
          <w:spacing w:val="-10"/>
        </w:rPr>
        <w:t> </w:t>
      </w:r>
      <w:r>
        <w:rPr/>
        <w:t>Saskaņā</w:t>
      </w:r>
      <w:r>
        <w:rPr>
          <w:spacing w:val="-14"/>
        </w:rPr>
        <w:t> </w:t>
      </w:r>
      <w:r>
        <w:rPr/>
        <w:t>ar</w:t>
      </w:r>
      <w:r>
        <w:rPr>
          <w:spacing w:val="-11"/>
        </w:rPr>
        <w:t> </w:t>
      </w:r>
      <w:r>
        <w:rPr/>
        <w:t>Vācijas</w:t>
      </w:r>
      <w:r>
        <w:rPr>
          <w:spacing w:val="-11"/>
        </w:rPr>
        <w:t> </w:t>
      </w:r>
      <w:r>
        <w:rPr/>
        <w:t>Maksātnespējas</w:t>
      </w:r>
      <w:r>
        <w:rPr>
          <w:spacing w:val="-12"/>
        </w:rPr>
        <w:t> </w:t>
      </w:r>
      <w:r>
        <w:rPr/>
        <w:t>likuma</w:t>
      </w:r>
      <w:r>
        <w:rPr>
          <w:spacing w:val="-11"/>
        </w:rPr>
        <w:t> </w:t>
      </w:r>
      <w:r>
        <w:rPr>
          <w:i/>
        </w:rPr>
        <w:t>§300</w:t>
      </w:r>
      <w:r>
        <w:rPr>
          <w:i/>
          <w:spacing w:val="-11"/>
        </w:rPr>
        <w:t> </w:t>
      </w:r>
      <w:r>
        <w:rPr>
          <w:i/>
        </w:rPr>
        <w:t>pirmās</w:t>
      </w:r>
      <w:r>
        <w:rPr>
          <w:i/>
          <w:spacing w:val="-11"/>
        </w:rPr>
        <w:t> </w:t>
      </w:r>
      <w:r>
        <w:rPr>
          <w:i/>
        </w:rPr>
        <w:t>daļas</w:t>
      </w:r>
      <w:r>
        <w:rPr>
          <w:i/>
          <w:spacing w:val="-11"/>
        </w:rPr>
        <w:t> </w:t>
      </w:r>
      <w:r>
        <w:rPr>
          <w:i/>
          <w:spacing w:val="-3"/>
        </w:rPr>
        <w:t>2.teikuma </w:t>
      </w:r>
      <w:r>
        <w:rPr>
          <w:i/>
        </w:rPr>
        <w:t>3.punktu</w:t>
      </w:r>
      <w:r>
        <w:rPr/>
        <w:t>, ja parādnieks ir sedzis maksātnespējas procesa izmaksas, tiesa, pamatojoties uz parādnieks pieteikumu, lemj par atlikušo parāda saistību dzēšanu, ja pagājuši pieci gadi kopš saistību dzēšanas procedūras</w:t>
      </w:r>
      <w:r>
        <w:rPr>
          <w:spacing w:val="-4"/>
        </w:rPr>
        <w:t> </w:t>
      </w:r>
      <w:r>
        <w:rPr/>
        <w:t>uzsākšanas.</w:t>
      </w:r>
    </w:p>
    <w:p>
      <w:pPr>
        <w:pStyle w:val="BodyText"/>
        <w:spacing w:line="237" w:lineRule="auto"/>
        <w:ind w:left="620" w:right="401" w:firstLine="720"/>
      </w:pPr>
      <w:r>
        <w:rPr/>
        <w:t>Saskaņā ar Vācijas Maksātnespējas likuma </w:t>
      </w:r>
      <w:r>
        <w:rPr>
          <w:i/>
        </w:rPr>
        <w:t>§300 ceturto daļu </w:t>
      </w:r>
      <w:r>
        <w:rPr/>
        <w:t>tiesa lēmumu publisko publiskajā reģistrā.</w:t>
      </w:r>
      <w:r>
        <w:rPr>
          <w:position w:val="9"/>
          <w:sz w:val="16"/>
        </w:rPr>
        <w:t>406 </w:t>
      </w:r>
      <w:r>
        <w:rPr/>
        <w:t>Par tiesas lēmumu sūdzību var iesniegt parādnieks un jebkurš maksātnespējas procesa kreditors, kurš panta pirmajā daļā, sniedzot tiesai paskaidrojumus, ir pieteikumā sniedzis iebildumus pret parādnieka atbrīvošanu no atlikušajām parāda saistībām, vai kurš norādījis tiesai uz </w:t>
      </w:r>
      <w:r>
        <w:rPr>
          <w:i/>
        </w:rPr>
        <w:t>§300 pirmās daļas 1.-3.punktā </w:t>
      </w:r>
      <w:r>
        <w:rPr/>
        <w:t>minēto priekšnoteikumu neesamību, lai parādnieku priekšlaicīgi atbrīvotu no</w:t>
      </w:r>
    </w:p>
    <w:p>
      <w:pPr>
        <w:pStyle w:val="BodyText"/>
        <w:spacing w:before="6"/>
        <w:jc w:val="left"/>
        <w:rPr>
          <w:sz w:val="20"/>
        </w:rPr>
      </w:pPr>
      <w:r>
        <w:rPr/>
        <w:pict>
          <v:shape style="position:absolute;margin-left:90pt;margin-top:14.076794pt;width:144pt;height:.1pt;mso-position-horizontal-relative:page;mso-position-vertical-relative:paragraph;z-index:-251472896;mso-wrap-distance-left:0;mso-wrap-distance-right:0" coordorigin="1800,282" coordsize="2880,0" path="m1800,282l4680,282e" filled="false" stroked="true" strokeweight=".599991pt" strokecolor="#000000">
            <v:path arrowok="t"/>
            <v:stroke dashstyle="solid"/>
            <w10:wrap type="topAndBottom"/>
          </v:shape>
        </w:pict>
      </w:r>
    </w:p>
    <w:p>
      <w:pPr>
        <w:spacing w:before="70"/>
        <w:ind w:left="620" w:right="404" w:firstLine="0"/>
        <w:jc w:val="both"/>
        <w:rPr>
          <w:sz w:val="20"/>
        </w:rPr>
      </w:pPr>
      <w:r>
        <w:rPr>
          <w:position w:val="7"/>
          <w:sz w:val="13"/>
        </w:rPr>
        <w:t>405 </w:t>
      </w:r>
      <w:r>
        <w:rPr>
          <w:sz w:val="20"/>
        </w:rPr>
        <w:t>Saskaņā ar Maksātnespējas likuma </w:t>
      </w:r>
      <w:r>
        <w:rPr>
          <w:i/>
          <w:sz w:val="20"/>
        </w:rPr>
        <w:t>§189 pirmo daļu </w:t>
      </w:r>
      <w:r>
        <w:rPr>
          <w:sz w:val="20"/>
        </w:rPr>
        <w:t>kreditors, kura prasījums nav atzīts (festgestellt), un par kuru nav stājies spēkā tiesas spriedums vai izdots izpildu raksts, divu nedēļu laikā pēc publiskās paziņošanas var iesniegt pierādījumus maksātnespējas procesa administratoram, ka un kādā apmērā ir celta prasība</w:t>
      </w:r>
      <w:r>
        <w:rPr>
          <w:spacing w:val="-13"/>
          <w:sz w:val="20"/>
        </w:rPr>
        <w:t> </w:t>
      </w:r>
      <w:r>
        <w:rPr>
          <w:sz w:val="20"/>
        </w:rPr>
        <w:t>tiesā</w:t>
      </w:r>
      <w:r>
        <w:rPr>
          <w:spacing w:val="-11"/>
          <w:sz w:val="20"/>
        </w:rPr>
        <w:t> </w:t>
      </w:r>
      <w:r>
        <w:rPr>
          <w:sz w:val="20"/>
        </w:rPr>
        <w:t>par</w:t>
      </w:r>
      <w:r>
        <w:rPr>
          <w:spacing w:val="-10"/>
          <w:sz w:val="20"/>
        </w:rPr>
        <w:t> </w:t>
      </w:r>
      <w:r>
        <w:rPr>
          <w:sz w:val="20"/>
        </w:rPr>
        <w:t>minētā</w:t>
      </w:r>
      <w:r>
        <w:rPr>
          <w:spacing w:val="-11"/>
          <w:sz w:val="20"/>
        </w:rPr>
        <w:t> </w:t>
      </w:r>
      <w:r>
        <w:rPr>
          <w:sz w:val="20"/>
        </w:rPr>
        <w:t>prasījuma</w:t>
      </w:r>
      <w:r>
        <w:rPr>
          <w:spacing w:val="-11"/>
          <w:sz w:val="20"/>
        </w:rPr>
        <w:t> </w:t>
      </w:r>
      <w:r>
        <w:rPr>
          <w:sz w:val="20"/>
        </w:rPr>
        <w:t>konstatēšanu</w:t>
      </w:r>
      <w:r>
        <w:rPr>
          <w:spacing w:val="-12"/>
          <w:sz w:val="20"/>
        </w:rPr>
        <w:t> </w:t>
      </w:r>
      <w:r>
        <w:rPr>
          <w:sz w:val="20"/>
        </w:rPr>
        <w:t>(die</w:t>
      </w:r>
      <w:r>
        <w:rPr>
          <w:spacing w:val="-11"/>
          <w:sz w:val="20"/>
        </w:rPr>
        <w:t> </w:t>
      </w:r>
      <w:r>
        <w:rPr>
          <w:sz w:val="20"/>
        </w:rPr>
        <w:t>Feststellungsklage)</w:t>
      </w:r>
      <w:r>
        <w:rPr>
          <w:spacing w:val="-11"/>
          <w:sz w:val="20"/>
        </w:rPr>
        <w:t> </w:t>
      </w:r>
      <w:r>
        <w:rPr>
          <w:sz w:val="20"/>
        </w:rPr>
        <w:t>vai</w:t>
      </w:r>
      <w:r>
        <w:rPr>
          <w:spacing w:val="-12"/>
          <w:sz w:val="20"/>
        </w:rPr>
        <w:t> </w:t>
      </w:r>
      <w:r>
        <w:rPr>
          <w:sz w:val="20"/>
        </w:rPr>
        <w:t>ir</w:t>
      </w:r>
      <w:r>
        <w:rPr>
          <w:spacing w:val="-11"/>
          <w:sz w:val="20"/>
        </w:rPr>
        <w:t> </w:t>
      </w:r>
      <w:r>
        <w:rPr>
          <w:sz w:val="20"/>
        </w:rPr>
        <w:t>atsākts</w:t>
      </w:r>
      <w:r>
        <w:rPr>
          <w:spacing w:val="-13"/>
          <w:sz w:val="20"/>
        </w:rPr>
        <w:t> </w:t>
      </w:r>
      <w:r>
        <w:rPr>
          <w:sz w:val="20"/>
        </w:rPr>
        <w:t>iepriekš</w:t>
      </w:r>
      <w:r>
        <w:rPr>
          <w:spacing w:val="-10"/>
          <w:sz w:val="20"/>
        </w:rPr>
        <w:t> </w:t>
      </w:r>
      <w:r>
        <w:rPr>
          <w:sz w:val="20"/>
        </w:rPr>
        <w:t>uzsāktais</w:t>
      </w:r>
      <w:r>
        <w:rPr>
          <w:spacing w:val="-12"/>
          <w:sz w:val="20"/>
        </w:rPr>
        <w:t> </w:t>
      </w:r>
      <w:r>
        <w:rPr>
          <w:sz w:val="20"/>
        </w:rPr>
        <w:t>tiesas process par minētā strīda izlemšanu. Saskaņā ar Maksātnespējas likuma </w:t>
      </w:r>
      <w:r>
        <w:rPr>
          <w:i/>
          <w:sz w:val="20"/>
        </w:rPr>
        <w:t>§189 otro daļu </w:t>
      </w:r>
      <w:r>
        <w:rPr>
          <w:sz w:val="20"/>
        </w:rPr>
        <w:t>ja kreditors iesniedz pierādījumus likumā noteiktajā termiņā, tad aprēķinot kreditoram pienākošos daļu no ieņēmumiem no parādnieka mantas atsavināšanas, kreditoram pienākošos daļu atliek, tik ilgi, kamēr notiek tiesas process. Saskaņā ar Maksātnespējas likuma </w:t>
      </w:r>
      <w:r>
        <w:rPr>
          <w:i/>
          <w:sz w:val="20"/>
        </w:rPr>
        <w:t>§189 trešo daļu </w:t>
      </w:r>
      <w:r>
        <w:rPr>
          <w:sz w:val="20"/>
        </w:rPr>
        <w:t>ja kreditors neiesniedz pierādījumus likumā noteiktajā termiņā, tad kreditora prasījums netiek ņemts vērā, aprēķinot kreditoriem izmaksājamo naudas</w:t>
      </w:r>
      <w:r>
        <w:rPr>
          <w:spacing w:val="-17"/>
          <w:sz w:val="20"/>
        </w:rPr>
        <w:t> </w:t>
      </w:r>
      <w:r>
        <w:rPr>
          <w:sz w:val="20"/>
        </w:rPr>
        <w:t>summu.</w:t>
      </w:r>
    </w:p>
    <w:p>
      <w:pPr>
        <w:tabs>
          <w:tab w:pos="1344" w:val="left" w:leader="none"/>
          <w:tab w:pos="2475" w:val="left" w:leader="none"/>
          <w:tab w:pos="3817" w:val="left" w:leader="none"/>
          <w:tab w:pos="4935" w:val="left" w:leader="none"/>
          <w:tab w:pos="6238" w:val="left" w:leader="none"/>
        </w:tabs>
        <w:spacing w:line="240" w:lineRule="auto" w:before="0"/>
        <w:ind w:left="620" w:right="405" w:firstLine="0"/>
        <w:jc w:val="both"/>
        <w:rPr>
          <w:sz w:val="20"/>
        </w:rPr>
      </w:pPr>
      <w:r>
        <w:rPr>
          <w:position w:val="7"/>
          <w:sz w:val="13"/>
        </w:rPr>
        <w:t>406</w:t>
        <w:tab/>
      </w:r>
      <w:r>
        <w:rPr>
          <w:sz w:val="20"/>
        </w:rPr>
        <w:t>Vācijas</w:t>
        <w:tab/>
        <w:t>publiskais</w:t>
        <w:tab/>
        <w:t>reģistrs</w:t>
        <w:tab/>
        <w:t>pieejams:</w:t>
        <w:tab/>
      </w:r>
      <w:hyperlink r:id="rId89">
        <w:r>
          <w:rPr>
            <w:color w:val="0562C1"/>
            <w:w w:val="95"/>
            <w:sz w:val="20"/>
            <w:u w:val="single" w:color="0562C1"/>
          </w:rPr>
          <w:t>www.insolvenzbekanntmachungen.de</w:t>
        </w:r>
      </w:hyperlink>
      <w:r>
        <w:rPr>
          <w:color w:val="0562C1"/>
          <w:w w:val="95"/>
          <w:sz w:val="20"/>
        </w:rPr>
        <w:t> </w:t>
      </w:r>
      <w:r>
        <w:rPr>
          <w:sz w:val="20"/>
        </w:rPr>
        <w:t>[aplūkots 2018.gada</w:t>
      </w:r>
      <w:r>
        <w:rPr>
          <w:spacing w:val="-3"/>
          <w:sz w:val="20"/>
        </w:rPr>
        <w:t> </w:t>
      </w:r>
      <w:r>
        <w:rPr>
          <w:sz w:val="20"/>
        </w:rPr>
        <w:t>16.oktobrī].</w:t>
      </w:r>
    </w:p>
    <w:p>
      <w:pPr>
        <w:spacing w:after="0" w:line="240" w:lineRule="auto"/>
        <w:jc w:val="both"/>
        <w:rPr>
          <w:sz w:val="20"/>
        </w:rPr>
        <w:sectPr>
          <w:pgSz w:w="11910" w:h="16840"/>
          <w:pgMar w:header="0" w:footer="1055" w:top="1340" w:bottom="1240" w:left="1180" w:right="1040"/>
        </w:sectPr>
      </w:pPr>
    </w:p>
    <w:p>
      <w:pPr>
        <w:pStyle w:val="BodyText"/>
        <w:spacing w:before="73"/>
        <w:ind w:left="260" w:right="398"/>
        <w:jc w:val="left"/>
        <w:rPr>
          <w:i/>
        </w:rPr>
      </w:pPr>
      <w:r>
        <w:rPr/>
        <w:t>neizpildītajām parādu saistībām. Ja tiesa atbrīvo parādnieku priekšlaicīgi no atlikušajām parāda saistībām, tad attiecīgi piemērojams arī Vācijas Maksātnespējas likuma </w:t>
      </w:r>
      <w:r>
        <w:rPr>
          <w:i/>
        </w:rPr>
        <w:t>§300a un</w:t>
      </w:r>
    </w:p>
    <w:p>
      <w:pPr>
        <w:spacing w:line="276" w:lineRule="exact" w:before="0"/>
        <w:ind w:left="260" w:right="0" w:firstLine="0"/>
        <w:jc w:val="left"/>
        <w:rPr>
          <w:i/>
          <w:sz w:val="16"/>
        </w:rPr>
      </w:pPr>
      <w:r>
        <w:rPr>
          <w:i/>
          <w:sz w:val="24"/>
        </w:rPr>
        <w:t>§299.</w:t>
      </w:r>
      <w:r>
        <w:rPr>
          <w:i/>
          <w:position w:val="9"/>
          <w:sz w:val="16"/>
        </w:rPr>
        <w:t>407</w:t>
      </w:r>
    </w:p>
    <w:p>
      <w:pPr>
        <w:pStyle w:val="ListParagraph"/>
        <w:numPr>
          <w:ilvl w:val="2"/>
          <w:numId w:val="94"/>
        </w:numPr>
        <w:tabs>
          <w:tab w:pos="1280" w:val="left" w:leader="none"/>
        </w:tabs>
        <w:spacing w:line="240" w:lineRule="auto" w:before="0" w:after="0"/>
        <w:ind w:left="260" w:right="763" w:firstLine="720"/>
        <w:jc w:val="left"/>
        <w:rPr>
          <w:sz w:val="24"/>
        </w:rPr>
      </w:pPr>
      <w:r>
        <w:rPr>
          <w:b/>
          <w:i/>
          <w:sz w:val="24"/>
        </w:rPr>
        <w:t>Nedzēšamās</w:t>
      </w:r>
      <w:r>
        <w:rPr>
          <w:b/>
          <w:i/>
          <w:spacing w:val="-10"/>
          <w:sz w:val="24"/>
        </w:rPr>
        <w:t> </w:t>
      </w:r>
      <w:r>
        <w:rPr>
          <w:b/>
          <w:i/>
          <w:sz w:val="24"/>
        </w:rPr>
        <w:t>saistības.</w:t>
      </w:r>
      <w:r>
        <w:rPr>
          <w:b/>
          <w:i/>
          <w:spacing w:val="-9"/>
          <w:sz w:val="24"/>
        </w:rPr>
        <w:t> </w:t>
      </w:r>
      <w:r>
        <w:rPr>
          <w:sz w:val="24"/>
        </w:rPr>
        <w:t>Vācijas</w:t>
      </w:r>
      <w:r>
        <w:rPr>
          <w:spacing w:val="-11"/>
          <w:sz w:val="24"/>
        </w:rPr>
        <w:t> </w:t>
      </w:r>
      <w:r>
        <w:rPr>
          <w:sz w:val="24"/>
        </w:rPr>
        <w:t>Maksātnespējas</w:t>
      </w:r>
      <w:r>
        <w:rPr>
          <w:spacing w:val="-7"/>
          <w:sz w:val="24"/>
        </w:rPr>
        <w:t> </w:t>
      </w:r>
      <w:r>
        <w:rPr>
          <w:sz w:val="24"/>
        </w:rPr>
        <w:t>likuma</w:t>
      </w:r>
      <w:r>
        <w:rPr>
          <w:spacing w:val="-8"/>
          <w:sz w:val="24"/>
        </w:rPr>
        <w:t> </w:t>
      </w:r>
      <w:r>
        <w:rPr>
          <w:i/>
          <w:sz w:val="24"/>
        </w:rPr>
        <w:t>§302</w:t>
      </w:r>
      <w:r>
        <w:rPr>
          <w:i/>
          <w:spacing w:val="-10"/>
          <w:sz w:val="24"/>
        </w:rPr>
        <w:t> </w:t>
      </w:r>
      <w:r>
        <w:rPr>
          <w:i/>
          <w:sz w:val="24"/>
        </w:rPr>
        <w:t>pirmā</w:t>
      </w:r>
      <w:r>
        <w:rPr>
          <w:i/>
          <w:spacing w:val="-9"/>
          <w:sz w:val="24"/>
        </w:rPr>
        <w:t> </w:t>
      </w:r>
      <w:r>
        <w:rPr>
          <w:i/>
          <w:sz w:val="24"/>
        </w:rPr>
        <w:t>daļa</w:t>
      </w:r>
      <w:r>
        <w:rPr>
          <w:i/>
          <w:spacing w:val="-11"/>
          <w:sz w:val="24"/>
        </w:rPr>
        <w:t> </w:t>
      </w:r>
      <w:r>
        <w:rPr>
          <w:sz w:val="24"/>
        </w:rPr>
        <w:t>nosaka, ka parādnieka atbrīvošana no atlikušajām parāda saistībām</w:t>
      </w:r>
      <w:r>
        <w:rPr>
          <w:spacing w:val="-4"/>
          <w:sz w:val="24"/>
        </w:rPr>
        <w:t> </w:t>
      </w:r>
      <w:r>
        <w:rPr>
          <w:sz w:val="24"/>
        </w:rPr>
        <w:t>neskar:</w:t>
      </w:r>
    </w:p>
    <w:p>
      <w:pPr>
        <w:pStyle w:val="ListParagraph"/>
        <w:numPr>
          <w:ilvl w:val="0"/>
          <w:numId w:val="99"/>
        </w:numPr>
        <w:tabs>
          <w:tab w:pos="980" w:val="left" w:leader="none"/>
        </w:tabs>
        <w:spacing w:line="237" w:lineRule="auto" w:before="3" w:after="0"/>
        <w:ind w:left="980" w:right="761" w:hanging="360"/>
        <w:jc w:val="both"/>
        <w:rPr>
          <w:i/>
          <w:sz w:val="16"/>
        </w:rPr>
      </w:pPr>
      <w:r>
        <w:rPr>
          <w:sz w:val="24"/>
        </w:rPr>
        <w:t>saistības,</w:t>
      </w:r>
      <w:r>
        <w:rPr>
          <w:spacing w:val="-11"/>
          <w:sz w:val="24"/>
        </w:rPr>
        <w:t> </w:t>
      </w:r>
      <w:r>
        <w:rPr>
          <w:sz w:val="24"/>
        </w:rPr>
        <w:t>kas</w:t>
      </w:r>
      <w:r>
        <w:rPr>
          <w:spacing w:val="-11"/>
          <w:sz w:val="24"/>
        </w:rPr>
        <w:t> </w:t>
      </w:r>
      <w:r>
        <w:rPr>
          <w:sz w:val="24"/>
        </w:rPr>
        <w:t>nodibinātas,</w:t>
      </w:r>
      <w:r>
        <w:rPr>
          <w:spacing w:val="-11"/>
          <w:sz w:val="24"/>
        </w:rPr>
        <w:t> </w:t>
      </w:r>
      <w:r>
        <w:rPr>
          <w:sz w:val="24"/>
        </w:rPr>
        <w:t>pamatojoties</w:t>
      </w:r>
      <w:r>
        <w:rPr>
          <w:spacing w:val="-13"/>
          <w:sz w:val="24"/>
        </w:rPr>
        <w:t> </w:t>
      </w:r>
      <w:r>
        <w:rPr>
          <w:sz w:val="24"/>
        </w:rPr>
        <w:t>uz</w:t>
      </w:r>
      <w:r>
        <w:rPr>
          <w:spacing w:val="-10"/>
          <w:sz w:val="24"/>
        </w:rPr>
        <w:t> </w:t>
      </w:r>
      <w:r>
        <w:rPr>
          <w:sz w:val="24"/>
        </w:rPr>
        <w:t>parādnieka</w:t>
      </w:r>
      <w:r>
        <w:rPr>
          <w:spacing w:val="-11"/>
          <w:sz w:val="24"/>
        </w:rPr>
        <w:t> </w:t>
      </w:r>
      <w:r>
        <w:rPr>
          <w:sz w:val="24"/>
        </w:rPr>
        <w:t>veiktu</w:t>
      </w:r>
      <w:r>
        <w:rPr>
          <w:spacing w:val="-10"/>
          <w:sz w:val="24"/>
        </w:rPr>
        <w:t> </w:t>
      </w:r>
      <w:r>
        <w:rPr>
          <w:sz w:val="24"/>
        </w:rPr>
        <w:t>tīšu</w:t>
      </w:r>
      <w:r>
        <w:rPr>
          <w:spacing w:val="-11"/>
          <w:sz w:val="24"/>
        </w:rPr>
        <w:t> </w:t>
      </w:r>
      <w:r>
        <w:rPr>
          <w:sz w:val="24"/>
        </w:rPr>
        <w:t>neatļautu</w:t>
      </w:r>
      <w:r>
        <w:rPr>
          <w:spacing w:val="-11"/>
          <w:sz w:val="24"/>
        </w:rPr>
        <w:t> </w:t>
      </w:r>
      <w:r>
        <w:rPr>
          <w:sz w:val="24"/>
        </w:rPr>
        <w:t>darbību; uz likuma pamata radušos pienākumu maksāt uzturlīdzekļus, kurus parādnieks</w:t>
      </w:r>
      <w:r>
        <w:rPr>
          <w:spacing w:val="-20"/>
          <w:sz w:val="24"/>
        </w:rPr>
        <w:t> </w:t>
      </w:r>
      <w:r>
        <w:rPr>
          <w:sz w:val="24"/>
        </w:rPr>
        <w:t>tīši, prettiesiski nav nodrošinājis apgādājamam; nodokļu parāda saistības, ja saistībā ar radušos nodokļu parādu parādnieks ir notiesāts ar spēkā stājušos spriedumu par noziedzīgu</w:t>
      </w:r>
      <w:r>
        <w:rPr>
          <w:spacing w:val="-13"/>
          <w:sz w:val="24"/>
        </w:rPr>
        <w:t> </w:t>
      </w:r>
      <w:r>
        <w:rPr>
          <w:sz w:val="24"/>
        </w:rPr>
        <w:t>nodarījumu</w:t>
      </w:r>
      <w:r>
        <w:rPr>
          <w:spacing w:val="-12"/>
          <w:sz w:val="24"/>
        </w:rPr>
        <w:t> </w:t>
      </w:r>
      <w:r>
        <w:rPr>
          <w:sz w:val="24"/>
        </w:rPr>
        <w:t>nodokļu</w:t>
      </w:r>
      <w:r>
        <w:rPr>
          <w:spacing w:val="-13"/>
          <w:sz w:val="24"/>
        </w:rPr>
        <w:t> </w:t>
      </w:r>
      <w:r>
        <w:rPr>
          <w:sz w:val="24"/>
        </w:rPr>
        <w:t>tiesību</w:t>
      </w:r>
      <w:r>
        <w:rPr>
          <w:spacing w:val="-12"/>
          <w:sz w:val="24"/>
        </w:rPr>
        <w:t> </w:t>
      </w:r>
      <w:r>
        <w:rPr>
          <w:sz w:val="24"/>
        </w:rPr>
        <w:t>jomā</w:t>
      </w:r>
      <w:r>
        <w:rPr>
          <w:spacing w:val="-15"/>
          <w:sz w:val="24"/>
        </w:rPr>
        <w:t> </w:t>
      </w:r>
      <w:r>
        <w:rPr>
          <w:sz w:val="24"/>
        </w:rPr>
        <w:t>saskaņā</w:t>
      </w:r>
      <w:r>
        <w:rPr>
          <w:spacing w:val="-13"/>
          <w:sz w:val="24"/>
        </w:rPr>
        <w:t> </w:t>
      </w:r>
      <w:r>
        <w:rPr>
          <w:sz w:val="24"/>
        </w:rPr>
        <w:t>ar</w:t>
      </w:r>
      <w:r>
        <w:rPr>
          <w:spacing w:val="-16"/>
          <w:sz w:val="24"/>
        </w:rPr>
        <w:t> </w:t>
      </w:r>
      <w:r>
        <w:rPr>
          <w:sz w:val="24"/>
        </w:rPr>
        <w:t>Nodokļu</w:t>
      </w:r>
      <w:r>
        <w:rPr>
          <w:spacing w:val="-13"/>
          <w:sz w:val="24"/>
        </w:rPr>
        <w:t> </w:t>
      </w:r>
      <w:r>
        <w:rPr>
          <w:sz w:val="24"/>
        </w:rPr>
        <w:t>likuma</w:t>
      </w:r>
      <w:r>
        <w:rPr>
          <w:spacing w:val="-14"/>
          <w:sz w:val="24"/>
        </w:rPr>
        <w:t> </w:t>
      </w:r>
      <w:r>
        <w:rPr>
          <w:i/>
          <w:sz w:val="24"/>
        </w:rPr>
        <w:t>§370,</w:t>
      </w:r>
      <w:r>
        <w:rPr>
          <w:i/>
          <w:spacing w:val="-12"/>
          <w:sz w:val="24"/>
        </w:rPr>
        <w:t> </w:t>
      </w:r>
      <w:r>
        <w:rPr>
          <w:i/>
          <w:sz w:val="24"/>
        </w:rPr>
        <w:t>373, </w:t>
      </w:r>
      <w:r>
        <w:rPr>
          <w:i/>
          <w:sz w:val="24"/>
        </w:rPr>
        <w:t>374 (Abgabenordnung). </w:t>
      </w:r>
      <w:r>
        <w:rPr>
          <w:sz w:val="24"/>
        </w:rPr>
        <w:t>Piesakot kreditora prasījumu, kas pamatots ar augstāk minētajām saistībām, kreditoram jānorāda minēto saistību rašanās pamats saskaņā ar Vācijas Maksātnespējas likuma </w:t>
      </w:r>
      <w:r>
        <w:rPr>
          <w:i/>
          <w:sz w:val="24"/>
        </w:rPr>
        <w:t>§174 otro</w:t>
      </w:r>
      <w:r>
        <w:rPr>
          <w:i/>
          <w:spacing w:val="-3"/>
          <w:sz w:val="24"/>
        </w:rPr>
        <w:t> </w:t>
      </w:r>
      <w:r>
        <w:rPr>
          <w:i/>
          <w:sz w:val="24"/>
        </w:rPr>
        <w:t>daļu;</w:t>
      </w:r>
      <w:r>
        <w:rPr>
          <w:i/>
          <w:position w:val="9"/>
          <w:sz w:val="16"/>
        </w:rPr>
        <w:t>408</w:t>
      </w:r>
    </w:p>
    <w:p>
      <w:pPr>
        <w:pStyle w:val="ListParagraph"/>
        <w:numPr>
          <w:ilvl w:val="0"/>
          <w:numId w:val="99"/>
        </w:numPr>
        <w:tabs>
          <w:tab w:pos="980" w:val="left" w:leader="none"/>
        </w:tabs>
        <w:spacing w:line="240" w:lineRule="auto" w:before="4" w:after="0"/>
        <w:ind w:left="980" w:right="764" w:hanging="360"/>
        <w:jc w:val="both"/>
        <w:rPr>
          <w:i/>
          <w:sz w:val="24"/>
        </w:rPr>
      </w:pPr>
      <w:r>
        <w:rPr>
          <w:sz w:val="24"/>
        </w:rPr>
        <w:t>Naudas sodi un tiem pielīdzinātās parādnieka saistības saskaņā ar Vācijas Maksātnespējas likuma </w:t>
      </w:r>
      <w:r>
        <w:rPr>
          <w:i/>
          <w:sz w:val="24"/>
        </w:rPr>
        <w:t>§39 pirmās daļas</w:t>
      </w:r>
      <w:r>
        <w:rPr>
          <w:i/>
          <w:spacing w:val="-1"/>
          <w:sz w:val="24"/>
        </w:rPr>
        <w:t> </w:t>
      </w:r>
      <w:r>
        <w:rPr>
          <w:i/>
          <w:sz w:val="24"/>
        </w:rPr>
        <w:t>3.punktu;</w:t>
      </w:r>
    </w:p>
    <w:p>
      <w:pPr>
        <w:pStyle w:val="ListParagraph"/>
        <w:numPr>
          <w:ilvl w:val="0"/>
          <w:numId w:val="99"/>
        </w:numPr>
        <w:tabs>
          <w:tab w:pos="980" w:val="left" w:leader="none"/>
        </w:tabs>
        <w:spacing w:line="240" w:lineRule="auto" w:before="0" w:after="0"/>
        <w:ind w:left="980" w:right="763" w:hanging="360"/>
        <w:jc w:val="both"/>
        <w:rPr>
          <w:sz w:val="24"/>
        </w:rPr>
      </w:pPr>
      <w:r>
        <w:rPr>
          <w:sz w:val="24"/>
        </w:rPr>
        <w:t>Saistības, kas nodibinātas ar bezprocentu aizdevumu un kas tika izmantotas parādnieka maksātnespējas procesa izmaksu</w:t>
      </w:r>
      <w:r>
        <w:rPr>
          <w:spacing w:val="-4"/>
          <w:sz w:val="24"/>
        </w:rPr>
        <w:t> </w:t>
      </w:r>
      <w:r>
        <w:rPr>
          <w:sz w:val="24"/>
        </w:rPr>
        <w:t>segšanai.</w:t>
      </w:r>
    </w:p>
    <w:p>
      <w:pPr>
        <w:pStyle w:val="ListParagraph"/>
        <w:numPr>
          <w:ilvl w:val="1"/>
          <w:numId w:val="99"/>
        </w:numPr>
        <w:tabs>
          <w:tab w:pos="1218" w:val="left" w:leader="none"/>
        </w:tabs>
        <w:spacing w:line="240" w:lineRule="auto" w:before="0" w:after="0"/>
        <w:ind w:left="260" w:right="761" w:firstLine="720"/>
        <w:jc w:val="both"/>
        <w:rPr>
          <w:sz w:val="24"/>
        </w:rPr>
      </w:pPr>
      <w:r>
        <w:rPr>
          <w:b/>
          <w:i/>
          <w:sz w:val="24"/>
        </w:rPr>
        <w:t>Administrators saistību dzēšanas procedūrā (Treuhänder). </w:t>
      </w:r>
      <w:r>
        <w:rPr>
          <w:sz w:val="24"/>
        </w:rPr>
        <w:t>Atbilstoši Vācijas tiesiskajam regulējumam fiziskās personas bankrota procedūra norit paralēli saistību dzēšanas procedūrai, un katru no tām vada (uzrauga) cita persona - bankrota procedūrā tas ir maksātnespējas procesa administrators (</w:t>
      </w:r>
      <w:r>
        <w:rPr>
          <w:i/>
          <w:sz w:val="24"/>
        </w:rPr>
        <w:t>Insolvenzverwalter</w:t>
      </w:r>
      <w:r>
        <w:rPr>
          <w:sz w:val="24"/>
        </w:rPr>
        <w:t>), bet saistību dzēšanas procedūrā tā ir uzticamības persona</w:t>
      </w:r>
      <w:r>
        <w:rPr>
          <w:spacing w:val="-2"/>
          <w:sz w:val="24"/>
        </w:rPr>
        <w:t> </w:t>
      </w:r>
      <w:r>
        <w:rPr>
          <w:sz w:val="24"/>
        </w:rPr>
        <w:t>(</w:t>
      </w:r>
      <w:r>
        <w:rPr>
          <w:i/>
          <w:sz w:val="24"/>
        </w:rPr>
        <w:t>Treuhänder</w:t>
      </w:r>
      <w:r>
        <w:rPr>
          <w:sz w:val="24"/>
        </w:rPr>
        <w:t>).</w:t>
      </w:r>
    </w:p>
    <w:p>
      <w:pPr>
        <w:pStyle w:val="BodyText"/>
        <w:spacing w:line="237" w:lineRule="auto" w:before="3"/>
        <w:ind w:left="260" w:right="763" w:firstLine="720"/>
        <w:rPr>
          <w:sz w:val="16"/>
        </w:rPr>
      </w:pPr>
      <w:r>
        <w:rPr/>
        <w:t>Saskaņā ar Vācijas Maksātnespējas likumu </w:t>
      </w:r>
      <w:r>
        <w:rPr>
          <w:i/>
        </w:rPr>
        <w:t>§ 288 </w:t>
      </w:r>
      <w:r>
        <w:rPr/>
        <w:t>uzticamības personu, kura ir fiziska persona un kurai saistību dzēšanas procedūras laikā tiks nodoti parādnieka apķīlājamie ienākumi, tiesai var ieteikt parādnieks un kreditors. Juridiskajā literatūrā minēts, ka minētā norma par parādnieka un kreditora tiesībām ieteikt uzticamības personu tika ieviesta, lai maksātnespējas procesa izmaksu novēršanas interesēs varētu iesaistīt arī tādu uzticamības personu, kura savu amatu veic bez maksas. Taču šīs likumdevēja cerības nerealizējās</w:t>
      </w:r>
      <w:r>
        <w:rPr>
          <w:spacing w:val="-6"/>
        </w:rPr>
        <w:t> </w:t>
      </w:r>
      <w:r>
        <w:rPr/>
        <w:t>praksē.</w:t>
      </w:r>
      <w:r>
        <w:rPr>
          <w:spacing w:val="-6"/>
        </w:rPr>
        <w:t> </w:t>
      </w:r>
      <w:r>
        <w:rPr/>
        <w:t>Regulāri</w:t>
      </w:r>
      <w:r>
        <w:rPr>
          <w:spacing w:val="-8"/>
        </w:rPr>
        <w:t> </w:t>
      </w:r>
      <w:r>
        <w:rPr/>
        <w:t>par</w:t>
      </w:r>
      <w:r>
        <w:rPr>
          <w:spacing w:val="-6"/>
        </w:rPr>
        <w:t> </w:t>
      </w:r>
      <w:r>
        <w:rPr/>
        <w:t>uzticamības</w:t>
      </w:r>
      <w:r>
        <w:rPr>
          <w:spacing w:val="-6"/>
        </w:rPr>
        <w:t> </w:t>
      </w:r>
      <w:r>
        <w:rPr/>
        <w:t>personām</w:t>
      </w:r>
      <w:r>
        <w:rPr>
          <w:spacing w:val="-6"/>
        </w:rPr>
        <w:t> </w:t>
      </w:r>
      <w:r>
        <w:rPr/>
        <w:t>tiek</w:t>
      </w:r>
      <w:r>
        <w:rPr>
          <w:spacing w:val="-9"/>
        </w:rPr>
        <w:t> </w:t>
      </w:r>
      <w:r>
        <w:rPr/>
        <w:t>izvēlētas</w:t>
      </w:r>
      <w:r>
        <w:rPr>
          <w:spacing w:val="-6"/>
        </w:rPr>
        <w:t> </w:t>
      </w:r>
      <w:r>
        <w:rPr/>
        <w:t>tās</w:t>
      </w:r>
      <w:r>
        <w:rPr>
          <w:spacing w:val="-7"/>
        </w:rPr>
        <w:t> </w:t>
      </w:r>
      <w:r>
        <w:rPr/>
        <w:t>personas,</w:t>
      </w:r>
      <w:r>
        <w:rPr>
          <w:spacing w:val="-6"/>
        </w:rPr>
        <w:t> </w:t>
      </w:r>
      <w:r>
        <w:rPr/>
        <w:t>kuras</w:t>
      </w:r>
      <w:r>
        <w:rPr>
          <w:spacing w:val="-8"/>
        </w:rPr>
        <w:t> </w:t>
      </w:r>
      <w:r>
        <w:rPr/>
        <w:t>ir piemērotas arī bankrota procedūras īstenošanai.</w:t>
      </w:r>
      <w:r>
        <w:rPr>
          <w:spacing w:val="-2"/>
        </w:rPr>
        <w:t> </w:t>
      </w:r>
      <w:r>
        <w:rPr>
          <w:position w:val="9"/>
          <w:sz w:val="16"/>
        </w:rPr>
        <w:t>409</w:t>
      </w:r>
    </w:p>
    <w:p>
      <w:pPr>
        <w:pStyle w:val="BodyText"/>
        <w:spacing w:line="235" w:lineRule="auto" w:before="9"/>
        <w:ind w:left="260" w:right="762" w:firstLine="720"/>
        <w:rPr>
          <w:sz w:val="16"/>
        </w:rPr>
      </w:pPr>
      <w:r>
        <w:rPr/>
        <w:t>Uzticamības personu ieceļ tiesa, un tiesa vērtē katra atsevišķā maksātnespējas procesa sarežģītību, izvēloties uzticamības personu. Uzticamības personai jāpiemīt</w:t>
      </w:r>
      <w:r>
        <w:rPr>
          <w:spacing w:val="-42"/>
        </w:rPr>
        <w:t> </w:t>
      </w:r>
      <w:r>
        <w:rPr/>
        <w:t>vismaz zināšanām un prasmēm apieties ar parādnieka apķīlājamiem un no apķīlājuma brīvajiem līdzekļiem.</w:t>
      </w:r>
      <w:r>
        <w:rPr>
          <w:spacing w:val="-2"/>
        </w:rPr>
        <w:t> </w:t>
      </w:r>
      <w:r>
        <w:rPr>
          <w:position w:val="9"/>
          <w:sz w:val="16"/>
        </w:rPr>
        <w:t>410</w:t>
      </w:r>
    </w:p>
    <w:p>
      <w:pPr>
        <w:pStyle w:val="BodyText"/>
        <w:spacing w:before="2"/>
        <w:ind w:left="260" w:right="762" w:firstLine="720"/>
      </w:pPr>
      <w:r>
        <w:rPr/>
        <w:t>Saskaņā ar Vācijas Maksātnespējas likuma </w:t>
      </w:r>
      <w:r>
        <w:rPr>
          <w:i/>
        </w:rPr>
        <w:t>§ 292 pirmo daļu </w:t>
      </w:r>
      <w:r>
        <w:rPr/>
        <w:t>uzticamības personas pienākums ir paziņot trešajām personām, kurām ir pienākums maksāt parādniekam, par parādnieka prasījuma tiesību par naudas samaksu no šīs personām nodošanu uzticamības personai.</w:t>
      </w:r>
      <w:r>
        <w:rPr>
          <w:spacing w:val="-11"/>
        </w:rPr>
        <w:t> </w:t>
      </w:r>
      <w:r>
        <w:rPr/>
        <w:t>Uzticamības</w:t>
      </w:r>
      <w:r>
        <w:rPr>
          <w:spacing w:val="-10"/>
        </w:rPr>
        <w:t> </w:t>
      </w:r>
      <w:r>
        <w:rPr/>
        <w:t>personai</w:t>
      </w:r>
      <w:r>
        <w:rPr>
          <w:spacing w:val="-10"/>
        </w:rPr>
        <w:t> </w:t>
      </w:r>
      <w:r>
        <w:rPr/>
        <w:t>ir</w:t>
      </w:r>
      <w:r>
        <w:rPr>
          <w:spacing w:val="-10"/>
        </w:rPr>
        <w:t> </w:t>
      </w:r>
      <w:r>
        <w:rPr/>
        <w:t>jānodrošina</w:t>
      </w:r>
      <w:r>
        <w:rPr>
          <w:spacing w:val="-10"/>
        </w:rPr>
        <w:t> </w:t>
      </w:r>
      <w:r>
        <w:rPr/>
        <w:t>naudas</w:t>
      </w:r>
      <w:r>
        <w:rPr>
          <w:spacing w:val="-11"/>
        </w:rPr>
        <w:t> </w:t>
      </w:r>
      <w:r>
        <w:rPr/>
        <w:t>līdzekļu,</w:t>
      </w:r>
      <w:r>
        <w:rPr>
          <w:spacing w:val="-10"/>
        </w:rPr>
        <w:t> </w:t>
      </w:r>
      <w:r>
        <w:rPr/>
        <w:t>kurus</w:t>
      </w:r>
      <w:r>
        <w:rPr>
          <w:spacing w:val="-10"/>
        </w:rPr>
        <w:t> </w:t>
      </w:r>
      <w:r>
        <w:rPr/>
        <w:t>viņš</w:t>
      </w:r>
      <w:r>
        <w:rPr>
          <w:spacing w:val="-10"/>
        </w:rPr>
        <w:t> </w:t>
      </w:r>
      <w:r>
        <w:rPr/>
        <w:t>iegūst</w:t>
      </w:r>
      <w:r>
        <w:rPr>
          <w:spacing w:val="-10"/>
        </w:rPr>
        <w:t> </w:t>
      </w:r>
      <w:r>
        <w:rPr/>
        <w:t>no</w:t>
      </w:r>
      <w:r>
        <w:rPr>
          <w:spacing w:val="-8"/>
        </w:rPr>
        <w:t> </w:t>
      </w:r>
      <w:r>
        <w:rPr/>
        <w:t>cesijas, turēšanu atsevišķi no savas mantas un vienreiz gadā samaksāt tos maksātnespējas procesa kreditoriem.</w:t>
      </w:r>
    </w:p>
    <w:p>
      <w:pPr>
        <w:pStyle w:val="BodyText"/>
        <w:jc w:val="left"/>
        <w:rPr>
          <w:sz w:val="20"/>
        </w:rPr>
      </w:pPr>
    </w:p>
    <w:p>
      <w:pPr>
        <w:pStyle w:val="BodyText"/>
        <w:jc w:val="left"/>
        <w:rPr>
          <w:sz w:val="20"/>
        </w:rPr>
      </w:pPr>
    </w:p>
    <w:p>
      <w:pPr>
        <w:pStyle w:val="BodyText"/>
        <w:spacing w:before="7"/>
        <w:jc w:val="left"/>
        <w:rPr>
          <w:sz w:val="20"/>
        </w:rPr>
      </w:pPr>
      <w:r>
        <w:rPr/>
        <w:pict>
          <v:shape style="position:absolute;margin-left:72pt;margin-top:14.101271pt;width:144pt;height:.1pt;mso-position-horizontal-relative:page;mso-position-vertical-relative:paragraph;z-index:-251471872;mso-wrap-distance-left:0;mso-wrap-distance-right:0" coordorigin="1440,282" coordsize="2880,0" path="m1440,282l4320,282e" filled="false" stroked="true" strokeweight=".600037pt" strokecolor="#000000">
            <v:path arrowok="t"/>
            <v:stroke dashstyle="solid"/>
            <w10:wrap type="topAndBottom"/>
          </v:shape>
        </w:pict>
      </w:r>
    </w:p>
    <w:p>
      <w:pPr>
        <w:spacing w:before="70"/>
        <w:ind w:left="260" w:right="765" w:firstLine="0"/>
        <w:jc w:val="both"/>
        <w:rPr>
          <w:sz w:val="20"/>
        </w:rPr>
      </w:pPr>
      <w:r>
        <w:rPr>
          <w:position w:val="7"/>
          <w:sz w:val="13"/>
        </w:rPr>
        <w:t>407</w:t>
      </w:r>
      <w:r>
        <w:rPr>
          <w:spacing w:val="5"/>
          <w:position w:val="7"/>
          <w:sz w:val="13"/>
        </w:rPr>
        <w:t> </w:t>
      </w:r>
      <w:r>
        <w:rPr>
          <w:sz w:val="20"/>
        </w:rPr>
        <w:t>Ja</w:t>
      </w:r>
      <w:r>
        <w:rPr>
          <w:spacing w:val="-12"/>
          <w:sz w:val="20"/>
        </w:rPr>
        <w:t> </w:t>
      </w:r>
      <w:r>
        <w:rPr>
          <w:sz w:val="20"/>
        </w:rPr>
        <w:t>Tiesa</w:t>
      </w:r>
      <w:r>
        <w:rPr>
          <w:spacing w:val="-14"/>
          <w:sz w:val="20"/>
        </w:rPr>
        <w:t> </w:t>
      </w:r>
      <w:r>
        <w:rPr>
          <w:sz w:val="20"/>
        </w:rPr>
        <w:t>pieņem</w:t>
      </w:r>
      <w:r>
        <w:rPr>
          <w:spacing w:val="-13"/>
          <w:sz w:val="20"/>
        </w:rPr>
        <w:t> </w:t>
      </w:r>
      <w:r>
        <w:rPr>
          <w:sz w:val="20"/>
        </w:rPr>
        <w:t>lēmumu</w:t>
      </w:r>
      <w:r>
        <w:rPr>
          <w:spacing w:val="-12"/>
          <w:sz w:val="20"/>
        </w:rPr>
        <w:t> </w:t>
      </w:r>
      <w:r>
        <w:rPr>
          <w:sz w:val="20"/>
        </w:rPr>
        <w:t>par</w:t>
      </w:r>
      <w:r>
        <w:rPr>
          <w:spacing w:val="-10"/>
          <w:sz w:val="20"/>
        </w:rPr>
        <w:t> </w:t>
      </w:r>
      <w:r>
        <w:rPr>
          <w:sz w:val="20"/>
        </w:rPr>
        <w:t>parādnieka</w:t>
      </w:r>
      <w:r>
        <w:rPr>
          <w:spacing w:val="-10"/>
          <w:sz w:val="20"/>
        </w:rPr>
        <w:t> </w:t>
      </w:r>
      <w:r>
        <w:rPr>
          <w:sz w:val="20"/>
        </w:rPr>
        <w:t>atbrīvošanu</w:t>
      </w:r>
      <w:r>
        <w:rPr>
          <w:spacing w:val="-12"/>
          <w:sz w:val="20"/>
        </w:rPr>
        <w:t> </w:t>
      </w:r>
      <w:r>
        <w:rPr>
          <w:sz w:val="20"/>
        </w:rPr>
        <w:t>no</w:t>
      </w:r>
      <w:r>
        <w:rPr>
          <w:spacing w:val="-11"/>
          <w:sz w:val="20"/>
        </w:rPr>
        <w:t> </w:t>
      </w:r>
      <w:r>
        <w:rPr>
          <w:sz w:val="20"/>
        </w:rPr>
        <w:t>atlikušajām</w:t>
      </w:r>
      <w:r>
        <w:rPr>
          <w:spacing w:val="-15"/>
          <w:sz w:val="20"/>
        </w:rPr>
        <w:t> </w:t>
      </w:r>
      <w:r>
        <w:rPr>
          <w:sz w:val="20"/>
        </w:rPr>
        <w:t>parāda</w:t>
      </w:r>
      <w:r>
        <w:rPr>
          <w:spacing w:val="-10"/>
          <w:sz w:val="20"/>
        </w:rPr>
        <w:t> </w:t>
      </w:r>
      <w:r>
        <w:rPr>
          <w:sz w:val="20"/>
        </w:rPr>
        <w:t>saistībām,</w:t>
      </w:r>
      <w:r>
        <w:rPr>
          <w:spacing w:val="-10"/>
          <w:sz w:val="20"/>
        </w:rPr>
        <w:t> </w:t>
      </w:r>
      <w:r>
        <w:rPr>
          <w:sz w:val="20"/>
        </w:rPr>
        <w:t>tad</w:t>
      </w:r>
      <w:r>
        <w:rPr>
          <w:spacing w:val="-10"/>
          <w:sz w:val="20"/>
        </w:rPr>
        <w:t> </w:t>
      </w:r>
      <w:r>
        <w:rPr>
          <w:sz w:val="20"/>
        </w:rPr>
        <w:t>ar</w:t>
      </w:r>
      <w:r>
        <w:rPr>
          <w:spacing w:val="-10"/>
          <w:sz w:val="20"/>
        </w:rPr>
        <w:t> </w:t>
      </w:r>
      <w:r>
        <w:rPr>
          <w:sz w:val="20"/>
        </w:rPr>
        <w:t>lēmuma</w:t>
      </w:r>
      <w:r>
        <w:rPr>
          <w:spacing w:val="-13"/>
          <w:sz w:val="20"/>
        </w:rPr>
        <w:t> </w:t>
      </w:r>
      <w:r>
        <w:rPr>
          <w:sz w:val="20"/>
        </w:rPr>
        <w:t>spēkā stāšanos izbeidzas saistību dzēšanas procedūra (Abtretungsfrist), administratora (Treuhaender) amats, kreditoriem noteikto ierobežojumi saistību dzēšanas procedūras</w:t>
      </w:r>
      <w:r>
        <w:rPr>
          <w:spacing w:val="-8"/>
          <w:sz w:val="20"/>
        </w:rPr>
        <w:t> </w:t>
      </w:r>
      <w:r>
        <w:rPr>
          <w:sz w:val="20"/>
        </w:rPr>
        <w:t>laikā.</w:t>
      </w:r>
    </w:p>
    <w:p>
      <w:pPr>
        <w:spacing w:line="240" w:lineRule="auto" w:before="0"/>
        <w:ind w:left="260" w:right="635" w:firstLine="0"/>
        <w:jc w:val="left"/>
        <w:rPr>
          <w:sz w:val="20"/>
        </w:rPr>
      </w:pPr>
      <w:r>
        <w:rPr>
          <w:position w:val="7"/>
          <w:sz w:val="13"/>
        </w:rPr>
        <w:t>408 </w:t>
      </w:r>
      <w:r>
        <w:rPr>
          <w:sz w:val="20"/>
        </w:rPr>
        <w:t>Piesakot kreditora prasījumu, kreditoram jānorāda prasījuma pamats un apmērs, kā arī faktiskie apstākļi, kas dod pamatu kreditoram uzskatīt, ka pastāv §302 pirmajā daļā minētās saistības.</w:t>
      </w:r>
    </w:p>
    <w:p>
      <w:pPr>
        <w:spacing w:line="240" w:lineRule="auto" w:before="0"/>
        <w:ind w:left="260" w:right="1017" w:firstLine="0"/>
        <w:jc w:val="left"/>
        <w:rPr>
          <w:sz w:val="20"/>
        </w:rPr>
      </w:pPr>
      <w:r>
        <w:rPr>
          <w:position w:val="7"/>
          <w:sz w:val="13"/>
        </w:rPr>
        <w:t>409</w:t>
      </w:r>
      <w:r>
        <w:rPr>
          <w:sz w:val="20"/>
        </w:rPr>
        <w:t>Kayser/Thole “Insolvenzordnung” Heidelberger Kommentar, 9. neu bearbeitete Auflage, C.F.Mueller, 2018,/Waltenberger Kommentare § 288,</w:t>
      </w:r>
      <w:r>
        <w:rPr>
          <w:spacing w:val="-1"/>
          <w:sz w:val="20"/>
        </w:rPr>
        <w:t> </w:t>
      </w:r>
      <w:r>
        <w:rPr>
          <w:sz w:val="20"/>
        </w:rPr>
        <w:t>S.2193.</w:t>
      </w:r>
    </w:p>
    <w:p>
      <w:pPr>
        <w:spacing w:line="240" w:lineRule="auto" w:before="0"/>
        <w:ind w:left="260" w:right="0" w:firstLine="0"/>
        <w:jc w:val="left"/>
        <w:rPr>
          <w:sz w:val="20"/>
        </w:rPr>
      </w:pPr>
      <w:r>
        <w:rPr>
          <w:position w:val="7"/>
          <w:sz w:val="13"/>
        </w:rPr>
        <w:t>410 </w:t>
      </w:r>
      <w:r>
        <w:rPr>
          <w:sz w:val="20"/>
        </w:rPr>
        <w:t>Kayser/Thole “Insolvenzordnung” Heidelberger Kommentar, 9. neu bearbeitete Auflage, C.F.Mueller, 2018,/Waltenberger Kommentare § 288,</w:t>
      </w:r>
      <w:r>
        <w:rPr>
          <w:spacing w:val="-1"/>
          <w:sz w:val="20"/>
        </w:rPr>
        <w:t> </w:t>
      </w:r>
      <w:r>
        <w:rPr>
          <w:sz w:val="20"/>
        </w:rPr>
        <w:t>S.2194.</w:t>
      </w:r>
    </w:p>
    <w:p>
      <w:pPr>
        <w:spacing w:after="0" w:line="240" w:lineRule="auto"/>
        <w:jc w:val="left"/>
        <w:rPr>
          <w:sz w:val="20"/>
        </w:rPr>
        <w:sectPr>
          <w:pgSz w:w="11910" w:h="16840"/>
          <w:pgMar w:header="0" w:footer="1055" w:top="1340" w:bottom="1240" w:left="1180" w:right="1040"/>
        </w:sectPr>
      </w:pPr>
    </w:p>
    <w:p>
      <w:pPr>
        <w:pStyle w:val="BodyText"/>
        <w:spacing w:before="73"/>
        <w:ind w:left="620" w:right="403" w:firstLine="720"/>
      </w:pPr>
      <w:r>
        <w:rPr/>
        <w:t>Vācijas Maksātnespējas likuma </w:t>
      </w:r>
      <w:r>
        <w:rPr>
          <w:i/>
        </w:rPr>
        <w:t>§ 292 otrā daļa </w:t>
      </w:r>
      <w:r>
        <w:rPr/>
        <w:t>nosaka, ka kreditoru sapulce par papildus atlīdzību var uzdot uzticamības personai pārraudzīt parādnieka Maksātnespējas likumā noteikto pienākumu izpildi.</w:t>
      </w:r>
    </w:p>
    <w:p>
      <w:pPr>
        <w:pStyle w:val="BodyText"/>
        <w:spacing w:line="235" w:lineRule="auto" w:before="5"/>
        <w:ind w:left="620" w:right="402" w:firstLine="720"/>
      </w:pPr>
      <w:r>
        <w:rPr>
          <w:b/>
          <w:i/>
        </w:rPr>
        <w:t>J. Administratora atlīdzības regulējums. </w:t>
      </w:r>
      <w:r>
        <w:rPr/>
        <w:t>Vācijā maksātnespējas procesa administratora atlīdzība vispārēji ir noteikta “Atlīdzību noteikumi maksātnespējas jomā”</w:t>
      </w:r>
      <w:r>
        <w:rPr>
          <w:position w:val="9"/>
        </w:rPr>
        <w:t> </w:t>
      </w:r>
      <w:r>
        <w:rPr>
          <w:position w:val="9"/>
          <w:sz w:val="16"/>
        </w:rPr>
        <w:t>411 </w:t>
      </w:r>
      <w:r>
        <w:rPr/>
        <w:t>(turpmāk tekstā – Atlīdzības noteikumi). Vispirms ir jāizdala divus dažādus atlīdzības saņēmējus fiziskās personas maksātnespējas procesā:</w:t>
      </w:r>
    </w:p>
    <w:p>
      <w:pPr>
        <w:pStyle w:val="ListParagraph"/>
        <w:numPr>
          <w:ilvl w:val="0"/>
          <w:numId w:val="100"/>
        </w:numPr>
        <w:tabs>
          <w:tab w:pos="1356" w:val="left" w:leader="none"/>
        </w:tabs>
        <w:spacing w:line="240" w:lineRule="auto" w:before="2" w:after="0"/>
        <w:ind w:left="1327" w:right="400" w:hanging="281"/>
        <w:jc w:val="both"/>
        <w:rPr>
          <w:sz w:val="24"/>
        </w:rPr>
      </w:pPr>
      <w:r>
        <w:rPr>
          <w:sz w:val="24"/>
        </w:rPr>
        <w:t>maksātnespējas procesa administrators, kurš darbojas bankrota procedūras fāzē (</w:t>
      </w:r>
      <w:r>
        <w:rPr>
          <w:i/>
          <w:sz w:val="24"/>
        </w:rPr>
        <w:t>Insolvenzverwalter</w:t>
      </w:r>
      <w:r>
        <w:rPr>
          <w:sz w:val="24"/>
        </w:rPr>
        <w:t>);</w:t>
      </w:r>
    </w:p>
    <w:p>
      <w:pPr>
        <w:pStyle w:val="ListParagraph"/>
        <w:numPr>
          <w:ilvl w:val="0"/>
          <w:numId w:val="100"/>
        </w:numPr>
        <w:tabs>
          <w:tab w:pos="1324" w:val="left" w:leader="none"/>
        </w:tabs>
        <w:spacing w:line="240" w:lineRule="auto" w:before="0" w:after="0"/>
        <w:ind w:left="1327" w:right="403" w:hanging="281"/>
        <w:jc w:val="both"/>
        <w:rPr>
          <w:sz w:val="24"/>
        </w:rPr>
      </w:pPr>
      <w:r>
        <w:rPr>
          <w:sz w:val="24"/>
        </w:rPr>
        <w:t>administrators (</w:t>
      </w:r>
      <w:r>
        <w:rPr>
          <w:i/>
          <w:sz w:val="24"/>
        </w:rPr>
        <w:t>Treuhaender</w:t>
      </w:r>
      <w:r>
        <w:rPr>
          <w:sz w:val="24"/>
        </w:rPr>
        <w:t>), kurš darbojas saistību dzēšanas procedūras fāzē un kura pilnvaras ir ļoti ierobežotas, salīdzinājumā ar maksātnespējas procesa administratora pilnvarām bankrota</w:t>
      </w:r>
      <w:r>
        <w:rPr>
          <w:spacing w:val="-2"/>
          <w:sz w:val="24"/>
        </w:rPr>
        <w:t> </w:t>
      </w:r>
      <w:r>
        <w:rPr>
          <w:sz w:val="24"/>
        </w:rPr>
        <w:t>procedūrā.</w:t>
      </w:r>
    </w:p>
    <w:p>
      <w:pPr>
        <w:pStyle w:val="BodyText"/>
        <w:ind w:left="620" w:right="404" w:firstLine="427"/>
      </w:pPr>
      <w:r>
        <w:rPr/>
        <w:t>Saskaņā ar Atlīdzības noteikumu §2 pirmo daļu parasti maksātnespējas procesa administrators, kurš darbojas bankrota procedūras fāzē (</w:t>
      </w:r>
      <w:r>
        <w:rPr>
          <w:i/>
        </w:rPr>
        <w:t>Insolvenzverwalter</w:t>
      </w:r>
      <w:r>
        <w:rPr/>
        <w:t>) saņem atlīdzību šādā apmērā:</w:t>
      </w:r>
    </w:p>
    <w:p>
      <w:pPr>
        <w:pStyle w:val="ListParagraph"/>
        <w:numPr>
          <w:ilvl w:val="0"/>
          <w:numId w:val="101"/>
        </w:numPr>
        <w:tabs>
          <w:tab w:pos="1340" w:val="left" w:leader="none"/>
        </w:tabs>
        <w:spacing w:line="276" w:lineRule="exact" w:before="0" w:after="0"/>
        <w:ind w:left="1340" w:right="0" w:hanging="360"/>
        <w:jc w:val="left"/>
        <w:rPr>
          <w:sz w:val="24"/>
        </w:rPr>
      </w:pPr>
      <w:r>
        <w:rPr>
          <w:sz w:val="24"/>
        </w:rPr>
        <w:t>no pirmās 25 000 EUR maksātnespējas procesa mantas</w:t>
      </w:r>
      <w:r>
        <w:rPr>
          <w:position w:val="9"/>
          <w:sz w:val="16"/>
        </w:rPr>
        <w:t>412 </w:t>
      </w:r>
      <w:r>
        <w:rPr>
          <w:sz w:val="24"/>
        </w:rPr>
        <w:t>- atlīdzību</w:t>
      </w:r>
      <w:r>
        <w:rPr>
          <w:spacing w:val="1"/>
          <w:sz w:val="24"/>
        </w:rPr>
        <w:t> </w:t>
      </w:r>
      <w:r>
        <w:rPr>
          <w:sz w:val="24"/>
        </w:rPr>
        <w:t>40%;</w:t>
      </w:r>
    </w:p>
    <w:p>
      <w:pPr>
        <w:pStyle w:val="ListParagraph"/>
        <w:numPr>
          <w:ilvl w:val="0"/>
          <w:numId w:val="101"/>
        </w:numPr>
        <w:tabs>
          <w:tab w:pos="1340" w:val="left" w:leader="none"/>
        </w:tabs>
        <w:spacing w:line="240" w:lineRule="auto" w:before="0" w:after="0"/>
        <w:ind w:left="1340" w:right="0" w:hanging="360"/>
        <w:jc w:val="left"/>
        <w:rPr>
          <w:sz w:val="24"/>
        </w:rPr>
      </w:pPr>
      <w:r>
        <w:rPr>
          <w:sz w:val="24"/>
        </w:rPr>
        <w:t>no summas, kas pārsniedz 25000 EUR, līdz 50 000 EUR atlīdzību</w:t>
      </w:r>
      <w:r>
        <w:rPr>
          <w:spacing w:val="-3"/>
          <w:sz w:val="24"/>
        </w:rPr>
        <w:t> </w:t>
      </w:r>
      <w:r>
        <w:rPr>
          <w:sz w:val="24"/>
        </w:rPr>
        <w:t>25%;</w:t>
      </w:r>
    </w:p>
    <w:p>
      <w:pPr>
        <w:pStyle w:val="ListParagraph"/>
        <w:numPr>
          <w:ilvl w:val="0"/>
          <w:numId w:val="101"/>
        </w:numPr>
        <w:tabs>
          <w:tab w:pos="1340" w:val="left" w:leader="none"/>
        </w:tabs>
        <w:spacing w:line="240" w:lineRule="auto" w:before="0" w:after="0"/>
        <w:ind w:left="1340" w:right="0" w:hanging="360"/>
        <w:jc w:val="left"/>
        <w:rPr>
          <w:sz w:val="24"/>
        </w:rPr>
      </w:pPr>
      <w:r>
        <w:rPr>
          <w:sz w:val="24"/>
        </w:rPr>
        <w:t>no summas kas pārsniedz 1.un 2. punktā minēto, līdz 250 000 EUR atlīdzību</w:t>
      </w:r>
      <w:r>
        <w:rPr>
          <w:spacing w:val="-5"/>
          <w:sz w:val="24"/>
        </w:rPr>
        <w:t> </w:t>
      </w:r>
      <w:r>
        <w:rPr>
          <w:sz w:val="24"/>
        </w:rPr>
        <w:t>7%;</w:t>
      </w:r>
    </w:p>
    <w:p>
      <w:pPr>
        <w:pStyle w:val="ListParagraph"/>
        <w:numPr>
          <w:ilvl w:val="0"/>
          <w:numId w:val="101"/>
        </w:numPr>
        <w:tabs>
          <w:tab w:pos="1340" w:val="left" w:leader="none"/>
        </w:tabs>
        <w:spacing w:line="240" w:lineRule="auto" w:before="0" w:after="0"/>
        <w:ind w:left="1340" w:right="0" w:hanging="360"/>
        <w:jc w:val="left"/>
        <w:rPr>
          <w:sz w:val="24"/>
        </w:rPr>
      </w:pPr>
      <w:r>
        <w:rPr>
          <w:sz w:val="24"/>
        </w:rPr>
        <w:t>no</w:t>
      </w:r>
      <w:r>
        <w:rPr>
          <w:spacing w:val="-5"/>
          <w:sz w:val="24"/>
        </w:rPr>
        <w:t> </w:t>
      </w:r>
      <w:r>
        <w:rPr>
          <w:sz w:val="24"/>
        </w:rPr>
        <w:t>summas,</w:t>
      </w:r>
      <w:r>
        <w:rPr>
          <w:spacing w:val="-5"/>
          <w:sz w:val="24"/>
        </w:rPr>
        <w:t> </w:t>
      </w:r>
      <w:r>
        <w:rPr>
          <w:sz w:val="24"/>
        </w:rPr>
        <w:t>kas</w:t>
      </w:r>
      <w:r>
        <w:rPr>
          <w:spacing w:val="-7"/>
          <w:sz w:val="24"/>
        </w:rPr>
        <w:t> </w:t>
      </w:r>
      <w:r>
        <w:rPr>
          <w:sz w:val="24"/>
        </w:rPr>
        <w:t>pārsniedz</w:t>
      </w:r>
      <w:r>
        <w:rPr>
          <w:spacing w:val="-3"/>
          <w:sz w:val="24"/>
        </w:rPr>
        <w:t> </w:t>
      </w:r>
      <w:r>
        <w:rPr>
          <w:sz w:val="24"/>
        </w:rPr>
        <w:t>1.,</w:t>
      </w:r>
      <w:r>
        <w:rPr>
          <w:spacing w:val="-5"/>
          <w:sz w:val="24"/>
        </w:rPr>
        <w:t> </w:t>
      </w:r>
      <w:r>
        <w:rPr>
          <w:sz w:val="24"/>
        </w:rPr>
        <w:t>2.,</w:t>
      </w:r>
      <w:r>
        <w:rPr>
          <w:spacing w:val="-5"/>
          <w:sz w:val="24"/>
        </w:rPr>
        <w:t> </w:t>
      </w:r>
      <w:r>
        <w:rPr>
          <w:sz w:val="24"/>
        </w:rPr>
        <w:t>3.</w:t>
      </w:r>
      <w:r>
        <w:rPr>
          <w:spacing w:val="-5"/>
          <w:sz w:val="24"/>
        </w:rPr>
        <w:t> </w:t>
      </w:r>
      <w:r>
        <w:rPr>
          <w:sz w:val="24"/>
        </w:rPr>
        <w:t>punktā</w:t>
      </w:r>
      <w:r>
        <w:rPr>
          <w:spacing w:val="-3"/>
          <w:sz w:val="24"/>
        </w:rPr>
        <w:t> </w:t>
      </w:r>
      <w:r>
        <w:rPr>
          <w:sz w:val="24"/>
        </w:rPr>
        <w:t>minēto,</w:t>
      </w:r>
      <w:r>
        <w:rPr>
          <w:spacing w:val="-3"/>
          <w:sz w:val="24"/>
        </w:rPr>
        <w:t> </w:t>
      </w:r>
      <w:r>
        <w:rPr>
          <w:sz w:val="24"/>
        </w:rPr>
        <w:t>līdz</w:t>
      </w:r>
      <w:r>
        <w:rPr>
          <w:spacing w:val="-4"/>
          <w:sz w:val="24"/>
        </w:rPr>
        <w:t> </w:t>
      </w:r>
      <w:r>
        <w:rPr>
          <w:sz w:val="24"/>
        </w:rPr>
        <w:t>500</w:t>
      </w:r>
      <w:r>
        <w:rPr>
          <w:spacing w:val="1"/>
          <w:sz w:val="24"/>
        </w:rPr>
        <w:t> </w:t>
      </w:r>
      <w:r>
        <w:rPr>
          <w:sz w:val="24"/>
        </w:rPr>
        <w:t>000</w:t>
      </w:r>
      <w:r>
        <w:rPr>
          <w:spacing w:val="-5"/>
          <w:sz w:val="24"/>
        </w:rPr>
        <w:t> </w:t>
      </w:r>
      <w:r>
        <w:rPr>
          <w:sz w:val="24"/>
        </w:rPr>
        <w:t>EUR</w:t>
      </w:r>
      <w:r>
        <w:rPr>
          <w:spacing w:val="-5"/>
          <w:sz w:val="24"/>
        </w:rPr>
        <w:t> </w:t>
      </w:r>
      <w:r>
        <w:rPr>
          <w:sz w:val="24"/>
        </w:rPr>
        <w:t>atlīdzību</w:t>
      </w:r>
      <w:r>
        <w:rPr>
          <w:spacing w:val="-4"/>
          <w:sz w:val="24"/>
        </w:rPr>
        <w:t> </w:t>
      </w:r>
      <w:r>
        <w:rPr>
          <w:sz w:val="24"/>
        </w:rPr>
        <w:t>3%;</w:t>
      </w:r>
    </w:p>
    <w:p>
      <w:pPr>
        <w:pStyle w:val="ListParagraph"/>
        <w:numPr>
          <w:ilvl w:val="0"/>
          <w:numId w:val="101"/>
        </w:numPr>
        <w:tabs>
          <w:tab w:pos="1340" w:val="left" w:leader="none"/>
        </w:tabs>
        <w:spacing w:line="240" w:lineRule="auto" w:before="0" w:after="0"/>
        <w:ind w:left="1340" w:right="402" w:hanging="360"/>
        <w:jc w:val="left"/>
        <w:rPr>
          <w:sz w:val="24"/>
        </w:rPr>
      </w:pPr>
      <w:r>
        <w:rPr>
          <w:sz w:val="24"/>
        </w:rPr>
        <w:t>no</w:t>
      </w:r>
      <w:r>
        <w:rPr>
          <w:spacing w:val="-13"/>
          <w:sz w:val="24"/>
        </w:rPr>
        <w:t> </w:t>
      </w:r>
      <w:r>
        <w:rPr>
          <w:sz w:val="24"/>
        </w:rPr>
        <w:t>summas,</w:t>
      </w:r>
      <w:r>
        <w:rPr>
          <w:spacing w:val="-12"/>
          <w:sz w:val="24"/>
        </w:rPr>
        <w:t> </w:t>
      </w:r>
      <w:r>
        <w:rPr>
          <w:sz w:val="24"/>
        </w:rPr>
        <w:t>kas</w:t>
      </w:r>
      <w:r>
        <w:rPr>
          <w:spacing w:val="-16"/>
          <w:sz w:val="24"/>
        </w:rPr>
        <w:t> </w:t>
      </w:r>
      <w:r>
        <w:rPr>
          <w:sz w:val="24"/>
        </w:rPr>
        <w:t>pārsniedz</w:t>
      </w:r>
      <w:r>
        <w:rPr>
          <w:spacing w:val="-11"/>
          <w:sz w:val="24"/>
        </w:rPr>
        <w:t> </w:t>
      </w:r>
      <w:r>
        <w:rPr>
          <w:sz w:val="24"/>
        </w:rPr>
        <w:t>1.,</w:t>
      </w:r>
      <w:r>
        <w:rPr>
          <w:spacing w:val="-12"/>
          <w:sz w:val="24"/>
        </w:rPr>
        <w:t> </w:t>
      </w:r>
      <w:r>
        <w:rPr>
          <w:sz w:val="24"/>
        </w:rPr>
        <w:t>2.,</w:t>
      </w:r>
      <w:r>
        <w:rPr>
          <w:spacing w:val="-13"/>
          <w:sz w:val="24"/>
        </w:rPr>
        <w:t> </w:t>
      </w:r>
      <w:r>
        <w:rPr>
          <w:sz w:val="24"/>
        </w:rPr>
        <w:t>3.,</w:t>
      </w:r>
      <w:r>
        <w:rPr>
          <w:spacing w:val="-12"/>
          <w:sz w:val="24"/>
        </w:rPr>
        <w:t> </w:t>
      </w:r>
      <w:r>
        <w:rPr>
          <w:sz w:val="24"/>
        </w:rPr>
        <w:t>4.punktā</w:t>
      </w:r>
      <w:r>
        <w:rPr>
          <w:spacing w:val="-11"/>
          <w:sz w:val="24"/>
        </w:rPr>
        <w:t> </w:t>
      </w:r>
      <w:r>
        <w:rPr>
          <w:sz w:val="24"/>
        </w:rPr>
        <w:t>minēto,</w:t>
      </w:r>
      <w:r>
        <w:rPr>
          <w:spacing w:val="-13"/>
          <w:sz w:val="24"/>
        </w:rPr>
        <w:t> </w:t>
      </w:r>
      <w:r>
        <w:rPr>
          <w:sz w:val="24"/>
        </w:rPr>
        <w:t>līdz</w:t>
      </w:r>
      <w:r>
        <w:rPr>
          <w:spacing w:val="-11"/>
          <w:sz w:val="24"/>
        </w:rPr>
        <w:t> </w:t>
      </w:r>
      <w:r>
        <w:rPr>
          <w:sz w:val="24"/>
        </w:rPr>
        <w:t>25 000</w:t>
      </w:r>
      <w:r>
        <w:rPr>
          <w:spacing w:val="-13"/>
          <w:sz w:val="24"/>
        </w:rPr>
        <w:t> </w:t>
      </w:r>
      <w:r>
        <w:rPr>
          <w:sz w:val="24"/>
        </w:rPr>
        <w:t>000</w:t>
      </w:r>
      <w:r>
        <w:rPr>
          <w:spacing w:val="-12"/>
          <w:sz w:val="24"/>
        </w:rPr>
        <w:t> </w:t>
      </w:r>
      <w:r>
        <w:rPr>
          <w:sz w:val="24"/>
        </w:rPr>
        <w:t>EUR</w:t>
      </w:r>
      <w:r>
        <w:rPr>
          <w:spacing w:val="-12"/>
          <w:sz w:val="24"/>
        </w:rPr>
        <w:t> </w:t>
      </w:r>
      <w:r>
        <w:rPr>
          <w:sz w:val="24"/>
        </w:rPr>
        <w:t>atlīdzību 2 %;</w:t>
      </w:r>
    </w:p>
    <w:p>
      <w:pPr>
        <w:pStyle w:val="ListParagraph"/>
        <w:numPr>
          <w:ilvl w:val="0"/>
          <w:numId w:val="101"/>
        </w:numPr>
        <w:tabs>
          <w:tab w:pos="1340" w:val="left" w:leader="none"/>
        </w:tabs>
        <w:spacing w:line="240" w:lineRule="auto" w:before="0" w:after="0"/>
        <w:ind w:left="1340" w:right="402" w:hanging="360"/>
        <w:jc w:val="left"/>
        <w:rPr>
          <w:sz w:val="24"/>
        </w:rPr>
      </w:pPr>
      <w:r>
        <w:rPr>
          <w:sz w:val="24"/>
        </w:rPr>
        <w:t>no summas, kas pārsniedz 1., 2., 3., 4., 5. punktā minēto, līdz 50 000 000 EUR atlīdzību 1%;</w:t>
      </w:r>
    </w:p>
    <w:p>
      <w:pPr>
        <w:pStyle w:val="ListParagraph"/>
        <w:numPr>
          <w:ilvl w:val="0"/>
          <w:numId w:val="101"/>
        </w:numPr>
        <w:tabs>
          <w:tab w:pos="1340" w:val="left" w:leader="none"/>
        </w:tabs>
        <w:spacing w:line="240" w:lineRule="auto" w:before="0" w:after="0"/>
        <w:ind w:left="1340" w:right="0" w:hanging="360"/>
        <w:jc w:val="left"/>
        <w:rPr>
          <w:sz w:val="24"/>
        </w:rPr>
      </w:pPr>
      <w:r>
        <w:rPr>
          <w:sz w:val="24"/>
        </w:rPr>
        <w:t>summa, kas pārsniedz augstāk minēto summu,</w:t>
      </w:r>
      <w:r>
        <w:rPr>
          <w:spacing w:val="-3"/>
          <w:sz w:val="24"/>
        </w:rPr>
        <w:t> </w:t>
      </w:r>
      <w:r>
        <w:rPr>
          <w:sz w:val="24"/>
        </w:rPr>
        <w:t>0,5%.</w:t>
      </w:r>
    </w:p>
    <w:p>
      <w:pPr>
        <w:pStyle w:val="BodyText"/>
        <w:spacing w:line="237" w:lineRule="auto" w:before="3"/>
        <w:ind w:left="620" w:right="403" w:firstLine="720"/>
      </w:pPr>
      <w:r>
        <w:rPr/>
        <w:t>Maksātnespējas procesos, kuros parādniekam nav mantas, maksātnespējas procesa administratora atlīdzība bankrota procedūras fāzē veido 1000 EUR, savukārt, ja ir manta, tad 40% no mantas vērtības, pabeidzot maksātnespējas procesu.</w:t>
      </w:r>
      <w:r>
        <w:rPr>
          <w:position w:val="9"/>
          <w:sz w:val="16"/>
        </w:rPr>
        <w:t>413 </w:t>
      </w:r>
      <w:r>
        <w:rPr/>
        <w:t>Ja Maksātnespējas process ir sarežģītāks, piemēram, daudz trešo personu pieteiktās tiesības uz mantu, nodrošināto kreditoru manta, nepilnīgas grāmatvedības sakārtošana, tad saskaņā ar Atlīdzības noteikumu §3 atlīdzība tiek palielināta.</w:t>
      </w:r>
    </w:p>
    <w:p>
      <w:pPr>
        <w:pStyle w:val="BodyText"/>
        <w:ind w:left="620" w:right="401" w:firstLine="720"/>
      </w:pPr>
      <w:r>
        <w:rPr/>
        <w:t>Neskatoties uz to, ka administratora atlīdzība ir noteikta Atlīdzības noteikumos, saskaņā ar Vācijas Maksātnespējas likuma §64 pirmo daļu tiesa lemj par administratora atlīdzības noteikšanu. Saskaņā ar §64 trešo daļu par minēto tiesas lēmumu</w:t>
      </w:r>
      <w:r>
        <w:rPr>
          <w:spacing w:val="-28"/>
        </w:rPr>
        <w:t> </w:t>
      </w:r>
      <w:r>
        <w:rPr/>
        <w:t>maksātnespējas procesa administrators, parādnieks un maksātnespējas procesa kreditors var iesniegt sūdzību.</w:t>
      </w:r>
    </w:p>
    <w:p>
      <w:pPr>
        <w:pStyle w:val="BodyText"/>
        <w:spacing w:line="237" w:lineRule="auto" w:before="1"/>
        <w:ind w:left="620" w:right="401" w:firstLine="720"/>
        <w:rPr>
          <w:sz w:val="16"/>
        </w:rPr>
      </w:pPr>
      <w:r>
        <w:rPr/>
        <w:t>Savukārt saistību dzēšanas procedūras laikā administrators (</w:t>
      </w:r>
      <w:r>
        <w:rPr>
          <w:i/>
        </w:rPr>
        <w:t>Treuhaender</w:t>
      </w:r>
      <w:r>
        <w:rPr/>
        <w:t>) saņem atlīdzību,</w:t>
      </w:r>
      <w:r>
        <w:rPr>
          <w:spacing w:val="-8"/>
        </w:rPr>
        <w:t> </w:t>
      </w:r>
      <w:r>
        <w:rPr/>
        <w:t>ko</w:t>
      </w:r>
      <w:r>
        <w:rPr>
          <w:spacing w:val="-8"/>
        </w:rPr>
        <w:t> </w:t>
      </w:r>
      <w:r>
        <w:rPr/>
        <w:t>aprēķina,</w:t>
      </w:r>
      <w:r>
        <w:rPr>
          <w:spacing w:val="-10"/>
        </w:rPr>
        <w:t> </w:t>
      </w:r>
      <w:r>
        <w:rPr/>
        <w:t>ņemot</w:t>
      </w:r>
      <w:r>
        <w:rPr>
          <w:spacing w:val="-5"/>
        </w:rPr>
        <w:t> </w:t>
      </w:r>
      <w:r>
        <w:rPr/>
        <w:t>par</w:t>
      </w:r>
      <w:r>
        <w:rPr>
          <w:spacing w:val="-11"/>
        </w:rPr>
        <w:t> </w:t>
      </w:r>
      <w:r>
        <w:rPr/>
        <w:t>pamatu</w:t>
      </w:r>
      <w:r>
        <w:rPr>
          <w:spacing w:val="-8"/>
        </w:rPr>
        <w:t> </w:t>
      </w:r>
      <w:r>
        <w:rPr/>
        <w:t>naudas</w:t>
      </w:r>
      <w:r>
        <w:rPr>
          <w:spacing w:val="-10"/>
        </w:rPr>
        <w:t> </w:t>
      </w:r>
      <w:r>
        <w:rPr/>
        <w:t>summu,</w:t>
      </w:r>
      <w:r>
        <w:rPr>
          <w:spacing w:val="-8"/>
        </w:rPr>
        <w:t> </w:t>
      </w:r>
      <w:r>
        <w:rPr/>
        <w:t>kuru,</w:t>
      </w:r>
      <w:r>
        <w:rPr>
          <w:spacing w:val="-8"/>
        </w:rPr>
        <w:t> </w:t>
      </w:r>
      <w:r>
        <w:rPr/>
        <w:t>pamatojoties</w:t>
      </w:r>
      <w:r>
        <w:rPr>
          <w:spacing w:val="-8"/>
        </w:rPr>
        <w:t> </w:t>
      </w:r>
      <w:r>
        <w:rPr/>
        <w:t>uz</w:t>
      </w:r>
      <w:r>
        <w:rPr>
          <w:spacing w:val="-6"/>
        </w:rPr>
        <w:t> </w:t>
      </w:r>
      <w:r>
        <w:rPr/>
        <w:t>parādnieka Vācijas Maksātnespējas likuma § 287 otrajā daļā sniegto savu ienākumu cesiju vai citādā veidā kreditoru prasījumu segšanai, saņem administrators. Tādejādi atlīdzība tiek aprēķināta arī no tās summas, kuru veido manta, kuru parādnieks ir mantojis un kas ir nonākusi administratora</w:t>
      </w:r>
      <w:r>
        <w:rPr>
          <w:spacing w:val="-3"/>
        </w:rPr>
        <w:t> </w:t>
      </w:r>
      <w:r>
        <w:rPr/>
        <w:t>rīcībā.</w:t>
      </w:r>
      <w:r>
        <w:rPr>
          <w:position w:val="9"/>
          <w:sz w:val="16"/>
        </w:rPr>
        <w:t>414</w:t>
      </w:r>
    </w:p>
    <w:p>
      <w:pPr>
        <w:pStyle w:val="BodyText"/>
        <w:ind w:left="620" w:right="402" w:firstLine="720"/>
      </w:pPr>
      <w:r>
        <w:rPr/>
        <w:t>Saskaņā ar Atlīdzības noteikumu §14 otro daļu saistību dzēšanas procedūras administrators saņem 5% no augstāk minētās ienākošās naudas summas. Ja tā pārsniedz</w:t>
      </w:r>
    </w:p>
    <w:p>
      <w:pPr>
        <w:pStyle w:val="BodyText"/>
        <w:spacing w:before="6"/>
        <w:jc w:val="left"/>
        <w:rPr>
          <w:sz w:val="28"/>
        </w:rPr>
      </w:pPr>
      <w:r>
        <w:rPr/>
        <w:pict>
          <v:shape style="position:absolute;margin-left:90pt;margin-top:18.689783pt;width:144pt;height:.1pt;mso-position-horizontal-relative:page;mso-position-vertical-relative:paragraph;z-index:-251470848;mso-wrap-distance-left:0;mso-wrap-distance-right:0" coordorigin="1800,374" coordsize="2880,0" path="m1800,374l4680,374e" filled="false" stroked="true" strokeweight=".599991pt" strokecolor="#000000">
            <v:path arrowok="t"/>
            <v:stroke dashstyle="solid"/>
            <w10:wrap type="topAndBottom"/>
          </v:shape>
        </w:pict>
      </w:r>
    </w:p>
    <w:p>
      <w:pPr>
        <w:spacing w:before="70"/>
        <w:ind w:left="620" w:right="403" w:firstLine="0"/>
        <w:jc w:val="both"/>
        <w:rPr>
          <w:sz w:val="20"/>
        </w:rPr>
      </w:pPr>
      <w:r>
        <w:rPr>
          <w:position w:val="7"/>
          <w:sz w:val="13"/>
        </w:rPr>
        <w:t>411 </w:t>
      </w:r>
      <w:r>
        <w:rPr>
          <w:sz w:val="20"/>
        </w:rPr>
        <w:t>"Insolvenzrechtliche Vergütungsverordnung vom 19. August 1998 (BGBl. I S. 2205), die zuletzt durch Artikel 3 des Gesetzes vom 13. April 2017 (BGBl. I S. 866) geändert worden ist"/https://www.gesetze-im- internet.de/insvv/index.html</w:t>
      </w:r>
    </w:p>
    <w:p>
      <w:pPr>
        <w:spacing w:line="240" w:lineRule="auto" w:before="0"/>
        <w:ind w:left="620" w:right="408" w:firstLine="0"/>
        <w:jc w:val="both"/>
        <w:rPr>
          <w:sz w:val="20"/>
        </w:rPr>
      </w:pPr>
      <w:r>
        <w:rPr>
          <w:position w:val="7"/>
          <w:sz w:val="13"/>
        </w:rPr>
        <w:t>412 </w:t>
      </w:r>
      <w:r>
        <w:rPr>
          <w:sz w:val="20"/>
        </w:rPr>
        <w:t>Atlīdzības noteikumu §1 nosaka to mantu, kura tiek iekļauta mantas vērtībā, aprēķinot atlīdzību. Katrā ziņā netiek piemērots princips kā Latvijas MNL, ka ņem vērā </w:t>
      </w:r>
      <w:r>
        <w:rPr>
          <w:sz w:val="20"/>
          <w:u w:val="single"/>
        </w:rPr>
        <w:t>atgūto</w:t>
      </w:r>
      <w:r>
        <w:rPr>
          <w:sz w:val="20"/>
        </w:rPr>
        <w:t> mantu.</w:t>
      </w:r>
    </w:p>
    <w:p>
      <w:pPr>
        <w:spacing w:line="229" w:lineRule="exact" w:before="0"/>
        <w:ind w:left="620" w:right="0" w:firstLine="0"/>
        <w:jc w:val="both"/>
        <w:rPr>
          <w:sz w:val="20"/>
        </w:rPr>
      </w:pPr>
      <w:r>
        <w:rPr>
          <w:position w:val="7"/>
          <w:sz w:val="13"/>
        </w:rPr>
        <w:t>413  </w:t>
      </w:r>
      <w:r>
        <w:rPr>
          <w:sz w:val="20"/>
        </w:rPr>
        <w:t>Kayser/Thole “Insolvenzordnung”, Ruentz/Laroche  Kommentare §26,</w:t>
      </w:r>
      <w:r>
        <w:rPr>
          <w:spacing w:val="-27"/>
          <w:sz w:val="20"/>
        </w:rPr>
        <w:t> </w:t>
      </w:r>
      <w:r>
        <w:rPr>
          <w:sz w:val="20"/>
        </w:rPr>
        <w:t>S.318.</w:t>
      </w:r>
    </w:p>
    <w:p>
      <w:pPr>
        <w:spacing w:line="233" w:lineRule="exact" w:before="0"/>
        <w:ind w:left="620" w:right="0" w:firstLine="0"/>
        <w:jc w:val="both"/>
        <w:rPr>
          <w:sz w:val="20"/>
        </w:rPr>
      </w:pPr>
      <w:r>
        <w:rPr>
          <w:position w:val="7"/>
          <w:sz w:val="13"/>
        </w:rPr>
        <w:t>414  </w:t>
      </w:r>
      <w:r>
        <w:rPr>
          <w:sz w:val="20"/>
        </w:rPr>
        <w:t>Kayser/Thole “Insolvenzordnung”, Waltenberger  Kommentare §293,</w:t>
      </w:r>
      <w:r>
        <w:rPr>
          <w:spacing w:val="-23"/>
          <w:sz w:val="20"/>
        </w:rPr>
        <w:t> </w:t>
      </w:r>
      <w:r>
        <w:rPr>
          <w:sz w:val="20"/>
        </w:rPr>
        <w:t>S.2219.</w:t>
      </w:r>
    </w:p>
    <w:p>
      <w:pPr>
        <w:spacing w:after="0" w:line="233" w:lineRule="exact"/>
        <w:jc w:val="both"/>
        <w:rPr>
          <w:sz w:val="20"/>
        </w:rPr>
        <w:sectPr>
          <w:pgSz w:w="11910" w:h="16840"/>
          <w:pgMar w:header="0" w:footer="1055" w:top="1340" w:bottom="1240" w:left="1180" w:right="1040"/>
        </w:sectPr>
      </w:pPr>
    </w:p>
    <w:p>
      <w:pPr>
        <w:pStyle w:val="BodyText"/>
        <w:spacing w:line="268" w:lineRule="exact" w:before="73"/>
        <w:ind w:left="260"/>
      </w:pPr>
      <w:r>
        <w:rPr/>
        <w:t>25 000 – 50 000 EUR, tad 3% no summas, kas pārsniedz 25 000 EUR; un no summas, kas</w:t>
      </w:r>
    </w:p>
    <w:p>
      <w:pPr>
        <w:pStyle w:val="BodyText"/>
        <w:spacing w:line="284" w:lineRule="exact"/>
        <w:ind w:left="260"/>
        <w:rPr>
          <w:sz w:val="16"/>
        </w:rPr>
      </w:pPr>
      <w:r>
        <w:rPr/>
        <w:t>pārsniedz 50 000 EUR 1% atlīdzība.</w:t>
      </w:r>
      <w:r>
        <w:rPr>
          <w:position w:val="9"/>
          <w:sz w:val="16"/>
        </w:rPr>
        <w:t>415</w:t>
      </w:r>
    </w:p>
    <w:p>
      <w:pPr>
        <w:pStyle w:val="BodyText"/>
        <w:spacing w:line="237" w:lineRule="auto" w:before="3"/>
        <w:ind w:left="260" w:right="763" w:firstLine="720"/>
        <w:rPr>
          <w:sz w:val="16"/>
        </w:rPr>
      </w:pPr>
      <w:r>
        <w:rPr/>
        <w:t>Saskaņā ar Atlīdzības noteikumu §15 pirmo daļu, ja administrators uzrauga parādnieka Vācijas Maksātnespējas likumā noteikto pienākumu izpildi saistību dzēšanas procedūras laikā, tad administrators saņem atlīdzību 35 EUR stundā. Taču ņemot vērā, ka nepieciešama administratora īpaša kvalifikācija, lai veiktu minēto parādnieka pienākumu izpildes uzraudzību, administratora atlīdzība var atšķirties no augstāk minētā stundas likmes. Par administratora atlīdzības stundas likmes paaugstināšanu lemj tiesa.</w:t>
      </w:r>
      <w:r>
        <w:rPr>
          <w:position w:val="9"/>
          <w:sz w:val="16"/>
        </w:rPr>
        <w:t>416</w:t>
      </w:r>
    </w:p>
    <w:p>
      <w:pPr>
        <w:pStyle w:val="BodyText"/>
        <w:spacing w:line="237" w:lineRule="auto" w:before="1"/>
        <w:ind w:left="260" w:right="763" w:firstLine="720"/>
        <w:rPr>
          <w:sz w:val="16"/>
        </w:rPr>
      </w:pPr>
      <w:r>
        <w:rPr/>
        <w:t>Gadījumā ja parādnieka manta nav pietiekama, lai segtu maksātnespējas procesa administratora/ administratora atlīdzību/izdevumus, minētajām personām saskaņā ar Vācijas Maksātnespējas likuma § 63 otro daļu ir prasījuma tiesības par minēto atlīdzību/izdevumu segšanu no valsts kases. Šāds regulējums tiek piemērots gadījumā, ja saskaņā ar Vācijas Maksātnespējas likuma § 4 tiesa lēmusi par parādnieka</w:t>
      </w:r>
      <w:r>
        <w:rPr>
          <w:spacing w:val="-22"/>
        </w:rPr>
        <w:t> </w:t>
      </w:r>
      <w:r>
        <w:rPr/>
        <w:t>maksātnespējas procesa izmaksu segšanas atlikšanu. Pēc tam parādnieks atlīdzina valsts kasei tai radušos izdevumus par administratora atlīdzības/izmaksu</w:t>
      </w:r>
      <w:r>
        <w:rPr>
          <w:spacing w:val="-4"/>
        </w:rPr>
        <w:t> </w:t>
      </w:r>
      <w:r>
        <w:rPr/>
        <w:t>segšanu.</w:t>
      </w:r>
      <w:r>
        <w:rPr>
          <w:position w:val="9"/>
          <w:sz w:val="16"/>
        </w:rPr>
        <w:t>417</w:t>
      </w:r>
    </w:p>
    <w:p>
      <w:pPr>
        <w:pStyle w:val="BodyText"/>
        <w:spacing w:before="6"/>
        <w:jc w:val="left"/>
      </w:pPr>
    </w:p>
    <w:p>
      <w:pPr>
        <w:pStyle w:val="Heading4"/>
        <w:numPr>
          <w:ilvl w:val="1"/>
          <w:numId w:val="94"/>
        </w:numPr>
        <w:tabs>
          <w:tab w:pos="681" w:val="left" w:leader="none"/>
        </w:tabs>
        <w:spacing w:line="240" w:lineRule="auto" w:before="1" w:after="0"/>
        <w:ind w:left="680" w:right="0" w:hanging="421"/>
        <w:jc w:val="left"/>
        <w:rPr>
          <w:i/>
        </w:rPr>
      </w:pPr>
      <w:bookmarkStart w:name="_TOC_250033" w:id="45"/>
      <w:r>
        <w:rPr>
          <w:i/>
        </w:rPr>
        <w:t>Parādnieka negodprātība maksātnespējas cēloņu</w:t>
      </w:r>
      <w:r>
        <w:rPr>
          <w:i/>
          <w:spacing w:val="1"/>
        </w:rPr>
        <w:t> </w:t>
      </w:r>
      <w:bookmarkEnd w:id="45"/>
      <w:r>
        <w:rPr>
          <w:i/>
        </w:rPr>
        <w:t>aspektā</w:t>
      </w:r>
    </w:p>
    <w:p>
      <w:pPr>
        <w:pStyle w:val="BodyText"/>
        <w:spacing w:before="6"/>
        <w:jc w:val="left"/>
        <w:rPr>
          <w:b/>
          <w:i/>
          <w:sz w:val="23"/>
        </w:rPr>
      </w:pPr>
    </w:p>
    <w:p>
      <w:pPr>
        <w:pStyle w:val="BodyText"/>
        <w:ind w:left="260" w:right="760" w:firstLine="360"/>
        <w:rPr>
          <w:sz w:val="16"/>
        </w:rPr>
      </w:pPr>
      <w:r>
        <w:rPr/>
        <w:t>Vācijas maksātnespējas tiesībās parādnieka godprātības jēdziena izpratne ir definēta Vācijas Maksātnespējas likuma normās, kas nosaka saistību dzēšanas procedūras izbeigšanas pamatus, t.i. </w:t>
      </w:r>
      <w:r>
        <w:rPr>
          <w:i/>
        </w:rPr>
        <w:t>§ 290, § 295, §296</w:t>
      </w:r>
      <w:r>
        <w:rPr/>
        <w:t>. Pie tam godprātības noteikšanai tiek vērtēta gan parādnieka rīcība pirms maksātnespējas procesa uzsākšanas </w:t>
      </w:r>
      <w:r>
        <w:rPr>
          <w:i/>
        </w:rPr>
        <w:t>(§ 290 pirmā daļa, 1.- </w:t>
      </w:r>
      <w:r>
        <w:rPr>
          <w:i/>
        </w:rPr>
        <w:t>4.punkts</w:t>
      </w:r>
      <w:r>
        <w:rPr/>
        <w:t>),</w:t>
      </w:r>
      <w:r>
        <w:rPr>
          <w:spacing w:val="-12"/>
        </w:rPr>
        <w:t> </w:t>
      </w:r>
      <w:r>
        <w:rPr/>
        <w:t>gan</w:t>
      </w:r>
      <w:r>
        <w:rPr>
          <w:spacing w:val="-13"/>
        </w:rPr>
        <w:t> </w:t>
      </w:r>
      <w:r>
        <w:rPr/>
        <w:t>arī</w:t>
      </w:r>
      <w:r>
        <w:rPr>
          <w:spacing w:val="-11"/>
        </w:rPr>
        <w:t> </w:t>
      </w:r>
      <w:r>
        <w:rPr/>
        <w:t>viņa</w:t>
      </w:r>
      <w:r>
        <w:rPr>
          <w:spacing w:val="-11"/>
        </w:rPr>
        <w:t> </w:t>
      </w:r>
      <w:r>
        <w:rPr/>
        <w:t>rīcība</w:t>
      </w:r>
      <w:r>
        <w:rPr>
          <w:spacing w:val="-11"/>
        </w:rPr>
        <w:t> </w:t>
      </w:r>
      <w:r>
        <w:rPr/>
        <w:t>līdzdarbojoties</w:t>
      </w:r>
      <w:r>
        <w:rPr>
          <w:spacing w:val="-11"/>
        </w:rPr>
        <w:t> </w:t>
      </w:r>
      <w:r>
        <w:rPr/>
        <w:t>jau</w:t>
      </w:r>
      <w:r>
        <w:rPr>
          <w:spacing w:val="-11"/>
        </w:rPr>
        <w:t> </w:t>
      </w:r>
      <w:r>
        <w:rPr/>
        <w:t>pasludinātā</w:t>
      </w:r>
      <w:r>
        <w:rPr>
          <w:spacing w:val="-11"/>
        </w:rPr>
        <w:t> </w:t>
      </w:r>
      <w:r>
        <w:rPr/>
        <w:t>maksātnespējas</w:t>
      </w:r>
      <w:r>
        <w:rPr>
          <w:spacing w:val="-8"/>
        </w:rPr>
        <w:t> </w:t>
      </w:r>
      <w:r>
        <w:rPr/>
        <w:t>procesā</w:t>
      </w:r>
      <w:r>
        <w:rPr>
          <w:spacing w:val="-7"/>
        </w:rPr>
        <w:t> </w:t>
      </w:r>
      <w:r>
        <w:rPr>
          <w:i/>
        </w:rPr>
        <w:t>(§</w:t>
      </w:r>
      <w:r>
        <w:rPr>
          <w:i/>
          <w:spacing w:val="-11"/>
        </w:rPr>
        <w:t> </w:t>
      </w:r>
      <w:r>
        <w:rPr>
          <w:i/>
        </w:rPr>
        <w:t>290 </w:t>
      </w:r>
      <w:r>
        <w:rPr>
          <w:i/>
        </w:rPr>
        <w:t>5.-6.punkts</w:t>
      </w:r>
      <w:r>
        <w:rPr/>
        <w:t>). Tiesiskās drošības nodrošināšanai godprātīgas rīcības definēšanai netiek izmantota ģenerālklauzula. Un saistību dzēšanas procedūras izbeigšanas pamatu, neatbrīvojot</w:t>
      </w:r>
      <w:r>
        <w:rPr>
          <w:spacing w:val="-5"/>
        </w:rPr>
        <w:t> </w:t>
      </w:r>
      <w:r>
        <w:rPr/>
        <w:t>parādnieku</w:t>
      </w:r>
      <w:r>
        <w:rPr>
          <w:spacing w:val="-7"/>
        </w:rPr>
        <w:t> </w:t>
      </w:r>
      <w:r>
        <w:rPr/>
        <w:t>no</w:t>
      </w:r>
      <w:r>
        <w:rPr>
          <w:spacing w:val="-6"/>
        </w:rPr>
        <w:t> </w:t>
      </w:r>
      <w:r>
        <w:rPr/>
        <w:t>parādsaistībām,</w:t>
      </w:r>
      <w:r>
        <w:rPr>
          <w:spacing w:val="-7"/>
        </w:rPr>
        <w:t> </w:t>
      </w:r>
      <w:r>
        <w:rPr/>
        <w:t>uzskaitījums</w:t>
      </w:r>
      <w:r>
        <w:rPr>
          <w:spacing w:val="-8"/>
        </w:rPr>
        <w:t> </w:t>
      </w:r>
      <w:r>
        <w:rPr/>
        <w:t>Vācijas</w:t>
      </w:r>
      <w:r>
        <w:rPr>
          <w:spacing w:val="-7"/>
        </w:rPr>
        <w:t> </w:t>
      </w:r>
      <w:r>
        <w:rPr/>
        <w:t>Maksātnespējas</w:t>
      </w:r>
      <w:r>
        <w:rPr>
          <w:spacing w:val="-9"/>
        </w:rPr>
        <w:t> </w:t>
      </w:r>
      <w:r>
        <w:rPr/>
        <w:t>likumā</w:t>
      </w:r>
      <w:r>
        <w:rPr>
          <w:spacing w:val="-9"/>
        </w:rPr>
        <w:t> </w:t>
      </w:r>
      <w:r>
        <w:rPr/>
        <w:t>ir izsmeļošs. Pie kam godprātība tiek prezumēta par labu parādniekam. Savukārt parādnieka negodprātīgas rīcības ticamības pierādīšanas nasta gulstas uz kreditoru, kurš ir iesniedzis tiesā pieteikumu par saistību dzēšanas procedūras nepiemērošanu/izbeigšanu, neatbrīvojot parādnieku no</w:t>
      </w:r>
      <w:r>
        <w:rPr>
          <w:spacing w:val="-1"/>
        </w:rPr>
        <w:t> </w:t>
      </w:r>
      <w:r>
        <w:rPr/>
        <w:t>parādsaistībām.</w:t>
      </w:r>
      <w:r>
        <w:rPr>
          <w:position w:val="9"/>
          <w:sz w:val="16"/>
        </w:rPr>
        <w:t>418</w:t>
      </w:r>
    </w:p>
    <w:p>
      <w:pPr>
        <w:pStyle w:val="BodyText"/>
        <w:spacing w:line="261" w:lineRule="exact"/>
        <w:ind w:left="980"/>
      </w:pPr>
      <w:r>
        <w:rPr/>
        <w:t>Ierobežojumi parādnieka saistību dzēšanas procedūras piemērošanai un</w:t>
      </w:r>
    </w:p>
    <w:p>
      <w:pPr>
        <w:pStyle w:val="BodyText"/>
        <w:ind w:left="260" w:right="764"/>
        <w:rPr>
          <w:i/>
        </w:rPr>
      </w:pPr>
      <w:r>
        <w:rPr/>
        <w:t>atbrīvošanai no neizpildītajām parādsaistībām, un kas attiecas uz parādnieka negodprātīgu rīcību, kas savukārt ir tieši vai pastarpināti bijusi par cēloni parādnieka maksātnespējas iestāšanās, ir noteikti Vācijas Maksātnespējas likuma </w:t>
      </w:r>
      <w:r>
        <w:rPr>
          <w:i/>
        </w:rPr>
        <w:t>§ 290 pirmās daļas 1.punktā, </w:t>
      </w:r>
      <w:r>
        <w:rPr>
          <w:i/>
        </w:rPr>
        <w:t>2.punktā un 4.punktā:</w:t>
      </w:r>
    </w:p>
    <w:p>
      <w:pPr>
        <w:spacing w:after="0"/>
        <w:sectPr>
          <w:pgSz w:w="11910" w:h="16840"/>
          <w:pgMar w:header="0" w:footer="1055" w:top="1340" w:bottom="1240" w:left="1180" w:right="1040"/>
        </w:sectPr>
      </w:pPr>
    </w:p>
    <w:p>
      <w:pPr>
        <w:spacing w:before="1"/>
        <w:ind w:left="0" w:right="0" w:firstLine="0"/>
        <w:jc w:val="right"/>
        <w:rPr>
          <w:i/>
          <w:sz w:val="24"/>
        </w:rPr>
      </w:pPr>
      <w:r>
        <w:rPr>
          <w:i/>
          <w:spacing w:val="-120"/>
          <w:sz w:val="24"/>
          <w:u w:val="single"/>
        </w:rPr>
        <w:t>1</w:t>
      </w:r>
      <w:r>
        <w:rPr>
          <w:i/>
          <w:spacing w:val="62"/>
          <w:sz w:val="24"/>
        </w:rPr>
        <w:t> </w:t>
      </w:r>
      <w:r>
        <w:rPr>
          <w:i/>
          <w:sz w:val="24"/>
          <w:u w:val="single"/>
        </w:rPr>
        <w:t>)</w:t>
      </w:r>
    </w:p>
    <w:p>
      <w:pPr>
        <w:pStyle w:val="BodyText"/>
        <w:jc w:val="left"/>
        <w:rPr>
          <w:i/>
          <w:sz w:val="26"/>
        </w:rPr>
      </w:pPr>
    </w:p>
    <w:p>
      <w:pPr>
        <w:pStyle w:val="BodyText"/>
        <w:jc w:val="left"/>
        <w:rPr>
          <w:i/>
          <w:sz w:val="26"/>
        </w:rPr>
      </w:pPr>
    </w:p>
    <w:p>
      <w:pPr>
        <w:pStyle w:val="BodyText"/>
        <w:jc w:val="left"/>
        <w:rPr>
          <w:i/>
          <w:sz w:val="26"/>
        </w:rPr>
      </w:pPr>
    </w:p>
    <w:p>
      <w:pPr>
        <w:spacing w:before="207"/>
        <w:ind w:left="0" w:right="0" w:firstLine="0"/>
        <w:jc w:val="right"/>
        <w:rPr>
          <w:i/>
          <w:sz w:val="24"/>
        </w:rPr>
      </w:pPr>
      <w:r>
        <w:rPr>
          <w:i/>
          <w:spacing w:val="-120"/>
          <w:sz w:val="24"/>
          <w:u w:val="single"/>
        </w:rPr>
        <w:t>2</w:t>
      </w:r>
      <w:r>
        <w:rPr>
          <w:i/>
          <w:spacing w:val="62"/>
          <w:sz w:val="24"/>
        </w:rPr>
        <w:t> </w:t>
      </w:r>
      <w:r>
        <w:rPr>
          <w:i/>
          <w:sz w:val="24"/>
          <w:u w:val="single"/>
        </w:rPr>
        <w:t>)</w:t>
      </w:r>
    </w:p>
    <w:p>
      <w:pPr>
        <w:pStyle w:val="ListParagraph"/>
        <w:numPr>
          <w:ilvl w:val="0"/>
          <w:numId w:val="102"/>
        </w:numPr>
        <w:tabs>
          <w:tab w:pos="179" w:val="left" w:leader="none"/>
        </w:tabs>
        <w:spacing w:line="240" w:lineRule="auto" w:before="1" w:after="0"/>
        <w:ind w:left="120" w:right="762" w:firstLine="0"/>
        <w:jc w:val="both"/>
        <w:rPr>
          <w:sz w:val="24"/>
        </w:rPr>
      </w:pPr>
      <w:r>
        <w:rPr>
          <w:i/>
          <w:sz w:val="24"/>
          <w:u w:val="single"/>
        </w:rPr>
        <w:br w:type="column"/>
        <w:t>punkts:</w:t>
      </w:r>
      <w:r>
        <w:rPr>
          <w:i/>
          <w:sz w:val="24"/>
        </w:rPr>
        <w:t> </w:t>
      </w:r>
      <w:r>
        <w:rPr>
          <w:sz w:val="24"/>
        </w:rPr>
        <w:t>Parādnieks pēdējo piecu gadu laikā pirms maksātnespējas procesa pieteikuma</w:t>
      </w:r>
      <w:r>
        <w:rPr>
          <w:spacing w:val="-15"/>
          <w:sz w:val="24"/>
        </w:rPr>
        <w:t> </w:t>
      </w:r>
      <w:r>
        <w:rPr>
          <w:sz w:val="24"/>
        </w:rPr>
        <w:t>iesniegšanas</w:t>
      </w:r>
      <w:r>
        <w:rPr>
          <w:spacing w:val="-17"/>
          <w:sz w:val="24"/>
        </w:rPr>
        <w:t> </w:t>
      </w:r>
      <w:r>
        <w:rPr>
          <w:sz w:val="24"/>
        </w:rPr>
        <w:t>tiesā</w:t>
      </w:r>
      <w:r>
        <w:rPr>
          <w:spacing w:val="-15"/>
          <w:sz w:val="24"/>
        </w:rPr>
        <w:t> </w:t>
      </w:r>
      <w:r>
        <w:rPr>
          <w:sz w:val="24"/>
        </w:rPr>
        <w:t>vai</w:t>
      </w:r>
      <w:r>
        <w:rPr>
          <w:spacing w:val="-16"/>
          <w:sz w:val="24"/>
        </w:rPr>
        <w:t> </w:t>
      </w:r>
      <w:r>
        <w:rPr>
          <w:sz w:val="24"/>
        </w:rPr>
        <w:t>pēc</w:t>
      </w:r>
      <w:r>
        <w:rPr>
          <w:spacing w:val="-15"/>
          <w:sz w:val="24"/>
        </w:rPr>
        <w:t> </w:t>
      </w:r>
      <w:r>
        <w:rPr>
          <w:sz w:val="24"/>
        </w:rPr>
        <w:t>pieteikuma</w:t>
      </w:r>
      <w:r>
        <w:rPr>
          <w:spacing w:val="-15"/>
          <w:sz w:val="24"/>
        </w:rPr>
        <w:t> </w:t>
      </w:r>
      <w:r>
        <w:rPr>
          <w:sz w:val="24"/>
        </w:rPr>
        <w:t>iesniegšanas</w:t>
      </w:r>
      <w:r>
        <w:rPr>
          <w:spacing w:val="-16"/>
          <w:sz w:val="24"/>
        </w:rPr>
        <w:t> </w:t>
      </w:r>
      <w:r>
        <w:rPr>
          <w:sz w:val="24"/>
        </w:rPr>
        <w:t>tiesā,</w:t>
      </w:r>
      <w:r>
        <w:rPr>
          <w:spacing w:val="-17"/>
          <w:sz w:val="24"/>
        </w:rPr>
        <w:t> </w:t>
      </w:r>
      <w:r>
        <w:rPr>
          <w:sz w:val="24"/>
        </w:rPr>
        <w:t>ir</w:t>
      </w:r>
      <w:r>
        <w:rPr>
          <w:spacing w:val="-13"/>
          <w:sz w:val="24"/>
        </w:rPr>
        <w:t> </w:t>
      </w:r>
      <w:r>
        <w:rPr>
          <w:sz w:val="24"/>
        </w:rPr>
        <w:t>ticis</w:t>
      </w:r>
      <w:r>
        <w:rPr>
          <w:spacing w:val="-15"/>
          <w:sz w:val="24"/>
        </w:rPr>
        <w:t> </w:t>
      </w:r>
      <w:r>
        <w:rPr>
          <w:sz w:val="24"/>
        </w:rPr>
        <w:t>notiesāts ar spēkā stājušos tiesas spriedumu par noziedzīgu nodarījumu, kas paredzēts Vācijas</w:t>
      </w:r>
      <w:r>
        <w:rPr>
          <w:spacing w:val="-12"/>
          <w:sz w:val="24"/>
        </w:rPr>
        <w:t> </w:t>
      </w:r>
      <w:r>
        <w:rPr>
          <w:sz w:val="24"/>
        </w:rPr>
        <w:t>Krimināllikuma</w:t>
      </w:r>
      <w:r>
        <w:rPr>
          <w:spacing w:val="-11"/>
          <w:sz w:val="24"/>
        </w:rPr>
        <w:t> </w:t>
      </w:r>
      <w:r>
        <w:rPr>
          <w:i/>
          <w:sz w:val="24"/>
        </w:rPr>
        <w:t>§§</w:t>
      </w:r>
      <w:r>
        <w:rPr>
          <w:i/>
          <w:spacing w:val="-9"/>
          <w:sz w:val="24"/>
        </w:rPr>
        <w:t> </w:t>
      </w:r>
      <w:r>
        <w:rPr>
          <w:i/>
          <w:sz w:val="24"/>
        </w:rPr>
        <w:t>283</w:t>
      </w:r>
      <w:r>
        <w:rPr>
          <w:i/>
          <w:spacing w:val="-10"/>
          <w:sz w:val="24"/>
        </w:rPr>
        <w:t> </w:t>
      </w:r>
      <w:r>
        <w:rPr>
          <w:i/>
          <w:sz w:val="24"/>
        </w:rPr>
        <w:t>–</w:t>
      </w:r>
      <w:r>
        <w:rPr>
          <w:i/>
          <w:spacing w:val="-10"/>
          <w:sz w:val="24"/>
        </w:rPr>
        <w:t> </w:t>
      </w:r>
      <w:r>
        <w:rPr>
          <w:i/>
          <w:sz w:val="24"/>
        </w:rPr>
        <w:t>283c</w:t>
      </w:r>
      <w:r>
        <w:rPr>
          <w:sz w:val="24"/>
        </w:rPr>
        <w:t>,</w:t>
      </w:r>
      <w:r>
        <w:rPr>
          <w:spacing w:val="-7"/>
          <w:sz w:val="24"/>
        </w:rPr>
        <w:t> </w:t>
      </w:r>
      <w:r>
        <w:rPr>
          <w:sz w:val="24"/>
        </w:rPr>
        <w:t>piespriežot</w:t>
      </w:r>
      <w:r>
        <w:rPr>
          <w:spacing w:val="-10"/>
          <w:sz w:val="24"/>
        </w:rPr>
        <w:t> </w:t>
      </w:r>
      <w:r>
        <w:rPr>
          <w:sz w:val="24"/>
        </w:rPr>
        <w:t>naudas</w:t>
      </w:r>
      <w:r>
        <w:rPr>
          <w:spacing w:val="-10"/>
          <w:sz w:val="24"/>
        </w:rPr>
        <w:t> </w:t>
      </w:r>
      <w:r>
        <w:rPr>
          <w:sz w:val="24"/>
        </w:rPr>
        <w:t>sodu</w:t>
      </w:r>
      <w:r>
        <w:rPr>
          <w:spacing w:val="-9"/>
          <w:sz w:val="24"/>
        </w:rPr>
        <w:t> </w:t>
      </w:r>
      <w:r>
        <w:rPr>
          <w:sz w:val="24"/>
        </w:rPr>
        <w:t>notiesātā</w:t>
      </w:r>
      <w:r>
        <w:rPr>
          <w:spacing w:val="-10"/>
          <w:sz w:val="24"/>
        </w:rPr>
        <w:t> </w:t>
      </w:r>
      <w:r>
        <w:rPr>
          <w:sz w:val="24"/>
        </w:rPr>
        <w:t>90</w:t>
      </w:r>
      <w:r>
        <w:rPr>
          <w:spacing w:val="-10"/>
          <w:sz w:val="24"/>
        </w:rPr>
        <w:t> </w:t>
      </w:r>
      <w:r>
        <w:rPr>
          <w:sz w:val="24"/>
        </w:rPr>
        <w:t>vienas dienas vidējo izpeļņu apmērā vai brīvības atņemšanu ilgāk kā 3</w:t>
      </w:r>
      <w:r>
        <w:rPr>
          <w:spacing w:val="-9"/>
          <w:sz w:val="24"/>
        </w:rPr>
        <w:t> </w:t>
      </w:r>
      <w:r>
        <w:rPr>
          <w:sz w:val="24"/>
        </w:rPr>
        <w:t>mēneši;</w:t>
      </w:r>
    </w:p>
    <w:p>
      <w:pPr>
        <w:pStyle w:val="ListParagraph"/>
        <w:numPr>
          <w:ilvl w:val="0"/>
          <w:numId w:val="102"/>
        </w:numPr>
        <w:tabs>
          <w:tab w:pos="179" w:val="left" w:leader="none"/>
        </w:tabs>
        <w:spacing w:line="240" w:lineRule="auto" w:before="0" w:after="0"/>
        <w:ind w:left="120" w:right="761" w:firstLine="0"/>
        <w:jc w:val="both"/>
        <w:rPr>
          <w:sz w:val="24"/>
        </w:rPr>
      </w:pPr>
      <w:r>
        <w:rPr>
          <w:i/>
          <w:sz w:val="24"/>
          <w:u w:val="single"/>
        </w:rPr>
        <w:t>punkts:</w:t>
      </w:r>
      <w:r>
        <w:rPr>
          <w:i/>
          <w:sz w:val="24"/>
        </w:rPr>
        <w:t> </w:t>
      </w:r>
      <w:r>
        <w:rPr>
          <w:sz w:val="24"/>
        </w:rPr>
        <w:t>Parādnieks pēdējo trīs gadu laikā pirms maksātnespējas procesa pieteikuma</w:t>
      </w:r>
      <w:r>
        <w:rPr>
          <w:spacing w:val="-10"/>
          <w:sz w:val="24"/>
        </w:rPr>
        <w:t> </w:t>
      </w:r>
      <w:r>
        <w:rPr>
          <w:sz w:val="24"/>
        </w:rPr>
        <w:t>iesniegšanas</w:t>
      </w:r>
      <w:r>
        <w:rPr>
          <w:spacing w:val="-12"/>
          <w:sz w:val="24"/>
        </w:rPr>
        <w:t> </w:t>
      </w:r>
      <w:r>
        <w:rPr>
          <w:sz w:val="24"/>
        </w:rPr>
        <w:t>tiesā</w:t>
      </w:r>
      <w:r>
        <w:rPr>
          <w:spacing w:val="-10"/>
          <w:sz w:val="24"/>
        </w:rPr>
        <w:t> </w:t>
      </w:r>
      <w:r>
        <w:rPr>
          <w:sz w:val="24"/>
        </w:rPr>
        <w:t>vai</w:t>
      </w:r>
      <w:r>
        <w:rPr>
          <w:spacing w:val="-12"/>
          <w:sz w:val="24"/>
        </w:rPr>
        <w:t> </w:t>
      </w:r>
      <w:r>
        <w:rPr>
          <w:sz w:val="24"/>
        </w:rPr>
        <w:t>pēc</w:t>
      </w:r>
      <w:r>
        <w:rPr>
          <w:spacing w:val="-10"/>
          <w:sz w:val="24"/>
        </w:rPr>
        <w:t> </w:t>
      </w:r>
      <w:r>
        <w:rPr>
          <w:sz w:val="24"/>
        </w:rPr>
        <w:t>tā</w:t>
      </w:r>
      <w:r>
        <w:rPr>
          <w:spacing w:val="-12"/>
          <w:sz w:val="24"/>
        </w:rPr>
        <w:t> </w:t>
      </w:r>
      <w:r>
        <w:rPr>
          <w:sz w:val="24"/>
        </w:rPr>
        <w:t>iesniegšanas</w:t>
      </w:r>
      <w:r>
        <w:rPr>
          <w:spacing w:val="-10"/>
          <w:sz w:val="24"/>
        </w:rPr>
        <w:t> </w:t>
      </w:r>
      <w:r>
        <w:rPr>
          <w:sz w:val="24"/>
        </w:rPr>
        <w:t>tiesā,</w:t>
      </w:r>
      <w:r>
        <w:rPr>
          <w:spacing w:val="-12"/>
          <w:sz w:val="24"/>
        </w:rPr>
        <w:t> </w:t>
      </w:r>
      <w:r>
        <w:rPr>
          <w:sz w:val="24"/>
        </w:rPr>
        <w:t>ar</w:t>
      </w:r>
      <w:r>
        <w:rPr>
          <w:spacing w:val="-10"/>
          <w:sz w:val="24"/>
        </w:rPr>
        <w:t> </w:t>
      </w:r>
      <w:r>
        <w:rPr>
          <w:sz w:val="24"/>
        </w:rPr>
        <w:t>nodomu</w:t>
      </w:r>
      <w:r>
        <w:rPr>
          <w:spacing w:val="-10"/>
          <w:sz w:val="24"/>
        </w:rPr>
        <w:t> </w:t>
      </w:r>
      <w:r>
        <w:rPr>
          <w:sz w:val="24"/>
        </w:rPr>
        <w:t>vai</w:t>
      </w:r>
      <w:r>
        <w:rPr>
          <w:spacing w:val="-10"/>
          <w:sz w:val="24"/>
        </w:rPr>
        <w:t> </w:t>
      </w:r>
      <w:r>
        <w:rPr>
          <w:sz w:val="24"/>
        </w:rPr>
        <w:t>aiz</w:t>
      </w:r>
      <w:r>
        <w:rPr>
          <w:spacing w:val="-6"/>
          <w:sz w:val="24"/>
        </w:rPr>
        <w:t> </w:t>
      </w:r>
      <w:r>
        <w:rPr>
          <w:sz w:val="24"/>
        </w:rPr>
        <w:t>rupjas neuzmanības sniedzis rakstiski nepatiesas vai nepilnīgas ziņas par savu finansiālo stāvokli</w:t>
      </w:r>
      <w:r>
        <w:rPr>
          <w:spacing w:val="19"/>
          <w:sz w:val="24"/>
        </w:rPr>
        <w:t> </w:t>
      </w:r>
      <w:r>
        <w:rPr>
          <w:sz w:val="24"/>
        </w:rPr>
        <w:t>(</w:t>
      </w:r>
      <w:r>
        <w:rPr>
          <w:i/>
          <w:sz w:val="24"/>
        </w:rPr>
        <w:t>wirtschaftliche</w:t>
      </w:r>
      <w:r>
        <w:rPr>
          <w:i/>
          <w:spacing w:val="20"/>
          <w:sz w:val="24"/>
        </w:rPr>
        <w:t> </w:t>
      </w:r>
      <w:r>
        <w:rPr>
          <w:i/>
          <w:sz w:val="24"/>
        </w:rPr>
        <w:t>Verhaeltnisse</w:t>
      </w:r>
      <w:r>
        <w:rPr>
          <w:sz w:val="24"/>
        </w:rPr>
        <w:t>),</w:t>
      </w:r>
      <w:r>
        <w:rPr>
          <w:spacing w:val="20"/>
          <w:sz w:val="24"/>
        </w:rPr>
        <w:t> </w:t>
      </w:r>
      <w:r>
        <w:rPr>
          <w:sz w:val="24"/>
        </w:rPr>
        <w:t>lai</w:t>
      </w:r>
      <w:r>
        <w:rPr>
          <w:spacing w:val="19"/>
          <w:sz w:val="24"/>
        </w:rPr>
        <w:t> </w:t>
      </w:r>
      <w:r>
        <w:rPr>
          <w:sz w:val="24"/>
        </w:rPr>
        <w:t>saņemtu</w:t>
      </w:r>
      <w:r>
        <w:rPr>
          <w:spacing w:val="20"/>
          <w:sz w:val="24"/>
        </w:rPr>
        <w:t> </w:t>
      </w:r>
      <w:r>
        <w:rPr>
          <w:sz w:val="24"/>
        </w:rPr>
        <w:t>kredītu,</w:t>
      </w:r>
      <w:r>
        <w:rPr>
          <w:spacing w:val="20"/>
          <w:sz w:val="24"/>
        </w:rPr>
        <w:t> </w:t>
      </w:r>
      <w:r>
        <w:rPr>
          <w:sz w:val="24"/>
        </w:rPr>
        <w:t>lai</w:t>
      </w:r>
      <w:r>
        <w:rPr>
          <w:spacing w:val="20"/>
          <w:sz w:val="24"/>
        </w:rPr>
        <w:t> </w:t>
      </w:r>
      <w:r>
        <w:rPr>
          <w:sz w:val="24"/>
        </w:rPr>
        <w:t>saņemtu</w:t>
      </w:r>
    </w:p>
    <w:p>
      <w:pPr>
        <w:spacing w:after="0" w:line="240" w:lineRule="auto"/>
        <w:jc w:val="both"/>
        <w:rPr>
          <w:sz w:val="24"/>
        </w:rPr>
        <w:sectPr>
          <w:type w:val="continuous"/>
          <w:pgSz w:w="11910" w:h="16840"/>
          <w:pgMar w:top="1580" w:bottom="280" w:left="1180" w:right="1040"/>
          <w:cols w:num="2" w:equalWidth="0">
            <w:col w:w="820" w:space="40"/>
            <w:col w:w="8830"/>
          </w:cols>
        </w:sectPr>
      </w:pPr>
    </w:p>
    <w:p>
      <w:pPr>
        <w:pStyle w:val="BodyText"/>
        <w:jc w:val="left"/>
        <w:rPr>
          <w:sz w:val="20"/>
        </w:rPr>
      </w:pPr>
    </w:p>
    <w:p>
      <w:pPr>
        <w:pStyle w:val="BodyText"/>
        <w:spacing w:after="1"/>
        <w:jc w:val="left"/>
        <w:rPr>
          <w:sz w:val="28"/>
        </w:rPr>
      </w:pPr>
    </w:p>
    <w:p>
      <w:pPr>
        <w:pStyle w:val="BodyText"/>
        <w:spacing w:line="20" w:lineRule="exact"/>
        <w:ind w:left="254"/>
        <w:jc w:val="left"/>
        <w:rPr>
          <w:sz w:val="2"/>
        </w:rPr>
      </w:pPr>
      <w:r>
        <w:rPr>
          <w:sz w:val="2"/>
        </w:rPr>
        <w:pict>
          <v:group style="width:144pt;height:.6pt;mso-position-horizontal-relative:char;mso-position-vertical-relative:line" coordorigin="0,0" coordsize="2880,12">
            <v:line style="position:absolute" from="0,6" to="2880,6" stroked="true" strokeweight=".599991pt" strokecolor="#000000">
              <v:stroke dashstyle="solid"/>
            </v:line>
          </v:group>
        </w:pict>
      </w:r>
      <w:r>
        <w:rPr>
          <w:sz w:val="2"/>
        </w:rPr>
      </w:r>
    </w:p>
    <w:p>
      <w:pPr>
        <w:spacing w:line="231" w:lineRule="exact" w:before="91"/>
        <w:ind w:left="260" w:right="0" w:firstLine="0"/>
        <w:jc w:val="left"/>
        <w:rPr>
          <w:sz w:val="20"/>
        </w:rPr>
      </w:pPr>
      <w:r>
        <w:rPr>
          <w:position w:val="7"/>
          <w:sz w:val="13"/>
        </w:rPr>
        <w:t>415 </w:t>
      </w:r>
      <w:r>
        <w:rPr>
          <w:sz w:val="20"/>
        </w:rPr>
        <w:t>Tāds pats atlīdzības aprēķināšanas princips kā noteikts § 2 pirmajā daļā.</w:t>
      </w:r>
    </w:p>
    <w:p>
      <w:pPr>
        <w:spacing w:line="229" w:lineRule="exact" w:before="0"/>
        <w:ind w:left="260" w:right="0" w:firstLine="0"/>
        <w:jc w:val="left"/>
        <w:rPr>
          <w:sz w:val="20"/>
        </w:rPr>
      </w:pPr>
      <w:r>
        <w:rPr>
          <w:position w:val="7"/>
          <w:sz w:val="13"/>
        </w:rPr>
        <w:t>416  </w:t>
      </w:r>
      <w:r>
        <w:rPr>
          <w:sz w:val="20"/>
        </w:rPr>
        <w:t>Kayser/Thole “Insolvenzordnung”, Waltenberger  Kommentare §293,</w:t>
      </w:r>
      <w:r>
        <w:rPr>
          <w:spacing w:val="-23"/>
          <w:sz w:val="20"/>
        </w:rPr>
        <w:t> </w:t>
      </w:r>
      <w:r>
        <w:rPr>
          <w:sz w:val="20"/>
        </w:rPr>
        <w:t>S.2219.</w:t>
      </w:r>
    </w:p>
    <w:p>
      <w:pPr>
        <w:spacing w:line="230" w:lineRule="exact" w:before="0"/>
        <w:ind w:left="260" w:right="0" w:firstLine="0"/>
        <w:jc w:val="left"/>
        <w:rPr>
          <w:sz w:val="20"/>
        </w:rPr>
      </w:pPr>
      <w:r>
        <w:rPr>
          <w:position w:val="7"/>
          <w:sz w:val="13"/>
        </w:rPr>
        <w:t>417  </w:t>
      </w:r>
      <w:r>
        <w:rPr>
          <w:sz w:val="20"/>
        </w:rPr>
        <w:t>Kayser/Thole “Insolvenzordnung”, Waltenberger  Kommentare §293,</w:t>
      </w:r>
      <w:r>
        <w:rPr>
          <w:spacing w:val="-23"/>
          <w:sz w:val="20"/>
        </w:rPr>
        <w:t> </w:t>
      </w:r>
      <w:r>
        <w:rPr>
          <w:sz w:val="20"/>
        </w:rPr>
        <w:t>S.2220.</w:t>
      </w:r>
    </w:p>
    <w:p>
      <w:pPr>
        <w:spacing w:line="240" w:lineRule="auto" w:before="0"/>
        <w:ind w:left="260" w:right="0" w:firstLine="0"/>
        <w:jc w:val="left"/>
        <w:rPr>
          <w:sz w:val="20"/>
        </w:rPr>
      </w:pPr>
      <w:r>
        <w:rPr>
          <w:position w:val="7"/>
          <w:sz w:val="13"/>
        </w:rPr>
        <w:t>418 </w:t>
      </w:r>
      <w:r>
        <w:rPr>
          <w:sz w:val="20"/>
        </w:rPr>
        <w:t>Kayser/Thole “Insolvenzordnung” Heidelberger Kommentar, 9. neu bearbeitete Auflage, C.F.Mueller, 2018,/Waltenberger Kommentare § 290, S.2197.</w:t>
      </w:r>
    </w:p>
    <w:p>
      <w:pPr>
        <w:spacing w:after="0" w:line="240" w:lineRule="auto"/>
        <w:jc w:val="left"/>
        <w:rPr>
          <w:sz w:val="20"/>
        </w:rPr>
        <w:sectPr>
          <w:type w:val="continuous"/>
          <w:pgSz w:w="11910" w:h="16840"/>
          <w:pgMar w:top="1580" w:bottom="280" w:left="1180" w:right="1040"/>
        </w:sectPr>
      </w:pPr>
    </w:p>
    <w:p>
      <w:pPr>
        <w:pStyle w:val="BodyText"/>
        <w:jc w:val="left"/>
        <w:rPr>
          <w:sz w:val="26"/>
        </w:rPr>
      </w:pPr>
    </w:p>
    <w:p>
      <w:pPr>
        <w:pStyle w:val="BodyText"/>
        <w:spacing w:before="4"/>
        <w:jc w:val="left"/>
        <w:rPr>
          <w:sz w:val="28"/>
        </w:rPr>
      </w:pPr>
    </w:p>
    <w:p>
      <w:pPr>
        <w:spacing w:before="0"/>
        <w:ind w:left="0" w:right="0" w:firstLine="0"/>
        <w:jc w:val="right"/>
        <w:rPr>
          <w:i/>
          <w:sz w:val="24"/>
        </w:rPr>
      </w:pPr>
      <w:r>
        <w:rPr>
          <w:i/>
          <w:spacing w:val="-120"/>
          <w:sz w:val="24"/>
          <w:u w:val="single"/>
        </w:rPr>
        <w:t>3</w:t>
      </w:r>
      <w:r>
        <w:rPr>
          <w:i/>
          <w:spacing w:val="62"/>
          <w:sz w:val="24"/>
        </w:rPr>
        <w:t> </w:t>
      </w:r>
      <w:r>
        <w:rPr>
          <w:i/>
          <w:sz w:val="24"/>
          <w:u w:val="single"/>
        </w:rPr>
        <w:t>)</w:t>
      </w:r>
    </w:p>
    <w:p>
      <w:pPr>
        <w:pStyle w:val="BodyText"/>
        <w:spacing w:before="73"/>
        <w:ind w:left="120" w:right="404"/>
      </w:pPr>
      <w:r>
        <w:rPr/>
        <w:br w:type="column"/>
      </w:r>
      <w:r>
        <w:rPr/>
        <w:t>pakalpojumus (finansējumu) no publiskiem līdzekļiem, vai lai novērstu maksājumus publiskajai kasei;</w:t>
      </w:r>
    </w:p>
    <w:p>
      <w:pPr>
        <w:pStyle w:val="BodyText"/>
        <w:ind w:left="120" w:right="403"/>
      </w:pPr>
      <w:r>
        <w:rPr>
          <w:u w:val="single"/>
        </w:rPr>
        <w:t> </w:t>
      </w:r>
      <w:r>
        <w:rPr>
          <w:i/>
          <w:u w:val="single"/>
        </w:rPr>
        <w:t>.punkts</w:t>
      </w:r>
      <w:r>
        <w:rPr>
          <w:i/>
        </w:rPr>
        <w:t> </w:t>
      </w:r>
      <w:r>
        <w:rPr/>
        <w:t>Parādnieks pēdējo trīs gadu laikā pirms maksātnespējas procesa pieteikuma iesniegšanas tiesā vai pēc tā iesniegšanas tiesā ir ar nodomu vai aiz rupjas neuzmanības aizskāris kreditora tiesības saņemt sava prasījuma apmierinājumu, kas izpaudās kā, radot sev nesamērīgi augstas parādsaistības, izsaimniekojot mantu, vai, nepastāvot izredzēm uz parādnieka finansiālā stāvokļa uzlabošanos, novilcināja maksātnespējas procesa pieteikuma iesniegšanu tiesā.</w:t>
      </w:r>
    </w:p>
    <w:p>
      <w:pPr>
        <w:spacing w:after="0"/>
        <w:sectPr>
          <w:pgSz w:w="11910" w:h="16840"/>
          <w:pgMar w:header="0" w:footer="1055" w:top="1340" w:bottom="1240" w:left="1180" w:right="1040"/>
          <w:cols w:num="2" w:equalWidth="0">
            <w:col w:w="1180" w:space="40"/>
            <w:col w:w="8470"/>
          </w:cols>
        </w:sectPr>
      </w:pPr>
    </w:p>
    <w:p>
      <w:pPr>
        <w:pStyle w:val="BodyText"/>
        <w:spacing w:before="2"/>
        <w:jc w:val="left"/>
        <w:rPr>
          <w:sz w:val="16"/>
        </w:rPr>
      </w:pPr>
    </w:p>
    <w:p>
      <w:pPr>
        <w:pStyle w:val="BodyText"/>
        <w:spacing w:before="90"/>
        <w:ind w:left="620" w:right="402" w:firstLine="708"/>
      </w:pPr>
      <w:r>
        <w:rPr/>
        <w:t>Vācijas</w:t>
      </w:r>
      <w:r>
        <w:rPr>
          <w:spacing w:val="-10"/>
        </w:rPr>
        <w:t> </w:t>
      </w:r>
      <w:r>
        <w:rPr/>
        <w:t>Krimināllikuma</w:t>
      </w:r>
      <w:r>
        <w:rPr>
          <w:spacing w:val="-9"/>
        </w:rPr>
        <w:t> </w:t>
      </w:r>
      <w:r>
        <w:rPr>
          <w:i/>
        </w:rPr>
        <w:t>§</w:t>
      </w:r>
      <w:r>
        <w:rPr>
          <w:i/>
          <w:spacing w:val="-9"/>
        </w:rPr>
        <w:t> </w:t>
      </w:r>
      <w:r>
        <w:rPr>
          <w:i/>
        </w:rPr>
        <w:t>283</w:t>
      </w:r>
      <w:r>
        <w:rPr>
          <w:i/>
          <w:spacing w:val="-10"/>
        </w:rPr>
        <w:t> </w:t>
      </w:r>
      <w:r>
        <w:rPr/>
        <w:t>nosaka,</w:t>
      </w:r>
      <w:r>
        <w:rPr>
          <w:spacing w:val="-11"/>
        </w:rPr>
        <w:t> </w:t>
      </w:r>
      <w:r>
        <w:rPr/>
        <w:t>ka</w:t>
      </w:r>
      <w:r>
        <w:rPr>
          <w:spacing w:val="-9"/>
        </w:rPr>
        <w:t> </w:t>
      </w:r>
      <w:r>
        <w:rPr/>
        <w:t>kriminālsodāma</w:t>
      </w:r>
      <w:r>
        <w:rPr>
          <w:spacing w:val="-9"/>
        </w:rPr>
        <w:t> </w:t>
      </w:r>
      <w:r>
        <w:rPr/>
        <w:t>ir</w:t>
      </w:r>
      <w:r>
        <w:rPr>
          <w:spacing w:val="-10"/>
        </w:rPr>
        <w:t> </w:t>
      </w:r>
      <w:r>
        <w:rPr/>
        <w:t>tāda</w:t>
      </w:r>
      <w:r>
        <w:rPr>
          <w:spacing w:val="-9"/>
        </w:rPr>
        <w:t> </w:t>
      </w:r>
      <w:r>
        <w:rPr/>
        <w:t>parādnieka</w:t>
      </w:r>
      <w:r>
        <w:rPr>
          <w:spacing w:val="-12"/>
        </w:rPr>
        <w:t> </w:t>
      </w:r>
      <w:r>
        <w:rPr/>
        <w:t>rīcība, kad</w:t>
      </w:r>
      <w:r>
        <w:rPr>
          <w:spacing w:val="-10"/>
        </w:rPr>
        <w:t> </w:t>
      </w:r>
      <w:r>
        <w:rPr/>
        <w:t>pastāvot</w:t>
      </w:r>
      <w:r>
        <w:rPr>
          <w:spacing w:val="-10"/>
        </w:rPr>
        <w:t> </w:t>
      </w:r>
      <w:r>
        <w:rPr/>
        <w:t>maksātnespējas</w:t>
      </w:r>
      <w:r>
        <w:rPr>
          <w:spacing w:val="-9"/>
        </w:rPr>
        <w:t> </w:t>
      </w:r>
      <w:r>
        <w:rPr/>
        <w:t>procesa</w:t>
      </w:r>
      <w:r>
        <w:rPr>
          <w:spacing w:val="-10"/>
        </w:rPr>
        <w:t> </w:t>
      </w:r>
      <w:r>
        <w:rPr/>
        <w:t>pazīmēm</w:t>
      </w:r>
      <w:r>
        <w:rPr>
          <w:spacing w:val="-9"/>
        </w:rPr>
        <w:t> </w:t>
      </w:r>
      <w:r>
        <w:rPr/>
        <w:t>-</w:t>
      </w:r>
      <w:r>
        <w:rPr>
          <w:spacing w:val="-10"/>
        </w:rPr>
        <w:t> </w:t>
      </w:r>
      <w:r>
        <w:rPr/>
        <w:t>parādnieks</w:t>
      </w:r>
      <w:r>
        <w:rPr>
          <w:spacing w:val="-10"/>
        </w:rPr>
        <w:t> </w:t>
      </w:r>
      <w:r>
        <w:rPr/>
        <w:t>nespēj</w:t>
      </w:r>
      <w:r>
        <w:rPr>
          <w:spacing w:val="-9"/>
        </w:rPr>
        <w:t> </w:t>
      </w:r>
      <w:r>
        <w:rPr/>
        <w:t>nokārtot</w:t>
      </w:r>
      <w:r>
        <w:rPr>
          <w:spacing w:val="-7"/>
        </w:rPr>
        <w:t> </w:t>
      </w:r>
      <w:r>
        <w:rPr/>
        <w:t>parādsaistības, vai nespēs nākotnē nokārtot parādsaistības -, parādnieks mantu, kas maksātnespējas pasludināšanas gadījumā veidotu maksātnespējas procesa mantu, nobēdzina, iznīcina, rīkojas ar mantu nesaimnieciski, kā rezultētā tā iet bojā, tiek sabojāta vai padarīta par nelietojamu. Parādnieks slēdz nesaimnieciskus zaudējumu nesošus darījumus un spekulācijas darījumus, vai diferences darījumus ar precēm vai vērtspapīriem, vai piedaloties laimestos, izlieto pārmērīgas naudas summas vai iemanto parādus. Prece vai vērtspapīrus,</w:t>
      </w:r>
      <w:r>
        <w:rPr>
          <w:spacing w:val="-9"/>
        </w:rPr>
        <w:t> </w:t>
      </w:r>
      <w:r>
        <w:rPr/>
        <w:t>kuri</w:t>
      </w:r>
      <w:r>
        <w:rPr>
          <w:spacing w:val="-9"/>
        </w:rPr>
        <w:t> </w:t>
      </w:r>
      <w:r>
        <w:rPr/>
        <w:t>iegūtu,</w:t>
      </w:r>
      <w:r>
        <w:rPr>
          <w:spacing w:val="-6"/>
        </w:rPr>
        <w:t> </w:t>
      </w:r>
      <w:r>
        <w:rPr/>
        <w:t>izlietojot</w:t>
      </w:r>
      <w:r>
        <w:rPr>
          <w:spacing w:val="-9"/>
        </w:rPr>
        <w:t> </w:t>
      </w:r>
      <w:r>
        <w:rPr/>
        <w:t>kredītu,</w:t>
      </w:r>
      <w:r>
        <w:rPr>
          <w:spacing w:val="-9"/>
        </w:rPr>
        <w:t> </w:t>
      </w:r>
      <w:r>
        <w:rPr/>
        <w:t>pārdod</w:t>
      </w:r>
      <w:r>
        <w:rPr>
          <w:spacing w:val="-6"/>
        </w:rPr>
        <w:t> </w:t>
      </w:r>
      <w:r>
        <w:rPr/>
        <w:t>par</w:t>
      </w:r>
      <w:r>
        <w:rPr>
          <w:spacing w:val="-9"/>
        </w:rPr>
        <w:t> </w:t>
      </w:r>
      <w:r>
        <w:rPr/>
        <w:t>pārāk</w:t>
      </w:r>
      <w:r>
        <w:rPr>
          <w:spacing w:val="-9"/>
        </w:rPr>
        <w:t> </w:t>
      </w:r>
      <w:r>
        <w:rPr/>
        <w:t>zemu</w:t>
      </w:r>
      <w:r>
        <w:rPr>
          <w:spacing w:val="-8"/>
        </w:rPr>
        <w:t> </w:t>
      </w:r>
      <w:r>
        <w:rPr/>
        <w:t>cenu</w:t>
      </w:r>
      <w:r>
        <w:rPr>
          <w:spacing w:val="-6"/>
        </w:rPr>
        <w:t> </w:t>
      </w:r>
      <w:r>
        <w:rPr/>
        <w:t>vai</w:t>
      </w:r>
      <w:r>
        <w:rPr>
          <w:spacing w:val="-6"/>
        </w:rPr>
        <w:t> </w:t>
      </w:r>
      <w:r>
        <w:rPr/>
        <w:t>citādi</w:t>
      </w:r>
      <w:r>
        <w:rPr>
          <w:spacing w:val="-9"/>
        </w:rPr>
        <w:t> </w:t>
      </w:r>
      <w:r>
        <w:rPr/>
        <w:t>atsavina. Parādnieks maldina citus par viņu tiesībām vai atzīst neesošas tiesības. Kriminālsodāma ir arī tāda parādnieka rīcība, ja augstāk minētās parādnieka rīcības rezultātā ir iestājusies parādnieka</w:t>
      </w:r>
      <w:r>
        <w:rPr>
          <w:spacing w:val="-3"/>
        </w:rPr>
        <w:t> </w:t>
      </w:r>
      <w:r>
        <w:rPr/>
        <w:t>maksātnespēja.</w:t>
      </w:r>
    </w:p>
    <w:p>
      <w:pPr>
        <w:pStyle w:val="BodyText"/>
        <w:spacing w:before="1"/>
        <w:ind w:left="620" w:right="403" w:firstLine="708"/>
      </w:pPr>
      <w:r>
        <w:rPr/>
        <w:t>Vācijas Krimināllikuma </w:t>
      </w:r>
      <w:r>
        <w:rPr>
          <w:i/>
        </w:rPr>
        <w:t>§ 283a </w:t>
      </w:r>
      <w:r>
        <w:rPr/>
        <w:t>paredz sevišķi smagu bankrota gadījumu, proti, ja parādnieks </w:t>
      </w:r>
      <w:r>
        <w:rPr>
          <w:i/>
        </w:rPr>
        <w:t>§ 283 </w:t>
      </w:r>
      <w:r>
        <w:rPr/>
        <w:t>noteiktajos gadījumos rīkojies mantkārīgā nolūkā, vai apzināti rada zaudējumu</w:t>
      </w:r>
      <w:r>
        <w:rPr>
          <w:spacing w:val="-13"/>
        </w:rPr>
        <w:t> </w:t>
      </w:r>
      <w:r>
        <w:rPr/>
        <w:t>iestāšanās</w:t>
      </w:r>
      <w:r>
        <w:rPr>
          <w:spacing w:val="-11"/>
        </w:rPr>
        <w:t> </w:t>
      </w:r>
      <w:r>
        <w:rPr/>
        <w:t>risku</w:t>
      </w:r>
      <w:r>
        <w:rPr>
          <w:spacing w:val="-13"/>
        </w:rPr>
        <w:t> </w:t>
      </w:r>
      <w:r>
        <w:rPr/>
        <w:t>to</w:t>
      </w:r>
      <w:r>
        <w:rPr>
          <w:spacing w:val="-12"/>
        </w:rPr>
        <w:t> </w:t>
      </w:r>
      <w:r>
        <w:rPr/>
        <w:t>personu</w:t>
      </w:r>
      <w:r>
        <w:rPr>
          <w:spacing w:val="-13"/>
        </w:rPr>
        <w:t> </w:t>
      </w:r>
      <w:r>
        <w:rPr/>
        <w:t>mantai,</w:t>
      </w:r>
      <w:r>
        <w:rPr>
          <w:spacing w:val="-13"/>
        </w:rPr>
        <w:t> </w:t>
      </w:r>
      <w:r>
        <w:rPr/>
        <w:t>kuru</w:t>
      </w:r>
      <w:r>
        <w:rPr>
          <w:spacing w:val="-12"/>
        </w:rPr>
        <w:t> </w:t>
      </w:r>
      <w:r>
        <w:rPr/>
        <w:t>šīs</w:t>
      </w:r>
      <w:r>
        <w:rPr>
          <w:spacing w:val="-11"/>
        </w:rPr>
        <w:t> </w:t>
      </w:r>
      <w:r>
        <w:rPr/>
        <w:t>personas</w:t>
      </w:r>
      <w:r>
        <w:rPr>
          <w:spacing w:val="-13"/>
        </w:rPr>
        <w:t> </w:t>
      </w:r>
      <w:r>
        <w:rPr/>
        <w:t>parādniekam</w:t>
      </w:r>
      <w:r>
        <w:rPr>
          <w:spacing w:val="-13"/>
        </w:rPr>
        <w:t> </w:t>
      </w:r>
      <w:r>
        <w:rPr/>
        <w:t>ir</w:t>
      </w:r>
      <w:r>
        <w:rPr>
          <w:spacing w:val="-11"/>
        </w:rPr>
        <w:t> </w:t>
      </w:r>
      <w:r>
        <w:rPr/>
        <w:t>uzticējušas vai personām rada finansiālas</w:t>
      </w:r>
      <w:r>
        <w:rPr>
          <w:spacing w:val="-6"/>
        </w:rPr>
        <w:t> </w:t>
      </w:r>
      <w:r>
        <w:rPr/>
        <w:t>grūtības.</w:t>
      </w:r>
    </w:p>
    <w:p>
      <w:pPr>
        <w:pStyle w:val="BodyText"/>
        <w:ind w:left="620" w:right="402" w:firstLine="708"/>
      </w:pPr>
      <w:r>
        <w:rPr/>
        <w:t>Krimināllikuma </w:t>
      </w:r>
      <w:r>
        <w:rPr>
          <w:i/>
        </w:rPr>
        <w:t>§ 283b </w:t>
      </w:r>
      <w:r>
        <w:rPr/>
        <w:t>nosaka kriminālatbildību par grāmatvedības vešanas noteikumu pārkāpšanu. Krimināllikuma </w:t>
      </w:r>
      <w:r>
        <w:rPr>
          <w:i/>
        </w:rPr>
        <w:t>§ 283c </w:t>
      </w:r>
      <w:r>
        <w:rPr/>
        <w:t>nosaka kriminālatbildību par labuma piešķiršanu kreditoram, proti, persona, zinot par savu maksātnespēju, izsniedz kādam kreditoram viņa prasījumam nodrošinājumu vai sedz tā prasījumu, kuru kreditors nevar izvirzīt</w:t>
      </w:r>
      <w:r>
        <w:rPr>
          <w:spacing w:val="-10"/>
        </w:rPr>
        <w:t> </w:t>
      </w:r>
      <w:r>
        <w:rPr/>
        <w:t>vai</w:t>
      </w:r>
      <w:r>
        <w:rPr>
          <w:spacing w:val="-10"/>
        </w:rPr>
        <w:t> </w:t>
      </w:r>
      <w:r>
        <w:rPr/>
        <w:t>ne</w:t>
      </w:r>
      <w:r>
        <w:rPr>
          <w:spacing w:val="-10"/>
        </w:rPr>
        <w:t> </w:t>
      </w:r>
      <w:r>
        <w:rPr/>
        <w:t>tādā</w:t>
      </w:r>
      <w:r>
        <w:rPr>
          <w:spacing w:val="-9"/>
        </w:rPr>
        <w:t> </w:t>
      </w:r>
      <w:r>
        <w:rPr/>
        <w:t>veidā</w:t>
      </w:r>
      <w:r>
        <w:rPr>
          <w:spacing w:val="-6"/>
        </w:rPr>
        <w:t> </w:t>
      </w:r>
      <w:r>
        <w:rPr/>
        <w:t>vai</w:t>
      </w:r>
      <w:r>
        <w:rPr>
          <w:spacing w:val="-10"/>
        </w:rPr>
        <w:t> </w:t>
      </w:r>
      <w:r>
        <w:rPr/>
        <w:t>ne</w:t>
      </w:r>
      <w:r>
        <w:rPr>
          <w:spacing w:val="-10"/>
        </w:rPr>
        <w:t> </w:t>
      </w:r>
      <w:r>
        <w:rPr/>
        <w:t>tajā</w:t>
      </w:r>
      <w:r>
        <w:rPr>
          <w:spacing w:val="-12"/>
        </w:rPr>
        <w:t> </w:t>
      </w:r>
      <w:r>
        <w:rPr/>
        <w:t>brīdī</w:t>
      </w:r>
      <w:r>
        <w:rPr>
          <w:spacing w:val="-10"/>
        </w:rPr>
        <w:t> </w:t>
      </w:r>
      <w:r>
        <w:rPr/>
        <w:t>to</w:t>
      </w:r>
      <w:r>
        <w:rPr>
          <w:spacing w:val="-8"/>
        </w:rPr>
        <w:t> </w:t>
      </w:r>
      <w:r>
        <w:rPr/>
        <w:t>var</w:t>
      </w:r>
      <w:r>
        <w:rPr>
          <w:spacing w:val="-13"/>
        </w:rPr>
        <w:t> </w:t>
      </w:r>
      <w:r>
        <w:rPr/>
        <w:t>izvirzīt,</w:t>
      </w:r>
      <w:r>
        <w:rPr>
          <w:spacing w:val="-10"/>
        </w:rPr>
        <w:t> </w:t>
      </w:r>
      <w:r>
        <w:rPr/>
        <w:t>un</w:t>
      </w:r>
      <w:r>
        <w:rPr>
          <w:spacing w:val="-10"/>
        </w:rPr>
        <w:t> </w:t>
      </w:r>
      <w:r>
        <w:rPr/>
        <w:t>tādejādi</w:t>
      </w:r>
      <w:r>
        <w:rPr>
          <w:spacing w:val="-10"/>
        </w:rPr>
        <w:t> </w:t>
      </w:r>
      <w:r>
        <w:rPr/>
        <w:t>ar</w:t>
      </w:r>
      <w:r>
        <w:rPr>
          <w:spacing w:val="-8"/>
        </w:rPr>
        <w:t> </w:t>
      </w:r>
      <w:r>
        <w:rPr/>
        <w:t>nolūku</w:t>
      </w:r>
      <w:r>
        <w:rPr>
          <w:spacing w:val="-10"/>
        </w:rPr>
        <w:t> </w:t>
      </w:r>
      <w:r>
        <w:rPr/>
        <w:t>nostāda</w:t>
      </w:r>
      <w:r>
        <w:rPr>
          <w:spacing w:val="-10"/>
        </w:rPr>
        <w:t> </w:t>
      </w:r>
      <w:r>
        <w:rPr/>
        <w:t>vienu kreditoru izdevīgākā stāvoklī iepretim pārējiem</w:t>
      </w:r>
      <w:r>
        <w:rPr>
          <w:spacing w:val="-5"/>
        </w:rPr>
        <w:t> </w:t>
      </w:r>
      <w:r>
        <w:rPr/>
        <w:t>kreditoriem.</w:t>
      </w:r>
    </w:p>
    <w:p>
      <w:pPr>
        <w:pStyle w:val="BodyText"/>
        <w:spacing w:line="232" w:lineRule="auto" w:before="7"/>
        <w:ind w:left="620" w:right="405" w:firstLine="708"/>
        <w:rPr>
          <w:sz w:val="16"/>
        </w:rPr>
      </w:pPr>
      <w:r>
        <w:rPr/>
        <w:t>Parādniekam piespriestā soda apmērs ir tas kritērijs, lai parādnieka noziedzīgu nodarījumu atzītu par nozīmīgu, kas liedz parādniekam piemērot saistību dzēšanas procedūru.</w:t>
      </w:r>
      <w:r>
        <w:rPr>
          <w:position w:val="9"/>
          <w:sz w:val="16"/>
        </w:rPr>
        <w:t>419</w:t>
      </w:r>
    </w:p>
    <w:p>
      <w:pPr>
        <w:pStyle w:val="BodyText"/>
        <w:spacing w:before="7"/>
        <w:jc w:val="left"/>
      </w:pPr>
    </w:p>
    <w:p>
      <w:pPr>
        <w:pStyle w:val="Heading4"/>
        <w:numPr>
          <w:ilvl w:val="1"/>
          <w:numId w:val="94"/>
        </w:numPr>
        <w:tabs>
          <w:tab w:pos="1041" w:val="left" w:leader="none"/>
        </w:tabs>
        <w:spacing w:line="240" w:lineRule="auto" w:before="0" w:after="0"/>
        <w:ind w:left="1040" w:right="0" w:hanging="421"/>
        <w:jc w:val="left"/>
        <w:rPr>
          <w:i/>
        </w:rPr>
      </w:pPr>
      <w:bookmarkStart w:name="_TOC_250032" w:id="46"/>
      <w:r>
        <w:rPr>
          <w:i/>
        </w:rPr>
        <w:t>Parādnieka negodprātības elementi un</w:t>
      </w:r>
      <w:r>
        <w:rPr>
          <w:i/>
          <w:spacing w:val="2"/>
        </w:rPr>
        <w:t> </w:t>
      </w:r>
      <w:bookmarkEnd w:id="46"/>
      <w:r>
        <w:rPr>
          <w:i/>
        </w:rPr>
        <w:t>kritēriji</w:t>
      </w:r>
    </w:p>
    <w:p>
      <w:pPr>
        <w:pStyle w:val="BodyText"/>
        <w:spacing w:before="7"/>
        <w:jc w:val="left"/>
        <w:rPr>
          <w:b/>
          <w:i/>
          <w:sz w:val="23"/>
        </w:rPr>
      </w:pPr>
    </w:p>
    <w:p>
      <w:pPr>
        <w:pStyle w:val="ListParagraph"/>
        <w:numPr>
          <w:ilvl w:val="2"/>
          <w:numId w:val="94"/>
        </w:numPr>
        <w:tabs>
          <w:tab w:pos="1340" w:val="left" w:leader="none"/>
        </w:tabs>
        <w:spacing w:line="240" w:lineRule="auto" w:before="0" w:after="0"/>
        <w:ind w:left="620" w:right="401" w:firstLine="360"/>
        <w:jc w:val="both"/>
        <w:rPr>
          <w:sz w:val="24"/>
        </w:rPr>
      </w:pPr>
      <w:r>
        <w:rPr>
          <w:b/>
          <w:i/>
          <w:sz w:val="24"/>
        </w:rPr>
        <w:t>Parādnieka</w:t>
      </w:r>
      <w:r>
        <w:rPr>
          <w:b/>
          <w:i/>
          <w:spacing w:val="-10"/>
          <w:sz w:val="24"/>
        </w:rPr>
        <w:t> </w:t>
      </w:r>
      <w:r>
        <w:rPr>
          <w:b/>
          <w:i/>
          <w:sz w:val="24"/>
        </w:rPr>
        <w:t>negodprātība</w:t>
      </w:r>
      <w:r>
        <w:rPr>
          <w:b/>
          <w:i/>
          <w:spacing w:val="-10"/>
          <w:sz w:val="24"/>
        </w:rPr>
        <w:t> </w:t>
      </w:r>
      <w:r>
        <w:rPr>
          <w:b/>
          <w:i/>
          <w:sz w:val="24"/>
        </w:rPr>
        <w:t>pirms</w:t>
      </w:r>
      <w:r>
        <w:rPr>
          <w:b/>
          <w:i/>
          <w:spacing w:val="-12"/>
          <w:sz w:val="24"/>
        </w:rPr>
        <w:t> </w:t>
      </w:r>
      <w:r>
        <w:rPr>
          <w:b/>
          <w:i/>
          <w:sz w:val="24"/>
        </w:rPr>
        <w:t>maksātnespējas</w:t>
      </w:r>
      <w:r>
        <w:rPr>
          <w:b/>
          <w:i/>
          <w:spacing w:val="-7"/>
          <w:sz w:val="24"/>
        </w:rPr>
        <w:t> </w:t>
      </w:r>
      <w:r>
        <w:rPr>
          <w:b/>
          <w:i/>
          <w:sz w:val="24"/>
        </w:rPr>
        <w:t>procesa</w:t>
      </w:r>
      <w:r>
        <w:rPr>
          <w:b/>
          <w:i/>
          <w:spacing w:val="-10"/>
          <w:sz w:val="24"/>
        </w:rPr>
        <w:t> </w:t>
      </w:r>
      <w:r>
        <w:rPr>
          <w:b/>
          <w:i/>
          <w:sz w:val="24"/>
        </w:rPr>
        <w:t>pasludināšanas.</w:t>
      </w:r>
      <w:r>
        <w:rPr>
          <w:b/>
          <w:i/>
          <w:spacing w:val="-13"/>
          <w:sz w:val="24"/>
        </w:rPr>
        <w:t> </w:t>
      </w:r>
      <w:r>
        <w:rPr>
          <w:sz w:val="24"/>
        </w:rPr>
        <w:t>Vācijas Maksātnespējas likuma </w:t>
      </w:r>
      <w:r>
        <w:rPr>
          <w:i/>
          <w:sz w:val="24"/>
        </w:rPr>
        <w:t>§ 290 pirmās daļas 1.punktā, 2.punktā un 4.punktā </w:t>
      </w:r>
      <w:r>
        <w:rPr>
          <w:sz w:val="24"/>
        </w:rPr>
        <w:t>ir noteikti </w:t>
      </w:r>
      <w:r>
        <w:rPr>
          <w:spacing w:val="-4"/>
          <w:sz w:val="24"/>
        </w:rPr>
        <w:t>tie</w:t>
      </w:r>
      <w:r>
        <w:rPr>
          <w:spacing w:val="52"/>
          <w:sz w:val="24"/>
        </w:rPr>
        <w:t> </w:t>
      </w:r>
      <w:r>
        <w:rPr>
          <w:sz w:val="24"/>
        </w:rPr>
        <w:t>elementi un kritēriji, kas veido parādnieka negodprātīgas rīcības tiesisko sastāvu attiecībā uz maksātnespējas cēloņiem.</w:t>
      </w:r>
    </w:p>
    <w:p>
      <w:pPr>
        <w:pStyle w:val="BodyText"/>
        <w:ind w:left="620" w:right="402" w:firstLine="420"/>
      </w:pPr>
      <w:r>
        <w:rPr/>
        <w:t>Attiecībā uz </w:t>
      </w:r>
      <w:r>
        <w:rPr>
          <w:i/>
        </w:rPr>
        <w:t>§ 290 pirmās daļas 1.punktā (</w:t>
      </w:r>
      <w:r>
        <w:rPr/>
        <w:t>parādnieks pēdējo piecu gadu laikā pirms maksātnespējas procesa pieteikuma iesniegšanas tiesā vai pēc pieteikuma iesniegšanas tiesā, ir ticis notiesāts ar spēkā stājušos tiesas spriedumu par noziedzīgu nodarījumu, kas paredzēts Vācijas Krimināllikuma </w:t>
      </w:r>
      <w:r>
        <w:rPr>
          <w:i/>
        </w:rPr>
        <w:t>§§ 283 – 283c</w:t>
      </w:r>
      <w:r>
        <w:rPr/>
        <w:t>, piespriežot naudas sodu notiesātā 90 vienas dienas vidējo izpeļņu apmērā vai brīvības atņemšanu ilgāk kā 3 mēneši) noteikto negodprātīgas rīcības tiesiskā sastāva piemērošanas kritērijiem praksē, akcentējams</w:t>
      </w:r>
    </w:p>
    <w:p>
      <w:pPr>
        <w:pStyle w:val="BodyText"/>
        <w:jc w:val="left"/>
        <w:rPr>
          <w:sz w:val="20"/>
        </w:rPr>
      </w:pPr>
    </w:p>
    <w:p>
      <w:pPr>
        <w:pStyle w:val="BodyText"/>
        <w:spacing w:before="7"/>
        <w:jc w:val="left"/>
        <w:rPr>
          <w:sz w:val="12"/>
        </w:rPr>
      </w:pPr>
      <w:r>
        <w:rPr/>
        <w:pict>
          <v:shape style="position:absolute;margin-left:90pt;margin-top:9.516878pt;width:144pt;height:.1pt;mso-position-horizontal-relative:page;mso-position-vertical-relative:paragraph;z-index:-251468800;mso-wrap-distance-left:0;mso-wrap-distance-right:0" coordorigin="1800,190" coordsize="2880,0" path="m1800,190l4680,190e" filled="false" stroked="true" strokeweight=".599991pt" strokecolor="#000000">
            <v:path arrowok="t"/>
            <v:stroke dashstyle="solid"/>
            <w10:wrap type="topAndBottom"/>
          </v:shape>
        </w:pict>
      </w:r>
    </w:p>
    <w:p>
      <w:pPr>
        <w:spacing w:before="70"/>
        <w:ind w:left="620" w:right="0" w:firstLine="0"/>
        <w:jc w:val="left"/>
        <w:rPr>
          <w:sz w:val="20"/>
        </w:rPr>
      </w:pPr>
      <w:r>
        <w:rPr>
          <w:position w:val="7"/>
          <w:sz w:val="13"/>
        </w:rPr>
        <w:t>419 </w:t>
      </w:r>
      <w:r>
        <w:rPr>
          <w:sz w:val="20"/>
        </w:rPr>
        <w:t>Kayser/Thole “Insolvenzordnung” Heidelberger Kommentar, 9. neu bearbeitete Auflage, C.F.Mueller, 2018,/Waltenberger Kommentare § 290, S.2198.</w:t>
      </w:r>
    </w:p>
    <w:p>
      <w:pPr>
        <w:spacing w:after="0"/>
        <w:jc w:val="left"/>
        <w:rPr>
          <w:sz w:val="20"/>
        </w:rPr>
        <w:sectPr>
          <w:type w:val="continuous"/>
          <w:pgSz w:w="11910" w:h="16840"/>
          <w:pgMar w:top="1580" w:bottom="280" w:left="1180" w:right="1040"/>
        </w:sectPr>
      </w:pPr>
    </w:p>
    <w:p>
      <w:pPr>
        <w:pStyle w:val="BodyText"/>
        <w:spacing w:line="237" w:lineRule="auto" w:before="75"/>
        <w:ind w:left="260" w:right="762"/>
      </w:pPr>
      <w:r>
        <w:rPr/>
        <w:t>Vācijas federālās augstākās tiesas 2002.gada 18.decembra spriedumā ietvertais skaidrojums, ka arī tāds spēkā stājies tiesas spriedums ir par pamatu saistību dzēšanas procedūras pārtraukšanai/nepiemērošanai un parādnieka neatbrīvošanai no parādu saistībām, ja pastrādātais noziedzīgais nodarījums nav cēloņsakarībā ar uzsākto maksātnespējas procesu.</w:t>
      </w:r>
      <w:r>
        <w:rPr>
          <w:position w:val="9"/>
          <w:sz w:val="16"/>
        </w:rPr>
        <w:t>420 </w:t>
      </w:r>
      <w:r>
        <w:rPr/>
        <w:t>Pie tam, lai tiesa atteiktu parādnieka saistību dzēšanas procedūras piemērošanu, notiesājošam spriedumam jābūt spēkā stājies brīdī, kad kreditors sniedz tiesā pieteikumu par saistības dzēšanas procedūras nepiemērošanu.</w:t>
      </w:r>
    </w:p>
    <w:p>
      <w:pPr>
        <w:pStyle w:val="BodyText"/>
        <w:spacing w:line="237" w:lineRule="auto" w:before="5"/>
        <w:ind w:left="260" w:right="761" w:firstLine="420"/>
        <w:rPr>
          <w:sz w:val="16"/>
        </w:rPr>
      </w:pPr>
      <w:r>
        <w:rPr/>
        <w:t>Juridiskajā literatūrā norādīts, ka </w:t>
      </w:r>
      <w:r>
        <w:rPr>
          <w:i/>
        </w:rPr>
        <w:t>§ 290 pirmās daļas 2.punkta </w:t>
      </w:r>
      <w:r>
        <w:rPr/>
        <w:t>(parādnieks pēdējo trīs gadu laikā pirms maksātnespējas procesa pieteikuma iesniegšanas tiesā vai pēc tā iesniegšanas tiesā, ar nodomu vai aiz rupjas neuzmanības sniedzis rakstiski nepatiesas vai nepilnīgas</w:t>
      </w:r>
      <w:r>
        <w:rPr>
          <w:spacing w:val="-16"/>
        </w:rPr>
        <w:t> </w:t>
      </w:r>
      <w:r>
        <w:rPr/>
        <w:t>ziņas</w:t>
      </w:r>
      <w:r>
        <w:rPr>
          <w:spacing w:val="-15"/>
        </w:rPr>
        <w:t> </w:t>
      </w:r>
      <w:r>
        <w:rPr/>
        <w:t>par</w:t>
      </w:r>
      <w:r>
        <w:rPr>
          <w:spacing w:val="-18"/>
        </w:rPr>
        <w:t> </w:t>
      </w:r>
      <w:r>
        <w:rPr/>
        <w:t>savu</w:t>
      </w:r>
      <w:r>
        <w:rPr>
          <w:spacing w:val="-13"/>
        </w:rPr>
        <w:t> </w:t>
      </w:r>
      <w:r>
        <w:rPr/>
        <w:t>finansiālo</w:t>
      </w:r>
      <w:r>
        <w:rPr>
          <w:spacing w:val="-15"/>
        </w:rPr>
        <w:t> </w:t>
      </w:r>
      <w:r>
        <w:rPr/>
        <w:t>stāvokli,</w:t>
      </w:r>
      <w:r>
        <w:rPr>
          <w:spacing w:val="-15"/>
        </w:rPr>
        <w:t> </w:t>
      </w:r>
      <w:r>
        <w:rPr/>
        <w:t>lai</w:t>
      </w:r>
      <w:r>
        <w:rPr>
          <w:spacing w:val="-15"/>
        </w:rPr>
        <w:t> </w:t>
      </w:r>
      <w:r>
        <w:rPr/>
        <w:t>saņemtu</w:t>
      </w:r>
      <w:r>
        <w:rPr>
          <w:spacing w:val="-13"/>
        </w:rPr>
        <w:t> </w:t>
      </w:r>
      <w:r>
        <w:rPr/>
        <w:t>kredītu,</w:t>
      </w:r>
      <w:r>
        <w:rPr>
          <w:spacing w:val="-15"/>
        </w:rPr>
        <w:t> </w:t>
      </w:r>
      <w:r>
        <w:rPr/>
        <w:t>lai</w:t>
      </w:r>
      <w:r>
        <w:rPr>
          <w:spacing w:val="-17"/>
        </w:rPr>
        <w:t> </w:t>
      </w:r>
      <w:r>
        <w:rPr/>
        <w:t>saņemtu</w:t>
      </w:r>
      <w:r>
        <w:rPr>
          <w:spacing w:val="-15"/>
        </w:rPr>
        <w:t> </w:t>
      </w:r>
      <w:r>
        <w:rPr/>
        <w:t>pakalpojumus (finansējumu) no publiskiem līdzekļiem, vai lai novērstu maksājumus publiskajai </w:t>
      </w:r>
      <w:r>
        <w:rPr>
          <w:spacing w:val="-3"/>
        </w:rPr>
        <w:t>kasei) </w:t>
      </w:r>
      <w:r>
        <w:rPr/>
        <w:t>tiesiskā sastāva konstatēšanai jēdziens “kredīts” ir plaši tulkojams jēdziens, ar to saprotot katru aizdevuma veidu un formu, maksājumu termiņa pagarināšanu vai finansēšanas palīdzību.</w:t>
      </w:r>
      <w:r>
        <w:rPr>
          <w:position w:val="9"/>
          <w:sz w:val="16"/>
        </w:rPr>
        <w:t>421 </w:t>
      </w:r>
      <w:r>
        <w:rPr/>
        <w:t>Kā piemēru praksē negodprātīgai rīcībai jāmin nepareizi aizpildīti bankas kredītu</w:t>
      </w:r>
      <w:r>
        <w:rPr>
          <w:spacing w:val="-16"/>
        </w:rPr>
        <w:t> </w:t>
      </w:r>
      <w:r>
        <w:rPr/>
        <w:t>saņemšanai</w:t>
      </w:r>
      <w:r>
        <w:rPr>
          <w:spacing w:val="-18"/>
        </w:rPr>
        <w:t> </w:t>
      </w:r>
      <w:r>
        <w:rPr/>
        <w:t>nepieciešamie</w:t>
      </w:r>
      <w:r>
        <w:rPr>
          <w:spacing w:val="-14"/>
        </w:rPr>
        <w:t> </w:t>
      </w:r>
      <w:r>
        <w:rPr/>
        <w:t>formulāri,</w:t>
      </w:r>
      <w:r>
        <w:rPr>
          <w:spacing w:val="-16"/>
        </w:rPr>
        <w:t> </w:t>
      </w:r>
      <w:r>
        <w:rPr/>
        <w:t>vai</w:t>
      </w:r>
      <w:r>
        <w:rPr>
          <w:spacing w:val="-15"/>
        </w:rPr>
        <w:t> </w:t>
      </w:r>
      <w:r>
        <w:rPr/>
        <w:t>nepilnīgi</w:t>
      </w:r>
      <w:r>
        <w:rPr>
          <w:spacing w:val="-16"/>
        </w:rPr>
        <w:t> </w:t>
      </w:r>
      <w:r>
        <w:rPr/>
        <w:t>aizpildīta</w:t>
      </w:r>
      <w:r>
        <w:rPr>
          <w:spacing w:val="-14"/>
        </w:rPr>
        <w:t> </w:t>
      </w:r>
      <w:r>
        <w:rPr/>
        <w:t>nodokļu</w:t>
      </w:r>
      <w:r>
        <w:rPr>
          <w:spacing w:val="-16"/>
        </w:rPr>
        <w:t> </w:t>
      </w:r>
      <w:r>
        <w:rPr/>
        <w:t>deklarācija.</w:t>
      </w:r>
      <w:r>
        <w:rPr>
          <w:position w:val="9"/>
          <w:sz w:val="16"/>
        </w:rPr>
        <w:t>422 </w:t>
      </w:r>
      <w:r>
        <w:rPr/>
        <w:t>Parādnieka sniegtās ziņas ir par parādnieka finansiālo stāvokli, kas aptver parādnieka ienākumus un mantu, ieskaitot parādsaistības. Negodprātīgu rīcību raksturo parādnieka nodoms vai rupja neuzmanība, un starp parādnieka rīcību un mērķi, uz kuru rīcība vērsta, jābūt galīgai cēloņsakarībai. Proti, parādnieka sniegto ziņu nepatiesums vai sniegto ziņu nepilnīgums parādnieka ieskatā ir kalpojušas mērķim saņemt kredītu, publisku pakalpojumu vai novērst maksāšanas pienākumu. Normā noteiktais tiesiskais sastāvs ir iestājies arī tad, ja persona, kurai parādnieks ir sniedzis nepatiesās ziņas, zināja patieso parādnieka finansiālo stāvokli vai citādu iemeslu dēļ nav piešķīris kredītu, vai nav</w:t>
      </w:r>
      <w:r>
        <w:rPr>
          <w:spacing w:val="-19"/>
        </w:rPr>
        <w:t> </w:t>
      </w:r>
      <w:r>
        <w:rPr/>
        <w:t>panākts cits </w:t>
      </w:r>
      <w:r>
        <w:rPr>
          <w:i/>
        </w:rPr>
        <w:t>§ 290 pirmās daļas 2.punktā </w:t>
      </w:r>
      <w:r>
        <w:rPr/>
        <w:t>noteiktais parādnieka negodprātīgas rīcības</w:t>
      </w:r>
      <w:r>
        <w:rPr>
          <w:spacing w:val="-6"/>
        </w:rPr>
        <w:t> </w:t>
      </w:r>
      <w:r>
        <w:rPr/>
        <w:t>rezultāts.</w:t>
      </w:r>
      <w:r>
        <w:rPr>
          <w:position w:val="9"/>
          <w:sz w:val="16"/>
        </w:rPr>
        <w:t>423</w:t>
      </w:r>
    </w:p>
    <w:p>
      <w:pPr>
        <w:pStyle w:val="BodyText"/>
        <w:spacing w:before="2"/>
        <w:ind w:left="260" w:right="761" w:firstLine="420"/>
      </w:pPr>
      <w:r>
        <w:rPr>
          <w:i/>
        </w:rPr>
        <w:t>§ 290 pirmās daļas 4.punktā </w:t>
      </w:r>
      <w:r>
        <w:rPr/>
        <w:t>(parādnieks pēdējo trīs gadu laikā pirms maksātnespējas procesa pieteikuma iesniegšanas tiesā vai pēc tā iesniegšanas tiesā ir ar nodomu vai aiz rupjas neuzmanības aizskāris kreditora tiesības saņemt sava prasījuma apmierinājumu,</w:t>
      </w:r>
      <w:r>
        <w:rPr>
          <w:spacing w:val="-44"/>
        </w:rPr>
        <w:t> </w:t>
      </w:r>
      <w:r>
        <w:rPr/>
        <w:t>kas izpaudās kā, radot sev nesamērīgi augstas parādsaistības, izsaimniekojot mantu, vai, nepastāvot izredzēm uz parādnieka finansiālā stāvokļa uzlabošanos, novilcināja maksātnespējas procesa pieteikuma iesniegšanu tiesā) ietvertās normas raksturojošais elements ir parādnieka ļaunprātīga rīcība, kuras rezultātā tiek nodarīti zaudējumi kreditoriem.</w:t>
      </w:r>
      <w:r>
        <w:rPr>
          <w:spacing w:val="-16"/>
        </w:rPr>
        <w:t> </w:t>
      </w:r>
      <w:r>
        <w:rPr/>
        <w:t>Pie</w:t>
      </w:r>
      <w:r>
        <w:rPr>
          <w:spacing w:val="-14"/>
        </w:rPr>
        <w:t> </w:t>
      </w:r>
      <w:r>
        <w:rPr/>
        <w:t>kam</w:t>
      </w:r>
      <w:r>
        <w:rPr>
          <w:spacing w:val="-17"/>
        </w:rPr>
        <w:t> </w:t>
      </w:r>
      <w:r>
        <w:rPr/>
        <w:t>tādu</w:t>
      </w:r>
      <w:r>
        <w:rPr>
          <w:spacing w:val="-13"/>
        </w:rPr>
        <w:t> </w:t>
      </w:r>
      <w:r>
        <w:rPr/>
        <w:t>parādnieka</w:t>
      </w:r>
      <w:r>
        <w:rPr>
          <w:spacing w:val="-18"/>
        </w:rPr>
        <w:t> </w:t>
      </w:r>
      <w:r>
        <w:rPr/>
        <w:t>negodprātīgas</w:t>
      </w:r>
      <w:r>
        <w:rPr>
          <w:spacing w:val="-16"/>
        </w:rPr>
        <w:t> </w:t>
      </w:r>
      <w:r>
        <w:rPr/>
        <w:t>rīcības</w:t>
      </w:r>
      <w:r>
        <w:rPr>
          <w:spacing w:val="-15"/>
        </w:rPr>
        <w:t> </w:t>
      </w:r>
      <w:r>
        <w:rPr/>
        <w:t>izpausmes</w:t>
      </w:r>
      <w:r>
        <w:rPr>
          <w:spacing w:val="-16"/>
        </w:rPr>
        <w:t> </w:t>
      </w:r>
      <w:r>
        <w:rPr/>
        <w:t>veidu</w:t>
      </w:r>
      <w:r>
        <w:rPr>
          <w:spacing w:val="-16"/>
        </w:rPr>
        <w:t> </w:t>
      </w:r>
      <w:r>
        <w:rPr/>
        <w:t>kā</w:t>
      </w:r>
      <w:r>
        <w:rPr>
          <w:spacing w:val="-15"/>
        </w:rPr>
        <w:t> </w:t>
      </w:r>
      <w:r>
        <w:rPr/>
        <w:t>nesamērīga parādsaistību uzņemšanās un mantas izšķērdēšana iekļaušana tiesību normā, kas liedz parādniekam īstenot saistību dzēšanas procedūru, kalpo tam, lai parādnieks, paredzot tuvākā laikā iespējamo maksātnespēju vai pat atbrīvošanu no parādsaistībām, nesāktu izšķērdīgi dzīvot un radīt izdevumus par luksusa precēm/pakalpojumiem. Noskaidrojot jēdzienu “samērīgs” un “mantas izšķērdēšana” katrā konkrētā gadījumā atsevišķi, jāņem vērā parādnieka vajadzības, kas izriet no parādnieka nodarbinātības konkrētajā profesijā, kā arī līdzšinējo parādnieka dzīvesveidu.</w:t>
      </w:r>
      <w:r>
        <w:rPr>
          <w:position w:val="9"/>
          <w:sz w:val="16"/>
        </w:rPr>
        <w:t>424 </w:t>
      </w:r>
      <w:r>
        <w:rPr/>
        <w:t>Katrā atsevišķā gadījumā luksusa dzīves stila turpināšana</w:t>
      </w:r>
      <w:r>
        <w:rPr>
          <w:spacing w:val="10"/>
        </w:rPr>
        <w:t> </w:t>
      </w:r>
      <w:r>
        <w:rPr/>
        <w:t>var</w:t>
      </w:r>
      <w:r>
        <w:rPr>
          <w:spacing w:val="8"/>
        </w:rPr>
        <w:t> </w:t>
      </w:r>
      <w:r>
        <w:rPr/>
        <w:t>tikt</w:t>
      </w:r>
      <w:r>
        <w:rPr>
          <w:spacing w:val="11"/>
        </w:rPr>
        <w:t> </w:t>
      </w:r>
      <w:r>
        <w:rPr/>
        <w:t>uzskatīta</w:t>
      </w:r>
      <w:r>
        <w:rPr>
          <w:spacing w:val="7"/>
        </w:rPr>
        <w:t> </w:t>
      </w:r>
      <w:r>
        <w:rPr/>
        <w:t>kā</w:t>
      </w:r>
      <w:r>
        <w:rPr>
          <w:spacing w:val="11"/>
        </w:rPr>
        <w:t> </w:t>
      </w:r>
      <w:r>
        <w:rPr/>
        <w:t>mantas</w:t>
      </w:r>
      <w:r>
        <w:rPr>
          <w:spacing w:val="11"/>
        </w:rPr>
        <w:t> </w:t>
      </w:r>
      <w:r>
        <w:rPr/>
        <w:t>izšķērdēšana,</w:t>
      </w:r>
      <w:r>
        <w:rPr>
          <w:spacing w:val="8"/>
        </w:rPr>
        <w:t> </w:t>
      </w:r>
      <w:r>
        <w:rPr/>
        <w:t>kā</w:t>
      </w:r>
      <w:r>
        <w:rPr>
          <w:spacing w:val="10"/>
        </w:rPr>
        <w:t> </w:t>
      </w:r>
      <w:r>
        <w:rPr/>
        <w:t>to</w:t>
      </w:r>
      <w:r>
        <w:rPr>
          <w:spacing w:val="11"/>
        </w:rPr>
        <w:t> </w:t>
      </w:r>
      <w:r>
        <w:rPr/>
        <w:t>konstatējusi</w:t>
      </w:r>
      <w:r>
        <w:rPr>
          <w:spacing w:val="11"/>
        </w:rPr>
        <w:t> </w:t>
      </w:r>
      <w:r>
        <w:rPr/>
        <w:t>Federatīvā</w:t>
      </w:r>
    </w:p>
    <w:p>
      <w:pPr>
        <w:pStyle w:val="BodyText"/>
        <w:spacing w:before="2"/>
        <w:jc w:val="left"/>
        <w:rPr>
          <w:sz w:val="15"/>
        </w:rPr>
      </w:pPr>
      <w:r>
        <w:rPr/>
        <w:pict>
          <v:shape style="position:absolute;margin-left:72pt;margin-top:10.989596pt;width:144pt;height:.1pt;mso-position-horizontal-relative:page;mso-position-vertical-relative:paragraph;z-index:-251467776;mso-wrap-distance-left:0;mso-wrap-distance-right:0" coordorigin="1440,220" coordsize="2880,0" path="m1440,220l4320,220e" filled="false" stroked="true" strokeweight=".599991pt" strokecolor="#000000">
            <v:path arrowok="t"/>
            <v:stroke dashstyle="solid"/>
            <w10:wrap type="topAndBottom"/>
          </v:shape>
        </w:pict>
      </w:r>
    </w:p>
    <w:p>
      <w:pPr>
        <w:spacing w:before="70"/>
        <w:ind w:left="260" w:right="635" w:firstLine="0"/>
        <w:jc w:val="left"/>
        <w:rPr>
          <w:sz w:val="20"/>
        </w:rPr>
      </w:pPr>
      <w:r>
        <w:rPr>
          <w:position w:val="7"/>
          <w:sz w:val="13"/>
        </w:rPr>
        <w:t>420 </w:t>
      </w:r>
      <w:r>
        <w:rPr>
          <w:sz w:val="20"/>
        </w:rPr>
        <w:t>BGH ZVI 2003, 34; Kayser/Thole “Insolvenzordnung” Heidelberger Kommentar, 9. neu bearbeitete Auflage, C.F.Mueller, 2018,/Waltenberger Kommentare § 290, S. 2199.</w:t>
      </w:r>
    </w:p>
    <w:p>
      <w:pPr>
        <w:spacing w:line="240" w:lineRule="auto" w:before="0"/>
        <w:ind w:left="260" w:right="0" w:firstLine="0"/>
        <w:jc w:val="left"/>
        <w:rPr>
          <w:sz w:val="20"/>
        </w:rPr>
      </w:pPr>
      <w:r>
        <w:rPr>
          <w:position w:val="7"/>
          <w:sz w:val="13"/>
        </w:rPr>
        <w:t>421 </w:t>
      </w:r>
      <w:r>
        <w:rPr>
          <w:sz w:val="20"/>
        </w:rPr>
        <w:t>Kayser/Thole “Insolvenzordnung” Heidelberger Kommentar, 9. neu bearbeitete Auflage, C.F.Mueller, 2018,/Waltenberger Kommentare § 290, S. 2199.</w:t>
      </w:r>
    </w:p>
    <w:p>
      <w:pPr>
        <w:spacing w:line="240" w:lineRule="auto" w:before="0"/>
        <w:ind w:left="260" w:right="398" w:firstLine="0"/>
        <w:jc w:val="left"/>
        <w:rPr>
          <w:sz w:val="20"/>
        </w:rPr>
      </w:pPr>
      <w:r>
        <w:rPr>
          <w:position w:val="7"/>
          <w:sz w:val="13"/>
        </w:rPr>
        <w:t>422 </w:t>
      </w:r>
      <w:r>
        <w:rPr>
          <w:sz w:val="20"/>
        </w:rPr>
        <w:t>BGH ZInsO 2010, 1058; Kayser/Thole “Insolvenzordnung” Heidelberger Kommentar, 9. neu bearbeitete Auflage, C.F.Mueller, 2018,/Waltenberger Kommentare § 290, S. 2199.</w:t>
      </w:r>
    </w:p>
    <w:p>
      <w:pPr>
        <w:spacing w:line="240" w:lineRule="auto" w:before="0"/>
        <w:ind w:left="260" w:right="0" w:firstLine="0"/>
        <w:jc w:val="left"/>
        <w:rPr>
          <w:sz w:val="20"/>
        </w:rPr>
      </w:pPr>
      <w:r>
        <w:rPr>
          <w:position w:val="7"/>
          <w:sz w:val="13"/>
        </w:rPr>
        <w:t>423 </w:t>
      </w:r>
      <w:r>
        <w:rPr>
          <w:sz w:val="20"/>
        </w:rPr>
        <w:t>Kayser/Thole “Insolvenzordnung” Heidelberger Kommentar, 9. neu bearbeitete Auflage, C.F.Mueller, 2018,/Waltenberger Kommentare § 290, S. 2200.</w:t>
      </w:r>
    </w:p>
    <w:p>
      <w:pPr>
        <w:spacing w:line="240" w:lineRule="auto" w:before="0"/>
        <w:ind w:left="260" w:right="0" w:firstLine="0"/>
        <w:jc w:val="left"/>
        <w:rPr>
          <w:sz w:val="20"/>
        </w:rPr>
      </w:pPr>
      <w:r>
        <w:rPr>
          <w:position w:val="7"/>
          <w:sz w:val="13"/>
        </w:rPr>
        <w:t>424 </w:t>
      </w:r>
      <w:r>
        <w:rPr>
          <w:sz w:val="20"/>
        </w:rPr>
        <w:t>Kayser/Thole “Insolvenzordnung” Heidelberger Kommentar, 9. neu bearbeitete Auflage, C.F.Mueller, 2018,/Waltenberger Kommentare § 290, S. 2201.</w:t>
      </w:r>
    </w:p>
    <w:p>
      <w:pPr>
        <w:spacing w:after="0" w:line="240" w:lineRule="auto"/>
        <w:jc w:val="left"/>
        <w:rPr>
          <w:sz w:val="20"/>
        </w:rPr>
        <w:sectPr>
          <w:pgSz w:w="11910" w:h="16840"/>
          <w:pgMar w:header="0" w:footer="1055" w:top="1340" w:bottom="1240" w:left="1180" w:right="1040"/>
        </w:sectPr>
      </w:pPr>
    </w:p>
    <w:p>
      <w:pPr>
        <w:pStyle w:val="BodyText"/>
        <w:spacing w:line="235" w:lineRule="auto" w:before="82"/>
        <w:ind w:left="620" w:right="400"/>
        <w:rPr>
          <w:sz w:val="16"/>
        </w:rPr>
      </w:pPr>
      <w:r>
        <w:rPr/>
        <w:t>augstākā tiesa savā spriedumā.</w:t>
      </w:r>
      <w:r>
        <w:rPr>
          <w:position w:val="9"/>
          <w:sz w:val="16"/>
        </w:rPr>
        <w:t>425 </w:t>
      </w:r>
      <w:r>
        <w:rPr/>
        <w:t>Ar negodprātīgu rīcību minētās tiesību normas izpratnē saprot</w:t>
      </w:r>
      <w:r>
        <w:rPr>
          <w:spacing w:val="-10"/>
        </w:rPr>
        <w:t> </w:t>
      </w:r>
      <w:r>
        <w:rPr/>
        <w:t>rīcību,</w:t>
      </w:r>
      <w:r>
        <w:rPr>
          <w:spacing w:val="-11"/>
        </w:rPr>
        <w:t> </w:t>
      </w:r>
      <w:r>
        <w:rPr/>
        <w:t>kas</w:t>
      </w:r>
      <w:r>
        <w:rPr>
          <w:spacing w:val="-11"/>
        </w:rPr>
        <w:t> </w:t>
      </w:r>
      <w:r>
        <w:rPr/>
        <w:t>no</w:t>
      </w:r>
      <w:r>
        <w:rPr>
          <w:spacing w:val="-11"/>
        </w:rPr>
        <w:t> </w:t>
      </w:r>
      <w:r>
        <w:rPr/>
        <w:t>saimnieciskā</w:t>
      </w:r>
      <w:r>
        <w:rPr>
          <w:spacing w:val="-14"/>
        </w:rPr>
        <w:t> </w:t>
      </w:r>
      <w:r>
        <w:rPr/>
        <w:t>viedokļa,</w:t>
      </w:r>
      <w:r>
        <w:rPr>
          <w:spacing w:val="-11"/>
        </w:rPr>
        <w:t> </w:t>
      </w:r>
      <w:r>
        <w:rPr/>
        <w:t>nav</w:t>
      </w:r>
      <w:r>
        <w:rPr>
          <w:spacing w:val="-13"/>
        </w:rPr>
        <w:t> </w:t>
      </w:r>
      <w:r>
        <w:rPr/>
        <w:t>izprotama,</w:t>
      </w:r>
      <w:r>
        <w:rPr>
          <w:spacing w:val="-12"/>
        </w:rPr>
        <w:t> </w:t>
      </w:r>
      <w:r>
        <w:rPr/>
        <w:t>sevišķi</w:t>
      </w:r>
      <w:r>
        <w:rPr>
          <w:spacing w:val="-11"/>
        </w:rPr>
        <w:t> </w:t>
      </w:r>
      <w:r>
        <w:rPr/>
        <w:t>izdevumu</w:t>
      </w:r>
      <w:r>
        <w:rPr>
          <w:spacing w:val="-11"/>
        </w:rPr>
        <w:t> </w:t>
      </w:r>
      <w:r>
        <w:rPr/>
        <w:t>radīšana,</w:t>
      </w:r>
      <w:r>
        <w:rPr>
          <w:spacing w:val="-11"/>
        </w:rPr>
        <w:t> </w:t>
      </w:r>
      <w:r>
        <w:rPr/>
        <w:t>kas, salīdzinot</w:t>
      </w:r>
      <w:r>
        <w:rPr>
          <w:spacing w:val="-11"/>
        </w:rPr>
        <w:t> </w:t>
      </w:r>
      <w:r>
        <w:rPr/>
        <w:t>ar</w:t>
      </w:r>
      <w:r>
        <w:rPr>
          <w:spacing w:val="-16"/>
        </w:rPr>
        <w:t> </w:t>
      </w:r>
      <w:r>
        <w:rPr/>
        <w:t>parādnieka</w:t>
      </w:r>
      <w:r>
        <w:rPr>
          <w:spacing w:val="-15"/>
        </w:rPr>
        <w:t> </w:t>
      </w:r>
      <w:r>
        <w:rPr/>
        <w:t>kopējo</w:t>
      </w:r>
      <w:r>
        <w:rPr>
          <w:spacing w:val="-12"/>
        </w:rPr>
        <w:t> </w:t>
      </w:r>
      <w:r>
        <w:rPr/>
        <w:t>mantas</w:t>
      </w:r>
      <w:r>
        <w:rPr>
          <w:spacing w:val="-12"/>
        </w:rPr>
        <w:t> </w:t>
      </w:r>
      <w:r>
        <w:rPr/>
        <w:t>apmēru</w:t>
      </w:r>
      <w:r>
        <w:rPr>
          <w:spacing w:val="-12"/>
        </w:rPr>
        <w:t> </w:t>
      </w:r>
      <w:r>
        <w:rPr/>
        <w:t>un</w:t>
      </w:r>
      <w:r>
        <w:rPr>
          <w:spacing w:val="-10"/>
        </w:rPr>
        <w:t> </w:t>
      </w:r>
      <w:r>
        <w:rPr/>
        <w:t>ienākumiem,</w:t>
      </w:r>
      <w:r>
        <w:rPr>
          <w:spacing w:val="-12"/>
        </w:rPr>
        <w:t> </w:t>
      </w:r>
      <w:r>
        <w:rPr/>
        <w:t>ir</w:t>
      </w:r>
      <w:r>
        <w:rPr>
          <w:spacing w:val="-12"/>
        </w:rPr>
        <w:t> </w:t>
      </w:r>
      <w:r>
        <w:rPr/>
        <w:t>nesamērīgi</w:t>
      </w:r>
      <w:r>
        <w:rPr>
          <w:spacing w:val="-10"/>
        </w:rPr>
        <w:t> </w:t>
      </w:r>
      <w:r>
        <w:rPr/>
        <w:t>lieli;</w:t>
      </w:r>
      <w:r>
        <w:rPr>
          <w:position w:val="9"/>
          <w:sz w:val="16"/>
        </w:rPr>
        <w:t>426</w:t>
      </w:r>
      <w:r>
        <w:rPr>
          <w:spacing w:val="9"/>
          <w:position w:val="9"/>
          <w:sz w:val="16"/>
        </w:rPr>
        <w:t> </w:t>
      </w:r>
      <w:r>
        <w:rPr/>
        <w:t>preču atsavināšana stipri zem tās patiesās vērtības (tiesas spriedumā minēta parādnieka mājas nodošana bezatlīdzības lietošanā);</w:t>
      </w:r>
      <w:r>
        <w:rPr>
          <w:position w:val="9"/>
          <w:sz w:val="16"/>
        </w:rPr>
        <w:t>427 </w:t>
      </w:r>
      <w:r>
        <w:rPr/>
        <w:t>tīša vērtību iznīcināšana</w:t>
      </w:r>
      <w:r>
        <w:rPr>
          <w:position w:val="9"/>
          <w:sz w:val="16"/>
        </w:rPr>
        <w:t>428</w:t>
      </w:r>
      <w:r>
        <w:rPr/>
        <w:t>. Tiesu praksē minēti </w:t>
      </w:r>
      <w:r>
        <w:rPr>
          <w:spacing w:val="-3"/>
        </w:rPr>
        <w:t>arī </w:t>
      </w:r>
      <w:r>
        <w:rPr/>
        <w:t>piemēri, kāda parādnieka rīcība nebūtu uzskatāma par negodprātīgu, piemēram, atsevišķu kreditoru prasījumu, kuriem vēl nav iestājies saistību izpildes termiņš, apmierināšana pēc maksātnespējas pazīmes iestāšanās, taču pirms maksātnespējas procesa pasludināšanas;</w:t>
      </w:r>
      <w:r>
        <w:rPr>
          <w:position w:val="9"/>
          <w:sz w:val="16"/>
        </w:rPr>
        <w:t>429 </w:t>
      </w:r>
      <w:r>
        <w:rPr/>
        <w:t>mantojuma atraidīšanu nevar uzskatīt par parādnieka negodprātīgu rīcību </w:t>
      </w:r>
      <w:r>
        <w:rPr>
          <w:i/>
        </w:rPr>
        <w:t>§ 290 pirmās </w:t>
      </w:r>
      <w:r>
        <w:rPr>
          <w:i/>
        </w:rPr>
        <w:t>daļas</w:t>
      </w:r>
      <w:r>
        <w:rPr>
          <w:i/>
          <w:spacing w:val="-10"/>
        </w:rPr>
        <w:t> </w:t>
      </w:r>
      <w:r>
        <w:rPr>
          <w:i/>
        </w:rPr>
        <w:t>4.punkta</w:t>
      </w:r>
      <w:r>
        <w:rPr>
          <w:i/>
          <w:spacing w:val="-8"/>
        </w:rPr>
        <w:t> </w:t>
      </w:r>
      <w:r>
        <w:rPr/>
        <w:t>izpratnē,</w:t>
      </w:r>
      <w:r>
        <w:rPr>
          <w:spacing w:val="-9"/>
        </w:rPr>
        <w:t> </w:t>
      </w:r>
      <w:r>
        <w:rPr/>
        <w:t>jo</w:t>
      </w:r>
      <w:r>
        <w:rPr>
          <w:spacing w:val="-9"/>
        </w:rPr>
        <w:t> </w:t>
      </w:r>
      <w:r>
        <w:rPr/>
        <w:t>mantojuma</w:t>
      </w:r>
      <w:r>
        <w:rPr>
          <w:spacing w:val="-9"/>
        </w:rPr>
        <w:t> </w:t>
      </w:r>
      <w:r>
        <w:rPr/>
        <w:t>pieņemšana</w:t>
      </w:r>
      <w:r>
        <w:rPr>
          <w:spacing w:val="-11"/>
        </w:rPr>
        <w:t> </w:t>
      </w:r>
      <w:r>
        <w:rPr/>
        <w:t>vai</w:t>
      </w:r>
      <w:r>
        <w:rPr>
          <w:spacing w:val="-10"/>
        </w:rPr>
        <w:t> </w:t>
      </w:r>
      <w:r>
        <w:rPr/>
        <w:t>atraidīšana</w:t>
      </w:r>
      <w:r>
        <w:rPr>
          <w:spacing w:val="-9"/>
        </w:rPr>
        <w:t> </w:t>
      </w:r>
      <w:r>
        <w:rPr/>
        <w:t>ir</w:t>
      </w:r>
      <w:r>
        <w:rPr>
          <w:spacing w:val="-9"/>
        </w:rPr>
        <w:t> </w:t>
      </w:r>
      <w:r>
        <w:rPr/>
        <w:t>parādnieka</w:t>
      </w:r>
      <w:r>
        <w:rPr>
          <w:spacing w:val="-11"/>
        </w:rPr>
        <w:t> </w:t>
      </w:r>
      <w:r>
        <w:rPr/>
        <w:t>personiska tiesība.</w:t>
      </w:r>
      <w:r>
        <w:rPr>
          <w:position w:val="9"/>
          <w:sz w:val="16"/>
        </w:rPr>
        <w:t>430 </w:t>
      </w:r>
      <w:r>
        <w:rPr/>
        <w:t>Parādnieka prettiesiska rīcība, kas izraisījusi parādniekam pienākumu atlīdzināt trešajai personai prettiesiskās rīcības rezultātā radītos zaudējumus, nevar tikt uzskatīta par parādnieka negodprātīgu rīcību </w:t>
      </w:r>
      <w:r>
        <w:rPr>
          <w:i/>
        </w:rPr>
        <w:t>§ 290 pirmās daļas 4.punkta</w:t>
      </w:r>
      <w:r>
        <w:rPr>
          <w:i/>
          <w:spacing w:val="-3"/>
        </w:rPr>
        <w:t> </w:t>
      </w:r>
      <w:r>
        <w:rPr/>
        <w:t>izpratnē.</w:t>
      </w:r>
      <w:r>
        <w:rPr>
          <w:position w:val="9"/>
          <w:sz w:val="16"/>
        </w:rPr>
        <w:t>431</w:t>
      </w:r>
    </w:p>
    <w:p>
      <w:pPr>
        <w:pStyle w:val="BodyText"/>
        <w:ind w:left="620" w:right="403" w:firstLine="420"/>
      </w:pPr>
      <w:r>
        <w:rPr/>
        <w:t>Savukārt </w:t>
      </w:r>
      <w:r>
        <w:rPr>
          <w:i/>
        </w:rPr>
        <w:t>§ 290 pirmās daļas 4.punkta </w:t>
      </w:r>
      <w:r>
        <w:rPr/>
        <w:t>noteiktā parādnieka rīcība – “nepastāvot izredzēm uz parādnieka finansiālā stāvokļa uzlabošanos, parādnieks novilcina maksātnespējas procesa pieteikuma iesniegšanu” -, nav uzskatāma par likumā</w:t>
      </w:r>
      <w:r>
        <w:rPr>
          <w:spacing w:val="-28"/>
        </w:rPr>
        <w:t> </w:t>
      </w:r>
      <w:r>
        <w:rPr/>
        <w:t>nostiprinātu parādnieka pienākumu sniegt maksātnespējas pieteikumu. Minētās normas mērķis </w:t>
      </w:r>
      <w:r>
        <w:rPr>
          <w:spacing w:val="-6"/>
        </w:rPr>
        <w:t>ir </w:t>
      </w:r>
      <w:r>
        <w:rPr/>
        <w:t>novērst</w:t>
      </w:r>
      <w:r>
        <w:rPr>
          <w:spacing w:val="-14"/>
        </w:rPr>
        <w:t> </w:t>
      </w:r>
      <w:r>
        <w:rPr/>
        <w:t>tādu</w:t>
      </w:r>
      <w:r>
        <w:rPr>
          <w:spacing w:val="-16"/>
        </w:rPr>
        <w:t> </w:t>
      </w:r>
      <w:r>
        <w:rPr/>
        <w:t>situāciju,</w:t>
      </w:r>
      <w:r>
        <w:rPr>
          <w:spacing w:val="-16"/>
        </w:rPr>
        <w:t> </w:t>
      </w:r>
      <w:r>
        <w:rPr/>
        <w:t>kad</w:t>
      </w:r>
      <w:r>
        <w:rPr>
          <w:spacing w:val="-16"/>
        </w:rPr>
        <w:t> </w:t>
      </w:r>
      <w:r>
        <w:rPr/>
        <w:t>parādnieks,</w:t>
      </w:r>
      <w:r>
        <w:rPr>
          <w:spacing w:val="-16"/>
        </w:rPr>
        <w:t> </w:t>
      </w:r>
      <w:r>
        <w:rPr/>
        <w:t>maldinādams</w:t>
      </w:r>
      <w:r>
        <w:rPr>
          <w:spacing w:val="-16"/>
        </w:rPr>
        <w:t> </w:t>
      </w:r>
      <w:r>
        <w:rPr/>
        <w:t>kreditorus</w:t>
      </w:r>
      <w:r>
        <w:rPr>
          <w:spacing w:val="-16"/>
        </w:rPr>
        <w:t> </w:t>
      </w:r>
      <w:r>
        <w:rPr/>
        <w:t>par</w:t>
      </w:r>
      <w:r>
        <w:rPr>
          <w:spacing w:val="-16"/>
        </w:rPr>
        <w:t> </w:t>
      </w:r>
      <w:r>
        <w:rPr/>
        <w:t>savu</w:t>
      </w:r>
      <w:r>
        <w:rPr>
          <w:spacing w:val="-16"/>
        </w:rPr>
        <w:t> </w:t>
      </w:r>
      <w:r>
        <w:rPr/>
        <w:t>finansiālo</w:t>
      </w:r>
      <w:r>
        <w:rPr>
          <w:spacing w:val="-16"/>
        </w:rPr>
        <w:t> </w:t>
      </w:r>
      <w:r>
        <w:rPr/>
        <w:t>stāvokli, panāk</w:t>
      </w:r>
      <w:r>
        <w:rPr>
          <w:spacing w:val="-12"/>
        </w:rPr>
        <w:t> </w:t>
      </w:r>
      <w:r>
        <w:rPr/>
        <w:t>to,</w:t>
      </w:r>
      <w:r>
        <w:rPr>
          <w:spacing w:val="-9"/>
        </w:rPr>
        <w:t> </w:t>
      </w:r>
      <w:r>
        <w:rPr/>
        <w:t>ka</w:t>
      </w:r>
      <w:r>
        <w:rPr>
          <w:spacing w:val="-9"/>
        </w:rPr>
        <w:t> </w:t>
      </w:r>
      <w:r>
        <w:rPr/>
        <w:t>kreditors</w:t>
      </w:r>
      <w:r>
        <w:rPr>
          <w:spacing w:val="-11"/>
        </w:rPr>
        <w:t> </w:t>
      </w:r>
      <w:r>
        <w:rPr/>
        <w:t>savlaicīgi</w:t>
      </w:r>
      <w:r>
        <w:rPr>
          <w:spacing w:val="-9"/>
        </w:rPr>
        <w:t> </w:t>
      </w:r>
      <w:r>
        <w:rPr/>
        <w:t>neiesniedz</w:t>
      </w:r>
      <w:r>
        <w:rPr>
          <w:spacing w:val="-7"/>
        </w:rPr>
        <w:t> </w:t>
      </w:r>
      <w:r>
        <w:rPr/>
        <w:t>parādnieka</w:t>
      </w:r>
      <w:r>
        <w:rPr>
          <w:spacing w:val="-9"/>
        </w:rPr>
        <w:t> </w:t>
      </w:r>
      <w:r>
        <w:rPr/>
        <w:t>maksātnespējas</w:t>
      </w:r>
      <w:r>
        <w:rPr>
          <w:spacing w:val="-9"/>
        </w:rPr>
        <w:t> </w:t>
      </w:r>
      <w:r>
        <w:rPr/>
        <w:t>procesa</w:t>
      </w:r>
      <w:r>
        <w:rPr>
          <w:spacing w:val="-9"/>
        </w:rPr>
        <w:t> </w:t>
      </w:r>
      <w:r>
        <w:rPr/>
        <w:t>pieteikumu tiesā. Šajā gadījumā parādnieka rīcībai jābūt</w:t>
      </w:r>
      <w:r>
        <w:rPr>
          <w:spacing w:val="-3"/>
        </w:rPr>
        <w:t> </w:t>
      </w:r>
      <w:r>
        <w:rPr/>
        <w:t>aktīvai.</w:t>
      </w:r>
    </w:p>
    <w:p>
      <w:pPr>
        <w:pStyle w:val="BodyText"/>
        <w:spacing w:line="237" w:lineRule="auto"/>
        <w:ind w:left="620" w:right="402" w:firstLine="420"/>
        <w:rPr>
          <w:sz w:val="16"/>
        </w:rPr>
      </w:pPr>
      <w:r>
        <w:rPr/>
        <w:t>Pie tam attiecībā uz </w:t>
      </w:r>
      <w:r>
        <w:rPr>
          <w:i/>
        </w:rPr>
        <w:t>§ 290 pirmās daļas 4.punktā </w:t>
      </w:r>
      <w:r>
        <w:rPr/>
        <w:t>noteiktajām tiesiskajām sekām, kā būtisks kritērijs norādāms, ka parādnieka rīcības rezultātā radītajam kreditoru prasījumu apmierināšanas aizskārumam jābūt tādam, kas ir ietekmējis kreditora prasījuma apmierināšanai novirzāmās naudas summas apmēru parādnieka maksātnespējas procesa ietvaros. Proti, kreditoru prasījumu segšanai tiktu novirzīti naudas līdzekļi lielākā apmērā, ja parādnieks nebūtu veicis tiesību normas sastāvā noteiktās negodprātīgās darbības. Tādejādi</w:t>
      </w:r>
      <w:r>
        <w:rPr>
          <w:spacing w:val="-13"/>
        </w:rPr>
        <w:t> </w:t>
      </w:r>
      <w:r>
        <w:rPr/>
        <w:t>jākonstatē</w:t>
      </w:r>
      <w:r>
        <w:rPr>
          <w:spacing w:val="-16"/>
        </w:rPr>
        <w:t> </w:t>
      </w:r>
      <w:r>
        <w:rPr/>
        <w:t>cēloņsakarība</w:t>
      </w:r>
      <w:r>
        <w:rPr>
          <w:spacing w:val="-12"/>
        </w:rPr>
        <w:t> </w:t>
      </w:r>
      <w:r>
        <w:rPr/>
        <w:t>starp</w:t>
      </w:r>
      <w:r>
        <w:rPr>
          <w:spacing w:val="-13"/>
        </w:rPr>
        <w:t> </w:t>
      </w:r>
      <w:r>
        <w:rPr/>
        <w:t>parādnieka</w:t>
      </w:r>
      <w:r>
        <w:rPr>
          <w:spacing w:val="-11"/>
        </w:rPr>
        <w:t> </w:t>
      </w:r>
      <w:r>
        <w:rPr/>
        <w:t>negodprātīgo</w:t>
      </w:r>
      <w:r>
        <w:rPr>
          <w:spacing w:val="-13"/>
        </w:rPr>
        <w:t> </w:t>
      </w:r>
      <w:r>
        <w:rPr/>
        <w:t>rīcību</w:t>
      </w:r>
      <w:r>
        <w:rPr>
          <w:spacing w:val="-12"/>
        </w:rPr>
        <w:t> </w:t>
      </w:r>
      <w:r>
        <w:rPr/>
        <w:t>un</w:t>
      </w:r>
      <w:r>
        <w:rPr>
          <w:spacing w:val="-13"/>
        </w:rPr>
        <w:t> </w:t>
      </w:r>
      <w:r>
        <w:rPr/>
        <w:t>kreditora</w:t>
      </w:r>
      <w:r>
        <w:rPr>
          <w:spacing w:val="-16"/>
        </w:rPr>
        <w:t> </w:t>
      </w:r>
      <w:r>
        <w:rPr/>
        <w:t>tiesību aizskārumu gūt sava prasījuma pilnīgāku</w:t>
      </w:r>
      <w:r>
        <w:rPr>
          <w:spacing w:val="-2"/>
        </w:rPr>
        <w:t> </w:t>
      </w:r>
      <w:r>
        <w:rPr/>
        <w:t>apmierinājumu.</w:t>
      </w:r>
      <w:r>
        <w:rPr>
          <w:position w:val="9"/>
          <w:sz w:val="16"/>
        </w:rPr>
        <w:t>432</w:t>
      </w:r>
    </w:p>
    <w:p>
      <w:pPr>
        <w:pStyle w:val="ListParagraph"/>
        <w:numPr>
          <w:ilvl w:val="2"/>
          <w:numId w:val="94"/>
        </w:numPr>
        <w:tabs>
          <w:tab w:pos="1328" w:val="left" w:leader="none"/>
        </w:tabs>
        <w:spacing w:line="240" w:lineRule="auto" w:before="0" w:after="0"/>
        <w:ind w:left="620" w:right="403" w:firstLine="420"/>
        <w:jc w:val="both"/>
        <w:rPr>
          <w:sz w:val="24"/>
        </w:rPr>
      </w:pPr>
      <w:r>
        <w:rPr>
          <w:b/>
          <w:i/>
          <w:sz w:val="24"/>
        </w:rPr>
        <w:t>Parādnieka negodprātība maksātnespējas procesa laikā. </w:t>
      </w:r>
      <w:r>
        <w:rPr>
          <w:sz w:val="24"/>
        </w:rPr>
        <w:t>Vācijas Maksātnespējas likuma </w:t>
      </w:r>
      <w:r>
        <w:rPr>
          <w:i/>
          <w:sz w:val="24"/>
        </w:rPr>
        <w:t>§ 290 pirmās daļas 5.-7.punktos </w:t>
      </w:r>
      <w:r>
        <w:rPr>
          <w:sz w:val="24"/>
        </w:rPr>
        <w:t>noteiktais normas tiesiskais sastāvs raksturo </w:t>
      </w:r>
      <w:r>
        <w:rPr>
          <w:spacing w:val="-3"/>
          <w:sz w:val="24"/>
        </w:rPr>
        <w:t>tādu </w:t>
      </w:r>
      <w:r>
        <w:rPr>
          <w:sz w:val="24"/>
        </w:rPr>
        <w:t>parādnieka negodprātīgu rīcību, kas veikta maksātnespējas procesa laikā un ar minēto parādnieka rīcību pārkāpta Vācijas Maksātnespējas likumā noteiktie parādnieka pienākumi.</w:t>
      </w:r>
    </w:p>
    <w:p>
      <w:pPr>
        <w:pStyle w:val="BodyText"/>
        <w:ind w:left="620" w:right="402" w:firstLine="420"/>
      </w:pPr>
      <w:r>
        <w:rPr/>
        <w:t>Saskaņā ar Vācijas Maksātnespējas likuma </w:t>
      </w:r>
      <w:r>
        <w:rPr>
          <w:i/>
        </w:rPr>
        <w:t>§ 290 pirmās daļas 5.-7.punktiem </w:t>
      </w:r>
      <w:r>
        <w:rPr/>
        <w:t>tiesa ar lēmumu atsaka parādnieka atbrīvošanu no parādsaistībām, ja iestājies kāds no zemāk minētajiem gadījumiem:</w:t>
      </w:r>
    </w:p>
    <w:p>
      <w:pPr>
        <w:pStyle w:val="ListParagraph"/>
        <w:numPr>
          <w:ilvl w:val="0"/>
          <w:numId w:val="103"/>
        </w:numPr>
        <w:tabs>
          <w:tab w:pos="1304" w:val="left" w:leader="none"/>
        </w:tabs>
        <w:spacing w:line="240" w:lineRule="auto" w:before="0" w:after="0"/>
        <w:ind w:left="1327" w:right="402" w:hanging="281"/>
        <w:jc w:val="both"/>
        <w:rPr>
          <w:sz w:val="24"/>
        </w:rPr>
      </w:pPr>
      <w:r>
        <w:rPr>
          <w:i/>
          <w:sz w:val="24"/>
          <w:u w:val="single"/>
        </w:rPr>
        <w:t>) 5.punkts:</w:t>
      </w:r>
      <w:r>
        <w:rPr>
          <w:i/>
          <w:sz w:val="24"/>
        </w:rPr>
        <w:t> </w:t>
      </w:r>
      <w:r>
        <w:rPr>
          <w:sz w:val="24"/>
        </w:rPr>
        <w:t>Parādnieks ar nodomu vai aiz rupjas neuzmanības ir pārkāpis šajā likumā noteikto ziņu sniegšanas un līdzdarbošanās</w:t>
      </w:r>
      <w:r>
        <w:rPr>
          <w:spacing w:val="-1"/>
          <w:sz w:val="24"/>
        </w:rPr>
        <w:t> </w:t>
      </w:r>
      <w:r>
        <w:rPr>
          <w:sz w:val="24"/>
        </w:rPr>
        <w:t>pienākumu;</w:t>
      </w:r>
    </w:p>
    <w:p>
      <w:pPr>
        <w:pStyle w:val="ListParagraph"/>
        <w:numPr>
          <w:ilvl w:val="0"/>
          <w:numId w:val="103"/>
        </w:numPr>
        <w:tabs>
          <w:tab w:pos="1389" w:val="left" w:leader="none"/>
        </w:tabs>
        <w:spacing w:line="240" w:lineRule="auto" w:before="0" w:after="0"/>
        <w:ind w:left="1327" w:right="401" w:hanging="281"/>
        <w:jc w:val="both"/>
        <w:rPr>
          <w:sz w:val="24"/>
        </w:rPr>
      </w:pPr>
      <w:r>
        <w:rPr/>
        <w:tab/>
      </w:r>
      <w:r>
        <w:rPr>
          <w:i/>
          <w:sz w:val="24"/>
          <w:u w:val="single"/>
        </w:rPr>
        <w:t>)  6.punkts:</w:t>
      </w:r>
      <w:r>
        <w:rPr>
          <w:i/>
          <w:sz w:val="24"/>
        </w:rPr>
        <w:t>  </w:t>
      </w:r>
      <w:r>
        <w:rPr>
          <w:sz w:val="24"/>
        </w:rPr>
        <w:t>Parādnieks  ar  nodomu  vai  aiz  rupjas   neuzmanības   sniedzis tiesai nepatiesas vai nepilnīgas ziņas par savu mantisko</w:t>
      </w:r>
      <w:r>
        <w:rPr>
          <w:spacing w:val="-10"/>
          <w:sz w:val="24"/>
        </w:rPr>
        <w:t> </w:t>
      </w:r>
      <w:r>
        <w:rPr>
          <w:sz w:val="24"/>
        </w:rPr>
        <w:t>stāvokli;</w:t>
      </w:r>
    </w:p>
    <w:p>
      <w:pPr>
        <w:pStyle w:val="BodyText"/>
        <w:spacing w:before="7"/>
        <w:jc w:val="left"/>
        <w:rPr>
          <w:sz w:val="20"/>
        </w:rPr>
      </w:pPr>
      <w:r>
        <w:rPr/>
        <w:pict>
          <v:shape style="position:absolute;margin-left:90pt;margin-top:14.099059pt;width:144pt;height:.1pt;mso-position-horizontal-relative:page;mso-position-vertical-relative:paragraph;z-index:-251466752;mso-wrap-distance-left:0;mso-wrap-distance-right:0" coordorigin="1800,282" coordsize="2880,0" path="m1800,282l4680,282e" filled="false" stroked="true" strokeweight=".599991pt" strokecolor="#000000">
            <v:path arrowok="t"/>
            <v:stroke dashstyle="solid"/>
            <w10:wrap type="topAndBottom"/>
          </v:shape>
        </w:pict>
      </w:r>
    </w:p>
    <w:p>
      <w:pPr>
        <w:spacing w:before="70"/>
        <w:ind w:left="620" w:right="398" w:firstLine="0"/>
        <w:jc w:val="left"/>
        <w:rPr>
          <w:sz w:val="20"/>
        </w:rPr>
      </w:pPr>
      <w:r>
        <w:rPr>
          <w:position w:val="7"/>
          <w:sz w:val="13"/>
        </w:rPr>
        <w:t>425 </w:t>
      </w:r>
      <w:r>
        <w:rPr>
          <w:sz w:val="20"/>
        </w:rPr>
        <w:t>BGH ZVI 2005, 643; Kayser/Thole “Insolvenzordnung” Heidelberger Kommentar, 9. neu bearbeitete Auflage, C.F.Mueller, 2018,/Waltenberger Kommentare § 290, S.2201.</w:t>
      </w:r>
    </w:p>
    <w:p>
      <w:pPr>
        <w:spacing w:line="240" w:lineRule="auto" w:before="0"/>
        <w:ind w:left="620" w:right="0" w:firstLine="0"/>
        <w:jc w:val="left"/>
        <w:rPr>
          <w:sz w:val="20"/>
        </w:rPr>
      </w:pPr>
      <w:r>
        <w:rPr>
          <w:position w:val="7"/>
          <w:sz w:val="13"/>
        </w:rPr>
        <w:t>426 </w:t>
      </w:r>
      <w:r>
        <w:rPr>
          <w:sz w:val="20"/>
        </w:rPr>
        <w:t>BGH ZInsO 2006, 1103; Kayser/Thole “Insolvenzordnung” Heidelberger Kommentar, 9. neu bearbeitete Auflage, C.F.Mueller, 2018,/Waltenberger Kommentare § 290, S.2201 f.</w:t>
      </w:r>
    </w:p>
    <w:p>
      <w:pPr>
        <w:spacing w:line="240" w:lineRule="auto" w:before="0"/>
        <w:ind w:left="620" w:right="398" w:firstLine="0"/>
        <w:jc w:val="left"/>
        <w:rPr>
          <w:sz w:val="20"/>
        </w:rPr>
      </w:pPr>
      <w:r>
        <w:rPr>
          <w:position w:val="7"/>
          <w:sz w:val="13"/>
        </w:rPr>
        <w:t>427 </w:t>
      </w:r>
      <w:r>
        <w:rPr>
          <w:sz w:val="20"/>
        </w:rPr>
        <w:t>BGH ZInsO 2009, 732; BGH 10.12.2009-IX ZB 20/08; Kayser/Thole “Insolvenzordnung” § 290, 2202 lpp.</w:t>
      </w:r>
    </w:p>
    <w:p>
      <w:pPr>
        <w:spacing w:line="228" w:lineRule="exact" w:before="0"/>
        <w:ind w:left="620" w:right="0" w:firstLine="0"/>
        <w:jc w:val="left"/>
        <w:rPr>
          <w:sz w:val="20"/>
        </w:rPr>
      </w:pPr>
      <w:r>
        <w:rPr>
          <w:position w:val="7"/>
          <w:sz w:val="13"/>
        </w:rPr>
        <w:t>428 </w:t>
      </w:r>
      <w:r>
        <w:rPr>
          <w:sz w:val="20"/>
        </w:rPr>
        <w:t>BGH ZVI 2009,453; Kayser/Thole “Insolvenzordnung” § 290, S. 2202.</w:t>
      </w:r>
    </w:p>
    <w:p>
      <w:pPr>
        <w:spacing w:line="229" w:lineRule="exact" w:before="0"/>
        <w:ind w:left="620" w:right="0" w:firstLine="0"/>
        <w:jc w:val="left"/>
        <w:rPr>
          <w:sz w:val="20"/>
        </w:rPr>
      </w:pPr>
      <w:r>
        <w:rPr>
          <w:position w:val="7"/>
          <w:sz w:val="13"/>
        </w:rPr>
        <w:t>429 </w:t>
      </w:r>
      <w:r>
        <w:rPr>
          <w:sz w:val="20"/>
        </w:rPr>
        <w:t>BGH 5.3.2009 – IX ZB 141, 08; Kayser/Thole “Insolvenzordnung” § 290, S.2202.</w:t>
      </w:r>
    </w:p>
    <w:p>
      <w:pPr>
        <w:spacing w:line="230" w:lineRule="exact" w:before="0"/>
        <w:ind w:left="620" w:right="0" w:firstLine="0"/>
        <w:jc w:val="left"/>
        <w:rPr>
          <w:sz w:val="20"/>
        </w:rPr>
      </w:pPr>
      <w:r>
        <w:rPr>
          <w:position w:val="7"/>
          <w:sz w:val="13"/>
        </w:rPr>
        <w:t>430 </w:t>
      </w:r>
      <w:r>
        <w:rPr>
          <w:sz w:val="20"/>
        </w:rPr>
        <w:t>LG Mainz ZVI 2003, 362; Kayser/Thole “Insolvenzordnung” § 290, S.2202.</w:t>
      </w:r>
    </w:p>
    <w:p>
      <w:pPr>
        <w:spacing w:line="230" w:lineRule="exact" w:before="0"/>
        <w:ind w:left="620" w:right="0" w:firstLine="0"/>
        <w:jc w:val="left"/>
        <w:rPr>
          <w:sz w:val="20"/>
        </w:rPr>
      </w:pPr>
      <w:r>
        <w:rPr>
          <w:position w:val="7"/>
          <w:sz w:val="13"/>
        </w:rPr>
        <w:t>431 </w:t>
      </w:r>
      <w:r>
        <w:rPr>
          <w:sz w:val="20"/>
        </w:rPr>
        <w:t>LG Duesseldorf NZI 2009, 193; Kayser/Thole “Insolvenzordnung”, Waltenberger § 290, S.2202.</w:t>
      </w:r>
    </w:p>
    <w:p>
      <w:pPr>
        <w:spacing w:line="233" w:lineRule="exact" w:before="0"/>
        <w:ind w:left="620" w:right="0" w:firstLine="0"/>
        <w:jc w:val="left"/>
        <w:rPr>
          <w:sz w:val="20"/>
        </w:rPr>
      </w:pPr>
      <w:r>
        <w:rPr>
          <w:position w:val="7"/>
          <w:sz w:val="13"/>
        </w:rPr>
        <w:t>432 </w:t>
      </w:r>
      <w:r>
        <w:rPr>
          <w:sz w:val="20"/>
        </w:rPr>
        <w:t>Kayser/Thole “Insolvenzordnung”, Waltenberger § 290, S.2203.</w:t>
      </w:r>
    </w:p>
    <w:p>
      <w:pPr>
        <w:spacing w:after="0" w:line="233" w:lineRule="exact"/>
        <w:jc w:val="left"/>
        <w:rPr>
          <w:sz w:val="20"/>
        </w:rPr>
        <w:sectPr>
          <w:pgSz w:w="11910" w:h="16840"/>
          <w:pgMar w:header="0" w:footer="1055" w:top="1320" w:bottom="1240" w:left="1180" w:right="1040"/>
        </w:sectPr>
      </w:pPr>
    </w:p>
    <w:p>
      <w:pPr>
        <w:pStyle w:val="ListParagraph"/>
        <w:numPr>
          <w:ilvl w:val="0"/>
          <w:numId w:val="103"/>
        </w:numPr>
        <w:tabs>
          <w:tab w:pos="952" w:val="left" w:leader="none"/>
        </w:tabs>
        <w:spacing w:line="240" w:lineRule="auto" w:before="73" w:after="0"/>
        <w:ind w:left="967" w:right="762" w:hanging="281"/>
        <w:jc w:val="both"/>
        <w:rPr>
          <w:sz w:val="24"/>
        </w:rPr>
      </w:pPr>
      <w:r>
        <w:rPr>
          <w:i/>
          <w:sz w:val="24"/>
          <w:u w:val="single"/>
        </w:rPr>
        <w:t>) 7.punkts</w:t>
      </w:r>
      <w:r>
        <w:rPr>
          <w:i/>
          <w:sz w:val="24"/>
        </w:rPr>
        <w:t> </w:t>
      </w:r>
      <w:r>
        <w:rPr>
          <w:sz w:val="24"/>
        </w:rPr>
        <w:t>Parādnieks maksātnespējas procesa laikā pārkāpj Vācijas Maksātnespējas likuma </w:t>
      </w:r>
      <w:r>
        <w:rPr>
          <w:i/>
          <w:sz w:val="24"/>
        </w:rPr>
        <w:t>§ 287b </w:t>
      </w:r>
      <w:r>
        <w:rPr>
          <w:sz w:val="24"/>
        </w:rPr>
        <w:t>noteikto pienākumu būt nodarbinātam un gūt ienākumus atbilstoši savām spējām, un  tādejādi  pasliktina  kreditoru  iespējas  gūt sava  prasījuma pilnīgāku apmierinājumu, izņemot ja nav konstatēta parādnieka vaina. Parādniekam par to, ka viņš nav pārkāpis </w:t>
      </w:r>
      <w:r>
        <w:rPr>
          <w:i/>
          <w:sz w:val="24"/>
        </w:rPr>
        <w:t>§ 287b </w:t>
      </w:r>
      <w:r>
        <w:rPr>
          <w:sz w:val="24"/>
        </w:rPr>
        <w:t>noteikto pienākumu, jāsniedz paskaidrojumi tiesai, un pēc kreditora pieprasījuma, minētie paskaidrojumi jāapliecina ar zvērestu. Ja parādnieks nesniedz tiesai paskaidrojumus vai zvērestu tiesas noteiktajā termiņā bez  attaisnojoša  pamata, vai neierodas uz tiesu, neinformējot tiesu par attaisnojošiem neierašanās iemesliem, tad tiesa nepiemēro</w:t>
      </w:r>
      <w:r>
        <w:rPr>
          <w:spacing w:val="8"/>
          <w:sz w:val="24"/>
        </w:rPr>
        <w:t> </w:t>
      </w:r>
      <w:r>
        <w:rPr>
          <w:sz w:val="24"/>
        </w:rPr>
        <w:t>parādniekam saistību dzēšanas procedūru.</w:t>
      </w:r>
    </w:p>
    <w:p>
      <w:pPr>
        <w:pStyle w:val="BodyText"/>
        <w:spacing w:before="3"/>
        <w:jc w:val="left"/>
      </w:pPr>
    </w:p>
    <w:p>
      <w:pPr>
        <w:pStyle w:val="BodyText"/>
        <w:spacing w:line="237" w:lineRule="auto"/>
        <w:ind w:left="260" w:right="760" w:firstLine="720"/>
      </w:pPr>
      <w:r>
        <w:rPr/>
        <w:t>Būtisks</w:t>
      </w:r>
      <w:r>
        <w:rPr>
          <w:spacing w:val="-6"/>
        </w:rPr>
        <w:t> </w:t>
      </w:r>
      <w:r>
        <w:rPr/>
        <w:t>apstāklis</w:t>
      </w:r>
      <w:r>
        <w:rPr>
          <w:spacing w:val="-5"/>
        </w:rPr>
        <w:t> </w:t>
      </w:r>
      <w:r>
        <w:rPr/>
        <w:t>šīs</w:t>
      </w:r>
      <w:r>
        <w:rPr>
          <w:spacing w:val="-8"/>
        </w:rPr>
        <w:t> </w:t>
      </w:r>
      <w:r>
        <w:rPr/>
        <w:t>normas</w:t>
      </w:r>
      <w:r>
        <w:rPr>
          <w:spacing w:val="-5"/>
        </w:rPr>
        <w:t> </w:t>
      </w:r>
      <w:r>
        <w:rPr/>
        <w:t>piemērošanā</w:t>
      </w:r>
      <w:r>
        <w:rPr>
          <w:spacing w:val="-5"/>
        </w:rPr>
        <w:t> </w:t>
      </w:r>
      <w:r>
        <w:rPr/>
        <w:t>ir,</w:t>
      </w:r>
      <w:r>
        <w:rPr>
          <w:spacing w:val="-6"/>
        </w:rPr>
        <w:t> </w:t>
      </w:r>
      <w:r>
        <w:rPr/>
        <w:t>ka,</w:t>
      </w:r>
      <w:r>
        <w:rPr>
          <w:spacing w:val="-8"/>
        </w:rPr>
        <w:t> </w:t>
      </w:r>
      <w:r>
        <w:rPr/>
        <w:t>saskaņā</w:t>
      </w:r>
      <w:r>
        <w:rPr>
          <w:spacing w:val="-9"/>
        </w:rPr>
        <w:t> </w:t>
      </w:r>
      <w:r>
        <w:rPr/>
        <w:t>ar</w:t>
      </w:r>
      <w:r>
        <w:rPr>
          <w:spacing w:val="-8"/>
        </w:rPr>
        <w:t> </w:t>
      </w:r>
      <w:r>
        <w:rPr/>
        <w:t>Vācijas</w:t>
      </w:r>
      <w:r>
        <w:rPr>
          <w:spacing w:val="-5"/>
        </w:rPr>
        <w:t> </w:t>
      </w:r>
      <w:r>
        <w:rPr/>
        <w:t>Maksātnespējas likuma </w:t>
      </w:r>
      <w:r>
        <w:rPr>
          <w:i/>
        </w:rPr>
        <w:t>§ 290 pirmās daļas 1.teikumu</w:t>
      </w:r>
      <w:r>
        <w:rPr/>
        <w:t>, pieteikumu, kas pamatots ar </w:t>
      </w:r>
      <w:r>
        <w:rPr>
          <w:i/>
        </w:rPr>
        <w:t>§ 290 pirmās daļas </w:t>
      </w:r>
      <w:r>
        <w:rPr>
          <w:i/>
          <w:spacing w:val="-5"/>
        </w:rPr>
        <w:t>1.- </w:t>
      </w:r>
      <w:r>
        <w:rPr>
          <w:i/>
        </w:rPr>
        <w:t>7.punktos</w:t>
      </w:r>
      <w:r>
        <w:rPr>
          <w:i/>
          <w:spacing w:val="-10"/>
        </w:rPr>
        <w:t> </w:t>
      </w:r>
      <w:r>
        <w:rPr/>
        <w:t>minētajiem</w:t>
      </w:r>
      <w:r>
        <w:rPr>
          <w:spacing w:val="-10"/>
        </w:rPr>
        <w:t> </w:t>
      </w:r>
      <w:r>
        <w:rPr/>
        <w:t>tiesiskajiem</w:t>
      </w:r>
      <w:r>
        <w:rPr>
          <w:spacing w:val="-9"/>
        </w:rPr>
        <w:t> </w:t>
      </w:r>
      <w:r>
        <w:rPr/>
        <w:t>pamatiem</w:t>
      </w:r>
      <w:r>
        <w:rPr>
          <w:spacing w:val="-12"/>
        </w:rPr>
        <w:t> </w:t>
      </w:r>
      <w:r>
        <w:rPr/>
        <w:t>saistību</w:t>
      </w:r>
      <w:r>
        <w:rPr>
          <w:spacing w:val="-9"/>
        </w:rPr>
        <w:t> </w:t>
      </w:r>
      <w:r>
        <w:rPr/>
        <w:t>dzēšanas</w:t>
      </w:r>
      <w:r>
        <w:rPr>
          <w:spacing w:val="-12"/>
        </w:rPr>
        <w:t> </w:t>
      </w:r>
      <w:r>
        <w:rPr/>
        <w:t>procedūras</w:t>
      </w:r>
      <w:r>
        <w:rPr>
          <w:spacing w:val="-12"/>
        </w:rPr>
        <w:t> </w:t>
      </w:r>
      <w:r>
        <w:rPr/>
        <w:t>nepiemērošanai, var</w:t>
      </w:r>
      <w:r>
        <w:rPr>
          <w:spacing w:val="-11"/>
        </w:rPr>
        <w:t> </w:t>
      </w:r>
      <w:r>
        <w:rPr/>
        <w:t>iesniegt</w:t>
      </w:r>
      <w:r>
        <w:rPr>
          <w:spacing w:val="-9"/>
        </w:rPr>
        <w:t> </w:t>
      </w:r>
      <w:r>
        <w:rPr/>
        <w:t>kreditors,</w:t>
      </w:r>
      <w:r>
        <w:rPr>
          <w:spacing w:val="-9"/>
        </w:rPr>
        <w:t> </w:t>
      </w:r>
      <w:r>
        <w:rPr/>
        <w:t>kurš</w:t>
      </w:r>
      <w:r>
        <w:rPr>
          <w:spacing w:val="-9"/>
        </w:rPr>
        <w:t> </w:t>
      </w:r>
      <w:r>
        <w:rPr/>
        <w:t>ir</w:t>
      </w:r>
      <w:r>
        <w:rPr>
          <w:spacing w:val="-7"/>
        </w:rPr>
        <w:t> </w:t>
      </w:r>
      <w:r>
        <w:rPr/>
        <w:t>pieteicis</w:t>
      </w:r>
      <w:r>
        <w:rPr>
          <w:spacing w:val="-9"/>
        </w:rPr>
        <w:t> </w:t>
      </w:r>
      <w:r>
        <w:rPr/>
        <w:t>savu</w:t>
      </w:r>
      <w:r>
        <w:rPr>
          <w:spacing w:val="-9"/>
        </w:rPr>
        <w:t> </w:t>
      </w:r>
      <w:r>
        <w:rPr/>
        <w:t>kreditora</w:t>
      </w:r>
      <w:r>
        <w:rPr>
          <w:spacing w:val="-12"/>
        </w:rPr>
        <w:t> </w:t>
      </w:r>
      <w:r>
        <w:rPr/>
        <w:t>prasījumu</w:t>
      </w:r>
      <w:r>
        <w:rPr>
          <w:spacing w:val="-9"/>
        </w:rPr>
        <w:t> </w:t>
      </w:r>
      <w:r>
        <w:rPr/>
        <w:t>parādnieka</w:t>
      </w:r>
      <w:r>
        <w:rPr>
          <w:spacing w:val="-9"/>
        </w:rPr>
        <w:t> </w:t>
      </w:r>
      <w:r>
        <w:rPr/>
        <w:t>maksātnespējas procesa ietvaros. Vācijas Maksātnespējas likuma </w:t>
      </w:r>
      <w:r>
        <w:rPr>
          <w:i/>
        </w:rPr>
        <w:t>§ 290 otrajā daļā </w:t>
      </w:r>
      <w:r>
        <w:rPr/>
        <w:t>ir noteikts arī</w:t>
      </w:r>
      <w:r>
        <w:rPr>
          <w:spacing w:val="-16"/>
        </w:rPr>
        <w:t> </w:t>
      </w:r>
      <w:r>
        <w:rPr/>
        <w:t>termiņš, kādā kreditors var iesniegt minēto pieteikumu. Proti, kreditors to var iesniegt līdz beigu termiņam vai līdz tiesas lēmumam par bankrota procedūras pārtraukšanu, mantas nepietiekamības dēļ saskaņā ar Vācijas Maksātnespējas </w:t>
      </w:r>
      <w:r>
        <w:rPr>
          <w:i/>
        </w:rPr>
        <w:t>likuma § 211 pirmo daļu</w:t>
      </w:r>
      <w:r>
        <w:rPr/>
        <w:t>.</w:t>
      </w:r>
      <w:r>
        <w:rPr>
          <w:position w:val="9"/>
          <w:sz w:val="16"/>
        </w:rPr>
        <w:t>433 </w:t>
      </w:r>
      <w:r>
        <w:rPr/>
        <w:t>Saskaņā ar Vācijas Maksātnespējas likuma </w:t>
      </w:r>
      <w:r>
        <w:rPr>
          <w:i/>
        </w:rPr>
        <w:t>§ 290 trešo daļu </w:t>
      </w:r>
      <w:r>
        <w:rPr/>
        <w:t>parādnieks un kreditors, kurš sniedzis tiesai pieteikumu, var nekavējoties iesniegt sūdzību par tiesas</w:t>
      </w:r>
      <w:r>
        <w:rPr>
          <w:spacing w:val="-9"/>
        </w:rPr>
        <w:t> </w:t>
      </w:r>
      <w:r>
        <w:rPr/>
        <w:t>lēmumu.</w:t>
      </w:r>
    </w:p>
    <w:p>
      <w:pPr>
        <w:pStyle w:val="BodyText"/>
        <w:spacing w:before="10"/>
        <w:ind w:left="260" w:right="761" w:firstLine="720"/>
      </w:pPr>
      <w:r>
        <w:rPr/>
        <w:t>Ja Vācijas Maksātnespējas likuma </w:t>
      </w:r>
      <w:r>
        <w:rPr>
          <w:i/>
        </w:rPr>
        <w:t>§ 290 pirmās daļas 5.-7.punkts </w:t>
      </w:r>
      <w:r>
        <w:rPr/>
        <w:t>nosaka</w:t>
      </w:r>
      <w:r>
        <w:rPr>
          <w:spacing w:val="-30"/>
        </w:rPr>
        <w:t> </w:t>
      </w:r>
      <w:r>
        <w:rPr/>
        <w:t>atbildību par pienākumu nepildīšanu līdz bankrota procedūras pabeigšanai, tad Vācijas Maksātnespējas</w:t>
      </w:r>
      <w:r>
        <w:rPr>
          <w:spacing w:val="-12"/>
        </w:rPr>
        <w:t> </w:t>
      </w:r>
      <w:r>
        <w:rPr/>
        <w:t>likuma</w:t>
      </w:r>
      <w:r>
        <w:rPr>
          <w:spacing w:val="-15"/>
        </w:rPr>
        <w:t> </w:t>
      </w:r>
      <w:r>
        <w:rPr>
          <w:i/>
        </w:rPr>
        <w:t>§</w:t>
      </w:r>
      <w:r>
        <w:rPr>
          <w:i/>
          <w:spacing w:val="-12"/>
        </w:rPr>
        <w:t> </w:t>
      </w:r>
      <w:r>
        <w:rPr>
          <w:i/>
        </w:rPr>
        <w:t>296</w:t>
      </w:r>
      <w:r>
        <w:rPr>
          <w:i/>
          <w:spacing w:val="-14"/>
        </w:rPr>
        <w:t> </w:t>
      </w:r>
      <w:r>
        <w:rPr/>
        <w:t>nosaka</w:t>
      </w:r>
      <w:r>
        <w:rPr>
          <w:spacing w:val="-17"/>
        </w:rPr>
        <w:t> </w:t>
      </w:r>
      <w:r>
        <w:rPr/>
        <w:t>sekas,</w:t>
      </w:r>
      <w:r>
        <w:rPr>
          <w:spacing w:val="-15"/>
        </w:rPr>
        <w:t> </w:t>
      </w:r>
      <w:r>
        <w:rPr/>
        <w:t>kas</w:t>
      </w:r>
      <w:r>
        <w:rPr>
          <w:spacing w:val="-17"/>
        </w:rPr>
        <w:t> </w:t>
      </w:r>
      <w:r>
        <w:rPr/>
        <w:t>iestājas</w:t>
      </w:r>
      <w:r>
        <w:rPr>
          <w:spacing w:val="-15"/>
        </w:rPr>
        <w:t> </w:t>
      </w:r>
      <w:r>
        <w:rPr/>
        <w:t>parādniekam,</w:t>
      </w:r>
      <w:r>
        <w:rPr>
          <w:spacing w:val="-11"/>
        </w:rPr>
        <w:t> </w:t>
      </w:r>
      <w:r>
        <w:rPr/>
        <w:t>ja</w:t>
      </w:r>
      <w:r>
        <w:rPr>
          <w:spacing w:val="-15"/>
        </w:rPr>
        <w:t> </w:t>
      </w:r>
      <w:r>
        <w:rPr/>
        <w:t>tas</w:t>
      </w:r>
      <w:r>
        <w:rPr>
          <w:spacing w:val="-15"/>
        </w:rPr>
        <w:t> </w:t>
      </w:r>
      <w:r>
        <w:rPr/>
        <w:t>nepilda</w:t>
      </w:r>
      <w:r>
        <w:rPr>
          <w:spacing w:val="-15"/>
        </w:rPr>
        <w:t> </w:t>
      </w:r>
      <w:r>
        <w:rPr/>
        <w:t>Vācijas Maksātnespējas likuma </w:t>
      </w:r>
      <w:r>
        <w:rPr>
          <w:i/>
        </w:rPr>
        <w:t>§ 295 </w:t>
      </w:r>
      <w:r>
        <w:rPr/>
        <w:t>noteiktos pienākumus saistību dzēšanas procedūras laikā. Proti,</w:t>
      </w:r>
      <w:r>
        <w:rPr>
          <w:spacing w:val="-4"/>
        </w:rPr>
        <w:t> </w:t>
      </w:r>
      <w:r>
        <w:rPr/>
        <w:t>tiesa</w:t>
      </w:r>
      <w:r>
        <w:rPr>
          <w:spacing w:val="-9"/>
        </w:rPr>
        <w:t> </w:t>
      </w:r>
      <w:r>
        <w:rPr/>
        <w:t>priekšlaicīgi</w:t>
      </w:r>
      <w:r>
        <w:rPr>
          <w:spacing w:val="-5"/>
        </w:rPr>
        <w:t> </w:t>
      </w:r>
      <w:r>
        <w:rPr/>
        <w:t>(pirms</w:t>
      </w:r>
      <w:r>
        <w:rPr>
          <w:spacing w:val="-6"/>
        </w:rPr>
        <w:t> </w:t>
      </w:r>
      <w:r>
        <w:rPr/>
        <w:t>likumā</w:t>
      </w:r>
      <w:r>
        <w:rPr>
          <w:spacing w:val="-4"/>
        </w:rPr>
        <w:t> </w:t>
      </w:r>
      <w:r>
        <w:rPr/>
        <w:t>noteiktā</w:t>
      </w:r>
      <w:r>
        <w:rPr>
          <w:spacing w:val="-5"/>
        </w:rPr>
        <w:t> </w:t>
      </w:r>
      <w:r>
        <w:rPr/>
        <w:t>6</w:t>
      </w:r>
      <w:r>
        <w:rPr>
          <w:spacing w:val="-3"/>
        </w:rPr>
        <w:t> </w:t>
      </w:r>
      <w:r>
        <w:rPr/>
        <w:t>gadu</w:t>
      </w:r>
      <w:r>
        <w:rPr>
          <w:spacing w:val="-6"/>
        </w:rPr>
        <w:t> </w:t>
      </w:r>
      <w:r>
        <w:rPr/>
        <w:t>termiņa</w:t>
      </w:r>
      <w:r>
        <w:rPr>
          <w:spacing w:val="-5"/>
        </w:rPr>
        <w:t> </w:t>
      </w:r>
      <w:r>
        <w:rPr/>
        <w:t>beigām)</w:t>
      </w:r>
      <w:r>
        <w:rPr>
          <w:spacing w:val="-4"/>
        </w:rPr>
        <w:t> </w:t>
      </w:r>
      <w:r>
        <w:rPr/>
        <w:t>atsaka</w:t>
      </w:r>
      <w:r>
        <w:rPr>
          <w:spacing w:val="-5"/>
        </w:rPr>
        <w:t> </w:t>
      </w:r>
      <w:r>
        <w:rPr/>
        <w:t>atbrīvošanu no atlikušajām parāda saistībām pamatojoties uz kreditora pieteikumu (pārtrauc saistību dzēšanas procedūru), ja laika posmā no bankrota procedūras pabeigšanas līdz saistību dzēšanas</w:t>
      </w:r>
      <w:r>
        <w:rPr>
          <w:spacing w:val="-7"/>
        </w:rPr>
        <w:t> </w:t>
      </w:r>
      <w:r>
        <w:rPr/>
        <w:t>procedūras</w:t>
      </w:r>
      <w:r>
        <w:rPr>
          <w:spacing w:val="-6"/>
        </w:rPr>
        <w:t> </w:t>
      </w:r>
      <w:r>
        <w:rPr/>
        <w:t>beigu</w:t>
      </w:r>
      <w:r>
        <w:rPr>
          <w:spacing w:val="-6"/>
        </w:rPr>
        <w:t> </w:t>
      </w:r>
      <w:r>
        <w:rPr/>
        <w:t>termiņam,</w:t>
      </w:r>
      <w:r>
        <w:rPr>
          <w:spacing w:val="-6"/>
        </w:rPr>
        <w:t> </w:t>
      </w:r>
      <w:r>
        <w:rPr/>
        <w:t>parādnieks</w:t>
      </w:r>
      <w:r>
        <w:rPr>
          <w:spacing w:val="-6"/>
        </w:rPr>
        <w:t> </w:t>
      </w:r>
      <w:r>
        <w:rPr/>
        <w:t>pārkāpj</w:t>
      </w:r>
      <w:r>
        <w:rPr>
          <w:spacing w:val="-6"/>
        </w:rPr>
        <w:t> </w:t>
      </w:r>
      <w:r>
        <w:rPr/>
        <w:t>kādu</w:t>
      </w:r>
      <w:r>
        <w:rPr>
          <w:spacing w:val="-7"/>
        </w:rPr>
        <w:t> </w:t>
      </w:r>
      <w:r>
        <w:rPr/>
        <w:t>no</w:t>
      </w:r>
      <w:r>
        <w:rPr>
          <w:spacing w:val="-6"/>
        </w:rPr>
        <w:t> </w:t>
      </w:r>
      <w:r>
        <w:rPr/>
        <w:t>saviem</w:t>
      </w:r>
      <w:r>
        <w:rPr>
          <w:spacing w:val="-6"/>
        </w:rPr>
        <w:t> </w:t>
      </w:r>
      <w:r>
        <w:rPr/>
        <w:t>pienākumiem</w:t>
      </w:r>
      <w:r>
        <w:rPr>
          <w:spacing w:val="-6"/>
        </w:rPr>
        <w:t> </w:t>
      </w:r>
      <w:r>
        <w:rPr/>
        <w:t>un tādejādi</w:t>
      </w:r>
      <w:r>
        <w:rPr>
          <w:spacing w:val="-9"/>
        </w:rPr>
        <w:t> </w:t>
      </w:r>
      <w:r>
        <w:rPr/>
        <w:t>aizskar</w:t>
      </w:r>
      <w:r>
        <w:rPr>
          <w:spacing w:val="-9"/>
        </w:rPr>
        <w:t> </w:t>
      </w:r>
      <w:r>
        <w:rPr/>
        <w:t>kreditoru</w:t>
      </w:r>
      <w:r>
        <w:rPr>
          <w:spacing w:val="-11"/>
        </w:rPr>
        <w:t> </w:t>
      </w:r>
      <w:r>
        <w:rPr/>
        <w:t>intereses</w:t>
      </w:r>
      <w:r>
        <w:rPr>
          <w:spacing w:val="-8"/>
        </w:rPr>
        <w:t> </w:t>
      </w:r>
      <w:r>
        <w:rPr/>
        <w:t>saņemt</w:t>
      </w:r>
      <w:r>
        <w:rPr>
          <w:spacing w:val="-6"/>
        </w:rPr>
        <w:t> </w:t>
      </w:r>
      <w:r>
        <w:rPr/>
        <w:t>sava</w:t>
      </w:r>
      <w:r>
        <w:rPr>
          <w:spacing w:val="-9"/>
        </w:rPr>
        <w:t> </w:t>
      </w:r>
      <w:r>
        <w:rPr/>
        <w:t>prasījuma</w:t>
      </w:r>
      <w:r>
        <w:rPr>
          <w:spacing w:val="-9"/>
        </w:rPr>
        <w:t> </w:t>
      </w:r>
      <w:r>
        <w:rPr/>
        <w:t>apmierinājumu;</w:t>
      </w:r>
      <w:r>
        <w:rPr>
          <w:spacing w:val="-5"/>
        </w:rPr>
        <w:t> </w:t>
      </w:r>
      <w:r>
        <w:rPr/>
        <w:t>tiesa</w:t>
      </w:r>
      <w:r>
        <w:rPr>
          <w:spacing w:val="-11"/>
        </w:rPr>
        <w:t> </w:t>
      </w:r>
      <w:r>
        <w:rPr/>
        <w:t>nepārtrauc saistību dzēšanas procedūru, ja netiek konstatēta parādnieka vaina. Kreditors pieteikumu par</w:t>
      </w:r>
      <w:r>
        <w:rPr>
          <w:spacing w:val="-16"/>
        </w:rPr>
        <w:t> </w:t>
      </w:r>
      <w:r>
        <w:rPr/>
        <w:t>saistību</w:t>
      </w:r>
      <w:r>
        <w:rPr>
          <w:spacing w:val="-12"/>
        </w:rPr>
        <w:t> </w:t>
      </w:r>
      <w:r>
        <w:rPr/>
        <w:t>dzēšanas</w:t>
      </w:r>
      <w:r>
        <w:rPr>
          <w:spacing w:val="-16"/>
        </w:rPr>
        <w:t> </w:t>
      </w:r>
      <w:r>
        <w:rPr/>
        <w:t>procedūras</w:t>
      </w:r>
      <w:r>
        <w:rPr>
          <w:spacing w:val="-10"/>
        </w:rPr>
        <w:t> </w:t>
      </w:r>
      <w:r>
        <w:rPr/>
        <w:t>pārtraukšu</w:t>
      </w:r>
      <w:r>
        <w:rPr>
          <w:spacing w:val="-13"/>
        </w:rPr>
        <w:t> </w:t>
      </w:r>
      <w:r>
        <w:rPr/>
        <w:t>(pieteikumu</w:t>
      </w:r>
      <w:r>
        <w:rPr>
          <w:spacing w:val="-12"/>
        </w:rPr>
        <w:t> </w:t>
      </w:r>
      <w:r>
        <w:rPr/>
        <w:t>nedzēst</w:t>
      </w:r>
      <w:r>
        <w:rPr>
          <w:spacing w:val="-12"/>
        </w:rPr>
        <w:t> </w:t>
      </w:r>
      <w:r>
        <w:rPr/>
        <w:t>atlikušās</w:t>
      </w:r>
      <w:r>
        <w:rPr>
          <w:spacing w:val="-13"/>
        </w:rPr>
        <w:t> </w:t>
      </w:r>
      <w:r>
        <w:rPr/>
        <w:t>parādu</w:t>
      </w:r>
      <w:r>
        <w:rPr>
          <w:spacing w:val="-12"/>
        </w:rPr>
        <w:t> </w:t>
      </w:r>
      <w:r>
        <w:rPr/>
        <w:t>saistības) var sniegt tiesai viena gada laikā no brīža, kad viņš ir uzzinājis par parādnieka likumā noteikto pienākuma pārkāpumu. Pieteikums ir pieļaujams, ja likumā noteiktie priekšnoteikumi šāda pieteikuma iesniegšanai tiesā ir ticami</w:t>
      </w:r>
      <w:r>
        <w:rPr>
          <w:spacing w:val="-2"/>
        </w:rPr>
        <w:t> </w:t>
      </w:r>
      <w:r>
        <w:rPr/>
        <w:t>pamatoti.</w:t>
      </w:r>
    </w:p>
    <w:p>
      <w:pPr>
        <w:pStyle w:val="BodyText"/>
        <w:ind w:left="260" w:right="761" w:firstLine="720"/>
      </w:pPr>
      <w:r>
        <w:rPr/>
        <w:t>Saskaņā ar Vācijas Maksātnespējas likuma </w:t>
      </w:r>
      <w:r>
        <w:rPr>
          <w:i/>
        </w:rPr>
        <w:t>§ 296 otro daļu </w:t>
      </w:r>
      <w:r>
        <w:rPr/>
        <w:t>pirms lēmuma pieņemšanas tiesa uzklausa administratoru, parādnieku un kreditoru. Parādniekam par to, ka viņš ir pildījis savus pienākumus, jāsniedz ziņas tiesai, un pēc kreditora pieprasījuma, minētās</w:t>
      </w:r>
      <w:r>
        <w:rPr>
          <w:spacing w:val="-9"/>
        </w:rPr>
        <w:t> </w:t>
      </w:r>
      <w:r>
        <w:rPr/>
        <w:t>ziņas</w:t>
      </w:r>
      <w:r>
        <w:rPr>
          <w:spacing w:val="-9"/>
        </w:rPr>
        <w:t> </w:t>
      </w:r>
      <w:r>
        <w:rPr/>
        <w:t>jāapliecina</w:t>
      </w:r>
      <w:r>
        <w:rPr>
          <w:spacing w:val="-9"/>
        </w:rPr>
        <w:t> </w:t>
      </w:r>
      <w:r>
        <w:rPr/>
        <w:t>ar</w:t>
      </w:r>
      <w:r>
        <w:rPr>
          <w:spacing w:val="-11"/>
        </w:rPr>
        <w:t> </w:t>
      </w:r>
      <w:r>
        <w:rPr/>
        <w:t>zvērestu.</w:t>
      </w:r>
      <w:r>
        <w:rPr>
          <w:spacing w:val="-9"/>
        </w:rPr>
        <w:t> </w:t>
      </w:r>
      <w:r>
        <w:rPr/>
        <w:t>Ja</w:t>
      </w:r>
      <w:r>
        <w:rPr>
          <w:spacing w:val="-9"/>
        </w:rPr>
        <w:t> </w:t>
      </w:r>
      <w:r>
        <w:rPr/>
        <w:t>parādnieks</w:t>
      </w:r>
      <w:r>
        <w:rPr>
          <w:spacing w:val="-6"/>
        </w:rPr>
        <w:t> </w:t>
      </w:r>
      <w:r>
        <w:rPr/>
        <w:t>nesniedz</w:t>
      </w:r>
      <w:r>
        <w:rPr>
          <w:spacing w:val="-7"/>
        </w:rPr>
        <w:t> </w:t>
      </w:r>
      <w:r>
        <w:rPr/>
        <w:t>ziņas</w:t>
      </w:r>
      <w:r>
        <w:rPr>
          <w:spacing w:val="-8"/>
        </w:rPr>
        <w:t> </w:t>
      </w:r>
      <w:r>
        <w:rPr/>
        <w:t>tiesai</w:t>
      </w:r>
      <w:r>
        <w:rPr>
          <w:spacing w:val="-9"/>
        </w:rPr>
        <w:t> </w:t>
      </w:r>
      <w:r>
        <w:rPr/>
        <w:t>vai</w:t>
      </w:r>
      <w:r>
        <w:rPr>
          <w:spacing w:val="-11"/>
        </w:rPr>
        <w:t> </w:t>
      </w:r>
      <w:r>
        <w:rPr/>
        <w:t>zvērestu</w:t>
      </w:r>
      <w:r>
        <w:rPr>
          <w:spacing w:val="-9"/>
        </w:rPr>
        <w:t> </w:t>
      </w:r>
      <w:r>
        <w:rPr/>
        <w:t>tiesas noteiktajā termiņā bez attaisnojoša pamata, vai neierodas uz tiesu, neinformējot tiesu </w:t>
      </w:r>
      <w:r>
        <w:rPr>
          <w:spacing w:val="-4"/>
        </w:rPr>
        <w:t>par</w:t>
      </w:r>
      <w:r>
        <w:rPr>
          <w:spacing w:val="52"/>
        </w:rPr>
        <w:t> </w:t>
      </w:r>
      <w:r>
        <w:rPr/>
        <w:t>attaisnojošiem neierašanās iemesliem, tad tiesa atsaka parādniekam saistību dzēšanu. Par minēto tiesas lēmumu kreditors un parādnieks nekavējoties var iesniegt</w:t>
      </w:r>
      <w:r>
        <w:rPr>
          <w:spacing w:val="-11"/>
        </w:rPr>
        <w:t> </w:t>
      </w:r>
      <w:r>
        <w:rPr/>
        <w:t>sūdzību.</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6"/>
        <w:jc w:val="left"/>
        <w:rPr>
          <w:sz w:val="12"/>
        </w:rPr>
      </w:pPr>
      <w:r>
        <w:rPr/>
        <w:pict>
          <v:shape style="position:absolute;margin-left:72pt;margin-top:9.488329pt;width:144pt;height:.1pt;mso-position-horizontal-relative:page;mso-position-vertical-relative:paragraph;z-index:-251465728;mso-wrap-distance-left:0;mso-wrap-distance-right:0" coordorigin="1440,190" coordsize="2880,0" path="m1440,190l4320,190e" filled="false" stroked="true" strokeweight=".599991pt" strokecolor="#000000">
            <v:path arrowok="t"/>
            <v:stroke dashstyle="solid"/>
            <w10:wrap type="topAndBottom"/>
          </v:shape>
        </w:pict>
      </w:r>
    </w:p>
    <w:p>
      <w:pPr>
        <w:spacing w:before="70"/>
        <w:ind w:left="260" w:right="764" w:firstLine="0"/>
        <w:jc w:val="both"/>
        <w:rPr>
          <w:sz w:val="20"/>
        </w:rPr>
      </w:pPr>
      <w:r>
        <w:rPr>
          <w:position w:val="7"/>
          <w:sz w:val="13"/>
        </w:rPr>
        <w:t>433 </w:t>
      </w:r>
      <w:r>
        <w:rPr>
          <w:sz w:val="20"/>
        </w:rPr>
        <w:t>Saskaņā ar § 211, ja parādnieka manta ir nepietiekama, lai segtu visas maksātnespējas procesa izmaksas, tad</w:t>
      </w:r>
      <w:r>
        <w:rPr>
          <w:spacing w:val="-7"/>
          <w:sz w:val="20"/>
        </w:rPr>
        <w:t> </w:t>
      </w:r>
      <w:r>
        <w:rPr>
          <w:sz w:val="20"/>
        </w:rPr>
        <w:t>tiesa</w:t>
      </w:r>
      <w:r>
        <w:rPr>
          <w:spacing w:val="-6"/>
          <w:sz w:val="20"/>
        </w:rPr>
        <w:t> </w:t>
      </w:r>
      <w:r>
        <w:rPr>
          <w:sz w:val="20"/>
        </w:rPr>
        <w:t>pieņem</w:t>
      </w:r>
      <w:r>
        <w:rPr>
          <w:spacing w:val="-7"/>
          <w:sz w:val="20"/>
        </w:rPr>
        <w:t> </w:t>
      </w:r>
      <w:r>
        <w:rPr>
          <w:sz w:val="20"/>
        </w:rPr>
        <w:t>lēmumu</w:t>
      </w:r>
      <w:r>
        <w:rPr>
          <w:spacing w:val="-6"/>
          <w:sz w:val="20"/>
        </w:rPr>
        <w:t> </w:t>
      </w:r>
      <w:r>
        <w:rPr>
          <w:sz w:val="20"/>
        </w:rPr>
        <w:t>par</w:t>
      </w:r>
      <w:r>
        <w:rPr>
          <w:spacing w:val="-4"/>
          <w:sz w:val="20"/>
        </w:rPr>
        <w:t> </w:t>
      </w:r>
      <w:r>
        <w:rPr>
          <w:sz w:val="20"/>
        </w:rPr>
        <w:t>bankrota</w:t>
      </w:r>
      <w:r>
        <w:rPr>
          <w:spacing w:val="-4"/>
          <w:sz w:val="20"/>
        </w:rPr>
        <w:t> </w:t>
      </w:r>
      <w:r>
        <w:rPr>
          <w:sz w:val="20"/>
        </w:rPr>
        <w:t>procedūras</w:t>
      </w:r>
      <w:r>
        <w:rPr>
          <w:spacing w:val="-7"/>
          <w:sz w:val="20"/>
        </w:rPr>
        <w:t> </w:t>
      </w:r>
      <w:r>
        <w:rPr>
          <w:sz w:val="20"/>
        </w:rPr>
        <w:t>pārtraukšanu,</w:t>
      </w:r>
      <w:r>
        <w:rPr>
          <w:spacing w:val="-7"/>
          <w:sz w:val="20"/>
        </w:rPr>
        <w:t> </w:t>
      </w:r>
      <w:r>
        <w:rPr>
          <w:sz w:val="20"/>
        </w:rPr>
        <w:t>ja</w:t>
      </w:r>
      <w:r>
        <w:rPr>
          <w:spacing w:val="-4"/>
          <w:sz w:val="20"/>
        </w:rPr>
        <w:t> </w:t>
      </w:r>
      <w:r>
        <w:rPr>
          <w:sz w:val="20"/>
        </w:rPr>
        <w:t>maksātnespējas</w:t>
      </w:r>
      <w:r>
        <w:rPr>
          <w:spacing w:val="-7"/>
          <w:sz w:val="20"/>
        </w:rPr>
        <w:t> </w:t>
      </w:r>
      <w:r>
        <w:rPr>
          <w:sz w:val="20"/>
        </w:rPr>
        <w:t>procesa</w:t>
      </w:r>
      <w:r>
        <w:rPr>
          <w:spacing w:val="-4"/>
          <w:sz w:val="20"/>
        </w:rPr>
        <w:t> </w:t>
      </w:r>
      <w:r>
        <w:rPr>
          <w:sz w:val="20"/>
        </w:rPr>
        <w:t>administrators</w:t>
      </w:r>
      <w:r>
        <w:rPr>
          <w:spacing w:val="-7"/>
          <w:sz w:val="20"/>
        </w:rPr>
        <w:t> </w:t>
      </w:r>
      <w:r>
        <w:rPr>
          <w:sz w:val="20"/>
        </w:rPr>
        <w:t>no līdzekļiem no procesā esošās parādnieka mantas pārdošanas, sedzis maksātnespējas procesa izmaksas § 209 noteiktajā secībā. Bankrota procedūras pārtraukšana neliedz uzsākt saistību dzēšanas</w:t>
      </w:r>
      <w:r>
        <w:rPr>
          <w:spacing w:val="-10"/>
          <w:sz w:val="20"/>
        </w:rPr>
        <w:t> </w:t>
      </w:r>
      <w:r>
        <w:rPr>
          <w:sz w:val="20"/>
        </w:rPr>
        <w:t>procedūru.</w:t>
      </w:r>
    </w:p>
    <w:p>
      <w:pPr>
        <w:spacing w:after="0"/>
        <w:jc w:val="both"/>
        <w:rPr>
          <w:sz w:val="20"/>
        </w:rPr>
        <w:sectPr>
          <w:pgSz w:w="11910" w:h="16840"/>
          <w:pgMar w:header="0" w:footer="1055" w:top="1340" w:bottom="1240" w:left="1180" w:right="1040"/>
        </w:sectPr>
      </w:pPr>
    </w:p>
    <w:p>
      <w:pPr>
        <w:spacing w:line="232" w:lineRule="auto" w:before="80"/>
        <w:ind w:left="620" w:right="401" w:firstLine="720"/>
        <w:jc w:val="both"/>
        <w:rPr>
          <w:sz w:val="24"/>
        </w:rPr>
      </w:pPr>
      <w:r>
        <w:rPr>
          <w:sz w:val="24"/>
        </w:rPr>
        <w:t>Parādnieka pienākumi saistību dzēšanas procedūras laikā noteikti Vācijas Maksātnespējas likuma </w:t>
      </w:r>
      <w:r>
        <w:rPr>
          <w:i/>
          <w:sz w:val="24"/>
        </w:rPr>
        <w:t>§ 295</w:t>
      </w:r>
      <w:r>
        <w:rPr>
          <w:sz w:val="24"/>
        </w:rPr>
        <w:t>, proti, parādniekam saistību dzēšanas procedūras laikā (</w:t>
      </w:r>
      <w:r>
        <w:rPr>
          <w:i/>
          <w:sz w:val="24"/>
        </w:rPr>
        <w:t>zwischen Beendigung des Insolvenzverfahrens und am Ende der Abtretungsfrist</w:t>
      </w:r>
      <w:r>
        <w:rPr>
          <w:position w:val="9"/>
          <w:sz w:val="16"/>
        </w:rPr>
        <w:t>434</w:t>
      </w:r>
      <w:r>
        <w:rPr>
          <w:sz w:val="24"/>
        </w:rPr>
        <w:t>):</w:t>
      </w:r>
    </w:p>
    <w:p>
      <w:pPr>
        <w:pStyle w:val="ListParagraph"/>
        <w:numPr>
          <w:ilvl w:val="1"/>
          <w:numId w:val="103"/>
        </w:numPr>
        <w:tabs>
          <w:tab w:pos="1617" w:val="left" w:leader="none"/>
        </w:tabs>
        <w:spacing w:line="240" w:lineRule="auto" w:before="3" w:after="0"/>
        <w:ind w:left="620" w:right="404" w:firstLine="720"/>
        <w:jc w:val="both"/>
        <w:rPr>
          <w:sz w:val="24"/>
        </w:rPr>
      </w:pPr>
      <w:r>
        <w:rPr>
          <w:sz w:val="24"/>
        </w:rPr>
        <w:t>jābūt nodarbinātam un jāgūst ienākumi atbilstoši savām spējām. Ja parādnieks nav nodarbināts, tad jāpieliek visas pūles, lai atrastu nodarbošanos, un parādnieks </w:t>
      </w:r>
      <w:r>
        <w:rPr>
          <w:spacing w:val="-3"/>
          <w:sz w:val="24"/>
        </w:rPr>
        <w:t>nedrīkst </w:t>
      </w:r>
      <w:r>
        <w:rPr>
          <w:sz w:val="24"/>
        </w:rPr>
        <w:t>noraidīt piemērotu, atbilstošu darba</w:t>
      </w:r>
      <w:r>
        <w:rPr>
          <w:spacing w:val="3"/>
          <w:sz w:val="24"/>
        </w:rPr>
        <w:t> </w:t>
      </w:r>
      <w:r>
        <w:rPr>
          <w:sz w:val="24"/>
        </w:rPr>
        <w:t>piedāvājumu;</w:t>
      </w:r>
    </w:p>
    <w:p>
      <w:pPr>
        <w:pStyle w:val="ListParagraph"/>
        <w:numPr>
          <w:ilvl w:val="1"/>
          <w:numId w:val="103"/>
        </w:numPr>
        <w:tabs>
          <w:tab w:pos="1617" w:val="left" w:leader="none"/>
        </w:tabs>
        <w:spacing w:line="240" w:lineRule="auto" w:before="0" w:after="0"/>
        <w:ind w:left="620" w:right="400" w:firstLine="720"/>
        <w:jc w:val="both"/>
        <w:rPr>
          <w:sz w:val="24"/>
        </w:rPr>
      </w:pPr>
      <w:r>
        <w:rPr>
          <w:sz w:val="24"/>
        </w:rPr>
        <w:t>pusi no mantas, kuru parādnieks ieguvis mantojuma ceļā vai iegūs mantojuma ceļā, parādnieka pienākums ir nodot kompetentajai personai, kuru tiesa iecēlusi par maksātnespējas procesa administratoru</w:t>
      </w:r>
      <w:r>
        <w:rPr>
          <w:spacing w:val="-2"/>
          <w:sz w:val="24"/>
        </w:rPr>
        <w:t> </w:t>
      </w:r>
      <w:r>
        <w:rPr>
          <w:sz w:val="24"/>
        </w:rPr>
        <w:t>(</w:t>
      </w:r>
      <w:r>
        <w:rPr>
          <w:i/>
          <w:sz w:val="24"/>
        </w:rPr>
        <w:t>Treuhaender</w:t>
      </w:r>
      <w:r>
        <w:rPr>
          <w:sz w:val="24"/>
        </w:rPr>
        <w:t>);</w:t>
      </w:r>
    </w:p>
    <w:p>
      <w:pPr>
        <w:pStyle w:val="ListParagraph"/>
        <w:numPr>
          <w:ilvl w:val="1"/>
          <w:numId w:val="103"/>
        </w:numPr>
        <w:tabs>
          <w:tab w:pos="1634" w:val="left" w:leader="none"/>
        </w:tabs>
        <w:spacing w:line="240" w:lineRule="auto" w:before="0" w:after="0"/>
        <w:ind w:left="620" w:right="401" w:firstLine="720"/>
        <w:jc w:val="both"/>
        <w:rPr>
          <w:sz w:val="24"/>
        </w:rPr>
      </w:pPr>
      <w:r>
        <w:rPr>
          <w:sz w:val="24"/>
        </w:rPr>
        <w:t>par katru dzīves vietas vai darba vietas maiņu nekavējoties paziņot tiesai un administratoram,</w:t>
      </w:r>
      <w:r>
        <w:rPr>
          <w:spacing w:val="-12"/>
          <w:sz w:val="24"/>
        </w:rPr>
        <w:t> </w:t>
      </w:r>
      <w:r>
        <w:rPr>
          <w:sz w:val="24"/>
        </w:rPr>
        <w:t>neslēpt</w:t>
      </w:r>
      <w:r>
        <w:rPr>
          <w:spacing w:val="-11"/>
          <w:sz w:val="24"/>
        </w:rPr>
        <w:t> </w:t>
      </w:r>
      <w:r>
        <w:rPr>
          <w:sz w:val="24"/>
        </w:rPr>
        <w:t>administratoram</w:t>
      </w:r>
      <w:r>
        <w:rPr>
          <w:spacing w:val="-10"/>
          <w:sz w:val="24"/>
        </w:rPr>
        <w:t> </w:t>
      </w:r>
      <w:r>
        <w:rPr>
          <w:sz w:val="24"/>
        </w:rPr>
        <w:t>nododamos</w:t>
      </w:r>
      <w:r>
        <w:rPr>
          <w:spacing w:val="-11"/>
          <w:sz w:val="24"/>
        </w:rPr>
        <w:t> </w:t>
      </w:r>
      <w:r>
        <w:rPr>
          <w:sz w:val="24"/>
        </w:rPr>
        <w:t>ienākumus</w:t>
      </w:r>
      <w:r>
        <w:rPr>
          <w:spacing w:val="-12"/>
          <w:sz w:val="24"/>
        </w:rPr>
        <w:t> </w:t>
      </w:r>
      <w:r>
        <w:rPr>
          <w:sz w:val="24"/>
        </w:rPr>
        <w:t>un</w:t>
      </w:r>
      <w:r>
        <w:rPr>
          <w:spacing w:val="-11"/>
          <w:sz w:val="24"/>
        </w:rPr>
        <w:t> </w:t>
      </w:r>
      <w:r>
        <w:rPr>
          <w:sz w:val="24"/>
        </w:rPr>
        <w:t>nododamo</w:t>
      </w:r>
      <w:r>
        <w:rPr>
          <w:spacing w:val="-12"/>
          <w:sz w:val="24"/>
        </w:rPr>
        <w:t> </w:t>
      </w:r>
      <w:r>
        <w:rPr>
          <w:sz w:val="24"/>
        </w:rPr>
        <w:t>mantu,</w:t>
      </w:r>
      <w:r>
        <w:rPr>
          <w:spacing w:val="-11"/>
          <w:sz w:val="24"/>
        </w:rPr>
        <w:t> </w:t>
      </w:r>
      <w:r>
        <w:rPr>
          <w:sz w:val="24"/>
        </w:rPr>
        <w:t>kas iegūta mantojuma ceļā, sniegt tiesai pēc tās pieprasījuma ziņas par nodarbošanos un mēģinājumiem tādu atrast, kā arī par parādnieka ienākumiem un</w:t>
      </w:r>
      <w:r>
        <w:rPr>
          <w:spacing w:val="-7"/>
          <w:sz w:val="24"/>
        </w:rPr>
        <w:t> </w:t>
      </w:r>
      <w:r>
        <w:rPr>
          <w:sz w:val="24"/>
        </w:rPr>
        <w:t>mantu;</w:t>
      </w:r>
    </w:p>
    <w:p>
      <w:pPr>
        <w:pStyle w:val="ListParagraph"/>
        <w:numPr>
          <w:ilvl w:val="1"/>
          <w:numId w:val="103"/>
        </w:numPr>
        <w:tabs>
          <w:tab w:pos="1588" w:val="left" w:leader="none"/>
        </w:tabs>
        <w:spacing w:line="228" w:lineRule="auto" w:before="11" w:after="0"/>
        <w:ind w:left="620" w:right="406" w:firstLine="720"/>
        <w:jc w:val="both"/>
        <w:rPr>
          <w:sz w:val="16"/>
        </w:rPr>
      </w:pPr>
      <w:r>
        <w:rPr>
          <w:sz w:val="24"/>
        </w:rPr>
        <w:t>kreditoru</w:t>
      </w:r>
      <w:r>
        <w:rPr>
          <w:spacing w:val="-18"/>
          <w:sz w:val="24"/>
        </w:rPr>
        <w:t> </w:t>
      </w:r>
      <w:r>
        <w:rPr>
          <w:sz w:val="24"/>
        </w:rPr>
        <w:t>apmierināšanai</w:t>
      </w:r>
      <w:r>
        <w:rPr>
          <w:spacing w:val="-16"/>
          <w:sz w:val="24"/>
        </w:rPr>
        <w:t> </w:t>
      </w:r>
      <w:r>
        <w:rPr>
          <w:sz w:val="24"/>
        </w:rPr>
        <w:t>paredzētos</w:t>
      </w:r>
      <w:r>
        <w:rPr>
          <w:spacing w:val="-14"/>
          <w:sz w:val="24"/>
        </w:rPr>
        <w:t> </w:t>
      </w:r>
      <w:r>
        <w:rPr>
          <w:sz w:val="24"/>
        </w:rPr>
        <w:t>maksājumus</w:t>
      </w:r>
      <w:r>
        <w:rPr>
          <w:spacing w:val="-15"/>
          <w:sz w:val="24"/>
        </w:rPr>
        <w:t> </w:t>
      </w:r>
      <w:r>
        <w:rPr>
          <w:sz w:val="24"/>
        </w:rPr>
        <w:t>nodot</w:t>
      </w:r>
      <w:r>
        <w:rPr>
          <w:spacing w:val="-14"/>
          <w:sz w:val="24"/>
        </w:rPr>
        <w:t> </w:t>
      </w:r>
      <w:r>
        <w:rPr>
          <w:sz w:val="24"/>
        </w:rPr>
        <w:t>vienīgi</w:t>
      </w:r>
      <w:r>
        <w:rPr>
          <w:spacing w:val="-14"/>
          <w:sz w:val="24"/>
        </w:rPr>
        <w:t> </w:t>
      </w:r>
      <w:r>
        <w:rPr>
          <w:sz w:val="24"/>
        </w:rPr>
        <w:t>administratoram, un nenostādīt kādu kreditoru izdevīgākā situācijā iepretim pārējiem</w:t>
      </w:r>
      <w:r>
        <w:rPr>
          <w:spacing w:val="-4"/>
          <w:sz w:val="24"/>
        </w:rPr>
        <w:t> </w:t>
      </w:r>
      <w:r>
        <w:rPr>
          <w:sz w:val="24"/>
        </w:rPr>
        <w:t>kreditoriem.</w:t>
      </w:r>
      <w:r>
        <w:rPr>
          <w:position w:val="9"/>
          <w:sz w:val="16"/>
        </w:rPr>
        <w:t>435</w:t>
      </w:r>
    </w:p>
    <w:p>
      <w:pPr>
        <w:pStyle w:val="BodyText"/>
        <w:spacing w:before="1"/>
        <w:ind w:left="620" w:right="404" w:firstLine="720"/>
      </w:pPr>
      <w:r>
        <w:rPr/>
        <w:t>Saskaņā ar Vācijas Maksātnespējas likuma </w:t>
      </w:r>
      <w:r>
        <w:rPr>
          <w:i/>
        </w:rPr>
        <w:t>§ 295 otro daļu, </w:t>
      </w:r>
      <w:r>
        <w:rPr/>
        <w:t>ja parādnieks gūst ienākumus kā pašnodarbināta persona, tad kreditoru apmierināšanai novirzāma tādu ienākumu daļa, kādu viņš saņemtu, ja viņš būtu nodarināts kā darba ņēmējs, veicot darbu atbilstoši savām spējām.</w:t>
      </w:r>
    </w:p>
    <w:p>
      <w:pPr>
        <w:pStyle w:val="BodyText"/>
        <w:spacing w:line="237" w:lineRule="auto" w:before="3"/>
        <w:ind w:left="620" w:right="402" w:firstLine="720"/>
      </w:pPr>
      <w:r>
        <w:rPr/>
        <w:t>Tāpat parādnieka negodprātīga rīcība, kas liedz turpināt saistību dzēšanas procedūru, noteikta Vācijas Maksātnespējas likuma </w:t>
      </w:r>
      <w:r>
        <w:rPr>
          <w:i/>
        </w:rPr>
        <w:t>§ 297. </w:t>
      </w:r>
      <w:r>
        <w:rPr/>
        <w:t>Saskaņā ar Vācijas Maksātnespējas likuma </w:t>
      </w:r>
      <w:r>
        <w:rPr>
          <w:i/>
        </w:rPr>
        <w:t>§ 297 pirmo daļu </w:t>
      </w:r>
      <w:r>
        <w:rPr/>
        <w:t>tiesa priekšlaicīgi atsaka atbrīvošanu no atlikušajām parāda saistībām, pamatojoties uz kreditora pieteikumu, ja laika posmā no brīža, kad tiesa nozīmējusi noslēguma kreditoru sapulci (</w:t>
      </w:r>
      <w:r>
        <w:rPr>
          <w:i/>
        </w:rPr>
        <w:t>der Schlusstermin</w:t>
      </w:r>
      <w:r>
        <w:rPr>
          <w:position w:val="9"/>
          <w:sz w:val="16"/>
        </w:rPr>
        <w:t>436</w:t>
      </w:r>
      <w:r>
        <w:rPr/>
        <w:t>) līdz bankrota procedūras atcelšanai (</w:t>
      </w:r>
      <w:r>
        <w:rPr>
          <w:i/>
        </w:rPr>
        <w:t>Aufhebung des Insolvenzverfahren</w:t>
      </w:r>
      <w:r>
        <w:rPr/>
        <w:t>), vai laika posmā no bankrota procedūras pabeigšanas (</w:t>
      </w:r>
      <w:r>
        <w:rPr>
          <w:i/>
        </w:rPr>
        <w:t>Beendigung des Insolvenzverfahrens</w:t>
      </w:r>
      <w:r>
        <w:rPr/>
        <w:t>) līdz saistību dzēšanas procedūras beigām (</w:t>
      </w:r>
      <w:r>
        <w:rPr>
          <w:i/>
        </w:rPr>
        <w:t>Ende der Abtretungsfrist</w:t>
      </w:r>
      <w:r>
        <w:rPr/>
        <w:t>), parādnieks ir notiesāts ar spēkā stājušos tiesas spriedumu par noziedzīgiem nodarījumiem, kas paredzēti Vācijas Krimināllikuma </w:t>
      </w:r>
      <w:r>
        <w:rPr>
          <w:i/>
        </w:rPr>
        <w:t>§§ 283 – 283c</w:t>
      </w:r>
      <w:r>
        <w:rPr/>
        <w:t>, piespriežot naudas sodu notiesātā 90 vienas dienas vidējo izpeļņu apmērā (90 Tagessaetze) vai brīvības atņemšanu ilgāk kā 3</w:t>
      </w:r>
      <w:r>
        <w:rPr>
          <w:spacing w:val="-7"/>
        </w:rPr>
        <w:t> </w:t>
      </w:r>
      <w:r>
        <w:rPr/>
        <w:t>mēneši.</w:t>
      </w:r>
    </w:p>
    <w:p>
      <w:pPr>
        <w:pStyle w:val="BodyText"/>
        <w:spacing w:before="13"/>
        <w:ind w:left="620" w:right="403" w:firstLine="720"/>
      </w:pPr>
      <w:r>
        <w:rPr/>
        <w:t>Saskaņā ar Vācijas Maksātnespējas likuma </w:t>
      </w:r>
      <w:r>
        <w:rPr>
          <w:i/>
        </w:rPr>
        <w:t>§ 297 otro daļu </w:t>
      </w:r>
      <w:r>
        <w:rPr/>
        <w:t>kreditors pieteikumu var iesniegt viena gada laikā no brīža, kad viņš uzzināja par §297 </w:t>
      </w:r>
      <w:r>
        <w:rPr>
          <w:i/>
        </w:rPr>
        <w:t>pirmajā daļā </w:t>
      </w:r>
      <w:r>
        <w:rPr/>
        <w:t>minēto tiesas spriedumu. Kreditoram jāsniedz tiesai ticami pierādījumi. Pieteikuma iesniedzējam un parādniekam ir tiesības nekavējoties iesniegt sūdzību par tiesas</w:t>
      </w:r>
      <w:r>
        <w:rPr>
          <w:spacing w:val="-7"/>
        </w:rPr>
        <w:t> </w:t>
      </w:r>
      <w:r>
        <w:rPr/>
        <w:t>lēmumu.</w:t>
      </w:r>
    </w:p>
    <w:p>
      <w:pPr>
        <w:pStyle w:val="BodyText"/>
        <w:ind w:left="620" w:right="402" w:firstLine="720"/>
      </w:pPr>
      <w:r>
        <w:rPr/>
        <w:t>Vācijas Maksātnespējas likuma </w:t>
      </w:r>
      <w:r>
        <w:rPr>
          <w:i/>
        </w:rPr>
        <w:t>§ 297a </w:t>
      </w:r>
      <w:r>
        <w:rPr/>
        <w:t>nosaka, ka tiesa atsaka atbrīvošanu no atlikušajām parāda saistībām, pamatojoties uz kreditora pieteikumu, ja pēc tiesas</w:t>
      </w:r>
      <w:r>
        <w:rPr>
          <w:spacing w:val="-40"/>
        </w:rPr>
        <w:t> </w:t>
      </w:r>
      <w:r>
        <w:rPr/>
        <w:t>nozīmētā noslēguma kreditoru sapulces beigu termiņa (</w:t>
      </w:r>
      <w:r>
        <w:rPr>
          <w:i/>
        </w:rPr>
        <w:t>der Schlusstermin</w:t>
      </w:r>
      <w:r>
        <w:rPr/>
        <w:t>) vai pēc</w:t>
      </w:r>
      <w:r>
        <w:rPr>
          <w:spacing w:val="35"/>
        </w:rPr>
        <w:t> </w:t>
      </w:r>
      <w:r>
        <w:rPr/>
        <w:t>bankrota</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7"/>
        <w:jc w:val="left"/>
        <w:rPr>
          <w:sz w:val="17"/>
        </w:rPr>
      </w:pPr>
    </w:p>
    <w:p>
      <w:pPr>
        <w:spacing w:before="93"/>
        <w:ind w:left="620" w:right="402" w:firstLine="0"/>
        <w:jc w:val="both"/>
        <w:rPr>
          <w:sz w:val="20"/>
        </w:rPr>
      </w:pPr>
      <w:r>
        <w:rPr>
          <w:position w:val="7"/>
          <w:sz w:val="13"/>
        </w:rPr>
        <w:t>434 </w:t>
      </w:r>
      <w:r>
        <w:rPr>
          <w:sz w:val="20"/>
        </w:rPr>
        <w:t>Vācijas Maksātnespējas likuma § 287 otrajā daļā noteikts, ka sešu gadus no maksātnespējas procesa pasludināšanas brīža parādnieka prasījumi no darba tiesiskajām attiecībām ir cedēti tiesas ieceltajai uzticamības</w:t>
      </w:r>
      <w:r>
        <w:rPr>
          <w:spacing w:val="-7"/>
          <w:sz w:val="20"/>
        </w:rPr>
        <w:t> </w:t>
      </w:r>
      <w:r>
        <w:rPr>
          <w:sz w:val="20"/>
        </w:rPr>
        <w:t>personai</w:t>
      </w:r>
      <w:r>
        <w:rPr>
          <w:spacing w:val="-7"/>
          <w:sz w:val="20"/>
        </w:rPr>
        <w:t> </w:t>
      </w:r>
      <w:r>
        <w:rPr>
          <w:sz w:val="20"/>
        </w:rPr>
        <w:t>(Treuhaender),</w:t>
      </w:r>
      <w:r>
        <w:rPr>
          <w:spacing w:val="-7"/>
          <w:sz w:val="20"/>
        </w:rPr>
        <w:t> </w:t>
      </w:r>
      <w:r>
        <w:rPr>
          <w:sz w:val="20"/>
        </w:rPr>
        <w:t>kas</w:t>
      </w:r>
      <w:r>
        <w:rPr>
          <w:spacing w:val="-8"/>
          <w:sz w:val="20"/>
        </w:rPr>
        <w:t> </w:t>
      </w:r>
      <w:r>
        <w:rPr>
          <w:sz w:val="20"/>
        </w:rPr>
        <w:t>atbilst</w:t>
      </w:r>
      <w:r>
        <w:rPr>
          <w:spacing w:val="-7"/>
          <w:sz w:val="20"/>
        </w:rPr>
        <w:t> </w:t>
      </w:r>
      <w:r>
        <w:rPr>
          <w:sz w:val="20"/>
        </w:rPr>
        <w:t>Latvijas</w:t>
      </w:r>
      <w:r>
        <w:rPr>
          <w:spacing w:val="-8"/>
          <w:sz w:val="20"/>
        </w:rPr>
        <w:t> </w:t>
      </w:r>
      <w:r>
        <w:rPr>
          <w:sz w:val="20"/>
        </w:rPr>
        <w:t>Maksātnespējas</w:t>
      </w:r>
      <w:r>
        <w:rPr>
          <w:spacing w:val="-7"/>
          <w:sz w:val="20"/>
        </w:rPr>
        <w:t> </w:t>
      </w:r>
      <w:r>
        <w:rPr>
          <w:sz w:val="20"/>
        </w:rPr>
        <w:t>likumā</w:t>
      </w:r>
      <w:r>
        <w:rPr>
          <w:spacing w:val="-5"/>
          <w:sz w:val="20"/>
        </w:rPr>
        <w:t> </w:t>
      </w:r>
      <w:r>
        <w:rPr>
          <w:sz w:val="20"/>
        </w:rPr>
        <w:t>noteiktajai</w:t>
      </w:r>
      <w:r>
        <w:rPr>
          <w:spacing w:val="-7"/>
          <w:sz w:val="20"/>
        </w:rPr>
        <w:t> </w:t>
      </w:r>
      <w:r>
        <w:rPr>
          <w:sz w:val="20"/>
        </w:rPr>
        <w:t>saistību</w:t>
      </w:r>
      <w:r>
        <w:rPr>
          <w:spacing w:val="-9"/>
          <w:sz w:val="20"/>
        </w:rPr>
        <w:t> </w:t>
      </w:r>
      <w:r>
        <w:rPr>
          <w:sz w:val="20"/>
        </w:rPr>
        <w:t>dzēšanas procedūrai.</w:t>
      </w:r>
    </w:p>
    <w:p>
      <w:pPr>
        <w:spacing w:line="240" w:lineRule="auto" w:before="0"/>
        <w:ind w:left="620" w:right="405" w:firstLine="0"/>
        <w:jc w:val="both"/>
        <w:rPr>
          <w:sz w:val="20"/>
        </w:rPr>
      </w:pPr>
      <w:r>
        <w:rPr>
          <w:position w:val="7"/>
          <w:sz w:val="13"/>
        </w:rPr>
        <w:t>435 </w:t>
      </w:r>
      <w:r>
        <w:rPr>
          <w:sz w:val="20"/>
        </w:rPr>
        <w:t>Lai gan likums nosaka, ka parādnieks prasījuma tiesības par sev pienākošo apķīlājamo daļu no ienākumiem nodod administratoram, taču varu būt arī maksājumi, kurus parādnieks pats tālāk samaksā administratoram.</w:t>
      </w:r>
    </w:p>
    <w:p>
      <w:pPr>
        <w:spacing w:line="240" w:lineRule="auto" w:before="0"/>
        <w:ind w:left="620" w:right="404" w:firstLine="0"/>
        <w:jc w:val="both"/>
        <w:rPr>
          <w:sz w:val="20"/>
        </w:rPr>
      </w:pPr>
      <w:r>
        <w:rPr>
          <w:position w:val="7"/>
          <w:sz w:val="13"/>
        </w:rPr>
        <w:t>436 </w:t>
      </w:r>
      <w:r>
        <w:rPr>
          <w:sz w:val="20"/>
        </w:rPr>
        <w:t>Vācijas Maksātnespējas likuma § 197 nosaka, ka beigu termiņš (der Schlusstermin) ir tas termiņš, kad tiesa sasauc noslēguma kreditoru sapulci. Noslēguma kreditoru sapulcē kreditori uzzin par Maksātnespējas procesa</w:t>
      </w:r>
      <w:r>
        <w:rPr>
          <w:spacing w:val="-14"/>
          <w:sz w:val="20"/>
        </w:rPr>
        <w:t> </w:t>
      </w:r>
      <w:r>
        <w:rPr>
          <w:sz w:val="20"/>
        </w:rPr>
        <w:t>administratora</w:t>
      </w:r>
      <w:r>
        <w:rPr>
          <w:spacing w:val="-14"/>
          <w:sz w:val="20"/>
        </w:rPr>
        <w:t> </w:t>
      </w:r>
      <w:r>
        <w:rPr>
          <w:sz w:val="20"/>
        </w:rPr>
        <w:t>gala</w:t>
      </w:r>
      <w:r>
        <w:rPr>
          <w:spacing w:val="-11"/>
          <w:sz w:val="20"/>
        </w:rPr>
        <w:t> </w:t>
      </w:r>
      <w:r>
        <w:rPr>
          <w:sz w:val="20"/>
        </w:rPr>
        <w:t>atlīdzību,</w:t>
      </w:r>
      <w:r>
        <w:rPr>
          <w:spacing w:val="-14"/>
          <w:sz w:val="20"/>
        </w:rPr>
        <w:t> </w:t>
      </w:r>
      <w:r>
        <w:rPr>
          <w:sz w:val="20"/>
        </w:rPr>
        <w:t>kreditori</w:t>
      </w:r>
      <w:r>
        <w:rPr>
          <w:spacing w:val="-12"/>
          <w:sz w:val="20"/>
        </w:rPr>
        <w:t> </w:t>
      </w:r>
      <w:r>
        <w:rPr>
          <w:sz w:val="20"/>
        </w:rPr>
        <w:t>tiesīgi</w:t>
      </w:r>
      <w:r>
        <w:rPr>
          <w:spacing w:val="-11"/>
          <w:sz w:val="20"/>
        </w:rPr>
        <w:t> </w:t>
      </w:r>
      <w:r>
        <w:rPr>
          <w:sz w:val="20"/>
        </w:rPr>
        <w:t>celt</w:t>
      </w:r>
      <w:r>
        <w:rPr>
          <w:spacing w:val="-14"/>
          <w:sz w:val="20"/>
        </w:rPr>
        <w:t> </w:t>
      </w:r>
      <w:r>
        <w:rPr>
          <w:sz w:val="20"/>
        </w:rPr>
        <w:t>iebildumus</w:t>
      </w:r>
      <w:r>
        <w:rPr>
          <w:spacing w:val="-13"/>
          <w:sz w:val="20"/>
        </w:rPr>
        <w:t> </w:t>
      </w:r>
      <w:r>
        <w:rPr>
          <w:sz w:val="20"/>
        </w:rPr>
        <w:t>par</w:t>
      </w:r>
      <w:r>
        <w:rPr>
          <w:spacing w:val="-12"/>
          <w:sz w:val="20"/>
        </w:rPr>
        <w:t> </w:t>
      </w:r>
      <w:r>
        <w:rPr>
          <w:sz w:val="20"/>
        </w:rPr>
        <w:t>galīgo</w:t>
      </w:r>
      <w:r>
        <w:rPr>
          <w:spacing w:val="-9"/>
          <w:sz w:val="20"/>
        </w:rPr>
        <w:t> </w:t>
      </w:r>
      <w:r>
        <w:rPr>
          <w:sz w:val="20"/>
        </w:rPr>
        <w:t>kreditoru</w:t>
      </w:r>
      <w:r>
        <w:rPr>
          <w:spacing w:val="-16"/>
          <w:sz w:val="20"/>
        </w:rPr>
        <w:t> </w:t>
      </w:r>
      <w:r>
        <w:rPr>
          <w:sz w:val="20"/>
        </w:rPr>
        <w:t>prasījumu</w:t>
      </w:r>
      <w:r>
        <w:rPr>
          <w:spacing w:val="-12"/>
          <w:sz w:val="20"/>
        </w:rPr>
        <w:t> </w:t>
      </w:r>
      <w:r>
        <w:rPr>
          <w:sz w:val="20"/>
        </w:rPr>
        <w:t>segšanas plānu, kā arī lemj par mantu, kuru nevar pārdot Maksātnespējas procesa</w:t>
      </w:r>
      <w:r>
        <w:rPr>
          <w:spacing w:val="-3"/>
          <w:sz w:val="20"/>
        </w:rPr>
        <w:t> </w:t>
      </w:r>
      <w:r>
        <w:rPr>
          <w:sz w:val="20"/>
        </w:rPr>
        <w:t>ietvaros.</w:t>
      </w:r>
    </w:p>
    <w:p>
      <w:pPr>
        <w:spacing w:after="0" w:line="240" w:lineRule="auto"/>
        <w:jc w:val="both"/>
        <w:rPr>
          <w:sz w:val="20"/>
        </w:rPr>
        <w:sectPr>
          <w:footerReference w:type="default" r:id="rId90"/>
          <w:footerReference w:type="even" r:id="rId91"/>
          <w:pgSz w:w="11910" w:h="16840"/>
          <w:pgMar w:footer="1165" w:header="0" w:top="1340" w:bottom="1360" w:left="1180" w:right="1040"/>
        </w:sectPr>
      </w:pPr>
    </w:p>
    <w:p>
      <w:pPr>
        <w:pStyle w:val="BodyText"/>
        <w:spacing w:before="78"/>
        <w:ind w:left="260" w:right="761"/>
      </w:pPr>
      <w:r>
        <w:rPr/>
        <w:t>procedūras pārtraukšanas saskaņā ar Vācijas Maksātnespējas likuma </w:t>
      </w:r>
      <w:r>
        <w:rPr>
          <w:i/>
        </w:rPr>
        <w:t>§ 211</w:t>
      </w:r>
      <w:r>
        <w:rPr>
          <w:position w:val="9"/>
          <w:sz w:val="16"/>
        </w:rPr>
        <w:t>437 </w:t>
      </w:r>
      <w:r>
        <w:rPr/>
        <w:t>(</w:t>
      </w:r>
      <w:r>
        <w:rPr>
          <w:i/>
        </w:rPr>
        <w:t>die </w:t>
      </w:r>
      <w:r>
        <w:rPr>
          <w:i/>
        </w:rPr>
        <w:t>Einstellung des Insolvenzverfahrens</w:t>
      </w:r>
      <w:r>
        <w:rPr/>
        <w:t>) kļuvis zināms, ka ir pastāvējis kāds no </w:t>
      </w:r>
      <w:r>
        <w:rPr>
          <w:spacing w:val="-3"/>
        </w:rPr>
        <w:t>Vācijas </w:t>
      </w:r>
      <w:r>
        <w:rPr/>
        <w:t>Maksātnespējas likuma </w:t>
      </w:r>
      <w:r>
        <w:rPr>
          <w:i/>
        </w:rPr>
        <w:t>§ 290 pirmajā daļā </w:t>
      </w:r>
      <w:r>
        <w:rPr/>
        <w:t>noteiktajiem saistību dzēšanas procedūras nepiemērošanas pamatiem. Kreditors pieteikumu tiesai var iesniegt sešu mēnešu laikā no brīža, kad atteikuma dzēst parādnieka atlikušās parādu saistības iemesls kreditoram kļuvis zināms.</w:t>
      </w:r>
      <w:r>
        <w:rPr>
          <w:spacing w:val="-16"/>
        </w:rPr>
        <w:t> </w:t>
      </w:r>
      <w:r>
        <w:rPr/>
        <w:t>Pieteikums</w:t>
      </w:r>
      <w:r>
        <w:rPr>
          <w:spacing w:val="-15"/>
        </w:rPr>
        <w:t> </w:t>
      </w:r>
      <w:r>
        <w:rPr/>
        <w:t>ir</w:t>
      </w:r>
      <w:r>
        <w:rPr>
          <w:spacing w:val="-15"/>
        </w:rPr>
        <w:t> </w:t>
      </w:r>
      <w:r>
        <w:rPr/>
        <w:t>pieļaujams,</w:t>
      </w:r>
      <w:r>
        <w:rPr>
          <w:spacing w:val="-12"/>
        </w:rPr>
        <w:t> </w:t>
      </w:r>
      <w:r>
        <w:rPr/>
        <w:t>ja</w:t>
      </w:r>
      <w:r>
        <w:rPr>
          <w:spacing w:val="-18"/>
        </w:rPr>
        <w:t> </w:t>
      </w:r>
      <w:r>
        <w:rPr/>
        <w:t>kreditors</w:t>
      </w:r>
      <w:r>
        <w:rPr>
          <w:spacing w:val="-15"/>
        </w:rPr>
        <w:t> </w:t>
      </w:r>
      <w:r>
        <w:rPr/>
        <w:t>ir</w:t>
      </w:r>
      <w:r>
        <w:rPr>
          <w:spacing w:val="-15"/>
        </w:rPr>
        <w:t> </w:t>
      </w:r>
      <w:r>
        <w:rPr/>
        <w:t>ticami</w:t>
      </w:r>
      <w:r>
        <w:rPr>
          <w:spacing w:val="-12"/>
        </w:rPr>
        <w:t> </w:t>
      </w:r>
      <w:r>
        <w:rPr/>
        <w:t>pamatojis,</w:t>
      </w:r>
      <w:r>
        <w:rPr>
          <w:spacing w:val="-16"/>
        </w:rPr>
        <w:t> </w:t>
      </w:r>
      <w:r>
        <w:rPr/>
        <w:t>ka</w:t>
      </w:r>
      <w:r>
        <w:rPr>
          <w:spacing w:val="-17"/>
        </w:rPr>
        <w:t> </w:t>
      </w:r>
      <w:r>
        <w:rPr/>
        <w:t>pastāv</w:t>
      </w:r>
      <w:r>
        <w:rPr>
          <w:spacing w:val="-15"/>
        </w:rPr>
        <w:t> </w:t>
      </w:r>
      <w:r>
        <w:rPr/>
        <w:t>augstāk</w:t>
      </w:r>
      <w:r>
        <w:rPr>
          <w:spacing w:val="-15"/>
        </w:rPr>
        <w:t> </w:t>
      </w:r>
      <w:r>
        <w:rPr/>
        <w:t>minētie apstākļi un ka kreditoram nav iepriekš bijis zināms par šādu apstākļu esamību. Kreditors un parādnieks par tiesas pieņemto lēmumu nekavējoties var iesniegt</w:t>
      </w:r>
      <w:r>
        <w:rPr>
          <w:spacing w:val="-6"/>
        </w:rPr>
        <w:t> </w:t>
      </w:r>
      <w:r>
        <w:rPr/>
        <w:t>sūdzību.</w:t>
      </w:r>
    </w:p>
    <w:p>
      <w:pPr>
        <w:pStyle w:val="BodyText"/>
        <w:ind w:left="260" w:right="761" w:firstLine="720"/>
      </w:pPr>
      <w:r>
        <w:rPr/>
        <w:t>Vācijas Maksātnespējas likuma </w:t>
      </w:r>
      <w:r>
        <w:rPr>
          <w:i/>
        </w:rPr>
        <w:t>§ 298 </w:t>
      </w:r>
      <w:r>
        <w:rPr/>
        <w:t>nosaka, ka tiesa atsaka atlikušo parāda saistību dzēšanu, pamatojoties uz administratora (</w:t>
      </w:r>
      <w:r>
        <w:rPr>
          <w:i/>
        </w:rPr>
        <w:t>Treuhaender</w:t>
      </w:r>
      <w:r>
        <w:rPr/>
        <w:t>) pieteikuma, ja saistību dzēšanas procedūras laikā administratoram nodotie parādnieka ieņēmumi nesedz administratora minimālo atlīdzību par iepriekšējo gadu un parādnieks neiemaksā</w:t>
      </w:r>
      <w:r>
        <w:rPr>
          <w:spacing w:val="-34"/>
        </w:rPr>
        <w:t> </w:t>
      </w:r>
      <w:r>
        <w:rPr/>
        <w:t>trūkstošo naudas apmēru, neskatoties uz to, ka administrators ir nosūtījis parādniekam rakstisku pieprasījumu trūkstošo naudas summu iemaksāt divu nedēļu laikā, un administrators pieprasījumā norādījis uz iespējamu parāda saistību dzēšanas atteikumu, ja pieprasītā naudas</w:t>
      </w:r>
      <w:r>
        <w:rPr>
          <w:spacing w:val="-15"/>
        </w:rPr>
        <w:t> </w:t>
      </w:r>
      <w:r>
        <w:rPr/>
        <w:t>summa</w:t>
      </w:r>
      <w:r>
        <w:rPr>
          <w:spacing w:val="-15"/>
        </w:rPr>
        <w:t> </w:t>
      </w:r>
      <w:r>
        <w:rPr/>
        <w:t>netiks</w:t>
      </w:r>
      <w:r>
        <w:rPr>
          <w:spacing w:val="-12"/>
        </w:rPr>
        <w:t> </w:t>
      </w:r>
      <w:r>
        <w:rPr/>
        <w:t>samaksāta.</w:t>
      </w:r>
      <w:r>
        <w:rPr>
          <w:spacing w:val="-12"/>
        </w:rPr>
        <w:t> </w:t>
      </w:r>
      <w:r>
        <w:rPr/>
        <w:t>Augstāk</w:t>
      </w:r>
      <w:r>
        <w:rPr>
          <w:spacing w:val="-10"/>
        </w:rPr>
        <w:t> </w:t>
      </w:r>
      <w:r>
        <w:rPr/>
        <w:t>minētais</w:t>
      </w:r>
      <w:r>
        <w:rPr>
          <w:spacing w:val="-12"/>
        </w:rPr>
        <w:t> </w:t>
      </w:r>
      <w:r>
        <w:rPr/>
        <w:t>regulējums</w:t>
      </w:r>
      <w:r>
        <w:rPr>
          <w:spacing w:val="-12"/>
        </w:rPr>
        <w:t> </w:t>
      </w:r>
      <w:r>
        <w:rPr/>
        <w:t>netiek</w:t>
      </w:r>
      <w:r>
        <w:rPr>
          <w:spacing w:val="-10"/>
        </w:rPr>
        <w:t> </w:t>
      </w:r>
      <w:r>
        <w:rPr/>
        <w:t>piemērots,</w:t>
      </w:r>
      <w:r>
        <w:rPr>
          <w:spacing w:val="-15"/>
        </w:rPr>
        <w:t> </w:t>
      </w:r>
      <w:r>
        <w:rPr/>
        <w:t>ja</w:t>
      </w:r>
      <w:r>
        <w:rPr>
          <w:spacing w:val="-11"/>
        </w:rPr>
        <w:t> </w:t>
      </w:r>
      <w:r>
        <w:rPr/>
        <w:t>saskaņā ar</w:t>
      </w:r>
      <w:r>
        <w:rPr>
          <w:spacing w:val="-16"/>
        </w:rPr>
        <w:t> </w:t>
      </w:r>
      <w:r>
        <w:rPr/>
        <w:t>Vācijas</w:t>
      </w:r>
      <w:r>
        <w:rPr>
          <w:spacing w:val="-10"/>
        </w:rPr>
        <w:t> </w:t>
      </w:r>
      <w:r>
        <w:rPr/>
        <w:t>Maksātnespējas</w:t>
      </w:r>
      <w:r>
        <w:rPr>
          <w:spacing w:val="-12"/>
        </w:rPr>
        <w:t> </w:t>
      </w:r>
      <w:r>
        <w:rPr/>
        <w:t>likuma</w:t>
      </w:r>
      <w:r>
        <w:rPr>
          <w:spacing w:val="-12"/>
        </w:rPr>
        <w:t> </w:t>
      </w:r>
      <w:r>
        <w:rPr>
          <w:i/>
        </w:rPr>
        <w:t>§</w:t>
      </w:r>
      <w:r>
        <w:rPr>
          <w:i/>
          <w:spacing w:val="-12"/>
        </w:rPr>
        <w:t> </w:t>
      </w:r>
      <w:r>
        <w:rPr>
          <w:i/>
        </w:rPr>
        <w:t>4a</w:t>
      </w:r>
      <w:r>
        <w:rPr>
          <w:i/>
          <w:spacing w:val="-10"/>
        </w:rPr>
        <w:t> </w:t>
      </w:r>
      <w:r>
        <w:rPr/>
        <w:t>tiesa</w:t>
      </w:r>
      <w:r>
        <w:rPr>
          <w:spacing w:val="-12"/>
        </w:rPr>
        <w:t> </w:t>
      </w:r>
      <w:r>
        <w:rPr/>
        <w:t>ir</w:t>
      </w:r>
      <w:r>
        <w:rPr>
          <w:spacing w:val="-11"/>
        </w:rPr>
        <w:t> </w:t>
      </w:r>
      <w:r>
        <w:rPr/>
        <w:t>lēmusi,</w:t>
      </w:r>
      <w:r>
        <w:rPr>
          <w:spacing w:val="-12"/>
        </w:rPr>
        <w:t> </w:t>
      </w:r>
      <w:r>
        <w:rPr/>
        <w:t>ka</w:t>
      </w:r>
      <w:r>
        <w:rPr>
          <w:spacing w:val="-12"/>
        </w:rPr>
        <w:t> </w:t>
      </w:r>
      <w:r>
        <w:rPr/>
        <w:t>maksātnespējas</w:t>
      </w:r>
      <w:r>
        <w:rPr>
          <w:spacing w:val="-10"/>
        </w:rPr>
        <w:t> </w:t>
      </w:r>
      <w:r>
        <w:rPr/>
        <w:t>procesa</w:t>
      </w:r>
      <w:r>
        <w:rPr>
          <w:spacing w:val="-11"/>
        </w:rPr>
        <w:t> </w:t>
      </w:r>
      <w:r>
        <w:rPr/>
        <w:t>izmaksas sedzamas pēc parādnieka atlikušo parāda saistību dzēšanas (pēc saistību dzēšanas procedūras</w:t>
      </w:r>
      <w:r>
        <w:rPr>
          <w:spacing w:val="-9"/>
        </w:rPr>
        <w:t> </w:t>
      </w:r>
      <w:r>
        <w:rPr/>
        <w:t>pabeigšanas).</w:t>
      </w:r>
      <w:r>
        <w:rPr>
          <w:spacing w:val="-5"/>
        </w:rPr>
        <w:t> </w:t>
      </w:r>
      <w:r>
        <w:rPr/>
        <w:t>Saskaņā</w:t>
      </w:r>
      <w:r>
        <w:rPr>
          <w:spacing w:val="-11"/>
        </w:rPr>
        <w:t> </w:t>
      </w:r>
      <w:r>
        <w:rPr/>
        <w:t>ar</w:t>
      </w:r>
      <w:r>
        <w:rPr>
          <w:spacing w:val="-10"/>
        </w:rPr>
        <w:t> </w:t>
      </w:r>
      <w:r>
        <w:rPr/>
        <w:t>Vācijas</w:t>
      </w:r>
      <w:r>
        <w:rPr>
          <w:spacing w:val="-9"/>
        </w:rPr>
        <w:t> </w:t>
      </w:r>
      <w:r>
        <w:rPr/>
        <w:t>Maksātnespējas</w:t>
      </w:r>
      <w:r>
        <w:rPr>
          <w:spacing w:val="-10"/>
        </w:rPr>
        <w:t> </w:t>
      </w:r>
      <w:r>
        <w:rPr/>
        <w:t>likuma</w:t>
      </w:r>
      <w:r>
        <w:rPr>
          <w:spacing w:val="-10"/>
        </w:rPr>
        <w:t> </w:t>
      </w:r>
      <w:r>
        <w:rPr>
          <w:i/>
        </w:rPr>
        <w:t>§</w:t>
      </w:r>
      <w:r>
        <w:rPr>
          <w:i/>
          <w:spacing w:val="-8"/>
        </w:rPr>
        <w:t> </w:t>
      </w:r>
      <w:r>
        <w:rPr>
          <w:i/>
        </w:rPr>
        <w:t>298</w:t>
      </w:r>
      <w:r>
        <w:rPr>
          <w:i/>
          <w:spacing w:val="-8"/>
        </w:rPr>
        <w:t> </w:t>
      </w:r>
      <w:r>
        <w:rPr>
          <w:i/>
        </w:rPr>
        <w:t>otro</w:t>
      </w:r>
      <w:r>
        <w:rPr>
          <w:i/>
          <w:spacing w:val="-9"/>
        </w:rPr>
        <w:t> </w:t>
      </w:r>
      <w:r>
        <w:rPr>
          <w:i/>
        </w:rPr>
        <w:t>daļu</w:t>
      </w:r>
      <w:r>
        <w:rPr>
          <w:i/>
          <w:spacing w:val="-7"/>
        </w:rPr>
        <w:t> </w:t>
      </w:r>
      <w:r>
        <w:rPr/>
        <w:t>pirms tiesa pieņem lēmumu, tā uzklausa parādnieku. Tiesa noraida pieteikumu par atteikumu piemērot atlikušo parāda saistību dzēšanu, ja pēc tiesas pieprasījuma parādnieks divu nedēļu laikā iemaksā trūkstošo naudas summu vai arī tiesa saskaņā ar Vācijas Maksātnespējas likuma </w:t>
      </w:r>
      <w:r>
        <w:rPr>
          <w:i/>
        </w:rPr>
        <w:t>§ 4a </w:t>
      </w:r>
      <w:r>
        <w:rPr/>
        <w:t>nolemj atbrīvot parādnieku nominēto izmaksu segšanas līdz saistību dzēšanai.</w:t>
      </w:r>
    </w:p>
    <w:p>
      <w:pPr>
        <w:pStyle w:val="ListParagraph"/>
        <w:numPr>
          <w:ilvl w:val="2"/>
          <w:numId w:val="94"/>
        </w:numPr>
        <w:tabs>
          <w:tab w:pos="1400" w:val="left" w:leader="none"/>
        </w:tabs>
        <w:spacing w:line="240" w:lineRule="auto" w:before="0" w:after="0"/>
        <w:ind w:left="260" w:right="760" w:firstLine="708"/>
        <w:jc w:val="both"/>
        <w:rPr>
          <w:sz w:val="24"/>
        </w:rPr>
      </w:pPr>
      <w:r>
        <w:rPr>
          <w:b/>
          <w:i/>
          <w:sz w:val="24"/>
        </w:rPr>
        <w:t>Parādnieka negodprātības vērtēšana pēc saistību dzēšanas</w:t>
      </w:r>
      <w:r>
        <w:rPr>
          <w:sz w:val="24"/>
        </w:rPr>
        <w:t>. Vācijas Maksātnespējas likuma </w:t>
      </w:r>
      <w:r>
        <w:rPr>
          <w:i/>
          <w:sz w:val="24"/>
        </w:rPr>
        <w:t>§ 303 </w:t>
      </w:r>
      <w:r>
        <w:rPr>
          <w:sz w:val="24"/>
        </w:rPr>
        <w:t>nosaka kārtību, kādā tiesa atsauc pieņemto lēmumu par parādnieka parāda saistību dzēšanu, proti, pamatojoties uz kreditora pieteikumu tiesa atsauc lēmumu par parādnieka atlikušo parāda saistību dzēšanu, ja ir iestājies kāds no zemāk minētajiem</w:t>
      </w:r>
      <w:r>
        <w:rPr>
          <w:spacing w:val="-3"/>
          <w:sz w:val="24"/>
        </w:rPr>
        <w:t> </w:t>
      </w:r>
      <w:r>
        <w:rPr>
          <w:sz w:val="24"/>
        </w:rPr>
        <w:t>gadījumiem:</w:t>
      </w:r>
    </w:p>
    <w:p>
      <w:pPr>
        <w:pStyle w:val="ListParagraph"/>
        <w:numPr>
          <w:ilvl w:val="0"/>
          <w:numId w:val="104"/>
        </w:numPr>
        <w:tabs>
          <w:tab w:pos="980" w:val="left" w:leader="none"/>
        </w:tabs>
        <w:spacing w:line="240" w:lineRule="auto" w:before="1" w:after="0"/>
        <w:ind w:left="980" w:right="764" w:hanging="360"/>
        <w:jc w:val="both"/>
        <w:rPr>
          <w:sz w:val="24"/>
        </w:rPr>
      </w:pPr>
      <w:r>
        <w:rPr>
          <w:sz w:val="24"/>
        </w:rPr>
        <w:t>vēlāk top zināms, ka parādnieks ar nodomu ir pārkāpis kādu no Vācijas Maksātnespējas likuma </w:t>
      </w:r>
      <w:r>
        <w:rPr>
          <w:i/>
          <w:sz w:val="24"/>
        </w:rPr>
        <w:t>§ 295 </w:t>
      </w:r>
      <w:r>
        <w:rPr>
          <w:sz w:val="24"/>
        </w:rPr>
        <w:t>noteiktajiem pienākumiem, kas savukārt ir </w:t>
      </w:r>
      <w:r>
        <w:rPr>
          <w:spacing w:val="-3"/>
          <w:sz w:val="24"/>
        </w:rPr>
        <w:t>radījis </w:t>
      </w:r>
      <w:r>
        <w:rPr>
          <w:sz w:val="24"/>
        </w:rPr>
        <w:t>būtisku kreditora interešu aizskārumu saņemt sava prasījuma</w:t>
      </w:r>
      <w:r>
        <w:rPr>
          <w:spacing w:val="-5"/>
          <w:sz w:val="24"/>
        </w:rPr>
        <w:t> </w:t>
      </w:r>
      <w:r>
        <w:rPr>
          <w:sz w:val="24"/>
        </w:rPr>
        <w:t>apmierinājumu;</w:t>
      </w:r>
    </w:p>
    <w:p>
      <w:pPr>
        <w:pStyle w:val="ListParagraph"/>
        <w:numPr>
          <w:ilvl w:val="0"/>
          <w:numId w:val="104"/>
        </w:numPr>
        <w:tabs>
          <w:tab w:pos="980" w:val="left" w:leader="none"/>
        </w:tabs>
        <w:spacing w:line="240" w:lineRule="auto" w:before="0" w:after="0"/>
        <w:ind w:left="980" w:right="762" w:hanging="360"/>
        <w:jc w:val="both"/>
        <w:rPr>
          <w:sz w:val="24"/>
        </w:rPr>
      </w:pPr>
      <w:r>
        <w:rPr>
          <w:sz w:val="24"/>
        </w:rPr>
        <w:t>vēlāk top zināms, ka parādnieks saistību dzēšanas procedūras laikā ar spēkā stājušos tiesas spriedumu ir ticis notiesāts par noziedzīgiem nodarījumiem maksātnespējas jomā, kā to paredz Vācijas Maksātnespējas likuma </w:t>
      </w:r>
      <w:r>
        <w:rPr>
          <w:i/>
          <w:sz w:val="24"/>
        </w:rPr>
        <w:t>§ 297 pirmā </w:t>
      </w:r>
      <w:r>
        <w:rPr>
          <w:i/>
          <w:sz w:val="24"/>
        </w:rPr>
        <w:t>daļa; </w:t>
      </w:r>
      <w:r>
        <w:rPr>
          <w:sz w:val="24"/>
        </w:rPr>
        <w:t>vai ja parādnieks ir notiesāts ar spēkā stājušos tiesas spriedumu par maksātnespējas jomā pastrādātu noziedzīgu nodarījumu pēc tiesas lēmuma pieņemšanas par atlikušo parāda saistību dzēšanu, taču noziedzīgs nodarījums pastrādāts līdz saistību dzēšanas procedūras</w:t>
      </w:r>
      <w:r>
        <w:rPr>
          <w:spacing w:val="-3"/>
          <w:sz w:val="24"/>
        </w:rPr>
        <w:t> </w:t>
      </w:r>
      <w:r>
        <w:rPr>
          <w:sz w:val="24"/>
        </w:rPr>
        <w:t>pabeigšanai;</w:t>
      </w:r>
    </w:p>
    <w:p>
      <w:pPr>
        <w:pStyle w:val="ListParagraph"/>
        <w:numPr>
          <w:ilvl w:val="0"/>
          <w:numId w:val="104"/>
        </w:numPr>
        <w:tabs>
          <w:tab w:pos="980" w:val="left" w:leader="none"/>
        </w:tabs>
        <w:spacing w:line="240" w:lineRule="auto" w:before="0" w:after="0"/>
        <w:ind w:left="980" w:right="761" w:hanging="360"/>
        <w:jc w:val="both"/>
        <w:rPr>
          <w:sz w:val="24"/>
        </w:rPr>
      </w:pPr>
      <w:r>
        <w:rPr>
          <w:sz w:val="24"/>
        </w:rPr>
        <w:t>parādnieks pēc tiesas lēmuma pieņemšanas par parādnieka atlikušo parāda saistību dzēšanas ar nodomu vai aiz neuzmanības pārkāpis ziņu sniegšanas un līdzdarbošanās</w:t>
      </w:r>
      <w:r>
        <w:rPr>
          <w:spacing w:val="-16"/>
          <w:sz w:val="24"/>
        </w:rPr>
        <w:t> </w:t>
      </w:r>
      <w:r>
        <w:rPr>
          <w:sz w:val="24"/>
        </w:rPr>
        <w:t>pienākumu,</w:t>
      </w:r>
      <w:r>
        <w:rPr>
          <w:spacing w:val="-15"/>
          <w:sz w:val="24"/>
        </w:rPr>
        <w:t> </w:t>
      </w:r>
      <w:r>
        <w:rPr>
          <w:sz w:val="24"/>
        </w:rPr>
        <w:t>kas</w:t>
      </w:r>
      <w:r>
        <w:rPr>
          <w:spacing w:val="-17"/>
          <w:sz w:val="24"/>
        </w:rPr>
        <w:t> </w:t>
      </w:r>
      <w:r>
        <w:rPr>
          <w:sz w:val="24"/>
        </w:rPr>
        <w:t>viņam</w:t>
      </w:r>
      <w:r>
        <w:rPr>
          <w:spacing w:val="-15"/>
          <w:sz w:val="24"/>
        </w:rPr>
        <w:t> </w:t>
      </w:r>
      <w:r>
        <w:rPr>
          <w:sz w:val="24"/>
        </w:rPr>
        <w:t>saskaņā</w:t>
      </w:r>
      <w:r>
        <w:rPr>
          <w:spacing w:val="-16"/>
          <w:sz w:val="24"/>
        </w:rPr>
        <w:t> </w:t>
      </w:r>
      <w:r>
        <w:rPr>
          <w:sz w:val="24"/>
        </w:rPr>
        <w:t>ar</w:t>
      </w:r>
      <w:r>
        <w:rPr>
          <w:spacing w:val="-15"/>
          <w:sz w:val="24"/>
        </w:rPr>
        <w:t> </w:t>
      </w:r>
      <w:r>
        <w:rPr>
          <w:sz w:val="24"/>
        </w:rPr>
        <w:t>šo</w:t>
      </w:r>
      <w:r>
        <w:rPr>
          <w:spacing w:val="-15"/>
          <w:sz w:val="24"/>
        </w:rPr>
        <w:t> </w:t>
      </w:r>
      <w:r>
        <w:rPr>
          <w:sz w:val="24"/>
        </w:rPr>
        <w:t>likumu</w:t>
      </w:r>
      <w:r>
        <w:rPr>
          <w:spacing w:val="-15"/>
          <w:sz w:val="24"/>
        </w:rPr>
        <w:t> </w:t>
      </w:r>
      <w:r>
        <w:rPr>
          <w:sz w:val="24"/>
        </w:rPr>
        <w:t>maksātnespējas</w:t>
      </w:r>
      <w:r>
        <w:rPr>
          <w:spacing w:val="-12"/>
          <w:sz w:val="24"/>
        </w:rPr>
        <w:t> </w:t>
      </w:r>
      <w:r>
        <w:rPr>
          <w:sz w:val="24"/>
        </w:rPr>
        <w:t>procesa laikā bija jāpilda.</w:t>
      </w:r>
    </w:p>
    <w:p>
      <w:pPr>
        <w:pStyle w:val="BodyText"/>
        <w:ind w:left="260" w:right="762" w:firstLine="720"/>
      </w:pPr>
      <w:r>
        <w:rPr/>
        <w:t>Saskaņā ar Vācijas Maksātnespējas likuma </w:t>
      </w:r>
      <w:r>
        <w:rPr>
          <w:i/>
        </w:rPr>
        <w:t>§303 otro daļu </w:t>
      </w:r>
      <w:r>
        <w:rPr/>
        <w:t>kreditora pieteikums ir pieļaujams, ja tas iesniegts tiesā viena gada laikā pēc tiesas lēmuma par parādnieka atbrīvošanu no neizpildītajām parāda saistībām spēkā stāšanās. Kreditoram ir ticami jāpamato atsaukuma iemesli. </w:t>
      </w:r>
      <w:r>
        <w:rPr>
          <w:i/>
        </w:rPr>
        <w:t>§303 pirmo daļu 1.punktu </w:t>
      </w:r>
      <w:r>
        <w:rPr/>
        <w:t>noteiktajā gadījumā kreditoram ir</w:t>
      </w:r>
    </w:p>
    <w:p>
      <w:pPr>
        <w:pStyle w:val="BodyText"/>
        <w:spacing w:before="6"/>
        <w:jc w:val="left"/>
        <w:rPr>
          <w:sz w:val="12"/>
        </w:rPr>
      </w:pPr>
      <w:r>
        <w:rPr/>
        <w:pict>
          <v:shape style="position:absolute;margin-left:72pt;margin-top:9.479434pt;width:144pt;height:.1pt;mso-position-horizontal-relative:page;mso-position-vertical-relative:paragraph;z-index:-251464704;mso-wrap-distance-left:0;mso-wrap-distance-right:0" coordorigin="1440,190" coordsize="2880,0" path="m1440,190l4320,190e" filled="false" stroked="true" strokeweight=".600037pt" strokecolor="#000000">
            <v:path arrowok="t"/>
            <v:stroke dashstyle="solid"/>
            <w10:wrap type="topAndBottom"/>
          </v:shape>
        </w:pict>
      </w:r>
    </w:p>
    <w:p>
      <w:pPr>
        <w:spacing w:before="70"/>
        <w:ind w:left="260" w:right="761" w:firstLine="0"/>
        <w:jc w:val="both"/>
        <w:rPr>
          <w:sz w:val="20"/>
        </w:rPr>
      </w:pPr>
      <w:r>
        <w:rPr>
          <w:position w:val="7"/>
          <w:sz w:val="13"/>
        </w:rPr>
        <w:t>437 </w:t>
      </w:r>
      <w:r>
        <w:rPr>
          <w:sz w:val="20"/>
        </w:rPr>
        <w:t>§ 211 Inso regulē situāciju, kad pēc maksātnespējas procesa izmaksu segšanas saskaņā ar </w:t>
      </w:r>
      <w:r>
        <w:rPr>
          <w:i/>
          <w:sz w:val="20"/>
        </w:rPr>
        <w:t>§ 209 </w:t>
      </w:r>
      <w:r>
        <w:rPr>
          <w:sz w:val="20"/>
        </w:rPr>
        <w:t>(noteikta maksātnespējas procesa izmaksu segšanas kārtība), tiesa pieņem lēmumu par bankrota procedūras pārtraukšanu, mantas nepietiekamības dēļ (Masseunzulaenglichkeit).</w:t>
      </w:r>
    </w:p>
    <w:p>
      <w:pPr>
        <w:spacing w:after="0"/>
        <w:jc w:val="both"/>
        <w:rPr>
          <w:sz w:val="20"/>
        </w:rPr>
        <w:sectPr>
          <w:pgSz w:w="11910" w:h="16840"/>
          <w:pgMar w:header="0" w:footer="1055" w:top="1320" w:bottom="1240" w:left="1180" w:right="1040"/>
        </w:sectPr>
      </w:pPr>
    </w:p>
    <w:p>
      <w:pPr>
        <w:pStyle w:val="BodyText"/>
        <w:spacing w:before="73"/>
        <w:ind w:left="620" w:right="403"/>
      </w:pPr>
      <w:r>
        <w:rPr/>
        <w:t>jāpierāda, ka līdz brīdim, kad tiesa pasludināja lēmumu par atlikušo parāda saistību dzēšanu, kreditoram nebija zināms par </w:t>
      </w:r>
      <w:r>
        <w:rPr>
          <w:i/>
        </w:rPr>
        <w:t>§303 pirmajā daļā 1.punktā </w:t>
      </w:r>
      <w:r>
        <w:rPr/>
        <w:t>minētā pamata pastāvēšanu.</w:t>
      </w:r>
    </w:p>
    <w:p>
      <w:pPr>
        <w:spacing w:before="0"/>
        <w:ind w:left="620" w:right="402" w:firstLine="720"/>
        <w:jc w:val="both"/>
        <w:rPr>
          <w:sz w:val="24"/>
        </w:rPr>
      </w:pPr>
      <w:r>
        <w:rPr>
          <w:sz w:val="24"/>
        </w:rPr>
        <w:t>Saskaņā ar Vācijas Maksātnespējas likuma </w:t>
      </w:r>
      <w:r>
        <w:rPr>
          <w:i/>
          <w:sz w:val="24"/>
        </w:rPr>
        <w:t>§303 trešo daļu </w:t>
      </w:r>
      <w:r>
        <w:rPr>
          <w:sz w:val="24"/>
        </w:rPr>
        <w:t>pirms lēmuma pieņemšanas tiesa uzklausa parādnieku un </w:t>
      </w:r>
      <w:r>
        <w:rPr>
          <w:i/>
          <w:sz w:val="24"/>
        </w:rPr>
        <w:t>§303 pirmās daļas 1.un 3.punktos </w:t>
      </w:r>
      <w:r>
        <w:rPr>
          <w:sz w:val="24"/>
        </w:rPr>
        <w:t>noteiktajos gadījumos tiesa uzklausa saistību dzēšanas procedūras administratoru (</w:t>
      </w:r>
      <w:r>
        <w:rPr>
          <w:i/>
          <w:sz w:val="24"/>
        </w:rPr>
        <w:t>Treuhaender</w:t>
      </w:r>
      <w:r>
        <w:rPr>
          <w:sz w:val="24"/>
        </w:rPr>
        <w:t>) vai bankrota procedūras administratoru (</w:t>
      </w:r>
      <w:r>
        <w:rPr>
          <w:i/>
          <w:sz w:val="24"/>
        </w:rPr>
        <w:t>Insolvenzverwalter</w:t>
      </w:r>
      <w:r>
        <w:rPr>
          <w:sz w:val="24"/>
        </w:rPr>
        <w:t>). Par pieņemto tiesas lēmumu parādnieks un kreditors var nekavējoties iesniegt sūdzību.</w:t>
      </w:r>
    </w:p>
    <w:p>
      <w:pPr>
        <w:pStyle w:val="BodyText"/>
        <w:spacing w:line="235" w:lineRule="auto" w:before="5"/>
        <w:ind w:left="620" w:right="402" w:firstLine="420"/>
        <w:rPr>
          <w:sz w:val="16"/>
        </w:rPr>
      </w:pPr>
      <w:r>
        <w:rPr/>
        <w:t>Tiesību</w:t>
      </w:r>
      <w:r>
        <w:rPr>
          <w:spacing w:val="-11"/>
        </w:rPr>
        <w:t> </w:t>
      </w:r>
      <w:r>
        <w:rPr/>
        <w:t>literatūrā</w:t>
      </w:r>
      <w:r>
        <w:rPr>
          <w:spacing w:val="-10"/>
        </w:rPr>
        <w:t> </w:t>
      </w:r>
      <w:r>
        <w:rPr/>
        <w:t>norādīts,</w:t>
      </w:r>
      <w:r>
        <w:rPr>
          <w:spacing w:val="-11"/>
        </w:rPr>
        <w:t> </w:t>
      </w:r>
      <w:r>
        <w:rPr/>
        <w:t>ka</w:t>
      </w:r>
      <w:r>
        <w:rPr>
          <w:spacing w:val="-12"/>
        </w:rPr>
        <w:t> </w:t>
      </w:r>
      <w:r>
        <w:rPr/>
        <w:t>tikai</w:t>
      </w:r>
      <w:r>
        <w:rPr>
          <w:spacing w:val="-13"/>
        </w:rPr>
        <w:t> </w:t>
      </w:r>
      <w:r>
        <w:rPr/>
        <w:t>būtiski</w:t>
      </w:r>
      <w:r>
        <w:rPr>
          <w:spacing w:val="-10"/>
        </w:rPr>
        <w:t> </w:t>
      </w:r>
      <w:r>
        <w:rPr/>
        <w:t>pārkāpumi</w:t>
      </w:r>
      <w:r>
        <w:rPr>
          <w:spacing w:val="-9"/>
        </w:rPr>
        <w:t> </w:t>
      </w:r>
      <w:r>
        <w:rPr/>
        <w:t>var</w:t>
      </w:r>
      <w:r>
        <w:rPr>
          <w:spacing w:val="-13"/>
        </w:rPr>
        <w:t> </w:t>
      </w:r>
      <w:r>
        <w:rPr/>
        <w:t>pamatot</w:t>
      </w:r>
      <w:r>
        <w:rPr>
          <w:spacing w:val="-8"/>
        </w:rPr>
        <w:t> </w:t>
      </w:r>
      <w:r>
        <w:rPr/>
        <w:t>tiesas</w:t>
      </w:r>
      <w:r>
        <w:rPr>
          <w:spacing w:val="-13"/>
        </w:rPr>
        <w:t> </w:t>
      </w:r>
      <w:r>
        <w:rPr/>
        <w:t>nolēmuma</w:t>
      </w:r>
      <w:r>
        <w:rPr>
          <w:spacing w:val="-10"/>
        </w:rPr>
        <w:t> </w:t>
      </w:r>
      <w:r>
        <w:rPr/>
        <w:t>par atbrīvošanu no atlikušajām nesegtajām parāda saistībām atsaukšanu. Vācijas Maksātnespējas likuma </w:t>
      </w:r>
      <w:r>
        <w:rPr>
          <w:i/>
        </w:rPr>
        <w:t>§ 303 pirmās daļas pirmais punkts </w:t>
      </w:r>
      <w:r>
        <w:rPr/>
        <w:t>norāda uz parādnieka nodomu, tīšu pienākumu pārkāpumu saistību dzēšanas procedūras laikā. Pie kam nepietiek ar to, ka prettiesiskās rīcības rezultātā ir aizskartas kreditora tiesības saņemt sava prasījuma apmierinājumu, kam savukārt ir jābūt konkrēti izmērāmam ekonomiskam kaitējuma apmēram.</w:t>
      </w:r>
      <w:r>
        <w:rPr>
          <w:position w:val="9"/>
          <w:sz w:val="16"/>
        </w:rPr>
        <w:t>438 </w:t>
      </w:r>
      <w:r>
        <w:rPr/>
        <w:t>Kreditora prasījuma apmierināšanas interesei jābūt būtiski aizskartai. Būtiskuma slieksnis katrā atsevišķā gadījumā ir vērtējams</w:t>
      </w:r>
      <w:r>
        <w:rPr>
          <w:spacing w:val="-4"/>
        </w:rPr>
        <w:t> </w:t>
      </w:r>
      <w:r>
        <w:rPr/>
        <w:t>atšķirīgi.</w:t>
      </w:r>
      <w:r>
        <w:rPr>
          <w:position w:val="9"/>
          <w:sz w:val="16"/>
        </w:rPr>
        <w:t>439</w:t>
      </w:r>
    </w:p>
    <w:p>
      <w:pPr>
        <w:pStyle w:val="BodyText"/>
        <w:spacing w:before="9"/>
        <w:ind w:left="620" w:right="403" w:firstLine="720"/>
      </w:pPr>
      <w:r>
        <w:rPr/>
        <w:t>Savukārt Vācijas Maksātnespējas likuma </w:t>
      </w:r>
      <w:r>
        <w:rPr>
          <w:i/>
        </w:rPr>
        <w:t>§ 303 pirmās daļas 2.punkta 2. </w:t>
      </w:r>
      <w:r>
        <w:rPr>
          <w:i/>
        </w:rPr>
        <w:t>alternatīva </w:t>
      </w:r>
      <w:r>
        <w:rPr/>
        <w:t>(notiesājošs Tiesas spriedums stājies spēkā pēc tiesas nolēmuma pieņemšanas par parādnieka atbrīvošanu no neizpildītajām parādsaistībām) ieviesta, ņemot vērā, ka ekonomisko noziedzīgo nodarījumu vidējais izmeklēšanas un tiesas procesa ilgums dēļ to sarežģītības ir laikietilpīgs.</w:t>
      </w:r>
    </w:p>
    <w:p>
      <w:pPr>
        <w:pStyle w:val="BodyText"/>
        <w:spacing w:line="237" w:lineRule="auto" w:before="3"/>
        <w:ind w:left="620" w:right="402" w:firstLine="720"/>
      </w:pPr>
      <w:r>
        <w:rPr/>
        <w:t>Vācijas Maksātnespējas likuma </w:t>
      </w:r>
      <w:r>
        <w:rPr>
          <w:i/>
        </w:rPr>
        <w:t>§ 303 pirmās daļas 3.punkta </w:t>
      </w:r>
      <w:r>
        <w:rPr/>
        <w:t>mērķis ir nodrošināt, ka gadījumos, kad bankrota procedūra (maksātnespējas process) norit ilgāk kā saistību dzēšanas procedūra</w:t>
      </w:r>
      <w:r>
        <w:rPr>
          <w:position w:val="9"/>
          <w:sz w:val="16"/>
        </w:rPr>
        <w:t>440</w:t>
      </w:r>
      <w:r>
        <w:rPr/>
        <w:t>, turpina darboties atbildības priekšnoteikumi, ja parādnieks pārkāpj Vācijas Maksātnespējas likuma </w:t>
      </w:r>
      <w:r>
        <w:rPr>
          <w:i/>
        </w:rPr>
        <w:t>§ 97 </w:t>
      </w:r>
      <w:r>
        <w:rPr/>
        <w:t>noteiktos ziņu sniegšanas un līdzdarbošanās pienākumus maksātnespējas procesa laikā.</w:t>
      </w:r>
    </w:p>
    <w:p>
      <w:pPr>
        <w:pStyle w:val="BodyText"/>
        <w:spacing w:line="232" w:lineRule="auto" w:before="3"/>
        <w:ind w:left="620" w:right="403" w:firstLine="720"/>
        <w:rPr>
          <w:sz w:val="16"/>
        </w:rPr>
      </w:pPr>
      <w:r>
        <w:rPr/>
        <w:t>Tiesa izlemj par kreditora iesniegto pieteikumu atsaukt parādnieka atbrīvošanu no neizpildītajām parādsaistībām, pieņemot lēmumu. Ar lēmuma spēkā stāšanos kreditori ir tiesīgi brīvi pieprasīt saistību izpildi no parādnieka.</w:t>
      </w:r>
      <w:r>
        <w:rPr>
          <w:position w:val="9"/>
          <w:sz w:val="16"/>
        </w:rPr>
        <w:t>441</w:t>
      </w:r>
    </w:p>
    <w:p>
      <w:pPr>
        <w:pStyle w:val="BodyText"/>
        <w:jc w:val="left"/>
        <w:rPr>
          <w:sz w:val="28"/>
        </w:rPr>
      </w:pPr>
    </w:p>
    <w:p>
      <w:pPr>
        <w:pStyle w:val="Heading4"/>
        <w:numPr>
          <w:ilvl w:val="1"/>
          <w:numId w:val="94"/>
        </w:numPr>
        <w:tabs>
          <w:tab w:pos="982" w:val="left" w:leader="none"/>
        </w:tabs>
        <w:spacing w:line="240" w:lineRule="auto" w:before="237" w:after="0"/>
        <w:ind w:left="981" w:right="0" w:hanging="362"/>
        <w:jc w:val="both"/>
        <w:rPr>
          <w:i/>
        </w:rPr>
      </w:pPr>
      <w:bookmarkStart w:name="_TOC_250031" w:id="47"/>
      <w:r>
        <w:rPr>
          <w:i/>
        </w:rPr>
        <w:t>Parādnieka negodprātības elementu konstatēšanas</w:t>
      </w:r>
      <w:r>
        <w:rPr>
          <w:i/>
          <w:spacing w:val="1"/>
        </w:rPr>
        <w:t> </w:t>
      </w:r>
      <w:bookmarkEnd w:id="47"/>
      <w:r>
        <w:rPr>
          <w:i/>
        </w:rPr>
        <w:t>kārtība</w:t>
      </w:r>
    </w:p>
    <w:p>
      <w:pPr>
        <w:pStyle w:val="BodyText"/>
        <w:spacing w:before="7"/>
        <w:jc w:val="left"/>
        <w:rPr>
          <w:b/>
          <w:i/>
          <w:sz w:val="23"/>
        </w:rPr>
      </w:pPr>
    </w:p>
    <w:p>
      <w:pPr>
        <w:pStyle w:val="BodyText"/>
        <w:ind w:left="620" w:right="406" w:firstLine="360"/>
      </w:pPr>
      <w:r>
        <w:rPr/>
        <w:t>Vācijas Maksātnespējas likums paredz parādnieka negodprātīgas rīcības izvērtējumu divos veidos:</w:t>
      </w:r>
    </w:p>
    <w:p>
      <w:pPr>
        <w:pStyle w:val="ListParagraph"/>
        <w:numPr>
          <w:ilvl w:val="0"/>
          <w:numId w:val="105"/>
        </w:numPr>
        <w:tabs>
          <w:tab w:pos="1760" w:val="left" w:leader="none"/>
        </w:tabs>
        <w:spacing w:line="240" w:lineRule="auto" w:before="0" w:after="0"/>
        <w:ind w:left="1760" w:right="402" w:hanging="360"/>
        <w:jc w:val="both"/>
        <w:rPr>
          <w:i/>
          <w:sz w:val="24"/>
        </w:rPr>
      </w:pPr>
      <w:r>
        <w:rPr>
          <w:sz w:val="24"/>
        </w:rPr>
        <w:t>tiesa</w:t>
      </w:r>
      <w:r>
        <w:rPr>
          <w:spacing w:val="-12"/>
          <w:sz w:val="24"/>
        </w:rPr>
        <w:t> </w:t>
      </w:r>
      <w:r>
        <w:rPr>
          <w:sz w:val="24"/>
        </w:rPr>
        <w:t>pēc</w:t>
      </w:r>
      <w:r>
        <w:rPr>
          <w:spacing w:val="-16"/>
          <w:sz w:val="24"/>
        </w:rPr>
        <w:t> </w:t>
      </w:r>
      <w:r>
        <w:rPr>
          <w:sz w:val="24"/>
        </w:rPr>
        <w:t>savas</w:t>
      </w:r>
      <w:r>
        <w:rPr>
          <w:spacing w:val="-11"/>
          <w:sz w:val="24"/>
        </w:rPr>
        <w:t> </w:t>
      </w:r>
      <w:r>
        <w:rPr>
          <w:sz w:val="24"/>
        </w:rPr>
        <w:t>iniciatīvas,</w:t>
      </w:r>
      <w:r>
        <w:rPr>
          <w:spacing w:val="-12"/>
          <w:sz w:val="24"/>
        </w:rPr>
        <w:t> </w:t>
      </w:r>
      <w:r>
        <w:rPr>
          <w:sz w:val="24"/>
        </w:rPr>
        <w:t>vērtējot</w:t>
      </w:r>
      <w:r>
        <w:rPr>
          <w:spacing w:val="-11"/>
          <w:sz w:val="24"/>
        </w:rPr>
        <w:t> </w:t>
      </w:r>
      <w:r>
        <w:rPr>
          <w:sz w:val="24"/>
        </w:rPr>
        <w:t>parādnieka</w:t>
      </w:r>
      <w:r>
        <w:rPr>
          <w:spacing w:val="-11"/>
          <w:sz w:val="24"/>
        </w:rPr>
        <w:t> </w:t>
      </w:r>
      <w:r>
        <w:rPr>
          <w:sz w:val="24"/>
        </w:rPr>
        <w:t>pieteikuma</w:t>
      </w:r>
      <w:r>
        <w:rPr>
          <w:spacing w:val="-11"/>
          <w:sz w:val="24"/>
        </w:rPr>
        <w:t> </w:t>
      </w:r>
      <w:r>
        <w:rPr>
          <w:sz w:val="24"/>
        </w:rPr>
        <w:t>par</w:t>
      </w:r>
      <w:r>
        <w:rPr>
          <w:spacing w:val="-16"/>
          <w:sz w:val="24"/>
        </w:rPr>
        <w:t> </w:t>
      </w:r>
      <w:r>
        <w:rPr>
          <w:sz w:val="24"/>
        </w:rPr>
        <w:t>saistību</w:t>
      </w:r>
      <w:r>
        <w:rPr>
          <w:spacing w:val="-12"/>
          <w:sz w:val="24"/>
        </w:rPr>
        <w:t> </w:t>
      </w:r>
      <w:r>
        <w:rPr>
          <w:sz w:val="24"/>
        </w:rPr>
        <w:t>dzēšanas procedūras</w:t>
      </w:r>
      <w:r>
        <w:rPr>
          <w:spacing w:val="-17"/>
          <w:sz w:val="24"/>
        </w:rPr>
        <w:t> </w:t>
      </w:r>
      <w:r>
        <w:rPr>
          <w:sz w:val="24"/>
        </w:rPr>
        <w:t>piemērošanu</w:t>
      </w:r>
      <w:r>
        <w:rPr>
          <w:spacing w:val="-13"/>
          <w:sz w:val="24"/>
        </w:rPr>
        <w:t> </w:t>
      </w:r>
      <w:r>
        <w:rPr>
          <w:sz w:val="24"/>
        </w:rPr>
        <w:t>formālo</w:t>
      </w:r>
      <w:r>
        <w:rPr>
          <w:spacing w:val="-16"/>
          <w:sz w:val="24"/>
        </w:rPr>
        <w:t> </w:t>
      </w:r>
      <w:r>
        <w:rPr>
          <w:sz w:val="24"/>
        </w:rPr>
        <w:t>pieļaujamību,</w:t>
      </w:r>
      <w:r>
        <w:rPr>
          <w:spacing w:val="-16"/>
          <w:sz w:val="24"/>
        </w:rPr>
        <w:t> </w:t>
      </w:r>
      <w:r>
        <w:rPr>
          <w:sz w:val="24"/>
        </w:rPr>
        <w:t>pirms</w:t>
      </w:r>
      <w:r>
        <w:rPr>
          <w:spacing w:val="-17"/>
          <w:sz w:val="24"/>
        </w:rPr>
        <w:t> </w:t>
      </w:r>
      <w:r>
        <w:rPr>
          <w:sz w:val="24"/>
        </w:rPr>
        <w:t>lēmuma</w:t>
      </w:r>
      <w:r>
        <w:rPr>
          <w:spacing w:val="-16"/>
          <w:sz w:val="24"/>
        </w:rPr>
        <w:t> </w:t>
      </w:r>
      <w:r>
        <w:rPr>
          <w:sz w:val="24"/>
        </w:rPr>
        <w:t>pieņemšanas</w:t>
      </w:r>
      <w:r>
        <w:rPr>
          <w:spacing w:val="-16"/>
          <w:sz w:val="24"/>
        </w:rPr>
        <w:t> </w:t>
      </w:r>
      <w:r>
        <w:rPr>
          <w:sz w:val="24"/>
        </w:rPr>
        <w:t>par parādnieka maksātnespējas procesa pasludināšanu (Vācijas Maksātnespējas likuma </w:t>
      </w:r>
      <w:r>
        <w:rPr>
          <w:i/>
          <w:sz w:val="24"/>
        </w:rPr>
        <w:t>§</w:t>
      </w:r>
      <w:r>
        <w:rPr>
          <w:i/>
          <w:spacing w:val="-1"/>
          <w:sz w:val="24"/>
        </w:rPr>
        <w:t> </w:t>
      </w:r>
      <w:r>
        <w:rPr>
          <w:i/>
          <w:sz w:val="24"/>
        </w:rPr>
        <w:t>287a);</w:t>
      </w:r>
    </w:p>
    <w:p>
      <w:pPr>
        <w:pStyle w:val="ListParagraph"/>
        <w:numPr>
          <w:ilvl w:val="0"/>
          <w:numId w:val="105"/>
        </w:numPr>
        <w:tabs>
          <w:tab w:pos="1760" w:val="left" w:leader="none"/>
        </w:tabs>
        <w:spacing w:line="240" w:lineRule="auto" w:before="0" w:after="0"/>
        <w:ind w:left="1760" w:right="401" w:hanging="360"/>
        <w:jc w:val="both"/>
        <w:rPr>
          <w:sz w:val="24"/>
        </w:rPr>
      </w:pPr>
      <w:r>
        <w:rPr>
          <w:sz w:val="24"/>
        </w:rPr>
        <w:t>tiesa vērtē parādnieka negodprātīgu rīcību, pamatojoties uz kreditora/maksātnespējas procesa administratora pieteikumu par saistību dzēšanas procedūras nepiemērošanu/izbeigšanu, nedzēšot parādnieka parādsaistības.</w:t>
      </w:r>
      <w:r>
        <w:rPr>
          <w:spacing w:val="-19"/>
          <w:sz w:val="24"/>
        </w:rPr>
        <w:t> </w:t>
      </w:r>
      <w:r>
        <w:rPr>
          <w:sz w:val="24"/>
        </w:rPr>
        <w:t>Tiesa</w:t>
      </w:r>
      <w:r>
        <w:rPr>
          <w:spacing w:val="-17"/>
          <w:sz w:val="24"/>
        </w:rPr>
        <w:t> </w:t>
      </w:r>
      <w:r>
        <w:rPr>
          <w:sz w:val="24"/>
        </w:rPr>
        <w:t>vērtē</w:t>
      </w:r>
      <w:r>
        <w:rPr>
          <w:spacing w:val="-17"/>
          <w:sz w:val="24"/>
        </w:rPr>
        <w:t> </w:t>
      </w:r>
      <w:r>
        <w:rPr>
          <w:sz w:val="24"/>
        </w:rPr>
        <w:t>pieteikuma</w:t>
      </w:r>
      <w:r>
        <w:rPr>
          <w:spacing w:val="-17"/>
          <w:sz w:val="24"/>
        </w:rPr>
        <w:t> </w:t>
      </w:r>
      <w:r>
        <w:rPr>
          <w:sz w:val="24"/>
        </w:rPr>
        <w:t>materiālo</w:t>
      </w:r>
      <w:r>
        <w:rPr>
          <w:spacing w:val="-17"/>
          <w:sz w:val="24"/>
        </w:rPr>
        <w:t> </w:t>
      </w:r>
      <w:r>
        <w:rPr>
          <w:sz w:val="24"/>
        </w:rPr>
        <w:t>pamatotību.</w:t>
      </w:r>
      <w:r>
        <w:rPr>
          <w:spacing w:val="-17"/>
          <w:sz w:val="24"/>
        </w:rPr>
        <w:t> </w:t>
      </w:r>
      <w:r>
        <w:rPr>
          <w:sz w:val="24"/>
        </w:rPr>
        <w:t>Pierādīšanas</w:t>
      </w:r>
      <w:r>
        <w:rPr>
          <w:spacing w:val="-17"/>
          <w:sz w:val="24"/>
        </w:rPr>
        <w:t> </w:t>
      </w:r>
      <w:r>
        <w:rPr>
          <w:sz w:val="24"/>
        </w:rPr>
        <w:t>nasta</w:t>
      </w:r>
    </w:p>
    <w:p>
      <w:pPr>
        <w:pStyle w:val="BodyText"/>
        <w:spacing w:before="7"/>
        <w:jc w:val="left"/>
        <w:rPr>
          <w:sz w:val="28"/>
        </w:rPr>
      </w:pPr>
      <w:r>
        <w:rPr/>
        <w:pict>
          <v:shape style="position:absolute;margin-left:90pt;margin-top:18.731495pt;width:144pt;height:.1pt;mso-position-horizontal-relative:page;mso-position-vertical-relative:paragraph;z-index:-251463680;mso-wrap-distance-left:0;mso-wrap-distance-right:0" coordorigin="1800,375" coordsize="2880,0" path="m1800,375l4680,375e" filled="false" stroked="true" strokeweight=".599991pt" strokecolor="#000000">
            <v:path arrowok="t"/>
            <v:stroke dashstyle="solid"/>
            <w10:wrap type="topAndBottom"/>
          </v:shape>
        </w:pict>
      </w:r>
    </w:p>
    <w:p>
      <w:pPr>
        <w:spacing w:before="70"/>
        <w:ind w:left="620" w:right="0" w:firstLine="0"/>
        <w:jc w:val="left"/>
        <w:rPr>
          <w:sz w:val="20"/>
        </w:rPr>
      </w:pPr>
      <w:r>
        <w:rPr>
          <w:position w:val="7"/>
          <w:sz w:val="13"/>
        </w:rPr>
        <w:t>438 </w:t>
      </w:r>
      <w:r>
        <w:rPr>
          <w:sz w:val="20"/>
        </w:rPr>
        <w:t>Kayser/Thole “Insolvenzordnung” Heidelberger Kommentar, 9. neu bearbeitete Auflage, C.F.Mueller, 2018,/Waltenberger Kommentare § 296,</w:t>
      </w:r>
      <w:r>
        <w:rPr>
          <w:spacing w:val="-1"/>
          <w:sz w:val="20"/>
        </w:rPr>
        <w:t> </w:t>
      </w:r>
      <w:r>
        <w:rPr>
          <w:sz w:val="20"/>
        </w:rPr>
        <w:t>S.2235.</w:t>
      </w:r>
    </w:p>
    <w:p>
      <w:pPr>
        <w:spacing w:line="237" w:lineRule="auto" w:before="0"/>
        <w:ind w:left="620" w:right="0" w:firstLine="0"/>
        <w:jc w:val="left"/>
        <w:rPr>
          <w:sz w:val="20"/>
        </w:rPr>
      </w:pPr>
      <w:r>
        <w:rPr>
          <w:position w:val="7"/>
          <w:sz w:val="13"/>
        </w:rPr>
        <w:t>439 </w:t>
      </w:r>
      <w:r>
        <w:rPr>
          <w:sz w:val="20"/>
        </w:rPr>
        <w:t>Kayser/Thole “Insolvenzordnung” Heidelberger Kommentar, 9. neu bearbeitete Auflage, C.F.Mueller, 2018,/Waltenberger Kommentare § 303,</w:t>
      </w:r>
      <w:r>
        <w:rPr>
          <w:spacing w:val="-1"/>
          <w:sz w:val="20"/>
        </w:rPr>
        <w:t> </w:t>
      </w:r>
      <w:r>
        <w:rPr>
          <w:sz w:val="20"/>
        </w:rPr>
        <w:t>S.2269.</w:t>
      </w:r>
    </w:p>
    <w:p>
      <w:pPr>
        <w:spacing w:line="229" w:lineRule="exact" w:before="0"/>
        <w:ind w:left="620" w:right="0" w:firstLine="0"/>
        <w:jc w:val="left"/>
        <w:rPr>
          <w:sz w:val="20"/>
        </w:rPr>
      </w:pPr>
      <w:r>
        <w:rPr>
          <w:position w:val="7"/>
          <w:sz w:val="13"/>
        </w:rPr>
        <w:t>440 </w:t>
      </w:r>
      <w:r>
        <w:rPr>
          <w:sz w:val="20"/>
        </w:rPr>
        <w:t>Sarežģītos un laikietilpīgos maksātnespējas procesos tas ir iespējams.</w:t>
      </w:r>
    </w:p>
    <w:p>
      <w:pPr>
        <w:spacing w:line="240" w:lineRule="auto" w:before="0"/>
        <w:ind w:left="620" w:right="0" w:firstLine="0"/>
        <w:jc w:val="left"/>
        <w:rPr>
          <w:sz w:val="20"/>
        </w:rPr>
      </w:pPr>
      <w:r>
        <w:rPr>
          <w:position w:val="7"/>
          <w:sz w:val="13"/>
        </w:rPr>
        <w:t>441 </w:t>
      </w:r>
      <w:r>
        <w:rPr>
          <w:sz w:val="20"/>
        </w:rPr>
        <w:t>Kayser/Thole “Insolvenzordnung” Heidelberger Kommentar, 9. neu bearbeitete Auflage, C.F.Mueller, 2018,/Waltenberger Kommentare § 303, S.2271.</w:t>
      </w:r>
    </w:p>
    <w:p>
      <w:pPr>
        <w:spacing w:after="0" w:line="240" w:lineRule="auto"/>
        <w:jc w:val="left"/>
        <w:rPr>
          <w:sz w:val="20"/>
        </w:rPr>
        <w:sectPr>
          <w:footerReference w:type="default" r:id="rId92"/>
          <w:footerReference w:type="even" r:id="rId93"/>
          <w:pgSz w:w="11910" w:h="16840"/>
          <w:pgMar w:footer="1055" w:header="0" w:top="1340" w:bottom="1240" w:left="1180" w:right="1040"/>
          <w:pgNumType w:start="163"/>
        </w:sectPr>
      </w:pPr>
    </w:p>
    <w:p>
      <w:pPr>
        <w:spacing w:before="73"/>
        <w:ind w:left="1400" w:right="0" w:firstLine="0"/>
        <w:jc w:val="left"/>
        <w:rPr>
          <w:i/>
          <w:sz w:val="24"/>
        </w:rPr>
      </w:pPr>
      <w:r>
        <w:rPr>
          <w:sz w:val="24"/>
        </w:rPr>
        <w:t>gulstas uz kreditoru </w:t>
      </w:r>
      <w:r>
        <w:rPr>
          <w:i/>
          <w:sz w:val="24"/>
        </w:rPr>
        <w:t>(</w:t>
      </w:r>
      <w:r>
        <w:rPr>
          <w:sz w:val="24"/>
        </w:rPr>
        <w:t>Vācijas Maksātnespējas likuma </w:t>
      </w:r>
      <w:r>
        <w:rPr>
          <w:i/>
          <w:sz w:val="24"/>
        </w:rPr>
        <w:t>§ 290, §295,</w:t>
      </w:r>
      <w:r>
        <w:rPr>
          <w:i/>
          <w:spacing w:val="58"/>
          <w:sz w:val="24"/>
        </w:rPr>
        <w:t> </w:t>
      </w:r>
      <w:r>
        <w:rPr>
          <w:i/>
          <w:sz w:val="24"/>
        </w:rPr>
        <w:t>§296,</w:t>
      </w:r>
    </w:p>
    <w:p>
      <w:pPr>
        <w:spacing w:before="0"/>
        <w:ind w:left="1400" w:right="0" w:firstLine="0"/>
        <w:jc w:val="left"/>
        <w:rPr>
          <w:i/>
          <w:sz w:val="24"/>
        </w:rPr>
      </w:pPr>
      <w:r>
        <w:rPr>
          <w:i/>
          <w:sz w:val="24"/>
        </w:rPr>
        <w:t>§297§297a).</w:t>
      </w:r>
    </w:p>
    <w:p>
      <w:pPr>
        <w:pStyle w:val="BodyText"/>
        <w:spacing w:before="5"/>
        <w:jc w:val="left"/>
        <w:rPr>
          <w:i/>
        </w:rPr>
      </w:pPr>
    </w:p>
    <w:p>
      <w:pPr>
        <w:pStyle w:val="Heading4"/>
        <w:numPr>
          <w:ilvl w:val="1"/>
          <w:numId w:val="94"/>
        </w:numPr>
        <w:tabs>
          <w:tab w:pos="622" w:val="left" w:leader="none"/>
        </w:tabs>
        <w:spacing w:line="240" w:lineRule="auto" w:before="0" w:after="0"/>
        <w:ind w:left="621" w:right="0" w:hanging="362"/>
        <w:jc w:val="left"/>
        <w:rPr>
          <w:i/>
        </w:rPr>
      </w:pPr>
      <w:bookmarkStart w:name="_TOC_250030" w:id="48"/>
      <w:r>
        <w:rPr>
          <w:i/>
        </w:rPr>
        <w:t>Parādnieka negodprātības izvērtēšana pēc tiesas</w:t>
      </w:r>
      <w:r>
        <w:rPr>
          <w:i/>
          <w:spacing w:val="-2"/>
        </w:rPr>
        <w:t> </w:t>
      </w:r>
      <w:bookmarkEnd w:id="48"/>
      <w:r>
        <w:rPr>
          <w:i/>
        </w:rPr>
        <w:t>iniciatīvas</w:t>
      </w:r>
    </w:p>
    <w:p>
      <w:pPr>
        <w:pStyle w:val="BodyText"/>
        <w:spacing w:before="7"/>
        <w:jc w:val="left"/>
        <w:rPr>
          <w:b/>
          <w:i/>
          <w:sz w:val="23"/>
        </w:rPr>
      </w:pPr>
    </w:p>
    <w:p>
      <w:pPr>
        <w:pStyle w:val="BodyText"/>
        <w:ind w:left="260" w:right="762" w:firstLine="720"/>
      </w:pPr>
      <w:r>
        <w:rPr/>
        <w:t>Saskaņā</w:t>
      </w:r>
      <w:r>
        <w:rPr>
          <w:spacing w:val="-17"/>
        </w:rPr>
        <w:t> </w:t>
      </w:r>
      <w:r>
        <w:rPr/>
        <w:t>ar</w:t>
      </w:r>
      <w:r>
        <w:rPr>
          <w:spacing w:val="-15"/>
        </w:rPr>
        <w:t> </w:t>
      </w:r>
      <w:r>
        <w:rPr/>
        <w:t>Vācijas</w:t>
      </w:r>
      <w:r>
        <w:rPr>
          <w:spacing w:val="-15"/>
        </w:rPr>
        <w:t> </w:t>
      </w:r>
      <w:r>
        <w:rPr/>
        <w:t>Maksātnespējas</w:t>
      </w:r>
      <w:r>
        <w:rPr>
          <w:spacing w:val="-15"/>
        </w:rPr>
        <w:t> </w:t>
      </w:r>
      <w:r>
        <w:rPr/>
        <w:t>likuma</w:t>
      </w:r>
      <w:r>
        <w:rPr>
          <w:spacing w:val="-15"/>
        </w:rPr>
        <w:t> </w:t>
      </w:r>
      <w:r>
        <w:rPr>
          <w:i/>
        </w:rPr>
        <w:t>§</w:t>
      </w:r>
      <w:r>
        <w:rPr>
          <w:i/>
          <w:spacing w:val="-15"/>
        </w:rPr>
        <w:t> </w:t>
      </w:r>
      <w:r>
        <w:rPr>
          <w:i/>
        </w:rPr>
        <w:t>287</w:t>
      </w:r>
      <w:r>
        <w:rPr>
          <w:i/>
          <w:spacing w:val="-12"/>
        </w:rPr>
        <w:t> </w:t>
      </w:r>
      <w:r>
        <w:rPr>
          <w:i/>
        </w:rPr>
        <w:t>pirmo</w:t>
      </w:r>
      <w:r>
        <w:rPr>
          <w:i/>
          <w:spacing w:val="-15"/>
        </w:rPr>
        <w:t> </w:t>
      </w:r>
      <w:r>
        <w:rPr>
          <w:i/>
        </w:rPr>
        <w:t>daļu</w:t>
      </w:r>
      <w:r>
        <w:rPr>
          <w:i/>
          <w:spacing w:val="-14"/>
        </w:rPr>
        <w:t> </w:t>
      </w:r>
      <w:r>
        <w:rPr/>
        <w:t>parādnieks</w:t>
      </w:r>
      <w:r>
        <w:rPr>
          <w:spacing w:val="-12"/>
        </w:rPr>
        <w:t> </w:t>
      </w:r>
      <w:r>
        <w:rPr/>
        <w:t>pieteikumu par atbrīvošanu no neizpildītajām saistībām sniedz kopā ar maksātnespējas procesa pieteikumu, vai divu nedēļu laikā no brīža, kad tiesa saskaņā Vācijas Maksātnespējas likuma</w:t>
      </w:r>
      <w:r>
        <w:rPr>
          <w:spacing w:val="-11"/>
        </w:rPr>
        <w:t> </w:t>
      </w:r>
      <w:r>
        <w:rPr/>
        <w:t>§</w:t>
      </w:r>
      <w:r>
        <w:rPr>
          <w:spacing w:val="-11"/>
        </w:rPr>
        <w:t> </w:t>
      </w:r>
      <w:r>
        <w:rPr/>
        <w:t>20</w:t>
      </w:r>
      <w:r>
        <w:rPr>
          <w:spacing w:val="-13"/>
        </w:rPr>
        <w:t> </w:t>
      </w:r>
      <w:r>
        <w:rPr/>
        <w:t>otro</w:t>
      </w:r>
      <w:r>
        <w:rPr>
          <w:spacing w:val="-12"/>
        </w:rPr>
        <w:t> </w:t>
      </w:r>
      <w:r>
        <w:rPr/>
        <w:t>daļu</w:t>
      </w:r>
      <w:r>
        <w:rPr>
          <w:spacing w:val="-11"/>
        </w:rPr>
        <w:t> </w:t>
      </w:r>
      <w:r>
        <w:rPr/>
        <w:t>ir</w:t>
      </w:r>
      <w:r>
        <w:rPr>
          <w:spacing w:val="-11"/>
        </w:rPr>
        <w:t> </w:t>
      </w:r>
      <w:r>
        <w:rPr/>
        <w:t>norādījusi</w:t>
      </w:r>
      <w:r>
        <w:rPr>
          <w:spacing w:val="-11"/>
        </w:rPr>
        <w:t> </w:t>
      </w:r>
      <w:r>
        <w:rPr/>
        <w:t>parādniekam</w:t>
      </w:r>
      <w:r>
        <w:rPr>
          <w:spacing w:val="-12"/>
        </w:rPr>
        <w:t> </w:t>
      </w:r>
      <w:r>
        <w:rPr/>
        <w:t>uz</w:t>
      </w:r>
      <w:r>
        <w:rPr>
          <w:spacing w:val="-10"/>
        </w:rPr>
        <w:t> </w:t>
      </w:r>
      <w:r>
        <w:rPr/>
        <w:t>tiesībām</w:t>
      </w:r>
      <w:r>
        <w:rPr>
          <w:spacing w:val="-11"/>
        </w:rPr>
        <w:t> </w:t>
      </w:r>
      <w:r>
        <w:rPr/>
        <w:t>šādu</w:t>
      </w:r>
      <w:r>
        <w:rPr>
          <w:spacing w:val="-12"/>
        </w:rPr>
        <w:t> </w:t>
      </w:r>
      <w:r>
        <w:rPr/>
        <w:t>pieteikumu</w:t>
      </w:r>
      <w:r>
        <w:rPr>
          <w:spacing w:val="-11"/>
        </w:rPr>
        <w:t> </w:t>
      </w:r>
      <w:r>
        <w:rPr/>
        <w:t>sniegt.</w:t>
      </w:r>
      <w:r>
        <w:rPr>
          <w:spacing w:val="-11"/>
        </w:rPr>
        <w:t> </w:t>
      </w:r>
      <w:r>
        <w:rPr/>
        <w:t>Parasti otrais gadījums attiecas uz faktisko situāciju, kad maksātnespējas procesa pieteikumu iesniedzis</w:t>
      </w:r>
      <w:r>
        <w:rPr>
          <w:spacing w:val="-1"/>
        </w:rPr>
        <w:t> </w:t>
      </w:r>
      <w:r>
        <w:rPr/>
        <w:t>kreditors.</w:t>
      </w:r>
    </w:p>
    <w:p>
      <w:pPr>
        <w:pStyle w:val="BodyText"/>
        <w:spacing w:line="237" w:lineRule="auto" w:before="2"/>
        <w:ind w:left="260" w:right="761" w:firstLine="720"/>
        <w:rPr>
          <w:sz w:val="16"/>
        </w:rPr>
      </w:pPr>
      <w:r>
        <w:rPr/>
        <w:t>Tā kā tiesa par parādnieka pieteikuma par atbrīvošanu no neizpildītajām saistībām formālo (procesuālo) pieļaujamību pieņem patstāvīgu lēmumu (Ievadlēmums), kurā tiesa izvērtē,</w:t>
      </w:r>
      <w:r>
        <w:rPr>
          <w:spacing w:val="-14"/>
        </w:rPr>
        <w:t> </w:t>
      </w:r>
      <w:r>
        <w:rPr/>
        <w:t>vai</w:t>
      </w:r>
      <w:r>
        <w:rPr>
          <w:spacing w:val="-11"/>
        </w:rPr>
        <w:t> </w:t>
      </w:r>
      <w:r>
        <w:rPr/>
        <w:t>pastāv</w:t>
      </w:r>
      <w:r>
        <w:rPr>
          <w:spacing w:val="-11"/>
        </w:rPr>
        <w:t> </w:t>
      </w:r>
      <w:r>
        <w:rPr/>
        <w:t>kāds</w:t>
      </w:r>
      <w:r>
        <w:rPr>
          <w:spacing w:val="-11"/>
        </w:rPr>
        <w:t> </w:t>
      </w:r>
      <w:r>
        <w:rPr/>
        <w:t>no</w:t>
      </w:r>
      <w:r>
        <w:rPr>
          <w:spacing w:val="-11"/>
        </w:rPr>
        <w:t> </w:t>
      </w:r>
      <w:r>
        <w:rPr/>
        <w:t>Vācijas</w:t>
      </w:r>
      <w:r>
        <w:rPr>
          <w:spacing w:val="-11"/>
        </w:rPr>
        <w:t> </w:t>
      </w:r>
      <w:r>
        <w:rPr/>
        <w:t>Maksātnespējas</w:t>
      </w:r>
      <w:r>
        <w:rPr>
          <w:spacing w:val="-11"/>
        </w:rPr>
        <w:t> </w:t>
      </w:r>
      <w:r>
        <w:rPr/>
        <w:t>likuma</w:t>
      </w:r>
      <w:r>
        <w:rPr>
          <w:spacing w:val="-12"/>
        </w:rPr>
        <w:t> </w:t>
      </w:r>
      <w:r>
        <w:rPr>
          <w:i/>
        </w:rPr>
        <w:t>§</w:t>
      </w:r>
      <w:r>
        <w:rPr>
          <w:i/>
          <w:spacing w:val="-13"/>
        </w:rPr>
        <w:t> </w:t>
      </w:r>
      <w:r>
        <w:rPr>
          <w:i/>
        </w:rPr>
        <w:t>287a</w:t>
      </w:r>
      <w:r>
        <w:rPr>
          <w:i/>
          <w:spacing w:val="38"/>
        </w:rPr>
        <w:t> </w:t>
      </w:r>
      <w:r>
        <w:rPr>
          <w:i/>
        </w:rPr>
        <w:t>otrajā</w:t>
      </w:r>
      <w:r>
        <w:rPr>
          <w:i/>
          <w:spacing w:val="-9"/>
        </w:rPr>
        <w:t> </w:t>
      </w:r>
      <w:r>
        <w:rPr>
          <w:i/>
        </w:rPr>
        <w:t>daļā</w:t>
      </w:r>
      <w:r>
        <w:rPr>
          <w:i/>
          <w:spacing w:val="-12"/>
        </w:rPr>
        <w:t> </w:t>
      </w:r>
      <w:r>
        <w:rPr/>
        <w:t>noteiktajiem ierobežojumiem, kas liedz parādniekam piemērot saistību dzēšanas procedūru, tad parādnieka godprātības vērtēšanas aspekti parādās jau sākotnējā procesa stadijā, kad tiesa tikai vēl lemj par parādnieka maksātnespējas procesa pasludināšanu. Pie kam parādnieka godprātīgā rīcība tiek saistīta ar iepriekš uzsākto maksātnespējas</w:t>
      </w:r>
      <w:r>
        <w:rPr>
          <w:spacing w:val="-6"/>
        </w:rPr>
        <w:t> </w:t>
      </w:r>
      <w:r>
        <w:rPr/>
        <w:t>procesu.</w:t>
      </w:r>
      <w:r>
        <w:rPr>
          <w:position w:val="9"/>
          <w:sz w:val="16"/>
        </w:rPr>
        <w:t>442</w:t>
      </w:r>
    </w:p>
    <w:p>
      <w:pPr>
        <w:pStyle w:val="BodyText"/>
        <w:spacing w:before="2"/>
        <w:ind w:left="260" w:right="762" w:firstLine="720"/>
      </w:pPr>
      <w:r>
        <w:rPr/>
        <w:t>Ja tiesa uzskata, ka parādnieka pieteikums par atbrīvošanu no neizpildītajām saistībām nav pieļaujams, jo pastāv Vācijas Maksātnespējas likuma </w:t>
      </w:r>
      <w:r>
        <w:rPr>
          <w:i/>
        </w:rPr>
        <w:t>§ 287a otrajā daļā </w:t>
      </w:r>
      <w:r>
        <w:rPr/>
        <w:t>noteiktie ierobežojumi, tad tiesa dod iespēju parādniekam pirms lēmuma pieņemšanas par parādnieka maksātnespējas procesa pasludināšanu, atsaukt maksātnespējas procesa pieteikumu un pieteikumu par atbrīvošanu no parāda saistībām.</w:t>
      </w:r>
    </w:p>
    <w:p>
      <w:pPr>
        <w:pStyle w:val="BodyText"/>
        <w:spacing w:line="232" w:lineRule="auto" w:before="7"/>
        <w:ind w:left="260" w:right="765" w:firstLine="720"/>
      </w:pPr>
      <w:r>
        <w:rPr/>
        <w:t>Pie tam zemāk minētie ierobežojumi regulē parādnieka tiesisko interesi uz saistību dzēšanas procedūras piemērošanu, taču ne tiesības uz bankrota procedūras īstenošanu</w:t>
      </w:r>
      <w:r>
        <w:rPr>
          <w:position w:val="9"/>
          <w:sz w:val="16"/>
        </w:rPr>
        <w:t>443 </w:t>
      </w:r>
      <w:r>
        <w:rPr/>
        <w:t>(maksātnespējas procesu šaurākā izpratnē).</w:t>
      </w:r>
    </w:p>
    <w:p>
      <w:pPr>
        <w:pStyle w:val="BodyText"/>
        <w:spacing w:before="3"/>
        <w:ind w:left="260" w:right="761" w:firstLine="720"/>
      </w:pPr>
      <w:r>
        <w:rPr/>
        <w:t>Likums noteic šādus ierobežojumus, kas liedz tiesai pieņemt lēmumu par saistību dzēšanas procedūras piemērošanu:</w:t>
      </w:r>
    </w:p>
    <w:p>
      <w:pPr>
        <w:pStyle w:val="ListParagraph"/>
        <w:numPr>
          <w:ilvl w:val="0"/>
          <w:numId w:val="106"/>
        </w:numPr>
        <w:tabs>
          <w:tab w:pos="1340" w:val="left" w:leader="none"/>
        </w:tabs>
        <w:spacing w:line="240" w:lineRule="auto" w:before="0" w:after="0"/>
        <w:ind w:left="1340" w:right="761" w:hanging="360"/>
        <w:jc w:val="both"/>
        <w:rPr>
          <w:sz w:val="24"/>
        </w:rPr>
      </w:pPr>
      <w:r>
        <w:rPr>
          <w:sz w:val="24"/>
        </w:rPr>
        <w:t>parādniekam pēdējo desmit gadu laikā pirms pieteikuma par maksātnespējas procesa pasludināšanu iesniegšanas tiesā vai pēc pieteikuma iesniegšanas tiesā ir tikusi pasludināta atlikušo parādu dzēšana, vai pēdējo piecu gadu laikā</w:t>
      </w:r>
      <w:r>
        <w:rPr>
          <w:spacing w:val="-26"/>
          <w:sz w:val="24"/>
        </w:rPr>
        <w:t> </w:t>
      </w:r>
      <w:r>
        <w:rPr>
          <w:sz w:val="24"/>
        </w:rPr>
        <w:t>pirms pieteikuma par maksātnespējas procesa pasludināšanu iesniegšanas tiesā vai pēc pieteikuma iesniegšanas tiesā ir atteikta parādu dzēšana, pamatojoties uz Vācijas Maksātnespējas likuma </w:t>
      </w:r>
      <w:r>
        <w:rPr>
          <w:i/>
          <w:sz w:val="24"/>
        </w:rPr>
        <w:t>§ 297 (§ 297 </w:t>
      </w:r>
      <w:r>
        <w:rPr>
          <w:sz w:val="24"/>
        </w:rPr>
        <w:t>nosaka, ka tiesa noraida pieteikumu par neizpildīto saistību dzēšanu, ja parādnieks maksātnespējas procesa</w:t>
      </w:r>
      <w:r>
        <w:rPr>
          <w:spacing w:val="-10"/>
          <w:sz w:val="24"/>
        </w:rPr>
        <w:t> </w:t>
      </w:r>
      <w:r>
        <w:rPr>
          <w:sz w:val="24"/>
        </w:rPr>
        <w:t>laikā</w:t>
      </w:r>
      <w:r>
        <w:rPr>
          <w:spacing w:val="-9"/>
          <w:sz w:val="24"/>
        </w:rPr>
        <w:t> </w:t>
      </w:r>
      <w:r>
        <w:rPr>
          <w:sz w:val="24"/>
        </w:rPr>
        <w:t>ir</w:t>
      </w:r>
      <w:r>
        <w:rPr>
          <w:spacing w:val="-9"/>
          <w:sz w:val="24"/>
        </w:rPr>
        <w:t> </w:t>
      </w:r>
      <w:r>
        <w:rPr>
          <w:sz w:val="24"/>
        </w:rPr>
        <w:t>notiesāts</w:t>
      </w:r>
      <w:r>
        <w:rPr>
          <w:spacing w:val="-10"/>
          <w:sz w:val="24"/>
        </w:rPr>
        <w:t> </w:t>
      </w:r>
      <w:r>
        <w:rPr>
          <w:sz w:val="24"/>
        </w:rPr>
        <w:t>par</w:t>
      </w:r>
      <w:r>
        <w:rPr>
          <w:spacing w:val="-9"/>
          <w:sz w:val="24"/>
        </w:rPr>
        <w:t> </w:t>
      </w:r>
      <w:r>
        <w:rPr>
          <w:sz w:val="24"/>
        </w:rPr>
        <w:t>noziedzīgiem</w:t>
      </w:r>
      <w:r>
        <w:rPr>
          <w:spacing w:val="-9"/>
          <w:sz w:val="24"/>
        </w:rPr>
        <w:t> </w:t>
      </w:r>
      <w:r>
        <w:rPr>
          <w:sz w:val="24"/>
        </w:rPr>
        <w:t>nodarījumiem</w:t>
      </w:r>
      <w:r>
        <w:rPr>
          <w:spacing w:val="-10"/>
          <w:sz w:val="24"/>
        </w:rPr>
        <w:t> </w:t>
      </w:r>
      <w:r>
        <w:rPr>
          <w:sz w:val="24"/>
        </w:rPr>
        <w:t>maksātnespējas</w:t>
      </w:r>
      <w:r>
        <w:rPr>
          <w:spacing w:val="-9"/>
          <w:sz w:val="24"/>
        </w:rPr>
        <w:t> </w:t>
      </w:r>
      <w:r>
        <w:rPr>
          <w:sz w:val="24"/>
        </w:rPr>
        <w:t>jomā, kas noteikti Vācijas Krimināllikuma </w:t>
      </w:r>
      <w:r>
        <w:rPr>
          <w:i/>
          <w:sz w:val="24"/>
        </w:rPr>
        <w:t>§§ 283-283c</w:t>
      </w:r>
      <w:r>
        <w:rPr>
          <w:sz w:val="24"/>
        </w:rPr>
        <w:t>, piespriežot naudas sodu 90 vienas dienas notiesātās personas vidējās izpeļņas apmērā vai brīvības atņemšanu līdz 3 mēnešiem);</w:t>
      </w:r>
    </w:p>
    <w:p>
      <w:pPr>
        <w:pStyle w:val="ListParagraph"/>
        <w:numPr>
          <w:ilvl w:val="0"/>
          <w:numId w:val="106"/>
        </w:numPr>
        <w:tabs>
          <w:tab w:pos="1340" w:val="left" w:leader="none"/>
        </w:tabs>
        <w:spacing w:line="240" w:lineRule="auto" w:before="0" w:after="0"/>
        <w:ind w:left="1340" w:right="762" w:hanging="360"/>
        <w:jc w:val="both"/>
        <w:rPr>
          <w:sz w:val="24"/>
        </w:rPr>
      </w:pPr>
      <w:r>
        <w:rPr>
          <w:sz w:val="24"/>
        </w:rPr>
        <w:t>parādniekam pēdējo trīs gadu laikā pirms pieteikuma par maksātnespējas procesa pasludināšanu iesniegšanu tiesā vai pēc tā iesniegšanas tiesā ir atteikta parādu dzēšana, pamatojoties uz Vācijas Maksātnespējas likuma </w:t>
      </w:r>
      <w:r>
        <w:rPr>
          <w:i/>
          <w:sz w:val="24"/>
        </w:rPr>
        <w:t>§ 290 pirmās </w:t>
      </w:r>
      <w:r>
        <w:rPr>
          <w:i/>
          <w:sz w:val="24"/>
        </w:rPr>
        <w:t>daļas 5., 6. vai 7.punktu</w:t>
      </w:r>
      <w:r>
        <w:rPr>
          <w:sz w:val="24"/>
        </w:rPr>
        <w:t>, vai pamatojoties uz Vācijas Maksātnespējas likuma </w:t>
      </w:r>
      <w:r>
        <w:rPr>
          <w:i/>
          <w:sz w:val="24"/>
        </w:rPr>
        <w:t>§ </w:t>
      </w:r>
      <w:r>
        <w:rPr>
          <w:i/>
          <w:sz w:val="24"/>
        </w:rPr>
        <w:t>296</w:t>
      </w:r>
      <w:r>
        <w:rPr>
          <w:sz w:val="24"/>
        </w:rPr>
        <w:t>; kā arī saskaņā ar Vācijas Maksātnespējas likuma </w:t>
      </w:r>
      <w:r>
        <w:rPr>
          <w:i/>
          <w:sz w:val="24"/>
        </w:rPr>
        <w:t>§ 297a </w:t>
      </w:r>
      <w:r>
        <w:rPr>
          <w:sz w:val="24"/>
        </w:rPr>
        <w:t>ietverto regulējumu par atteikumu dzēst saistības, ņemot vērā, ka atteikuma iemesli kļuvuši</w:t>
      </w:r>
      <w:r>
        <w:rPr>
          <w:spacing w:val="11"/>
          <w:sz w:val="24"/>
        </w:rPr>
        <w:t> </w:t>
      </w:r>
      <w:r>
        <w:rPr>
          <w:sz w:val="24"/>
        </w:rPr>
        <w:t>zināmi</w:t>
      </w:r>
      <w:r>
        <w:rPr>
          <w:spacing w:val="12"/>
          <w:sz w:val="24"/>
        </w:rPr>
        <w:t> </w:t>
      </w:r>
      <w:r>
        <w:rPr>
          <w:sz w:val="24"/>
        </w:rPr>
        <w:t>vēlāk,</w:t>
      </w:r>
      <w:r>
        <w:rPr>
          <w:spacing w:val="9"/>
          <w:sz w:val="24"/>
        </w:rPr>
        <w:t> </w:t>
      </w:r>
      <w:r>
        <w:rPr>
          <w:sz w:val="24"/>
        </w:rPr>
        <w:t>ja</w:t>
      </w:r>
      <w:r>
        <w:rPr>
          <w:spacing w:val="9"/>
          <w:sz w:val="24"/>
        </w:rPr>
        <w:t> </w:t>
      </w:r>
      <w:r>
        <w:rPr>
          <w:sz w:val="24"/>
        </w:rPr>
        <w:t>parādu</w:t>
      </w:r>
      <w:r>
        <w:rPr>
          <w:spacing w:val="8"/>
          <w:sz w:val="24"/>
        </w:rPr>
        <w:t> </w:t>
      </w:r>
      <w:r>
        <w:rPr>
          <w:sz w:val="24"/>
        </w:rPr>
        <w:t>dzēšana</w:t>
      </w:r>
      <w:r>
        <w:rPr>
          <w:spacing w:val="9"/>
          <w:sz w:val="24"/>
        </w:rPr>
        <w:t> </w:t>
      </w:r>
      <w:r>
        <w:rPr>
          <w:sz w:val="24"/>
        </w:rPr>
        <w:t>atteikta</w:t>
      </w:r>
      <w:r>
        <w:rPr>
          <w:spacing w:val="9"/>
          <w:sz w:val="24"/>
        </w:rPr>
        <w:t> </w:t>
      </w:r>
      <w:r>
        <w:rPr>
          <w:sz w:val="24"/>
        </w:rPr>
        <w:t>pamatojoties</w:t>
      </w:r>
      <w:r>
        <w:rPr>
          <w:spacing w:val="9"/>
          <w:sz w:val="24"/>
        </w:rPr>
        <w:t> </w:t>
      </w:r>
      <w:r>
        <w:rPr>
          <w:sz w:val="24"/>
        </w:rPr>
        <w:t>uz</w:t>
      </w:r>
      <w:r>
        <w:rPr>
          <w:spacing w:val="11"/>
          <w:sz w:val="24"/>
        </w:rPr>
        <w:t> </w:t>
      </w:r>
      <w:r>
        <w:rPr>
          <w:sz w:val="24"/>
        </w:rPr>
        <w:t>Vācijas</w:t>
      </w:r>
    </w:p>
    <w:p>
      <w:pPr>
        <w:pStyle w:val="BodyText"/>
        <w:spacing w:before="6"/>
        <w:jc w:val="left"/>
        <w:rPr>
          <w:sz w:val="16"/>
        </w:rPr>
      </w:pPr>
      <w:r>
        <w:rPr/>
        <w:pict>
          <v:shape style="position:absolute;margin-left:72pt;margin-top:11.775389pt;width:144pt;height:.1pt;mso-position-horizontal-relative:page;mso-position-vertical-relative:paragraph;z-index:-251462656;mso-wrap-distance-left:0;mso-wrap-distance-right:0" coordorigin="1440,236" coordsize="2880,0" path="m1440,236l4320,236e" filled="false" stroked="true" strokeweight=".599991pt" strokecolor="#000000">
            <v:path arrowok="t"/>
            <v:stroke dashstyle="solid"/>
            <w10:wrap type="topAndBottom"/>
          </v:shape>
        </w:pict>
      </w:r>
    </w:p>
    <w:p>
      <w:pPr>
        <w:spacing w:before="70"/>
        <w:ind w:left="260" w:right="0" w:firstLine="0"/>
        <w:jc w:val="left"/>
        <w:rPr>
          <w:sz w:val="20"/>
        </w:rPr>
      </w:pPr>
      <w:r>
        <w:rPr>
          <w:position w:val="7"/>
          <w:sz w:val="13"/>
        </w:rPr>
        <w:t>442 </w:t>
      </w:r>
      <w:r>
        <w:rPr>
          <w:sz w:val="20"/>
        </w:rPr>
        <w:t>Kayser/Thole “Insolvenzordnung” Heidelberger Kommentar, 9. neu bearbeitete Auflage, C.F.Mueller, 2018,/Waltenberger Kommentare § 287a,</w:t>
      </w:r>
      <w:r>
        <w:rPr>
          <w:spacing w:val="-1"/>
          <w:sz w:val="20"/>
        </w:rPr>
        <w:t> </w:t>
      </w:r>
      <w:r>
        <w:rPr>
          <w:sz w:val="20"/>
        </w:rPr>
        <w:t>S.2187.</w:t>
      </w:r>
    </w:p>
    <w:p>
      <w:pPr>
        <w:spacing w:line="240" w:lineRule="auto" w:before="0"/>
        <w:ind w:left="260" w:right="0" w:firstLine="0"/>
        <w:jc w:val="left"/>
        <w:rPr>
          <w:sz w:val="20"/>
        </w:rPr>
      </w:pPr>
      <w:r>
        <w:rPr>
          <w:position w:val="7"/>
          <w:sz w:val="13"/>
        </w:rPr>
        <w:t>443 </w:t>
      </w:r>
      <w:r>
        <w:rPr>
          <w:sz w:val="20"/>
        </w:rPr>
        <w:t>Kayser/Thole “Insolvenzordnung” Heidelberger Kommentar, 9. neu bearbeitete Auflage, C.F.Mueller, 2018,/Waltenberger Kommentare § 287a,</w:t>
      </w:r>
      <w:r>
        <w:rPr>
          <w:spacing w:val="-1"/>
          <w:sz w:val="20"/>
        </w:rPr>
        <w:t> </w:t>
      </w:r>
      <w:r>
        <w:rPr>
          <w:sz w:val="20"/>
        </w:rPr>
        <w:t>S.2187.</w:t>
      </w:r>
    </w:p>
    <w:p>
      <w:pPr>
        <w:spacing w:after="0" w:line="240" w:lineRule="auto"/>
        <w:jc w:val="left"/>
        <w:rPr>
          <w:sz w:val="20"/>
        </w:rPr>
        <w:sectPr>
          <w:pgSz w:w="11910" w:h="16840"/>
          <w:pgMar w:header="0" w:footer="1055" w:top="1340" w:bottom="1240" w:left="1180" w:right="1040"/>
        </w:sectPr>
      </w:pPr>
    </w:p>
    <w:p>
      <w:pPr>
        <w:pStyle w:val="BodyText"/>
        <w:spacing w:before="73"/>
        <w:ind w:left="1700" w:right="401"/>
      </w:pPr>
      <w:r>
        <w:rPr/>
        <w:t>Maksātnespējas likuma </w:t>
      </w:r>
      <w:r>
        <w:rPr>
          <w:i/>
        </w:rPr>
        <w:t>§ 290 pirmās daļas 5., 6. vai 7.punktu</w:t>
      </w:r>
      <w:r>
        <w:rPr>
          <w:i/>
          <w:spacing w:val="-27"/>
        </w:rPr>
        <w:t> </w:t>
      </w:r>
      <w:r>
        <w:rPr/>
        <w:t>(Maksātnespējas likuma </w:t>
      </w:r>
      <w:r>
        <w:rPr>
          <w:i/>
        </w:rPr>
        <w:t>§ 290 pirmās daļas 5.punkts </w:t>
      </w:r>
      <w:r>
        <w:rPr/>
        <w:t>nosaka, ka parādniekam atsaka atlikušo parādu dzēšanu, ja parādnieks maksātnespējas procesa laikā ar nodomu vai aiz rupjas neuzmanības ir pārkāpis likumā noteikto ziņu sniegšanas un līdzdarbošanās pienākumu; </w:t>
      </w:r>
      <w:r>
        <w:rPr>
          <w:i/>
        </w:rPr>
        <w:t>6.punkts </w:t>
      </w:r>
      <w:r>
        <w:rPr/>
        <w:t>nosaka, ka tāpat atsaka parādu dzēšanu, ja parādnieks ar nodomu vai aiz rupjas neuzmanības sniedzis tiesai nepatiesas vai nepilnīgas ziņas par savu mantisko stāvokli; </w:t>
      </w:r>
      <w:r>
        <w:rPr>
          <w:i/>
        </w:rPr>
        <w:t>7.punkts </w:t>
      </w:r>
      <w:r>
        <w:rPr/>
        <w:t>- parādnieks maksātnespējas procesa laikā pārkāpj Vācijas Maksātnespējas likuma </w:t>
      </w:r>
      <w:r>
        <w:rPr>
          <w:i/>
        </w:rPr>
        <w:t>§ </w:t>
      </w:r>
      <w:r>
        <w:rPr>
          <w:i/>
          <w:spacing w:val="-3"/>
        </w:rPr>
        <w:t>287b </w:t>
      </w:r>
      <w:r>
        <w:rPr/>
        <w:t>noteikto pienākumu būt nodarbinātam un gūt ienākumus atbilstoši savām spējām, un tādejādi parādnieks ar savām darbībām pasliktina kreditoru</w:t>
      </w:r>
      <w:r>
        <w:rPr>
          <w:spacing w:val="-28"/>
        </w:rPr>
        <w:t> </w:t>
      </w:r>
      <w:r>
        <w:rPr/>
        <w:t>iespējas gūt sava prasījuma pilnīgāku apmierinājumu, izņemot ja nav konstatēta parādnieka vaina. Vācijas Maksātnespējas likuma </w:t>
      </w:r>
      <w:r>
        <w:rPr>
          <w:i/>
        </w:rPr>
        <w:t>§296 </w:t>
      </w:r>
      <w:r>
        <w:rPr/>
        <w:t>nosaka kārtību, kādā tiesa atsaka parādniekam atlikušo parāda saistību dzēšanu, ja parādnieks pārkāpj Vācijas Maksātnespējas likuma </w:t>
      </w:r>
      <w:r>
        <w:rPr>
          <w:i/>
        </w:rPr>
        <w:t>§ 295 </w:t>
      </w:r>
      <w:r>
        <w:rPr/>
        <w:t>noteiktos pienākumus. Vācijas Maksātnespējas likuma </w:t>
      </w:r>
      <w:r>
        <w:rPr>
          <w:i/>
        </w:rPr>
        <w:t>§ 297a </w:t>
      </w:r>
      <w:r>
        <w:rPr/>
        <w:t>nosaka, ka tiesa atsaka atbrīvošanu no atlikušajām parāda saistībām, pamatojoties uz kreditora pieteikumu, ja pēc tiesas nozīmētā noslēguma kreditoru sapulces sasaukšanas termiņa </w:t>
      </w:r>
      <w:r>
        <w:rPr>
          <w:spacing w:val="-4"/>
        </w:rPr>
        <w:t>(</w:t>
      </w:r>
      <w:r>
        <w:rPr>
          <w:i/>
          <w:spacing w:val="-4"/>
        </w:rPr>
        <w:t>der </w:t>
      </w:r>
      <w:r>
        <w:rPr>
          <w:i/>
        </w:rPr>
        <w:t>Schlusstermin</w:t>
      </w:r>
      <w:r>
        <w:rPr/>
        <w:t>) vai pēc bankrota procedūras pārtraukšanas saskaņā ar Vācijas Maksātnespējas likuma </w:t>
      </w:r>
      <w:r>
        <w:rPr>
          <w:i/>
        </w:rPr>
        <w:t>§ 211</w:t>
      </w:r>
      <w:r>
        <w:rPr>
          <w:position w:val="9"/>
          <w:sz w:val="16"/>
        </w:rPr>
        <w:t>444 </w:t>
      </w:r>
      <w:r>
        <w:rPr/>
        <w:t>(</w:t>
      </w:r>
      <w:r>
        <w:rPr>
          <w:i/>
        </w:rPr>
        <w:t>die Einstellung des Insolvenzverfahrens</w:t>
      </w:r>
      <w:r>
        <w:rPr/>
        <w:t>) kļuvis zināms, ka ir pastāvējis kāds no Vācijas Maksātnespējas likuma </w:t>
      </w:r>
      <w:r>
        <w:rPr>
          <w:i/>
        </w:rPr>
        <w:t>§ 290 </w:t>
      </w:r>
      <w:r>
        <w:rPr>
          <w:i/>
        </w:rPr>
        <w:t>pirmajā daļā </w:t>
      </w:r>
      <w:r>
        <w:rPr/>
        <w:t>noteiktajiem atteikuma</w:t>
      </w:r>
      <w:r>
        <w:rPr>
          <w:spacing w:val="1"/>
        </w:rPr>
        <w:t> </w:t>
      </w:r>
      <w:r>
        <w:rPr/>
        <w:t>iemesliem.)</w:t>
      </w:r>
    </w:p>
    <w:p>
      <w:pPr>
        <w:pStyle w:val="BodyText"/>
        <w:spacing w:line="237" w:lineRule="auto"/>
        <w:ind w:left="620" w:right="402" w:firstLine="720"/>
        <w:rPr>
          <w:sz w:val="16"/>
        </w:rPr>
      </w:pPr>
      <w:r>
        <w:rPr/>
        <w:t>Tiesību literatūrā norādīts, ka augstāk minētie kritēriji parādnieka pieteikuma par atbrīvošanu no neizpildītajām saistībām pieļaujamības izvērtēšanai ieviesti, lai radītu tiesisko skaidrību. Minētie kritēriji, kas ietverti konkrēti formulētās atsevišķos tiesību normu sastāvos, norāda uz minētās normas šauru izpratni, respektīvi, minētie kritēriji nav paplašināti tulkojami.</w:t>
      </w:r>
      <w:r>
        <w:rPr>
          <w:position w:val="9"/>
          <w:sz w:val="16"/>
        </w:rPr>
        <w:t>445 </w:t>
      </w:r>
      <w:r>
        <w:rPr/>
        <w:t>Par pieteikuma pieļaujamību tiesa lemj pēc savas iniciatīvas, pieņemot atsevišķu lēmumu. Savukārt par pieteikumu par parādnieka maksātnespējas procesa pasludināšanu tiesa pieņem citu lēmumu, kurā savukārt lemj par maksātnespējas procesa pieteikuma pieļaujamību un pamatotību. Laika ziņā parasti abi iepriekš minētie lēmumi tiek pieņemti vienlaicīgi.</w:t>
      </w:r>
      <w:r>
        <w:rPr>
          <w:position w:val="9"/>
          <w:sz w:val="16"/>
        </w:rPr>
        <w:t>446 </w:t>
      </w:r>
      <w:r>
        <w:rPr/>
        <w:t>Taču, ja tiesa konstatē, ka pieteikums par atbrīvošanu no neizpildītajām parāda saistībām nav pieļaujams, jo pastāv </w:t>
      </w:r>
      <w:r>
        <w:rPr>
          <w:i/>
        </w:rPr>
        <w:t>§ 287a otrajā daļā </w:t>
      </w:r>
      <w:r>
        <w:rPr/>
        <w:t>noteiktie ierobežojumi, tad, lai parādnieks varētu atsaukt savu maksātnespējas procesa pieteikumu, tiesa</w:t>
      </w:r>
      <w:r>
        <w:rPr>
          <w:spacing w:val="-12"/>
        </w:rPr>
        <w:t> </w:t>
      </w:r>
      <w:r>
        <w:rPr/>
        <w:t>lēmumu</w:t>
      </w:r>
      <w:r>
        <w:rPr>
          <w:spacing w:val="-11"/>
        </w:rPr>
        <w:t> </w:t>
      </w:r>
      <w:r>
        <w:rPr/>
        <w:t>par</w:t>
      </w:r>
      <w:r>
        <w:rPr>
          <w:spacing w:val="-14"/>
        </w:rPr>
        <w:t> </w:t>
      </w:r>
      <w:r>
        <w:rPr/>
        <w:t>pieteikumu</w:t>
      </w:r>
      <w:r>
        <w:rPr>
          <w:spacing w:val="-9"/>
        </w:rPr>
        <w:t> </w:t>
      </w:r>
      <w:r>
        <w:rPr/>
        <w:t>par</w:t>
      </w:r>
      <w:r>
        <w:rPr>
          <w:spacing w:val="-15"/>
        </w:rPr>
        <w:t> </w:t>
      </w:r>
      <w:r>
        <w:rPr/>
        <w:t>parādnieka</w:t>
      </w:r>
      <w:r>
        <w:rPr>
          <w:spacing w:val="-11"/>
        </w:rPr>
        <w:t> </w:t>
      </w:r>
      <w:r>
        <w:rPr/>
        <w:t>atbrīvošanu</w:t>
      </w:r>
      <w:r>
        <w:rPr>
          <w:spacing w:val="-11"/>
        </w:rPr>
        <w:t> </w:t>
      </w:r>
      <w:r>
        <w:rPr/>
        <w:t>no</w:t>
      </w:r>
      <w:r>
        <w:rPr>
          <w:spacing w:val="-11"/>
        </w:rPr>
        <w:t> </w:t>
      </w:r>
      <w:r>
        <w:rPr/>
        <w:t>parāda</w:t>
      </w:r>
      <w:r>
        <w:rPr>
          <w:spacing w:val="-14"/>
        </w:rPr>
        <w:t> </w:t>
      </w:r>
      <w:r>
        <w:rPr/>
        <w:t>saistībām</w:t>
      </w:r>
      <w:r>
        <w:rPr>
          <w:spacing w:val="-11"/>
        </w:rPr>
        <w:t> </w:t>
      </w:r>
      <w:r>
        <w:rPr/>
        <w:t>pieņem</w:t>
      </w:r>
      <w:r>
        <w:rPr>
          <w:spacing w:val="-13"/>
        </w:rPr>
        <w:t> </w:t>
      </w:r>
      <w:r>
        <w:rPr>
          <w:spacing w:val="-3"/>
        </w:rPr>
        <w:t>pirms </w:t>
      </w:r>
      <w:r>
        <w:rPr/>
        <w:t>maksātnespējas procesa</w:t>
      </w:r>
      <w:r>
        <w:rPr>
          <w:spacing w:val="1"/>
        </w:rPr>
        <w:t> </w:t>
      </w:r>
      <w:r>
        <w:rPr/>
        <w:t>pasludināšanas.</w:t>
      </w:r>
      <w:r>
        <w:rPr>
          <w:position w:val="9"/>
          <w:sz w:val="16"/>
        </w:rPr>
        <w:t>447</w:t>
      </w:r>
    </w:p>
    <w:p>
      <w:pPr>
        <w:pStyle w:val="BodyText"/>
        <w:ind w:left="620" w:right="402" w:firstLine="720"/>
      </w:pPr>
      <w:r>
        <w:rPr/>
        <w:t>Līdz ar to secināms, ka Vācijas maksātnespējas tiesībās parādnieka godprātības aspekts pirmo reizi parādās jau sākotnējā maksātnespējas procesa pieteikuma/pieteikuma par atbrīvošanu no atlikušajām saistībām izskatīšanas procesā, tiesai vērtējot pieteikuma par atbrīvošanu no atlikušajām parāda saistībām formālo pieļaujamību, vēl nepasludinot parādnieka maksātnespējas procesu.</w:t>
      </w:r>
    </w:p>
    <w:p>
      <w:pPr>
        <w:pStyle w:val="BodyText"/>
        <w:jc w:val="left"/>
        <w:rPr>
          <w:sz w:val="20"/>
        </w:rPr>
      </w:pPr>
    </w:p>
    <w:p>
      <w:pPr>
        <w:pStyle w:val="BodyText"/>
        <w:jc w:val="left"/>
        <w:rPr>
          <w:sz w:val="20"/>
        </w:rPr>
      </w:pPr>
    </w:p>
    <w:p>
      <w:pPr>
        <w:pStyle w:val="BodyText"/>
        <w:jc w:val="left"/>
        <w:rPr>
          <w:sz w:val="20"/>
        </w:rPr>
      </w:pPr>
    </w:p>
    <w:p>
      <w:pPr>
        <w:pStyle w:val="BodyText"/>
        <w:spacing w:before="5"/>
        <w:jc w:val="left"/>
        <w:rPr>
          <w:sz w:val="22"/>
        </w:rPr>
      </w:pPr>
      <w:r>
        <w:rPr/>
        <w:pict>
          <v:shape style="position:absolute;margin-left:90pt;margin-top:15.169959pt;width:144pt;height:.1pt;mso-position-horizontal-relative:page;mso-position-vertical-relative:paragraph;z-index:-251461632;mso-wrap-distance-left:0;mso-wrap-distance-right:0" coordorigin="1800,303" coordsize="2880,0" path="m1800,303l4680,303e" filled="false" stroked="true" strokeweight=".600037pt" strokecolor="#000000">
            <v:path arrowok="t"/>
            <v:stroke dashstyle="solid"/>
            <w10:wrap type="topAndBottom"/>
          </v:shape>
        </w:pict>
      </w:r>
    </w:p>
    <w:p>
      <w:pPr>
        <w:spacing w:before="70"/>
        <w:ind w:left="620" w:right="402" w:firstLine="0"/>
        <w:jc w:val="both"/>
        <w:rPr>
          <w:sz w:val="20"/>
        </w:rPr>
      </w:pPr>
      <w:r>
        <w:rPr>
          <w:position w:val="7"/>
          <w:sz w:val="13"/>
        </w:rPr>
        <w:t>444 </w:t>
      </w:r>
      <w:r>
        <w:rPr>
          <w:sz w:val="20"/>
        </w:rPr>
        <w:t>§ 211 Inso regulē situāciju, kad pēc maksātnespējas procesa izmaksu segšanas saskaņā ar </w:t>
      </w:r>
      <w:r>
        <w:rPr>
          <w:i/>
          <w:sz w:val="20"/>
        </w:rPr>
        <w:t>§ 209 </w:t>
      </w:r>
      <w:r>
        <w:rPr>
          <w:sz w:val="20"/>
        </w:rPr>
        <w:t>(noteikta maksātnespējas procesa izmaksu segšanas kārtība), Tiesa pieņem lēmumu par bankrota procedūras pārtraukšanu, mantas nepietiekamības dēļ (Masseunzulaenglichkeit). Pēc tam seko saistību dzēšanas procedūra.</w:t>
      </w:r>
    </w:p>
    <w:p>
      <w:pPr>
        <w:spacing w:line="237" w:lineRule="auto" w:before="0"/>
        <w:ind w:left="620" w:right="407" w:firstLine="0"/>
        <w:jc w:val="both"/>
        <w:rPr>
          <w:sz w:val="20"/>
        </w:rPr>
      </w:pPr>
      <w:r>
        <w:rPr>
          <w:position w:val="7"/>
          <w:sz w:val="13"/>
        </w:rPr>
        <w:t>445</w:t>
      </w:r>
      <w:r>
        <w:rPr>
          <w:spacing w:val="3"/>
          <w:position w:val="7"/>
          <w:sz w:val="13"/>
        </w:rPr>
        <w:t> </w:t>
      </w:r>
      <w:r>
        <w:rPr>
          <w:sz w:val="20"/>
        </w:rPr>
        <w:t>Ahrens</w:t>
      </w:r>
      <w:r>
        <w:rPr>
          <w:spacing w:val="-11"/>
          <w:sz w:val="20"/>
        </w:rPr>
        <w:t> </w:t>
      </w:r>
      <w:r>
        <w:rPr>
          <w:sz w:val="20"/>
        </w:rPr>
        <w:t>“Das</w:t>
      </w:r>
      <w:r>
        <w:rPr>
          <w:spacing w:val="-13"/>
          <w:sz w:val="20"/>
        </w:rPr>
        <w:t> </w:t>
      </w:r>
      <w:r>
        <w:rPr>
          <w:sz w:val="20"/>
        </w:rPr>
        <w:t>neue</w:t>
      </w:r>
      <w:r>
        <w:rPr>
          <w:spacing w:val="-13"/>
          <w:sz w:val="20"/>
        </w:rPr>
        <w:t> </w:t>
      </w:r>
      <w:r>
        <w:rPr>
          <w:sz w:val="20"/>
        </w:rPr>
        <w:t>Privatinsolvenzrecht.</w:t>
      </w:r>
      <w:r>
        <w:rPr>
          <w:spacing w:val="-14"/>
          <w:sz w:val="20"/>
        </w:rPr>
        <w:t> </w:t>
      </w:r>
      <w:r>
        <w:rPr>
          <w:sz w:val="20"/>
        </w:rPr>
        <w:t>Reform</w:t>
      </w:r>
      <w:r>
        <w:rPr>
          <w:spacing w:val="-16"/>
          <w:sz w:val="20"/>
        </w:rPr>
        <w:t> </w:t>
      </w:r>
      <w:r>
        <w:rPr>
          <w:sz w:val="20"/>
        </w:rPr>
        <w:t>und</w:t>
      </w:r>
      <w:r>
        <w:rPr>
          <w:spacing w:val="-13"/>
          <w:sz w:val="20"/>
        </w:rPr>
        <w:t> </w:t>
      </w:r>
      <w:r>
        <w:rPr>
          <w:sz w:val="20"/>
        </w:rPr>
        <w:t>aktuelle</w:t>
      </w:r>
      <w:r>
        <w:rPr>
          <w:spacing w:val="-14"/>
          <w:sz w:val="20"/>
        </w:rPr>
        <w:t> </w:t>
      </w:r>
      <w:r>
        <w:rPr>
          <w:sz w:val="20"/>
        </w:rPr>
        <w:t>Entwicklung”,</w:t>
      </w:r>
      <w:r>
        <w:rPr>
          <w:spacing w:val="-13"/>
          <w:sz w:val="20"/>
        </w:rPr>
        <w:t> </w:t>
      </w:r>
      <w:r>
        <w:rPr>
          <w:sz w:val="20"/>
        </w:rPr>
        <w:t>2.</w:t>
      </w:r>
      <w:r>
        <w:rPr>
          <w:spacing w:val="-13"/>
          <w:sz w:val="20"/>
        </w:rPr>
        <w:t> </w:t>
      </w:r>
      <w:r>
        <w:rPr>
          <w:sz w:val="20"/>
        </w:rPr>
        <w:t>ueerarbeitete</w:t>
      </w:r>
      <w:r>
        <w:rPr>
          <w:spacing w:val="-13"/>
          <w:sz w:val="20"/>
        </w:rPr>
        <w:t> </w:t>
      </w:r>
      <w:r>
        <w:rPr>
          <w:sz w:val="20"/>
        </w:rPr>
        <w:t>und</w:t>
      </w:r>
      <w:r>
        <w:rPr>
          <w:spacing w:val="-13"/>
          <w:sz w:val="20"/>
        </w:rPr>
        <w:t> </w:t>
      </w:r>
      <w:r>
        <w:rPr>
          <w:sz w:val="20"/>
        </w:rPr>
        <w:t>ergaenzte Auflage, RWS Verlag, Kommunikationsforum GmbH, Koeln, 2016, S. 228, 230.</w:t>
      </w:r>
    </w:p>
    <w:p>
      <w:pPr>
        <w:spacing w:line="229" w:lineRule="exact" w:before="0"/>
        <w:ind w:left="620" w:right="0" w:firstLine="0"/>
        <w:jc w:val="both"/>
        <w:rPr>
          <w:sz w:val="20"/>
        </w:rPr>
      </w:pPr>
      <w:r>
        <w:rPr>
          <w:position w:val="7"/>
          <w:sz w:val="13"/>
        </w:rPr>
        <w:t>446 </w:t>
      </w:r>
      <w:r>
        <w:rPr>
          <w:sz w:val="20"/>
        </w:rPr>
        <w:t>Ahrens “Das neue Privatinsolvenzrecht. Reform und aktuelle Entwicklung”, S. 234.</w:t>
      </w:r>
    </w:p>
    <w:p>
      <w:pPr>
        <w:spacing w:line="240" w:lineRule="auto" w:before="0"/>
        <w:ind w:left="620" w:right="408" w:firstLine="0"/>
        <w:jc w:val="both"/>
        <w:rPr>
          <w:sz w:val="20"/>
        </w:rPr>
      </w:pPr>
      <w:r>
        <w:rPr>
          <w:position w:val="7"/>
          <w:sz w:val="13"/>
        </w:rPr>
        <w:t>447 </w:t>
      </w:r>
      <w:r>
        <w:rPr>
          <w:sz w:val="20"/>
        </w:rPr>
        <w:t>Kayser/Thole “Insolvenzordnung” Heidelberger Kommentar, 9. neu bearbeitete Auflage, C.F.Mueller, 2018,/Waltenberger Kommentare § 287a, S. 2185.</w:t>
      </w:r>
    </w:p>
    <w:p>
      <w:pPr>
        <w:spacing w:after="0" w:line="240" w:lineRule="auto"/>
        <w:jc w:val="both"/>
        <w:rPr>
          <w:sz w:val="20"/>
        </w:rPr>
        <w:sectPr>
          <w:pgSz w:w="11910" w:h="16840"/>
          <w:pgMar w:header="0" w:footer="1055" w:top="1340" w:bottom="1240" w:left="1180" w:right="1040"/>
        </w:sectPr>
      </w:pPr>
    </w:p>
    <w:p>
      <w:pPr>
        <w:pStyle w:val="Heading4"/>
        <w:numPr>
          <w:ilvl w:val="1"/>
          <w:numId w:val="94"/>
        </w:numPr>
        <w:tabs>
          <w:tab w:pos="622" w:val="left" w:leader="none"/>
        </w:tabs>
        <w:spacing w:line="240" w:lineRule="auto" w:before="78" w:after="0"/>
        <w:ind w:left="621" w:right="0" w:hanging="362"/>
        <w:jc w:val="left"/>
        <w:rPr>
          <w:i/>
        </w:rPr>
      </w:pPr>
      <w:bookmarkStart w:name="_TOC_250029" w:id="49"/>
      <w:r>
        <w:rPr>
          <w:i/>
        </w:rPr>
        <w:t>Parādnieka ne(godprātības) kontroles</w:t>
      </w:r>
      <w:r>
        <w:rPr>
          <w:i/>
          <w:spacing w:val="-6"/>
        </w:rPr>
        <w:t> </w:t>
      </w:r>
      <w:bookmarkEnd w:id="49"/>
      <w:r>
        <w:rPr>
          <w:i/>
        </w:rPr>
        <w:t>mehānismi</w:t>
      </w:r>
    </w:p>
    <w:p>
      <w:pPr>
        <w:pStyle w:val="BodyText"/>
        <w:spacing w:before="7"/>
        <w:jc w:val="left"/>
        <w:rPr>
          <w:b/>
          <w:i/>
          <w:sz w:val="23"/>
        </w:rPr>
      </w:pPr>
    </w:p>
    <w:p>
      <w:pPr>
        <w:pStyle w:val="BodyText"/>
        <w:ind w:left="260" w:right="761" w:firstLine="720"/>
      </w:pPr>
      <w:r>
        <w:rPr/>
        <w:t>Viens no mehānismiem, kā kontrolēt parādnieka rīcību maksātnespējas procesā ir paredzēts Vācijas Maksātnespējas likuma </w:t>
      </w:r>
      <w:r>
        <w:rPr>
          <w:i/>
        </w:rPr>
        <w:t>§292 otrajā daļā, </w:t>
      </w:r>
      <w:r>
        <w:rPr/>
        <w:t>proti, kreditoru sapulce var uzdot uzdevumu pārraudzīt parādnieka pienākumu izpildi maksātnespējas procesa administratoram. Šādā gadījumā maksātnespējas procesa administratoram nekavējoties jāziņo kreditoriem, ja viņš konstatē parādnieka pieļautu pienākumu pārkāpumu. Maksātnespējas procesa administratoram ir pienākums uzraudzīt parādnieka pienākumu izpildi tikai tādā gadījumā, cik tālu par minēto uzraudzības pienākumu ir segta vai paredzēta atlīdzība.</w:t>
      </w:r>
    </w:p>
    <w:p>
      <w:pPr>
        <w:pStyle w:val="BodyText"/>
        <w:spacing w:line="235" w:lineRule="auto" w:before="4"/>
        <w:ind w:left="260" w:right="760" w:firstLine="720"/>
        <w:rPr>
          <w:sz w:val="16"/>
        </w:rPr>
      </w:pPr>
      <w:r>
        <w:rPr/>
        <w:t>Juridiskajā literatūrā norādīts, ka, tā kā kreditoru sapulce tiek sasaukta vienīgi bankrota procedūras ietvaros, tad ja nepieciešamības gadījumā nepieciešams veikt parādnieka</w:t>
      </w:r>
      <w:r>
        <w:rPr>
          <w:spacing w:val="-13"/>
        </w:rPr>
        <w:t> </w:t>
      </w:r>
      <w:r>
        <w:rPr/>
        <w:t>uzraudzību</w:t>
      </w:r>
      <w:r>
        <w:rPr>
          <w:spacing w:val="-11"/>
        </w:rPr>
        <w:t> </w:t>
      </w:r>
      <w:r>
        <w:rPr/>
        <w:t>saistību</w:t>
      </w:r>
      <w:r>
        <w:rPr>
          <w:spacing w:val="-11"/>
        </w:rPr>
        <w:t> </w:t>
      </w:r>
      <w:r>
        <w:rPr/>
        <w:t>dzēšanas</w:t>
      </w:r>
      <w:r>
        <w:rPr>
          <w:spacing w:val="-13"/>
        </w:rPr>
        <w:t> </w:t>
      </w:r>
      <w:r>
        <w:rPr/>
        <w:t>procedūras</w:t>
      </w:r>
      <w:r>
        <w:rPr>
          <w:spacing w:val="-11"/>
        </w:rPr>
        <w:t> </w:t>
      </w:r>
      <w:r>
        <w:rPr/>
        <w:t>laikā,</w:t>
      </w:r>
      <w:r>
        <w:rPr>
          <w:spacing w:val="-13"/>
        </w:rPr>
        <w:t> </w:t>
      </w:r>
      <w:r>
        <w:rPr/>
        <w:t>tad</w:t>
      </w:r>
      <w:r>
        <w:rPr>
          <w:spacing w:val="-10"/>
        </w:rPr>
        <w:t> </w:t>
      </w:r>
      <w:r>
        <w:rPr/>
        <w:t>iespējams</w:t>
      </w:r>
      <w:r>
        <w:rPr>
          <w:spacing w:val="-11"/>
        </w:rPr>
        <w:t> </w:t>
      </w:r>
      <w:r>
        <w:rPr/>
        <w:t>kreditoru</w:t>
      </w:r>
      <w:r>
        <w:rPr>
          <w:spacing w:val="-13"/>
        </w:rPr>
        <w:t> </w:t>
      </w:r>
      <w:r>
        <w:rPr/>
        <w:t>sapulces lēmums ar nosacījumu, ka uzraudzība veicama, ja parādnieks zaudē darba vietu un līdz ar to arī ienākumus.</w:t>
      </w:r>
      <w:r>
        <w:rPr>
          <w:position w:val="9"/>
          <w:sz w:val="16"/>
        </w:rPr>
        <w:t>448 </w:t>
      </w:r>
      <w:r>
        <w:rPr/>
        <w:t>Tiesu praksē norādīts, ka maksātnespējas procesa administrators ir tiesīgs uzraudzīt parādnieka pienākumu izpildi saistību dzēšanas procedūras laikā, un informēt kreditorus, ja parādniekam saskaņā ar Vācijas Maksātnespējas likumu varētu tikt atteikta parādsaistību dzēšana.</w:t>
      </w:r>
      <w:r>
        <w:rPr>
          <w:position w:val="9"/>
          <w:sz w:val="16"/>
        </w:rPr>
        <w:t>449</w:t>
      </w:r>
    </w:p>
    <w:p>
      <w:pPr>
        <w:pStyle w:val="BodyText"/>
        <w:spacing w:before="10"/>
        <w:ind w:left="260" w:right="762" w:firstLine="720"/>
      </w:pPr>
      <w:r>
        <w:rPr/>
        <w:t>Vēl pastāv tāds institūts kā parādnieka dots zvērests tiesas priekšā, piemēram, Vācijas Maksātnespējas likuma </w:t>
      </w:r>
      <w:r>
        <w:rPr>
          <w:i/>
        </w:rPr>
        <w:t>§296 otrās daļas 2.teikumā </w:t>
      </w:r>
      <w:r>
        <w:rPr/>
        <w:t>parādnieks ar zvērestu apliecina,</w:t>
      </w:r>
      <w:r>
        <w:rPr>
          <w:spacing w:val="-11"/>
        </w:rPr>
        <w:t> </w:t>
      </w:r>
      <w:r>
        <w:rPr/>
        <w:t>ka</w:t>
      </w:r>
      <w:r>
        <w:rPr>
          <w:spacing w:val="-11"/>
        </w:rPr>
        <w:t> </w:t>
      </w:r>
      <w:r>
        <w:rPr/>
        <w:t>sniegtās</w:t>
      </w:r>
      <w:r>
        <w:rPr>
          <w:spacing w:val="-11"/>
        </w:rPr>
        <w:t> </w:t>
      </w:r>
      <w:r>
        <w:rPr/>
        <w:t>ziņas,</w:t>
      </w:r>
      <w:r>
        <w:rPr>
          <w:spacing w:val="-10"/>
        </w:rPr>
        <w:t> </w:t>
      </w:r>
      <w:r>
        <w:rPr/>
        <w:t>par</w:t>
      </w:r>
      <w:r>
        <w:rPr>
          <w:spacing w:val="-14"/>
        </w:rPr>
        <w:t> </w:t>
      </w:r>
      <w:r>
        <w:rPr/>
        <w:t>to,</w:t>
      </w:r>
      <w:r>
        <w:rPr>
          <w:spacing w:val="-11"/>
        </w:rPr>
        <w:t> </w:t>
      </w:r>
      <w:r>
        <w:rPr/>
        <w:t>ka</w:t>
      </w:r>
      <w:r>
        <w:rPr>
          <w:spacing w:val="-10"/>
        </w:rPr>
        <w:t> </w:t>
      </w:r>
      <w:r>
        <w:rPr/>
        <w:t>viņš</w:t>
      </w:r>
      <w:r>
        <w:rPr>
          <w:spacing w:val="-11"/>
        </w:rPr>
        <w:t> </w:t>
      </w:r>
      <w:r>
        <w:rPr/>
        <w:t>ir</w:t>
      </w:r>
      <w:r>
        <w:rPr>
          <w:spacing w:val="-9"/>
        </w:rPr>
        <w:t> </w:t>
      </w:r>
      <w:r>
        <w:rPr/>
        <w:t>ievērojis</w:t>
      </w:r>
      <w:r>
        <w:rPr>
          <w:spacing w:val="-15"/>
        </w:rPr>
        <w:t> </w:t>
      </w:r>
      <w:r>
        <w:rPr/>
        <w:t>Vācijas</w:t>
      </w:r>
      <w:r>
        <w:rPr>
          <w:spacing w:val="-11"/>
        </w:rPr>
        <w:t> </w:t>
      </w:r>
      <w:r>
        <w:rPr/>
        <w:t>Maksātnespējas</w:t>
      </w:r>
      <w:r>
        <w:rPr>
          <w:spacing w:val="-11"/>
        </w:rPr>
        <w:t> </w:t>
      </w:r>
      <w:r>
        <w:rPr/>
        <w:t>likuma</w:t>
      </w:r>
      <w:r>
        <w:rPr>
          <w:spacing w:val="-10"/>
        </w:rPr>
        <w:t> </w:t>
      </w:r>
      <w:r>
        <w:rPr>
          <w:i/>
        </w:rPr>
        <w:t>§295 </w:t>
      </w:r>
      <w:r>
        <w:rPr/>
        <w:t>noteiktos pienākumus, ir pareizas.</w:t>
      </w:r>
    </w:p>
    <w:p>
      <w:pPr>
        <w:pStyle w:val="BodyText"/>
        <w:ind w:left="260" w:right="764" w:firstLine="720"/>
      </w:pPr>
      <w:r>
        <w:rPr/>
        <w:t>Papildus ir paredzēta iespēja atsaukt tiesas lēmumu par saistību dzēšanu. Respektīvi, Vācijas Maksātnespējas likuma </w:t>
      </w:r>
      <w:r>
        <w:rPr>
          <w:i/>
        </w:rPr>
        <w:t>§ 303 </w:t>
      </w:r>
      <w:r>
        <w:rPr/>
        <w:t>nosaka kārtību, kādā tiesa atsauc pieņemto lēmumu par parādnieka parāda saistību dzēšanu, proti, pamatojoties uz</w:t>
      </w:r>
      <w:r>
        <w:rPr>
          <w:spacing w:val="-28"/>
        </w:rPr>
        <w:t> </w:t>
      </w:r>
      <w:r>
        <w:rPr/>
        <w:t>kreditora pieteikumu tiesa atsauc lēmumu par parādnieka atlikušo parāda saistību dzēšanu, ja ir iestājies kāds no zemāk minētajiem</w:t>
      </w:r>
      <w:r>
        <w:rPr>
          <w:spacing w:val="1"/>
        </w:rPr>
        <w:t> </w:t>
      </w:r>
      <w:r>
        <w:rPr/>
        <w:t>gadījumiem:</w:t>
      </w:r>
    </w:p>
    <w:p>
      <w:pPr>
        <w:pStyle w:val="ListParagraph"/>
        <w:numPr>
          <w:ilvl w:val="0"/>
          <w:numId w:val="107"/>
        </w:numPr>
        <w:tabs>
          <w:tab w:pos="980" w:val="left" w:leader="none"/>
        </w:tabs>
        <w:spacing w:line="240" w:lineRule="auto" w:before="0" w:after="0"/>
        <w:ind w:left="980" w:right="764" w:hanging="360"/>
        <w:jc w:val="both"/>
        <w:rPr>
          <w:sz w:val="24"/>
        </w:rPr>
      </w:pPr>
      <w:r>
        <w:rPr>
          <w:sz w:val="24"/>
        </w:rPr>
        <w:t>vēlāk top zināms, ka parādnieks ar nodomu ir pārkāpis kādu no Vācijas Maksātnespējas likuma </w:t>
      </w:r>
      <w:r>
        <w:rPr>
          <w:i/>
          <w:sz w:val="24"/>
        </w:rPr>
        <w:t>§ 295 </w:t>
      </w:r>
      <w:r>
        <w:rPr>
          <w:sz w:val="24"/>
        </w:rPr>
        <w:t>noteiktajiem pienākumiem, kas savukārt ir </w:t>
      </w:r>
      <w:r>
        <w:rPr>
          <w:spacing w:val="-3"/>
          <w:sz w:val="24"/>
        </w:rPr>
        <w:t>radījis </w:t>
      </w:r>
      <w:r>
        <w:rPr>
          <w:sz w:val="24"/>
        </w:rPr>
        <w:t>būtisku kreditora interešu aizskārumu saņemt sava prasījuma</w:t>
      </w:r>
      <w:r>
        <w:rPr>
          <w:spacing w:val="-5"/>
          <w:sz w:val="24"/>
        </w:rPr>
        <w:t> </w:t>
      </w:r>
      <w:r>
        <w:rPr>
          <w:sz w:val="24"/>
        </w:rPr>
        <w:t>apmierinājumu;</w:t>
      </w:r>
    </w:p>
    <w:p>
      <w:pPr>
        <w:pStyle w:val="ListParagraph"/>
        <w:numPr>
          <w:ilvl w:val="0"/>
          <w:numId w:val="107"/>
        </w:numPr>
        <w:tabs>
          <w:tab w:pos="980" w:val="left" w:leader="none"/>
        </w:tabs>
        <w:spacing w:line="240" w:lineRule="auto" w:before="0" w:after="0"/>
        <w:ind w:left="980" w:right="762" w:hanging="360"/>
        <w:jc w:val="both"/>
        <w:rPr>
          <w:sz w:val="24"/>
        </w:rPr>
      </w:pPr>
      <w:r>
        <w:rPr>
          <w:sz w:val="24"/>
        </w:rPr>
        <w:t>vēlāk top zināms, ka parādnieks saistību dzēšanas procedūras laikā ar spēkā stājušos tiesas spriedumu ir ticis notiesāts par noziedzīgiem nodarījumiem maksātnespējas jomā, kā to paredz Vācijas Maksātnespējas likuma </w:t>
      </w:r>
      <w:r>
        <w:rPr>
          <w:i/>
          <w:sz w:val="24"/>
        </w:rPr>
        <w:t>§ 297 pirmā </w:t>
      </w:r>
      <w:r>
        <w:rPr>
          <w:i/>
          <w:sz w:val="24"/>
        </w:rPr>
        <w:t>daļa; </w:t>
      </w:r>
      <w:r>
        <w:rPr>
          <w:sz w:val="24"/>
        </w:rPr>
        <w:t>vai ja parādnieks ir notiesāts ar spēkā stājušos tiesas spriedumu par maksātnespējas jomā pastrādātu noziedzīgu nodarījumu pēc tiesas lēmuma pieņemšanas par atlikušo parāda saistību dzēšanu, taču noziedzīgs nodarījums pastrādāts līdz saistību dzēšanas procedūras</w:t>
      </w:r>
      <w:r>
        <w:rPr>
          <w:spacing w:val="-3"/>
          <w:sz w:val="24"/>
        </w:rPr>
        <w:t> </w:t>
      </w:r>
      <w:r>
        <w:rPr>
          <w:sz w:val="24"/>
        </w:rPr>
        <w:t>pabeigšanai.</w:t>
      </w:r>
    </w:p>
    <w:p>
      <w:pPr>
        <w:pStyle w:val="BodyText"/>
        <w:ind w:left="980" w:right="761" w:hanging="360"/>
      </w:pPr>
      <w:r>
        <w:rPr/>
        <w:t>4) parādnieks pēc tiesas lēmuma pieņemšanas par parādnieka atlikušo parāda saistību dzēšanas ar nodomu vai aiz neuzmanības pārkāpis ziņu sniegšanas un līdzdarbošanās</w:t>
      </w:r>
      <w:r>
        <w:rPr>
          <w:spacing w:val="-16"/>
        </w:rPr>
        <w:t> </w:t>
      </w:r>
      <w:r>
        <w:rPr/>
        <w:t>pienākumu,</w:t>
      </w:r>
      <w:r>
        <w:rPr>
          <w:spacing w:val="-15"/>
        </w:rPr>
        <w:t> </w:t>
      </w:r>
      <w:r>
        <w:rPr/>
        <w:t>kas</w:t>
      </w:r>
      <w:r>
        <w:rPr>
          <w:spacing w:val="-17"/>
        </w:rPr>
        <w:t> </w:t>
      </w:r>
      <w:r>
        <w:rPr/>
        <w:t>viņam</w:t>
      </w:r>
      <w:r>
        <w:rPr>
          <w:spacing w:val="-15"/>
        </w:rPr>
        <w:t> </w:t>
      </w:r>
      <w:r>
        <w:rPr/>
        <w:t>saskaņā</w:t>
      </w:r>
      <w:r>
        <w:rPr>
          <w:spacing w:val="-16"/>
        </w:rPr>
        <w:t> </w:t>
      </w:r>
      <w:r>
        <w:rPr/>
        <w:t>ar</w:t>
      </w:r>
      <w:r>
        <w:rPr>
          <w:spacing w:val="-15"/>
        </w:rPr>
        <w:t> </w:t>
      </w:r>
      <w:r>
        <w:rPr/>
        <w:t>šo</w:t>
      </w:r>
      <w:r>
        <w:rPr>
          <w:spacing w:val="-15"/>
        </w:rPr>
        <w:t> </w:t>
      </w:r>
      <w:r>
        <w:rPr/>
        <w:t>likumu</w:t>
      </w:r>
      <w:r>
        <w:rPr>
          <w:spacing w:val="-15"/>
        </w:rPr>
        <w:t> </w:t>
      </w:r>
      <w:r>
        <w:rPr/>
        <w:t>maksātnespējas</w:t>
      </w:r>
      <w:r>
        <w:rPr>
          <w:spacing w:val="-12"/>
        </w:rPr>
        <w:t> </w:t>
      </w:r>
      <w:r>
        <w:rPr/>
        <w:t>procesa laikā bija jāpilda.</w:t>
      </w:r>
    </w:p>
    <w:p>
      <w:pPr>
        <w:pStyle w:val="BodyText"/>
        <w:spacing w:before="5"/>
        <w:jc w:val="left"/>
      </w:pPr>
    </w:p>
    <w:p>
      <w:pPr>
        <w:pStyle w:val="Heading4"/>
        <w:numPr>
          <w:ilvl w:val="1"/>
          <w:numId w:val="94"/>
        </w:numPr>
        <w:tabs>
          <w:tab w:pos="622" w:val="left" w:leader="none"/>
        </w:tabs>
        <w:spacing w:line="240" w:lineRule="auto" w:before="0" w:after="0"/>
        <w:ind w:left="621" w:right="0" w:hanging="362"/>
        <w:jc w:val="left"/>
        <w:rPr>
          <w:i/>
        </w:rPr>
      </w:pPr>
      <w:bookmarkStart w:name="_TOC_250028" w:id="50"/>
      <w:r>
        <w:rPr>
          <w:i/>
        </w:rPr>
        <w:t>Parādnieka negodprātības tiesiskās</w:t>
      </w:r>
      <w:r>
        <w:rPr>
          <w:i/>
          <w:spacing w:val="-1"/>
        </w:rPr>
        <w:t> </w:t>
      </w:r>
      <w:bookmarkEnd w:id="50"/>
      <w:r>
        <w:rPr>
          <w:i/>
        </w:rPr>
        <w:t>sekas</w:t>
      </w:r>
    </w:p>
    <w:p>
      <w:pPr>
        <w:pStyle w:val="BodyText"/>
        <w:spacing w:before="7"/>
        <w:jc w:val="left"/>
        <w:rPr>
          <w:b/>
          <w:i/>
          <w:sz w:val="23"/>
        </w:rPr>
      </w:pPr>
    </w:p>
    <w:p>
      <w:pPr>
        <w:pStyle w:val="BodyText"/>
        <w:ind w:left="260" w:right="761" w:firstLine="708"/>
      </w:pPr>
      <w:r>
        <w:rPr/>
        <w:t>Sekas parādnieka negodprātīgas rīcības konstatēšanas gadījumā visos zemāk minētajos gadījumos ir nemainīgas – parādniekam netiek dzēstas atlikušās neizpildītās</w:t>
      </w:r>
    </w:p>
    <w:p>
      <w:pPr>
        <w:pStyle w:val="BodyText"/>
        <w:spacing w:before="3"/>
        <w:jc w:val="left"/>
        <w:rPr>
          <w:sz w:val="16"/>
        </w:rPr>
      </w:pPr>
    </w:p>
    <w:p>
      <w:pPr>
        <w:spacing w:line="249" w:lineRule="auto" w:before="95"/>
        <w:ind w:left="260" w:right="0" w:firstLine="0"/>
        <w:jc w:val="left"/>
        <w:rPr>
          <w:sz w:val="20"/>
        </w:rPr>
      </w:pPr>
      <w:r>
        <w:rPr>
          <w:position w:val="9"/>
          <w:sz w:val="16"/>
        </w:rPr>
        <w:t>448 </w:t>
      </w:r>
      <w:r>
        <w:rPr>
          <w:sz w:val="20"/>
        </w:rPr>
        <w:t>Kayser/Thole “Insolvenzordnung” Heidelberger Kommentar, 9. neu bearbeitete Auflage, C.F.Mueller, 2018,/Waltenberger Kommentare § 292, S.2217.</w:t>
      </w:r>
    </w:p>
    <w:p>
      <w:pPr>
        <w:spacing w:line="222" w:lineRule="exact" w:before="0"/>
        <w:ind w:left="260" w:right="0" w:firstLine="0"/>
        <w:jc w:val="left"/>
        <w:rPr>
          <w:sz w:val="20"/>
        </w:rPr>
      </w:pPr>
      <w:r>
        <w:rPr>
          <w:position w:val="7"/>
          <w:sz w:val="13"/>
        </w:rPr>
        <w:t>449 </w:t>
      </w:r>
      <w:r>
        <w:rPr>
          <w:sz w:val="20"/>
        </w:rPr>
        <w:t>Kayser/Thole “Insolvenzordnung” Heidelberger Kommentar, 9. neu bearbeitete Auflage, C.F.Mueller,</w:t>
      </w:r>
    </w:p>
    <w:p>
      <w:pPr>
        <w:spacing w:before="1"/>
        <w:ind w:left="260" w:right="0" w:firstLine="0"/>
        <w:jc w:val="left"/>
        <w:rPr>
          <w:sz w:val="20"/>
        </w:rPr>
      </w:pPr>
      <w:r>
        <w:rPr>
          <w:sz w:val="20"/>
        </w:rPr>
        <w:t>2018,/Waltenberger Kommentare § 292, S.2217.</w:t>
      </w:r>
    </w:p>
    <w:p>
      <w:pPr>
        <w:spacing w:after="0"/>
        <w:jc w:val="left"/>
        <w:rPr>
          <w:sz w:val="20"/>
        </w:rPr>
        <w:sectPr>
          <w:footerReference w:type="even" r:id="rId94"/>
          <w:footerReference w:type="default" r:id="rId95"/>
          <w:pgSz w:w="11910" w:h="16840"/>
          <w:pgMar w:footer="1165" w:header="0" w:top="1340" w:bottom="1360" w:left="1180" w:right="1040"/>
        </w:sectPr>
      </w:pPr>
    </w:p>
    <w:p>
      <w:pPr>
        <w:spacing w:before="73"/>
        <w:ind w:left="620" w:right="401" w:firstLine="0"/>
        <w:jc w:val="both"/>
        <w:rPr>
          <w:i/>
          <w:sz w:val="24"/>
        </w:rPr>
      </w:pPr>
      <w:r>
        <w:rPr>
          <w:sz w:val="24"/>
        </w:rPr>
        <w:t>parādsaistības. Kā arī, ja parādniekam saistību dzēšana ir atteikta, pamatojoties uz Vācijas Maksātnespējas likuma </w:t>
      </w:r>
      <w:r>
        <w:rPr>
          <w:i/>
          <w:sz w:val="24"/>
        </w:rPr>
        <w:t>§ 297, § 290 pirmās daļas 5.-7.punktu, §296, §297a, </w:t>
      </w:r>
      <w:r>
        <w:rPr>
          <w:sz w:val="24"/>
        </w:rPr>
        <w:t>tad saskaņā ar </w:t>
      </w:r>
      <w:r>
        <w:rPr>
          <w:i/>
          <w:sz w:val="24"/>
        </w:rPr>
        <w:t>§287a </w:t>
      </w:r>
      <w:r>
        <w:rPr>
          <w:sz w:val="24"/>
        </w:rPr>
        <w:t>parādniekam ir liegta atkārtota saistību dzēšanas procedūras piemērošana turpmākos 5 gadus (</w:t>
      </w:r>
      <w:r>
        <w:rPr>
          <w:i/>
          <w:sz w:val="24"/>
        </w:rPr>
        <w:t>§ 297 </w:t>
      </w:r>
      <w:r>
        <w:rPr>
          <w:sz w:val="24"/>
        </w:rPr>
        <w:t>gadījumā) vai 3 gadus (</w:t>
      </w:r>
      <w:r>
        <w:rPr>
          <w:i/>
          <w:sz w:val="24"/>
        </w:rPr>
        <w:t>§ 290 pirmās daļas 5.-7.punkti, §296,</w:t>
      </w:r>
    </w:p>
    <w:p>
      <w:pPr>
        <w:spacing w:before="0"/>
        <w:ind w:left="620" w:right="0" w:firstLine="0"/>
        <w:jc w:val="both"/>
        <w:rPr>
          <w:sz w:val="24"/>
        </w:rPr>
      </w:pPr>
      <w:r>
        <w:rPr>
          <w:i/>
          <w:sz w:val="24"/>
        </w:rPr>
        <w:t>§297a, </w:t>
      </w:r>
      <w:r>
        <w:rPr>
          <w:sz w:val="24"/>
        </w:rPr>
        <w:t>gadījumā</w:t>
      </w:r>
      <w:r>
        <w:rPr>
          <w:i/>
          <w:sz w:val="24"/>
        </w:rPr>
        <w:t>)</w:t>
      </w:r>
      <w:r>
        <w:rPr>
          <w:sz w:val="24"/>
        </w:rPr>
        <w:t>.</w:t>
      </w:r>
    </w:p>
    <w:p>
      <w:pPr>
        <w:pStyle w:val="BodyText"/>
        <w:ind w:left="620" w:right="405" w:firstLine="708"/>
      </w:pPr>
      <w:r>
        <w:rPr/>
        <w:t>Atkarībā no tā, kurā stadijā un saskaņā ar kuru Vācijas Maksātnespējas likuma normu konstatē likumā noteiktos ierobežojumus saistību dzēšanas procedūras piemērošanai, var izdalīt šādus parādniekam nelabvēlīgus procesuālos stāvokļus:</w:t>
      </w:r>
    </w:p>
    <w:p>
      <w:pPr>
        <w:pStyle w:val="ListParagraph"/>
        <w:numPr>
          <w:ilvl w:val="0"/>
          <w:numId w:val="108"/>
        </w:numPr>
        <w:tabs>
          <w:tab w:pos="1400" w:val="left" w:leader="none"/>
        </w:tabs>
        <w:spacing w:line="240" w:lineRule="auto" w:before="0" w:after="0"/>
        <w:ind w:left="1400" w:right="402" w:hanging="360"/>
        <w:jc w:val="both"/>
        <w:rPr>
          <w:sz w:val="24"/>
        </w:rPr>
      </w:pPr>
      <w:r>
        <w:rPr>
          <w:sz w:val="24"/>
        </w:rPr>
        <w:t>Parādniekam maksātnespējas process netiek pasludināts un tādejādi netiek piemērota saistību dzēšanas procedūra. Šāds regulējums noteikts Vācijas Maksātnespējas likuma </w:t>
      </w:r>
      <w:r>
        <w:rPr>
          <w:i/>
          <w:sz w:val="24"/>
        </w:rPr>
        <w:t>§ 287a, </w:t>
      </w:r>
      <w:r>
        <w:rPr>
          <w:sz w:val="24"/>
        </w:rPr>
        <w:t>saskaņā ar kuru tiesa noraida parādnieka pieteikumu par saistību dzēšanas procedūras piemērošanu, ja konstatē </w:t>
      </w:r>
      <w:r>
        <w:rPr>
          <w:i/>
          <w:sz w:val="24"/>
        </w:rPr>
        <w:t>§ 287a </w:t>
      </w:r>
      <w:r>
        <w:rPr>
          <w:sz w:val="24"/>
        </w:rPr>
        <w:t>noteiktos</w:t>
      </w:r>
      <w:r>
        <w:rPr>
          <w:spacing w:val="-6"/>
          <w:sz w:val="24"/>
        </w:rPr>
        <w:t> </w:t>
      </w:r>
      <w:r>
        <w:rPr>
          <w:sz w:val="24"/>
        </w:rPr>
        <w:t>ierobežojumus.</w:t>
      </w:r>
      <w:r>
        <w:rPr>
          <w:spacing w:val="-6"/>
          <w:sz w:val="24"/>
        </w:rPr>
        <w:t> </w:t>
      </w:r>
      <w:r>
        <w:rPr>
          <w:sz w:val="24"/>
        </w:rPr>
        <w:t>Saskaņā</w:t>
      </w:r>
      <w:r>
        <w:rPr>
          <w:spacing w:val="-4"/>
          <w:sz w:val="24"/>
        </w:rPr>
        <w:t> </w:t>
      </w:r>
      <w:r>
        <w:rPr>
          <w:sz w:val="24"/>
        </w:rPr>
        <w:t>ar</w:t>
      </w:r>
      <w:r>
        <w:rPr>
          <w:spacing w:val="-9"/>
          <w:sz w:val="24"/>
        </w:rPr>
        <w:t> </w:t>
      </w:r>
      <w:r>
        <w:rPr>
          <w:sz w:val="24"/>
        </w:rPr>
        <w:t>Vācijas</w:t>
      </w:r>
      <w:r>
        <w:rPr>
          <w:spacing w:val="-7"/>
          <w:sz w:val="24"/>
        </w:rPr>
        <w:t> </w:t>
      </w:r>
      <w:r>
        <w:rPr>
          <w:sz w:val="24"/>
        </w:rPr>
        <w:t>Maksātnespējas</w:t>
      </w:r>
      <w:r>
        <w:rPr>
          <w:spacing w:val="-6"/>
          <w:sz w:val="24"/>
        </w:rPr>
        <w:t> </w:t>
      </w:r>
      <w:r>
        <w:rPr>
          <w:sz w:val="24"/>
        </w:rPr>
        <w:t>likuma</w:t>
      </w:r>
      <w:r>
        <w:rPr>
          <w:spacing w:val="-3"/>
          <w:sz w:val="24"/>
        </w:rPr>
        <w:t> </w:t>
      </w:r>
      <w:r>
        <w:rPr>
          <w:i/>
          <w:sz w:val="24"/>
        </w:rPr>
        <w:t>§</w:t>
      </w:r>
      <w:r>
        <w:rPr>
          <w:i/>
          <w:spacing w:val="-6"/>
          <w:sz w:val="24"/>
        </w:rPr>
        <w:t> </w:t>
      </w:r>
      <w:r>
        <w:rPr>
          <w:i/>
          <w:sz w:val="24"/>
        </w:rPr>
        <w:t>287</w:t>
      </w:r>
      <w:r>
        <w:rPr>
          <w:i/>
          <w:spacing w:val="-3"/>
          <w:sz w:val="24"/>
        </w:rPr>
        <w:t> </w:t>
      </w:r>
      <w:r>
        <w:rPr>
          <w:i/>
          <w:sz w:val="24"/>
        </w:rPr>
        <w:t>pirmās </w:t>
      </w:r>
      <w:r>
        <w:rPr>
          <w:i/>
          <w:sz w:val="24"/>
        </w:rPr>
        <w:t>daļas 2.un 3.teikumu </w:t>
      </w:r>
      <w:r>
        <w:rPr>
          <w:sz w:val="24"/>
        </w:rPr>
        <w:t>parādnieks pieteikumā par saistību dzēšanas</w:t>
      </w:r>
      <w:r>
        <w:rPr>
          <w:spacing w:val="39"/>
          <w:sz w:val="24"/>
        </w:rPr>
        <w:t> </w:t>
      </w:r>
      <w:r>
        <w:rPr>
          <w:sz w:val="24"/>
        </w:rPr>
        <w:t>procedūras piemērošanu</w:t>
      </w:r>
      <w:r>
        <w:rPr>
          <w:spacing w:val="-13"/>
          <w:sz w:val="24"/>
        </w:rPr>
        <w:t> </w:t>
      </w:r>
      <w:r>
        <w:rPr>
          <w:sz w:val="24"/>
        </w:rPr>
        <w:t>apliecina,</w:t>
      </w:r>
      <w:r>
        <w:rPr>
          <w:spacing w:val="-12"/>
          <w:sz w:val="24"/>
        </w:rPr>
        <w:t> </w:t>
      </w:r>
      <w:r>
        <w:rPr>
          <w:sz w:val="24"/>
        </w:rPr>
        <w:t>ka</w:t>
      </w:r>
      <w:r>
        <w:rPr>
          <w:spacing w:val="-15"/>
          <w:sz w:val="24"/>
        </w:rPr>
        <w:t> </w:t>
      </w:r>
      <w:r>
        <w:rPr>
          <w:sz w:val="24"/>
        </w:rPr>
        <w:t>nepastāv</w:t>
      </w:r>
      <w:r>
        <w:rPr>
          <w:spacing w:val="-12"/>
          <w:sz w:val="24"/>
        </w:rPr>
        <w:t> </w:t>
      </w:r>
      <w:r>
        <w:rPr>
          <w:sz w:val="24"/>
        </w:rPr>
        <w:t>kāds</w:t>
      </w:r>
      <w:r>
        <w:rPr>
          <w:spacing w:val="-12"/>
          <w:sz w:val="24"/>
        </w:rPr>
        <w:t> </w:t>
      </w:r>
      <w:r>
        <w:rPr>
          <w:sz w:val="24"/>
        </w:rPr>
        <w:t>no</w:t>
      </w:r>
      <w:r>
        <w:rPr>
          <w:spacing w:val="-18"/>
          <w:sz w:val="24"/>
        </w:rPr>
        <w:t> </w:t>
      </w:r>
      <w:r>
        <w:rPr>
          <w:sz w:val="24"/>
        </w:rPr>
        <w:t>Vācijas</w:t>
      </w:r>
      <w:r>
        <w:rPr>
          <w:spacing w:val="-12"/>
          <w:sz w:val="24"/>
        </w:rPr>
        <w:t> </w:t>
      </w:r>
      <w:r>
        <w:rPr>
          <w:sz w:val="24"/>
        </w:rPr>
        <w:t>Maksātnespējas</w:t>
      </w:r>
      <w:r>
        <w:rPr>
          <w:spacing w:val="-12"/>
          <w:sz w:val="24"/>
        </w:rPr>
        <w:t> </w:t>
      </w:r>
      <w:r>
        <w:rPr>
          <w:sz w:val="24"/>
        </w:rPr>
        <w:t>likuma</w:t>
      </w:r>
      <w:r>
        <w:rPr>
          <w:spacing w:val="-10"/>
          <w:sz w:val="24"/>
        </w:rPr>
        <w:t> </w:t>
      </w:r>
      <w:r>
        <w:rPr>
          <w:i/>
          <w:sz w:val="24"/>
        </w:rPr>
        <w:t>§</w:t>
      </w:r>
      <w:r>
        <w:rPr>
          <w:i/>
          <w:spacing w:val="-12"/>
          <w:sz w:val="24"/>
        </w:rPr>
        <w:t> </w:t>
      </w:r>
      <w:r>
        <w:rPr>
          <w:i/>
          <w:spacing w:val="-3"/>
          <w:sz w:val="24"/>
        </w:rPr>
        <w:t>287a </w:t>
      </w:r>
      <w:r>
        <w:rPr>
          <w:i/>
          <w:sz w:val="24"/>
        </w:rPr>
        <w:t>otrajā daļā </w:t>
      </w:r>
      <w:r>
        <w:rPr>
          <w:sz w:val="24"/>
        </w:rPr>
        <w:t>noteiktajiem ierobežojumiem. Pie kam nepatiesa ziņu sniegšana tiesai attiecībā uz ierobežojumu pastāvēšanu rada saistību dzēšanas piemērošanas ierobežojumu, kas noteikts Vācijas Maksātnespējas likuma </w:t>
      </w:r>
      <w:r>
        <w:rPr>
          <w:i/>
          <w:sz w:val="24"/>
        </w:rPr>
        <w:t>§ 290 pirmajā daļā </w:t>
      </w:r>
      <w:r>
        <w:rPr>
          <w:i/>
          <w:spacing w:val="-4"/>
          <w:sz w:val="24"/>
        </w:rPr>
        <w:t>nr.6,</w:t>
      </w:r>
      <w:r>
        <w:rPr>
          <w:spacing w:val="-4"/>
          <w:position w:val="9"/>
          <w:sz w:val="16"/>
        </w:rPr>
        <w:t>450 </w:t>
      </w:r>
      <w:r>
        <w:rPr>
          <w:sz w:val="24"/>
        </w:rPr>
        <w:t>proti, tiesa neatbrīvo parādnieku no neizpildītajām parādsaistībām, ja parādnieks ar nodomu vai aiz rupjas neuzmanības sniedzis tiesai nepatiesas vai nepilnīgas ziņas par savu mantisko</w:t>
      </w:r>
      <w:r>
        <w:rPr>
          <w:spacing w:val="-3"/>
          <w:sz w:val="24"/>
        </w:rPr>
        <w:t> </w:t>
      </w:r>
      <w:r>
        <w:rPr>
          <w:sz w:val="24"/>
        </w:rPr>
        <w:t>stāvokli.</w:t>
      </w:r>
    </w:p>
    <w:p>
      <w:pPr>
        <w:pStyle w:val="ListParagraph"/>
        <w:numPr>
          <w:ilvl w:val="0"/>
          <w:numId w:val="108"/>
        </w:numPr>
        <w:tabs>
          <w:tab w:pos="1400" w:val="left" w:leader="none"/>
        </w:tabs>
        <w:spacing w:line="261" w:lineRule="exact" w:before="0" w:after="0"/>
        <w:ind w:left="1400" w:right="0" w:hanging="360"/>
        <w:jc w:val="both"/>
        <w:rPr>
          <w:sz w:val="24"/>
        </w:rPr>
      </w:pPr>
      <w:r>
        <w:rPr>
          <w:sz w:val="24"/>
        </w:rPr>
        <w:t>Parādniekam pasludina maksātnespējas procesu, taču</w:t>
      </w:r>
      <w:r>
        <w:rPr>
          <w:spacing w:val="6"/>
          <w:sz w:val="24"/>
        </w:rPr>
        <w:t> </w:t>
      </w:r>
      <w:r>
        <w:rPr>
          <w:sz w:val="24"/>
        </w:rPr>
        <w:t>maksātnespējas</w:t>
      </w:r>
    </w:p>
    <w:p>
      <w:pPr>
        <w:pStyle w:val="BodyText"/>
        <w:ind w:left="1400" w:right="401"/>
      </w:pPr>
      <w:r>
        <w:rPr/>
        <w:t>procesa/saistību dzēšanas procedūras laikā tiesa lemj neatbrīvot parādnieku no neizpildītajām</w:t>
      </w:r>
      <w:r>
        <w:rPr>
          <w:spacing w:val="-11"/>
        </w:rPr>
        <w:t> </w:t>
      </w:r>
      <w:r>
        <w:rPr/>
        <w:t>parādsaistībām,</w:t>
      </w:r>
      <w:r>
        <w:rPr>
          <w:spacing w:val="-10"/>
        </w:rPr>
        <w:t> </w:t>
      </w:r>
      <w:r>
        <w:rPr/>
        <w:t>pamatojoties</w:t>
      </w:r>
      <w:r>
        <w:rPr>
          <w:spacing w:val="-11"/>
        </w:rPr>
        <w:t> </w:t>
      </w:r>
      <w:r>
        <w:rPr/>
        <w:t>uz</w:t>
      </w:r>
      <w:r>
        <w:rPr>
          <w:spacing w:val="-9"/>
        </w:rPr>
        <w:t> </w:t>
      </w:r>
      <w:r>
        <w:rPr/>
        <w:t>ierobežojumiem,</w:t>
      </w:r>
      <w:r>
        <w:rPr>
          <w:spacing w:val="-11"/>
        </w:rPr>
        <w:t> </w:t>
      </w:r>
      <w:r>
        <w:rPr/>
        <w:t>kas</w:t>
      </w:r>
      <w:r>
        <w:rPr>
          <w:spacing w:val="-10"/>
        </w:rPr>
        <w:t> </w:t>
      </w:r>
      <w:r>
        <w:rPr/>
        <w:t>noteikti</w:t>
      </w:r>
      <w:r>
        <w:rPr>
          <w:spacing w:val="-13"/>
        </w:rPr>
        <w:t> </w:t>
      </w:r>
      <w:r>
        <w:rPr>
          <w:i/>
        </w:rPr>
        <w:t>§</w:t>
      </w:r>
      <w:r>
        <w:rPr>
          <w:i/>
          <w:spacing w:val="-10"/>
        </w:rPr>
        <w:t> </w:t>
      </w:r>
      <w:r>
        <w:rPr>
          <w:i/>
        </w:rPr>
        <w:t>290 </w:t>
      </w:r>
      <w:r>
        <w:rPr>
          <w:i/>
        </w:rPr>
        <w:t>pirmās daļas 1.-7.punktos, §296, §297, §297a, § 298. </w:t>
      </w:r>
      <w:r>
        <w:rPr/>
        <w:t>Saskaņā ar Vācijas Maksātnespējas likuma </w:t>
      </w:r>
      <w:r>
        <w:rPr>
          <w:i/>
        </w:rPr>
        <w:t>§ 299, </w:t>
      </w:r>
      <w:r>
        <w:rPr/>
        <w:t>ja tiesa atsaka neizpildīto parādsaistību </w:t>
      </w:r>
      <w:r>
        <w:rPr>
          <w:spacing w:val="-3"/>
        </w:rPr>
        <w:t>dzēšanu, </w:t>
      </w:r>
      <w:r>
        <w:rPr/>
        <w:t>pamatojoties uz </w:t>
      </w:r>
      <w:r>
        <w:rPr>
          <w:i/>
        </w:rPr>
        <w:t>§296, §297, §297a, § 298, </w:t>
      </w:r>
      <w:r>
        <w:rPr/>
        <w:t>tad ar tiesas nolēmuma spēkā stāšanos izbeidzas saistību dzēšanas procedūra, maksātnespējas procesa administratora amata pilnvaras un tiesību ierobežojumi kreditoriem. Kreditori var vērst piedziņu uz parādnieka mantu bez ierobežojumiem.</w:t>
      </w:r>
    </w:p>
    <w:p>
      <w:pPr>
        <w:pStyle w:val="ListParagraph"/>
        <w:numPr>
          <w:ilvl w:val="0"/>
          <w:numId w:val="108"/>
        </w:numPr>
        <w:tabs>
          <w:tab w:pos="1400" w:val="left" w:leader="none"/>
        </w:tabs>
        <w:spacing w:line="237" w:lineRule="auto" w:before="3" w:after="0"/>
        <w:ind w:left="1400" w:right="401" w:hanging="360"/>
        <w:jc w:val="both"/>
        <w:rPr>
          <w:sz w:val="24"/>
        </w:rPr>
      </w:pPr>
      <w:r>
        <w:rPr>
          <w:sz w:val="24"/>
        </w:rPr>
        <w:t>Tiesa atbrīvo parādnieku no neizpildītajām parādsaistībām, taču minēto tiesas lēmumu par atbrīvošanu no neizpildītajām parādsaistībām tiesa atceļ/atsauc. Šāda parādniekam ne tik izdevīga tiesiskā stāvokļa radīšana arī pēc atbrīvošanas no neizpildītajām parādsaistībām ir pamatota ar godprātības principu, proti, ka </w:t>
      </w:r>
      <w:r>
        <w:rPr>
          <w:spacing w:val="-3"/>
          <w:sz w:val="24"/>
        </w:rPr>
        <w:t>tikai </w:t>
      </w:r>
      <w:r>
        <w:rPr>
          <w:sz w:val="24"/>
        </w:rPr>
        <w:t>godprātīgi parādnieki var baudīt atbrīvošanu no neizpildītajām parādsaistībām, taču</w:t>
      </w:r>
      <w:r>
        <w:rPr>
          <w:spacing w:val="-11"/>
          <w:sz w:val="24"/>
        </w:rPr>
        <w:t> </w:t>
      </w:r>
      <w:r>
        <w:rPr>
          <w:sz w:val="24"/>
        </w:rPr>
        <w:t>ne</w:t>
      </w:r>
      <w:r>
        <w:rPr>
          <w:spacing w:val="-9"/>
          <w:sz w:val="24"/>
        </w:rPr>
        <w:t> </w:t>
      </w:r>
      <w:r>
        <w:rPr>
          <w:sz w:val="24"/>
        </w:rPr>
        <w:t>tādi</w:t>
      </w:r>
      <w:r>
        <w:rPr>
          <w:spacing w:val="-9"/>
          <w:sz w:val="24"/>
        </w:rPr>
        <w:t> </w:t>
      </w:r>
      <w:r>
        <w:rPr>
          <w:sz w:val="24"/>
        </w:rPr>
        <w:t>parādnieki,</w:t>
      </w:r>
      <w:r>
        <w:rPr>
          <w:spacing w:val="-9"/>
          <w:sz w:val="24"/>
        </w:rPr>
        <w:t> </w:t>
      </w:r>
      <w:r>
        <w:rPr>
          <w:sz w:val="24"/>
        </w:rPr>
        <w:t>kuri</w:t>
      </w:r>
      <w:r>
        <w:rPr>
          <w:spacing w:val="-8"/>
          <w:sz w:val="24"/>
        </w:rPr>
        <w:t> </w:t>
      </w:r>
      <w:r>
        <w:rPr>
          <w:sz w:val="24"/>
        </w:rPr>
        <w:t>saistību</w:t>
      </w:r>
      <w:r>
        <w:rPr>
          <w:spacing w:val="-9"/>
          <w:sz w:val="24"/>
        </w:rPr>
        <w:t> </w:t>
      </w:r>
      <w:r>
        <w:rPr>
          <w:sz w:val="24"/>
        </w:rPr>
        <w:t>dzēšanas</w:t>
      </w:r>
      <w:r>
        <w:rPr>
          <w:spacing w:val="-11"/>
          <w:sz w:val="24"/>
        </w:rPr>
        <w:t> </w:t>
      </w:r>
      <w:r>
        <w:rPr>
          <w:sz w:val="24"/>
        </w:rPr>
        <w:t>procedūras</w:t>
      </w:r>
      <w:r>
        <w:rPr>
          <w:spacing w:val="-9"/>
          <w:sz w:val="24"/>
        </w:rPr>
        <w:t> </w:t>
      </w:r>
      <w:r>
        <w:rPr>
          <w:sz w:val="24"/>
        </w:rPr>
        <w:t>laikā</w:t>
      </w:r>
      <w:r>
        <w:rPr>
          <w:spacing w:val="-10"/>
          <w:sz w:val="24"/>
        </w:rPr>
        <w:t> </w:t>
      </w:r>
      <w:r>
        <w:rPr>
          <w:sz w:val="24"/>
        </w:rPr>
        <w:t>bijuši</w:t>
      </w:r>
      <w:r>
        <w:rPr>
          <w:spacing w:val="-9"/>
          <w:sz w:val="24"/>
        </w:rPr>
        <w:t> </w:t>
      </w:r>
      <w:r>
        <w:rPr>
          <w:sz w:val="24"/>
        </w:rPr>
        <w:t>negodprātīgi, lai arī laikus nepamanīti</w:t>
      </w:r>
      <w:r>
        <w:rPr>
          <w:position w:val="9"/>
          <w:sz w:val="16"/>
        </w:rPr>
        <w:t>451 </w:t>
      </w:r>
      <w:r>
        <w:rPr>
          <w:sz w:val="24"/>
        </w:rPr>
        <w:t>(detalizētāks apraksts norādīts </w:t>
      </w:r>
      <w:r>
        <w:rPr>
          <w:spacing w:val="-3"/>
          <w:sz w:val="24"/>
        </w:rPr>
        <w:t>4.3.punkta </w:t>
      </w:r>
      <w:r>
        <w:rPr>
          <w:sz w:val="24"/>
        </w:rPr>
        <w:t>C.apakšpunktā).</w:t>
      </w:r>
    </w:p>
    <w:p>
      <w:pPr>
        <w:pStyle w:val="BodyText"/>
        <w:jc w:val="left"/>
        <w:rPr>
          <w:sz w:val="26"/>
        </w:rPr>
      </w:pPr>
    </w:p>
    <w:p>
      <w:pPr>
        <w:pStyle w:val="BodyText"/>
        <w:spacing w:before="9"/>
        <w:jc w:val="left"/>
        <w:rPr>
          <w:sz w:val="22"/>
        </w:rPr>
      </w:pPr>
    </w:p>
    <w:p>
      <w:pPr>
        <w:pStyle w:val="Heading4"/>
        <w:numPr>
          <w:ilvl w:val="1"/>
          <w:numId w:val="94"/>
        </w:numPr>
        <w:tabs>
          <w:tab w:pos="982" w:val="left" w:leader="none"/>
        </w:tabs>
        <w:spacing w:line="240" w:lineRule="auto" w:before="0" w:after="0"/>
        <w:ind w:left="981" w:right="0" w:hanging="362"/>
        <w:jc w:val="both"/>
        <w:rPr>
          <w:i/>
        </w:rPr>
      </w:pPr>
      <w:bookmarkStart w:name="_TOC_250027" w:id="51"/>
      <w:bookmarkEnd w:id="51"/>
      <w:r>
        <w:rPr>
          <w:i/>
        </w:rPr>
        <w:t>Parādnieka negodprātības identificēšanas problemātiskie aspekti</w:t>
      </w:r>
    </w:p>
    <w:p>
      <w:pPr>
        <w:pStyle w:val="BodyText"/>
        <w:jc w:val="left"/>
        <w:rPr>
          <w:b/>
          <w:i/>
        </w:rPr>
      </w:pPr>
    </w:p>
    <w:p>
      <w:pPr>
        <w:pStyle w:val="ListParagraph"/>
        <w:numPr>
          <w:ilvl w:val="2"/>
          <w:numId w:val="94"/>
        </w:numPr>
        <w:tabs>
          <w:tab w:pos="1340" w:val="left" w:leader="none"/>
        </w:tabs>
        <w:spacing w:line="274" w:lineRule="exact" w:before="0" w:after="0"/>
        <w:ind w:left="1340" w:right="0" w:hanging="300"/>
        <w:jc w:val="both"/>
        <w:rPr>
          <w:b/>
          <w:i/>
          <w:sz w:val="24"/>
        </w:rPr>
      </w:pPr>
      <w:r>
        <w:rPr>
          <w:b/>
          <w:i/>
          <w:sz w:val="24"/>
        </w:rPr>
        <w:t>Saistību</w:t>
      </w:r>
      <w:r>
        <w:rPr>
          <w:b/>
          <w:i/>
          <w:spacing w:val="25"/>
          <w:sz w:val="24"/>
        </w:rPr>
        <w:t> </w:t>
      </w:r>
      <w:r>
        <w:rPr>
          <w:b/>
          <w:i/>
          <w:sz w:val="24"/>
        </w:rPr>
        <w:t>dzēšanas</w:t>
      </w:r>
      <w:r>
        <w:rPr>
          <w:b/>
          <w:i/>
          <w:spacing w:val="26"/>
          <w:sz w:val="24"/>
        </w:rPr>
        <w:t> </w:t>
      </w:r>
      <w:r>
        <w:rPr>
          <w:b/>
          <w:i/>
          <w:sz w:val="24"/>
        </w:rPr>
        <w:t>procedūras</w:t>
      </w:r>
      <w:r>
        <w:rPr>
          <w:b/>
          <w:i/>
          <w:spacing w:val="25"/>
          <w:sz w:val="24"/>
        </w:rPr>
        <w:t> </w:t>
      </w:r>
      <w:r>
        <w:rPr>
          <w:b/>
          <w:i/>
          <w:sz w:val="24"/>
        </w:rPr>
        <w:t>ierobežojumu</w:t>
      </w:r>
      <w:r>
        <w:rPr>
          <w:b/>
          <w:i/>
          <w:spacing w:val="26"/>
          <w:sz w:val="24"/>
        </w:rPr>
        <w:t> </w:t>
      </w:r>
      <w:r>
        <w:rPr>
          <w:b/>
          <w:i/>
          <w:sz w:val="24"/>
        </w:rPr>
        <w:t>(Vācijas</w:t>
      </w:r>
      <w:r>
        <w:rPr>
          <w:b/>
          <w:i/>
          <w:spacing w:val="25"/>
          <w:sz w:val="24"/>
        </w:rPr>
        <w:t> </w:t>
      </w:r>
      <w:r>
        <w:rPr>
          <w:b/>
          <w:i/>
          <w:sz w:val="24"/>
        </w:rPr>
        <w:t>Maksātnespējas</w:t>
      </w:r>
      <w:r>
        <w:rPr>
          <w:b/>
          <w:i/>
          <w:spacing w:val="26"/>
          <w:sz w:val="24"/>
        </w:rPr>
        <w:t> </w:t>
      </w:r>
      <w:r>
        <w:rPr>
          <w:b/>
          <w:i/>
          <w:sz w:val="24"/>
        </w:rPr>
        <w:t>likuma</w:t>
      </w:r>
      <w:r>
        <w:rPr>
          <w:b/>
          <w:i/>
          <w:spacing w:val="26"/>
          <w:sz w:val="24"/>
        </w:rPr>
        <w:t> </w:t>
      </w:r>
      <w:r>
        <w:rPr>
          <w:b/>
          <w:i/>
          <w:sz w:val="24"/>
        </w:rPr>
        <w:t>§</w:t>
      </w:r>
    </w:p>
    <w:p>
      <w:pPr>
        <w:pStyle w:val="BodyText"/>
        <w:ind w:left="620" w:right="403"/>
      </w:pPr>
      <w:r>
        <w:rPr>
          <w:b/>
          <w:i/>
        </w:rPr>
        <w:t>290)</w:t>
      </w:r>
      <w:r>
        <w:rPr>
          <w:b/>
          <w:i/>
          <w:spacing w:val="-6"/>
        </w:rPr>
        <w:t> </w:t>
      </w:r>
      <w:r>
        <w:rPr>
          <w:b/>
          <w:i/>
        </w:rPr>
        <w:t>pirmspārbaude.</w:t>
      </w:r>
      <w:r>
        <w:rPr>
          <w:b/>
          <w:i/>
          <w:spacing w:val="-9"/>
        </w:rPr>
        <w:t> </w:t>
      </w:r>
      <w:r>
        <w:rPr/>
        <w:t>Strīdīgi</w:t>
      </w:r>
      <w:r>
        <w:rPr>
          <w:spacing w:val="-6"/>
        </w:rPr>
        <w:t> </w:t>
      </w:r>
      <w:r>
        <w:rPr/>
        <w:t>tiek</w:t>
      </w:r>
      <w:r>
        <w:rPr>
          <w:spacing w:val="-5"/>
        </w:rPr>
        <w:t> </w:t>
      </w:r>
      <w:r>
        <w:rPr/>
        <w:t>vērtēts</w:t>
      </w:r>
      <w:r>
        <w:rPr>
          <w:spacing w:val="-6"/>
        </w:rPr>
        <w:t> </w:t>
      </w:r>
      <w:r>
        <w:rPr/>
        <w:t>jautājums,</w:t>
      </w:r>
      <w:r>
        <w:rPr>
          <w:spacing w:val="-6"/>
        </w:rPr>
        <w:t> </w:t>
      </w:r>
      <w:r>
        <w:rPr/>
        <w:t>kā</w:t>
      </w:r>
      <w:r>
        <w:rPr>
          <w:spacing w:val="-8"/>
        </w:rPr>
        <w:t> </w:t>
      </w:r>
      <w:r>
        <w:rPr/>
        <w:t>tiesai</w:t>
      </w:r>
      <w:r>
        <w:rPr>
          <w:spacing w:val="-8"/>
        </w:rPr>
        <w:t> </w:t>
      </w:r>
      <w:r>
        <w:rPr/>
        <w:t>vērtēt</w:t>
      </w:r>
      <w:r>
        <w:rPr>
          <w:spacing w:val="-8"/>
        </w:rPr>
        <w:t> </w:t>
      </w:r>
      <w:r>
        <w:rPr/>
        <w:t>parādnieka</w:t>
      </w:r>
      <w:r>
        <w:rPr>
          <w:spacing w:val="-8"/>
        </w:rPr>
        <w:t> </w:t>
      </w:r>
      <w:r>
        <w:rPr/>
        <w:t>pieteikumu par atbrīvošanu no neizpildītajām parāda saistībām saskaņā ar Vācijas Maksātnespējas likuma </w:t>
      </w:r>
      <w:r>
        <w:rPr>
          <w:i/>
        </w:rPr>
        <w:t>§ 287a, </w:t>
      </w:r>
      <w:r>
        <w:rPr/>
        <w:t>ja jau pieteikuma izskatīšanas brīdī, kad tiesa lemj par pieteikuma</w:t>
      </w:r>
      <w:r>
        <w:rPr>
          <w:spacing w:val="9"/>
        </w:rPr>
        <w:t> </w:t>
      </w:r>
      <w:r>
        <w:rPr/>
        <w:t>formālo</w:t>
      </w:r>
    </w:p>
    <w:p>
      <w:pPr>
        <w:pStyle w:val="BodyText"/>
        <w:spacing w:before="4"/>
        <w:jc w:val="left"/>
        <w:rPr>
          <w:sz w:val="16"/>
        </w:rPr>
      </w:pPr>
      <w:r>
        <w:rPr/>
        <w:pict>
          <v:shape style="position:absolute;margin-left:90pt;margin-top:11.666359pt;width:144pt;height:.1pt;mso-position-horizontal-relative:page;mso-position-vertical-relative:paragraph;z-index:-251460608;mso-wrap-distance-left:0;mso-wrap-distance-right:0" coordorigin="1800,233" coordsize="2880,0" path="m1800,233l4680,233e" filled="false" stroked="true" strokeweight=".599991pt" strokecolor="#000000">
            <v:path arrowok="t"/>
            <v:stroke dashstyle="solid"/>
            <w10:wrap type="topAndBottom"/>
          </v:shape>
        </w:pict>
      </w:r>
    </w:p>
    <w:p>
      <w:pPr>
        <w:spacing w:before="70"/>
        <w:ind w:left="620" w:right="0" w:firstLine="0"/>
        <w:jc w:val="left"/>
        <w:rPr>
          <w:sz w:val="20"/>
        </w:rPr>
      </w:pPr>
      <w:r>
        <w:rPr>
          <w:position w:val="7"/>
          <w:sz w:val="13"/>
        </w:rPr>
        <w:t>450 </w:t>
      </w:r>
      <w:r>
        <w:rPr>
          <w:sz w:val="20"/>
        </w:rPr>
        <w:t>Kayser/Thole “Insolvenzordnung” Heidelberger Kommentar, 9. neu bearbeitete Auflage, C.F.Mueller, 2018,/Waltenberger Kommentare § 287a, S.2189.</w:t>
      </w:r>
    </w:p>
    <w:p>
      <w:pPr>
        <w:spacing w:line="240" w:lineRule="auto" w:before="0"/>
        <w:ind w:left="620" w:right="0" w:firstLine="0"/>
        <w:jc w:val="left"/>
        <w:rPr>
          <w:sz w:val="20"/>
        </w:rPr>
      </w:pPr>
      <w:r>
        <w:rPr>
          <w:position w:val="7"/>
          <w:sz w:val="13"/>
        </w:rPr>
        <w:t>451 </w:t>
      </w:r>
      <w:r>
        <w:rPr>
          <w:sz w:val="20"/>
        </w:rPr>
        <w:t>Kayser/Thole “Insolvenzordnung” Heidelberger Kommentar, 9. neu bearbeitete Auflage, C.F.Mueller, 2018,/Waltenberger Kommentare § 303, S. 2270.</w:t>
      </w:r>
    </w:p>
    <w:p>
      <w:pPr>
        <w:spacing w:after="0" w:line="240" w:lineRule="auto"/>
        <w:jc w:val="left"/>
        <w:rPr>
          <w:sz w:val="20"/>
        </w:rPr>
        <w:sectPr>
          <w:pgSz w:w="11910" w:h="16840"/>
          <w:pgMar w:header="0" w:footer="1055" w:top="1340" w:bottom="1240" w:left="1180" w:right="1040"/>
        </w:sectPr>
      </w:pPr>
    </w:p>
    <w:p>
      <w:pPr>
        <w:pStyle w:val="BodyText"/>
        <w:spacing w:before="73"/>
        <w:ind w:left="260"/>
      </w:pPr>
      <w:r>
        <w:rPr/>
        <w:t>pieļaujamību, tiesai rodas pārliecība, ka ir iestājies kāds no Vācijas Maksātnespējas likuma</w:t>
      </w:r>
    </w:p>
    <w:p>
      <w:pPr>
        <w:pStyle w:val="BodyText"/>
        <w:spacing w:line="237" w:lineRule="auto" w:before="3"/>
        <w:ind w:left="260" w:right="761"/>
        <w:rPr>
          <w:i/>
          <w:sz w:val="16"/>
        </w:rPr>
      </w:pPr>
      <w:r>
        <w:rPr>
          <w:i/>
        </w:rPr>
        <w:t>§ 290 </w:t>
      </w:r>
      <w:r>
        <w:rPr/>
        <w:t>pirmajā daļā minētajiem saistību dzēšanas procedūras izbeigšanas pamatiem. Pamatojoties uz Vācijas Maksātnespējas likuma </w:t>
      </w:r>
      <w:r>
        <w:rPr>
          <w:i/>
        </w:rPr>
        <w:t>§ 287a pirmās daļas pirmā teikuma </w:t>
      </w:r>
      <w:r>
        <w:rPr/>
        <w:t>formulējumu tiesu praksē daļēji tiek pieņemts, ka tiesai jau pie pieteikuma formālās pieļaujamības izvērtēšanas būtu jāpārbauda, vai nav iestājušies Vācijas Maksātnespējas likuma </w:t>
      </w:r>
      <w:r>
        <w:rPr>
          <w:i/>
        </w:rPr>
        <w:t>§ 290 </w:t>
      </w:r>
      <w:r>
        <w:rPr/>
        <w:t>noteiktie saistību dzēšanas procedūras nepiemērošanas pamati. Tādā gadījumā jau sākotnējā stadijā, vēl nepasludinot maksātnespējas procesu, tiesai būtu jānoraida parādnieka pieteikums par atbrīvošanu no neizpildītajām parādsaistībām, ja ir iestājies kāds no minētajiem ierobežojumiem.</w:t>
      </w:r>
      <w:r>
        <w:rPr>
          <w:position w:val="9"/>
          <w:sz w:val="16"/>
        </w:rPr>
        <w:t>452 </w:t>
      </w:r>
      <w:r>
        <w:rPr/>
        <w:t>Šāda paplašināta </w:t>
      </w:r>
      <w:r>
        <w:rPr>
          <w:i/>
        </w:rPr>
        <w:t>§ 287a </w:t>
      </w:r>
      <w:r>
        <w:rPr/>
        <w:t>piemērošana, pēc tiesas iniciatīvas konstatējot </w:t>
      </w:r>
      <w:r>
        <w:rPr>
          <w:i/>
        </w:rPr>
        <w:t>§ 290 </w:t>
      </w:r>
      <w:r>
        <w:rPr/>
        <w:t>saistību dzēšanas procedūras piemērošanas ierobežojumus jau sākotnējā pieteikuma izskatīšanas stadijā, tiek pamatota ar Vācijas Federālās augstākās tiesas tiesu praksi,</w:t>
      </w:r>
      <w:r>
        <w:rPr>
          <w:position w:val="9"/>
          <w:sz w:val="16"/>
        </w:rPr>
        <w:t>453 </w:t>
      </w:r>
      <w:r>
        <w:rPr/>
        <w:t>velkot paralēles ar tiesas lēmuma par maksātnespējas procesa izmaksu segšanas atlikšanu pieņemšanas juridisko pamatojumu saskaņā</w:t>
      </w:r>
      <w:r>
        <w:rPr>
          <w:spacing w:val="-8"/>
        </w:rPr>
        <w:t> </w:t>
      </w:r>
      <w:r>
        <w:rPr/>
        <w:t>ar</w:t>
      </w:r>
      <w:r>
        <w:rPr>
          <w:spacing w:val="36"/>
        </w:rPr>
        <w:t> </w:t>
      </w:r>
      <w:r>
        <w:rPr/>
        <w:t>Vācijas</w:t>
      </w:r>
      <w:r>
        <w:rPr>
          <w:spacing w:val="-10"/>
        </w:rPr>
        <w:t> </w:t>
      </w:r>
      <w:r>
        <w:rPr/>
        <w:t>Maksātnespējas</w:t>
      </w:r>
      <w:r>
        <w:rPr>
          <w:spacing w:val="-9"/>
        </w:rPr>
        <w:t> </w:t>
      </w:r>
      <w:r>
        <w:rPr/>
        <w:t>likuma</w:t>
      </w:r>
      <w:r>
        <w:rPr>
          <w:spacing w:val="-12"/>
        </w:rPr>
        <w:t> </w:t>
      </w:r>
      <w:r>
        <w:rPr>
          <w:i/>
        </w:rPr>
        <w:t>§</w:t>
      </w:r>
      <w:r>
        <w:rPr>
          <w:i/>
          <w:spacing w:val="-8"/>
        </w:rPr>
        <w:t> </w:t>
      </w:r>
      <w:r>
        <w:rPr>
          <w:i/>
        </w:rPr>
        <w:t>4a</w:t>
      </w:r>
      <w:r>
        <w:rPr/>
        <w:t>,</w:t>
      </w:r>
      <w:r>
        <w:rPr>
          <w:spacing w:val="-10"/>
        </w:rPr>
        <w:t> </w:t>
      </w:r>
      <w:r>
        <w:rPr/>
        <w:t>kas</w:t>
      </w:r>
      <w:r>
        <w:rPr>
          <w:spacing w:val="-10"/>
        </w:rPr>
        <w:t> </w:t>
      </w:r>
      <w:r>
        <w:rPr/>
        <w:t>uzliek</w:t>
      </w:r>
      <w:r>
        <w:rPr>
          <w:spacing w:val="-9"/>
        </w:rPr>
        <w:t> </w:t>
      </w:r>
      <w:r>
        <w:rPr/>
        <w:t>par</w:t>
      </w:r>
      <w:r>
        <w:rPr>
          <w:spacing w:val="-13"/>
        </w:rPr>
        <w:t> </w:t>
      </w:r>
      <w:r>
        <w:rPr/>
        <w:t>pamatu</w:t>
      </w:r>
      <w:r>
        <w:rPr>
          <w:spacing w:val="-10"/>
        </w:rPr>
        <w:t> </w:t>
      </w:r>
      <w:r>
        <w:rPr/>
        <w:t>tiesai</w:t>
      </w:r>
      <w:r>
        <w:rPr>
          <w:spacing w:val="-10"/>
        </w:rPr>
        <w:t> </w:t>
      </w:r>
      <w:r>
        <w:rPr/>
        <w:t>vērtēt</w:t>
      </w:r>
      <w:r>
        <w:rPr>
          <w:spacing w:val="-12"/>
        </w:rPr>
        <w:t> </w:t>
      </w:r>
      <w:r>
        <w:rPr/>
        <w:t>Vācijas Maksātnespējas likuma </w:t>
      </w:r>
      <w:r>
        <w:rPr>
          <w:i/>
        </w:rPr>
        <w:t>§ 290 </w:t>
      </w:r>
      <w:r>
        <w:rPr/>
        <w:t>noteikto ierobežojumu pastāvēšanu pie </w:t>
      </w:r>
      <w:r>
        <w:rPr>
          <w:spacing w:val="-3"/>
        </w:rPr>
        <w:t>parādnieka </w:t>
      </w:r>
      <w:r>
        <w:rPr/>
        <w:t>pieteikuma izvērtēšanas par maksātnespējas procesa izmaksu segšanas termiņa atlikšanu.</w:t>
      </w:r>
      <w:r>
        <w:rPr>
          <w:position w:val="9"/>
          <w:sz w:val="16"/>
        </w:rPr>
        <w:t>454</w:t>
      </w:r>
      <w:r>
        <w:rPr>
          <w:spacing w:val="26"/>
          <w:position w:val="9"/>
          <w:sz w:val="16"/>
        </w:rPr>
        <w:t> </w:t>
      </w:r>
      <w:r>
        <w:rPr/>
        <w:t>Bieži</w:t>
      </w:r>
      <w:r>
        <w:rPr>
          <w:spacing w:val="-8"/>
        </w:rPr>
        <w:t> </w:t>
      </w:r>
      <w:r>
        <w:rPr/>
        <w:t>abi</w:t>
      </w:r>
      <w:r>
        <w:rPr>
          <w:spacing w:val="-5"/>
        </w:rPr>
        <w:t> </w:t>
      </w:r>
      <w:r>
        <w:rPr/>
        <w:t>minētie</w:t>
      </w:r>
      <w:r>
        <w:rPr>
          <w:spacing w:val="-6"/>
        </w:rPr>
        <w:t> </w:t>
      </w:r>
      <w:r>
        <w:rPr/>
        <w:t>tiesas</w:t>
      </w:r>
      <w:r>
        <w:rPr>
          <w:spacing w:val="-10"/>
        </w:rPr>
        <w:t> </w:t>
      </w:r>
      <w:r>
        <w:rPr/>
        <w:t>lēmumi,</w:t>
      </w:r>
      <w:r>
        <w:rPr>
          <w:spacing w:val="-9"/>
        </w:rPr>
        <w:t> </w:t>
      </w:r>
      <w:r>
        <w:rPr/>
        <w:t>proti,</w:t>
      </w:r>
      <w:r>
        <w:rPr>
          <w:spacing w:val="-5"/>
        </w:rPr>
        <w:t> </w:t>
      </w:r>
      <w:r>
        <w:rPr/>
        <w:t>lēmums</w:t>
      </w:r>
      <w:r>
        <w:rPr>
          <w:spacing w:val="-5"/>
        </w:rPr>
        <w:t> </w:t>
      </w:r>
      <w:r>
        <w:rPr/>
        <w:t>par</w:t>
      </w:r>
      <w:r>
        <w:rPr>
          <w:spacing w:val="-11"/>
        </w:rPr>
        <w:t> </w:t>
      </w:r>
      <w:r>
        <w:rPr/>
        <w:t>pieteikuma</w:t>
      </w:r>
      <w:r>
        <w:rPr>
          <w:spacing w:val="-8"/>
        </w:rPr>
        <w:t> </w:t>
      </w:r>
      <w:r>
        <w:rPr/>
        <w:t>par</w:t>
      </w:r>
      <w:r>
        <w:rPr>
          <w:spacing w:val="-10"/>
        </w:rPr>
        <w:t> </w:t>
      </w:r>
      <w:r>
        <w:rPr/>
        <w:t>parādnieka atbrīvošanu no neizpildītajām parādsaistībām formālo pieļaujamību un parādnieka atbrīvošanu no maksātnespējas procesa izmaksu segšanu maksātnespējas procesa laikā (maksāšanas</w:t>
      </w:r>
      <w:r>
        <w:rPr>
          <w:spacing w:val="-12"/>
        </w:rPr>
        <w:t> </w:t>
      </w:r>
      <w:r>
        <w:rPr/>
        <w:t>termiņa</w:t>
      </w:r>
      <w:r>
        <w:rPr>
          <w:spacing w:val="-10"/>
        </w:rPr>
        <w:t> </w:t>
      </w:r>
      <w:r>
        <w:rPr/>
        <w:t>atlikšanu),</w:t>
      </w:r>
      <w:r>
        <w:rPr>
          <w:spacing w:val="-10"/>
        </w:rPr>
        <w:t> </w:t>
      </w:r>
      <w:r>
        <w:rPr/>
        <w:t>tiek</w:t>
      </w:r>
      <w:r>
        <w:rPr>
          <w:spacing w:val="-10"/>
        </w:rPr>
        <w:t> </w:t>
      </w:r>
      <w:r>
        <w:rPr/>
        <w:t>pieņemti</w:t>
      </w:r>
      <w:r>
        <w:rPr>
          <w:spacing w:val="-9"/>
        </w:rPr>
        <w:t> </w:t>
      </w:r>
      <w:r>
        <w:rPr/>
        <w:t>vienā</w:t>
      </w:r>
      <w:r>
        <w:rPr>
          <w:spacing w:val="-10"/>
        </w:rPr>
        <w:t> </w:t>
      </w:r>
      <w:r>
        <w:rPr/>
        <w:t>laikā</w:t>
      </w:r>
      <w:r>
        <w:rPr>
          <w:spacing w:val="-10"/>
        </w:rPr>
        <w:t> </w:t>
      </w:r>
      <w:r>
        <w:rPr/>
        <w:t>vai</w:t>
      </w:r>
      <w:r>
        <w:rPr>
          <w:spacing w:val="-12"/>
        </w:rPr>
        <w:t> </w:t>
      </w:r>
      <w:r>
        <w:rPr/>
        <w:t>ļoti</w:t>
      </w:r>
      <w:r>
        <w:rPr>
          <w:spacing w:val="-9"/>
        </w:rPr>
        <w:t> </w:t>
      </w:r>
      <w:r>
        <w:rPr/>
        <w:t>tuvu</w:t>
      </w:r>
      <w:r>
        <w:rPr>
          <w:spacing w:val="-10"/>
        </w:rPr>
        <w:t> </w:t>
      </w:r>
      <w:r>
        <w:rPr/>
        <w:t>viens</w:t>
      </w:r>
      <w:r>
        <w:rPr>
          <w:spacing w:val="-10"/>
        </w:rPr>
        <w:t> </w:t>
      </w:r>
      <w:r>
        <w:rPr/>
        <w:t>otram.</w:t>
      </w:r>
      <w:r>
        <w:rPr>
          <w:position w:val="9"/>
          <w:sz w:val="16"/>
        </w:rPr>
        <w:t>455</w:t>
      </w:r>
      <w:r>
        <w:rPr>
          <w:spacing w:val="18"/>
          <w:position w:val="9"/>
          <w:sz w:val="16"/>
        </w:rPr>
        <w:t> </w:t>
      </w:r>
      <w:r>
        <w:rPr>
          <w:spacing w:val="-5"/>
        </w:rPr>
        <w:t>Taču </w:t>
      </w:r>
      <w:r>
        <w:rPr/>
        <w:t>literatūrā ir norādīts, ka pieteikuma materiālā pamatotība ir atstājama kreditora ziņā. Tieši parādu saistību dzēšanas normatīvā regulējuma reforma ar 2013.gada 15.jūlija likumu nevis vēlējās ieviest tiesas iniciētu parādnieka pieteikuma par atbrīvošanu no neizpildītajām</w:t>
      </w:r>
      <w:r>
        <w:rPr>
          <w:spacing w:val="-11"/>
        </w:rPr>
        <w:t> </w:t>
      </w:r>
      <w:r>
        <w:rPr/>
        <w:t>parādsaistībām</w:t>
      </w:r>
      <w:r>
        <w:rPr>
          <w:spacing w:val="-11"/>
        </w:rPr>
        <w:t> </w:t>
      </w:r>
      <w:r>
        <w:rPr/>
        <w:t>noraidīšanu,</w:t>
      </w:r>
      <w:r>
        <w:rPr>
          <w:spacing w:val="-10"/>
        </w:rPr>
        <w:t> </w:t>
      </w:r>
      <w:r>
        <w:rPr/>
        <w:t>bet</w:t>
      </w:r>
      <w:r>
        <w:rPr>
          <w:spacing w:val="-11"/>
        </w:rPr>
        <w:t> </w:t>
      </w:r>
      <w:r>
        <w:rPr/>
        <w:t>gan</w:t>
      </w:r>
      <w:r>
        <w:rPr>
          <w:spacing w:val="-8"/>
        </w:rPr>
        <w:t> </w:t>
      </w:r>
      <w:r>
        <w:rPr/>
        <w:t>nodot</w:t>
      </w:r>
      <w:r>
        <w:rPr>
          <w:spacing w:val="-11"/>
        </w:rPr>
        <w:t> </w:t>
      </w:r>
      <w:r>
        <w:rPr/>
        <w:t>atbrīvošanu</w:t>
      </w:r>
      <w:r>
        <w:rPr>
          <w:spacing w:val="-10"/>
        </w:rPr>
        <w:t> </w:t>
      </w:r>
      <w:r>
        <w:rPr/>
        <w:t>no</w:t>
      </w:r>
      <w:r>
        <w:rPr>
          <w:spacing w:val="-11"/>
        </w:rPr>
        <w:t> </w:t>
      </w:r>
      <w:r>
        <w:rPr/>
        <w:t>parādsaistībām</w:t>
      </w:r>
      <w:r>
        <w:rPr>
          <w:spacing w:val="-10"/>
        </w:rPr>
        <w:t> </w:t>
      </w:r>
      <w:r>
        <w:rPr/>
        <w:t>kā procesa mērķi parādnieka un kreditora</w:t>
      </w:r>
      <w:r>
        <w:rPr>
          <w:spacing w:val="-5"/>
        </w:rPr>
        <w:t> </w:t>
      </w:r>
      <w:r>
        <w:rPr/>
        <w:t>interesēm</w:t>
      </w:r>
      <w:r>
        <w:rPr>
          <w:i/>
        </w:rPr>
        <w:t>.</w:t>
      </w:r>
      <w:r>
        <w:rPr>
          <w:i/>
          <w:position w:val="9"/>
          <w:sz w:val="16"/>
        </w:rPr>
        <w:t>456</w:t>
      </w:r>
    </w:p>
    <w:p>
      <w:pPr>
        <w:pStyle w:val="ListParagraph"/>
        <w:numPr>
          <w:ilvl w:val="2"/>
          <w:numId w:val="94"/>
        </w:numPr>
        <w:tabs>
          <w:tab w:pos="1043" w:val="left" w:leader="none"/>
        </w:tabs>
        <w:spacing w:line="237" w:lineRule="auto" w:before="0" w:after="0"/>
        <w:ind w:left="260" w:right="762" w:firstLine="492"/>
        <w:jc w:val="both"/>
        <w:rPr>
          <w:sz w:val="24"/>
        </w:rPr>
      </w:pPr>
      <w:r>
        <w:rPr>
          <w:b/>
          <w:i/>
          <w:sz w:val="24"/>
        </w:rPr>
        <w:t>Vācijas Maksātnespējas likuma § 290 tiesiskā sastāva piemērošana attiecībā uz </w:t>
      </w:r>
      <w:r>
        <w:rPr>
          <w:b/>
          <w:i/>
          <w:sz w:val="24"/>
        </w:rPr>
        <w:t>parādnieka negodprātīgu rīcību. </w:t>
      </w:r>
      <w:r>
        <w:rPr>
          <w:sz w:val="24"/>
        </w:rPr>
        <w:t>Tiesu praksē tiesību normas piemērošanas priekšnoteikumi tiek saistīti ar parādnieka subjektīvā puses konstatēšanu: 1) parādnieks rīkojies ar nodomu, ja parādnieks rīkojas, apzinoties savu rīcību un vēlas šādu rīcību, 2) parādnieks pieļāvis rupju neuzmanību, ja ievērojami pārkāpis vispār pieņemto rūpības pienākumu, nav izdarījis pavisam viegli pieņemamus apsvērumus vai tos vienkārši noraidījis,</w:t>
      </w:r>
      <w:r>
        <w:rPr>
          <w:spacing w:val="-12"/>
          <w:sz w:val="24"/>
        </w:rPr>
        <w:t> </w:t>
      </w:r>
      <w:r>
        <w:rPr>
          <w:sz w:val="24"/>
        </w:rPr>
        <w:t>un</w:t>
      </w:r>
      <w:r>
        <w:rPr>
          <w:spacing w:val="-12"/>
          <w:sz w:val="24"/>
        </w:rPr>
        <w:t> </w:t>
      </w:r>
      <w:r>
        <w:rPr>
          <w:sz w:val="24"/>
        </w:rPr>
        <w:t>tādejādi</w:t>
      </w:r>
      <w:r>
        <w:rPr>
          <w:spacing w:val="-12"/>
          <w:sz w:val="24"/>
        </w:rPr>
        <w:t> </w:t>
      </w:r>
      <w:r>
        <w:rPr>
          <w:sz w:val="24"/>
        </w:rPr>
        <w:t>nav</w:t>
      </w:r>
      <w:r>
        <w:rPr>
          <w:spacing w:val="-12"/>
          <w:sz w:val="24"/>
        </w:rPr>
        <w:t> </w:t>
      </w:r>
      <w:r>
        <w:rPr>
          <w:sz w:val="24"/>
        </w:rPr>
        <w:t>pievērsis</w:t>
      </w:r>
      <w:r>
        <w:rPr>
          <w:spacing w:val="-10"/>
          <w:sz w:val="24"/>
        </w:rPr>
        <w:t> </w:t>
      </w:r>
      <w:r>
        <w:rPr>
          <w:sz w:val="24"/>
        </w:rPr>
        <w:t>uzmanību</w:t>
      </w:r>
      <w:r>
        <w:rPr>
          <w:spacing w:val="-12"/>
          <w:sz w:val="24"/>
        </w:rPr>
        <w:t> </w:t>
      </w:r>
      <w:r>
        <w:rPr>
          <w:sz w:val="24"/>
        </w:rPr>
        <w:t>būtiskajam,</w:t>
      </w:r>
      <w:r>
        <w:rPr>
          <w:spacing w:val="-12"/>
          <w:sz w:val="24"/>
        </w:rPr>
        <w:t> </w:t>
      </w:r>
      <w:r>
        <w:rPr>
          <w:sz w:val="24"/>
        </w:rPr>
        <w:t>kas</w:t>
      </w:r>
      <w:r>
        <w:rPr>
          <w:spacing w:val="-12"/>
          <w:sz w:val="24"/>
        </w:rPr>
        <w:t> </w:t>
      </w:r>
      <w:r>
        <w:rPr>
          <w:sz w:val="24"/>
        </w:rPr>
        <w:t>citam</w:t>
      </w:r>
      <w:r>
        <w:rPr>
          <w:spacing w:val="-12"/>
          <w:sz w:val="24"/>
        </w:rPr>
        <w:t> </w:t>
      </w:r>
      <w:r>
        <w:rPr>
          <w:sz w:val="24"/>
        </w:rPr>
        <w:t>šādā</w:t>
      </w:r>
      <w:r>
        <w:rPr>
          <w:spacing w:val="-14"/>
          <w:sz w:val="24"/>
        </w:rPr>
        <w:t> </w:t>
      </w:r>
      <w:r>
        <w:rPr>
          <w:sz w:val="24"/>
        </w:rPr>
        <w:t>situācijā</w:t>
      </w:r>
      <w:r>
        <w:rPr>
          <w:spacing w:val="-14"/>
          <w:sz w:val="24"/>
        </w:rPr>
        <w:t> </w:t>
      </w:r>
      <w:r>
        <w:rPr>
          <w:sz w:val="24"/>
        </w:rPr>
        <w:t>savukārt nepaliktu nepamanīts (liktos uzkrītošs, pamanāms).</w:t>
      </w:r>
      <w:r>
        <w:rPr>
          <w:position w:val="9"/>
          <w:sz w:val="16"/>
        </w:rPr>
        <w:t>457 </w:t>
      </w:r>
      <w:r>
        <w:rPr>
          <w:sz w:val="24"/>
        </w:rPr>
        <w:t>Tiesiskās sekas parādnieka rīcībai nav nepieciešams konstatēt, izņemot ja tās paredzētas normā kā tiesiskā sastāva priekšnoteikums.</w:t>
      </w:r>
      <w:r>
        <w:rPr>
          <w:spacing w:val="-23"/>
          <w:sz w:val="24"/>
        </w:rPr>
        <w:t> </w:t>
      </w:r>
      <w:r>
        <w:rPr>
          <w:sz w:val="24"/>
        </w:rPr>
        <w:t>Ar</w:t>
      </w:r>
      <w:r>
        <w:rPr>
          <w:spacing w:val="-14"/>
          <w:sz w:val="24"/>
        </w:rPr>
        <w:t> </w:t>
      </w:r>
      <w:r>
        <w:rPr>
          <w:sz w:val="24"/>
        </w:rPr>
        <w:t>parādnieka</w:t>
      </w:r>
      <w:r>
        <w:rPr>
          <w:spacing w:val="-13"/>
          <w:sz w:val="24"/>
        </w:rPr>
        <w:t> </w:t>
      </w:r>
      <w:r>
        <w:rPr>
          <w:sz w:val="24"/>
        </w:rPr>
        <w:t>rīcību</w:t>
      </w:r>
      <w:r>
        <w:rPr>
          <w:spacing w:val="-12"/>
          <w:sz w:val="24"/>
        </w:rPr>
        <w:t> </w:t>
      </w:r>
      <w:r>
        <w:rPr>
          <w:sz w:val="24"/>
        </w:rPr>
        <w:t>nav</w:t>
      </w:r>
      <w:r>
        <w:rPr>
          <w:spacing w:val="-11"/>
          <w:sz w:val="24"/>
        </w:rPr>
        <w:t> </w:t>
      </w:r>
      <w:r>
        <w:rPr>
          <w:sz w:val="24"/>
        </w:rPr>
        <w:t>jābūt</w:t>
      </w:r>
      <w:r>
        <w:rPr>
          <w:spacing w:val="-9"/>
          <w:sz w:val="24"/>
        </w:rPr>
        <w:t> </w:t>
      </w:r>
      <w:r>
        <w:rPr>
          <w:sz w:val="24"/>
        </w:rPr>
        <w:t>aizskartām</w:t>
      </w:r>
      <w:r>
        <w:rPr>
          <w:spacing w:val="-13"/>
          <w:sz w:val="24"/>
        </w:rPr>
        <w:t> </w:t>
      </w:r>
      <w:r>
        <w:rPr>
          <w:sz w:val="24"/>
        </w:rPr>
        <w:t>kreditoru</w:t>
      </w:r>
      <w:r>
        <w:rPr>
          <w:spacing w:val="-11"/>
          <w:sz w:val="24"/>
        </w:rPr>
        <w:t> </w:t>
      </w:r>
      <w:r>
        <w:rPr>
          <w:sz w:val="24"/>
        </w:rPr>
        <w:t>tiesībām</w:t>
      </w:r>
      <w:r>
        <w:rPr>
          <w:spacing w:val="-11"/>
          <w:sz w:val="24"/>
        </w:rPr>
        <w:t> </w:t>
      </w:r>
      <w:r>
        <w:rPr>
          <w:sz w:val="24"/>
        </w:rPr>
        <w:t>saņemt</w:t>
      </w:r>
      <w:r>
        <w:rPr>
          <w:spacing w:val="-9"/>
          <w:sz w:val="24"/>
        </w:rPr>
        <w:t> </w:t>
      </w:r>
      <w:r>
        <w:rPr>
          <w:sz w:val="24"/>
        </w:rPr>
        <w:t>sava prasījuma apmierinājumu. Vācijas Augstākā Federālā Tiesa pie šādas atziņas nonāca savā par</w:t>
      </w:r>
      <w:r>
        <w:rPr>
          <w:spacing w:val="15"/>
          <w:sz w:val="24"/>
        </w:rPr>
        <w:t> </w:t>
      </w:r>
      <w:r>
        <w:rPr>
          <w:sz w:val="24"/>
        </w:rPr>
        <w:t>judikatūru</w:t>
      </w:r>
      <w:r>
        <w:rPr>
          <w:spacing w:val="21"/>
          <w:sz w:val="24"/>
        </w:rPr>
        <w:t> </w:t>
      </w:r>
      <w:r>
        <w:rPr>
          <w:sz w:val="24"/>
        </w:rPr>
        <w:t>atzītajā</w:t>
      </w:r>
      <w:r>
        <w:rPr>
          <w:spacing w:val="19"/>
          <w:sz w:val="24"/>
        </w:rPr>
        <w:t> </w:t>
      </w:r>
      <w:r>
        <w:rPr>
          <w:sz w:val="24"/>
        </w:rPr>
        <w:t>2009.gada</w:t>
      </w:r>
      <w:r>
        <w:rPr>
          <w:spacing w:val="19"/>
          <w:sz w:val="24"/>
        </w:rPr>
        <w:t> </w:t>
      </w:r>
      <w:r>
        <w:rPr>
          <w:sz w:val="24"/>
        </w:rPr>
        <w:t>8.janvāra</w:t>
      </w:r>
      <w:r>
        <w:rPr>
          <w:spacing w:val="19"/>
          <w:sz w:val="24"/>
        </w:rPr>
        <w:t> </w:t>
      </w:r>
      <w:r>
        <w:rPr>
          <w:sz w:val="24"/>
        </w:rPr>
        <w:t>spriedumā,</w:t>
      </w:r>
      <w:r>
        <w:rPr>
          <w:spacing w:val="19"/>
          <w:sz w:val="24"/>
        </w:rPr>
        <w:t> </w:t>
      </w:r>
      <w:r>
        <w:rPr>
          <w:sz w:val="24"/>
        </w:rPr>
        <w:t>izskatot</w:t>
      </w:r>
      <w:r>
        <w:rPr>
          <w:spacing w:val="21"/>
          <w:sz w:val="24"/>
        </w:rPr>
        <w:t> </w:t>
      </w:r>
      <w:r>
        <w:rPr>
          <w:sz w:val="24"/>
        </w:rPr>
        <w:t>visdiskutablāk</w:t>
      </w:r>
      <w:r>
        <w:rPr>
          <w:spacing w:val="19"/>
          <w:sz w:val="24"/>
        </w:rPr>
        <w:t> </w:t>
      </w:r>
      <w:r>
        <w:rPr>
          <w:sz w:val="24"/>
        </w:rPr>
        <w:t>vērtējamo</w:t>
      </w:r>
    </w:p>
    <w:p>
      <w:pPr>
        <w:pStyle w:val="BodyText"/>
        <w:jc w:val="left"/>
        <w:rPr>
          <w:sz w:val="13"/>
        </w:rPr>
      </w:pPr>
      <w:r>
        <w:rPr/>
        <w:pict>
          <v:shape style="position:absolute;margin-left:72pt;margin-top:9.757165pt;width:144pt;height:.1pt;mso-position-horizontal-relative:page;mso-position-vertical-relative:paragraph;z-index:-251459584;mso-wrap-distance-left:0;mso-wrap-distance-right:0" coordorigin="1440,195" coordsize="2880,0" path="m1440,195l4320,195e" filled="false" stroked="true" strokeweight=".600037pt" strokecolor="#000000">
            <v:path arrowok="t"/>
            <v:stroke dashstyle="solid"/>
            <w10:wrap type="topAndBottom"/>
          </v:shape>
        </w:pict>
      </w:r>
    </w:p>
    <w:p>
      <w:pPr>
        <w:spacing w:before="70"/>
        <w:ind w:left="260" w:right="766" w:firstLine="0"/>
        <w:jc w:val="both"/>
        <w:rPr>
          <w:sz w:val="20"/>
        </w:rPr>
      </w:pPr>
      <w:r>
        <w:rPr>
          <w:position w:val="7"/>
          <w:sz w:val="13"/>
        </w:rPr>
        <w:t>452 </w:t>
      </w:r>
      <w:r>
        <w:rPr>
          <w:sz w:val="20"/>
        </w:rPr>
        <w:t>Amtsgericht Hamburg ZInsO 2015, 821; Kayser/Thole “Insolvenzordnung” Heidelberger Kommentar, 9. neu bearbeitete Auflage, C.F.Mueller, 2018,/Waltenberger Kommentare §287a, S. 2185.</w:t>
      </w:r>
    </w:p>
    <w:p>
      <w:pPr>
        <w:spacing w:line="240" w:lineRule="auto" w:before="0"/>
        <w:ind w:left="260" w:right="762" w:firstLine="0"/>
        <w:jc w:val="both"/>
        <w:rPr>
          <w:sz w:val="20"/>
        </w:rPr>
      </w:pPr>
      <w:r>
        <w:rPr>
          <w:position w:val="7"/>
          <w:sz w:val="13"/>
        </w:rPr>
        <w:t>453 </w:t>
      </w:r>
      <w:r>
        <w:rPr>
          <w:sz w:val="20"/>
        </w:rPr>
        <w:t>BGH 16.12.2004 – IX ZB 72/03; BGH 7.2.2013 – IX </w:t>
      </w:r>
      <w:r>
        <w:rPr>
          <w:spacing w:val="-3"/>
          <w:sz w:val="20"/>
        </w:rPr>
        <w:t>ZB </w:t>
      </w:r>
      <w:r>
        <w:rPr>
          <w:sz w:val="20"/>
        </w:rPr>
        <w:t>245/11; Kayser/Thole “Insolvenzordnung” Heidelberger</w:t>
      </w:r>
      <w:r>
        <w:rPr>
          <w:spacing w:val="-12"/>
          <w:sz w:val="20"/>
        </w:rPr>
        <w:t> </w:t>
      </w:r>
      <w:r>
        <w:rPr>
          <w:sz w:val="20"/>
        </w:rPr>
        <w:t>Kommentar,</w:t>
      </w:r>
      <w:r>
        <w:rPr>
          <w:spacing w:val="-11"/>
          <w:sz w:val="20"/>
        </w:rPr>
        <w:t> </w:t>
      </w:r>
      <w:r>
        <w:rPr>
          <w:sz w:val="20"/>
        </w:rPr>
        <w:t>9.</w:t>
      </w:r>
      <w:r>
        <w:rPr>
          <w:spacing w:val="-11"/>
          <w:sz w:val="20"/>
        </w:rPr>
        <w:t> </w:t>
      </w:r>
      <w:r>
        <w:rPr>
          <w:sz w:val="20"/>
        </w:rPr>
        <w:t>neu</w:t>
      </w:r>
      <w:r>
        <w:rPr>
          <w:spacing w:val="-13"/>
          <w:sz w:val="20"/>
        </w:rPr>
        <w:t> </w:t>
      </w:r>
      <w:r>
        <w:rPr>
          <w:sz w:val="20"/>
        </w:rPr>
        <w:t>bearbeitete</w:t>
      </w:r>
      <w:r>
        <w:rPr>
          <w:spacing w:val="-12"/>
          <w:sz w:val="20"/>
        </w:rPr>
        <w:t> </w:t>
      </w:r>
      <w:r>
        <w:rPr>
          <w:sz w:val="20"/>
        </w:rPr>
        <w:t>Auflage,</w:t>
      </w:r>
      <w:r>
        <w:rPr>
          <w:spacing w:val="-11"/>
          <w:sz w:val="20"/>
        </w:rPr>
        <w:t> </w:t>
      </w:r>
      <w:r>
        <w:rPr>
          <w:sz w:val="20"/>
        </w:rPr>
        <w:t>C.F.Mueller,</w:t>
      </w:r>
      <w:r>
        <w:rPr>
          <w:spacing w:val="-13"/>
          <w:sz w:val="20"/>
        </w:rPr>
        <w:t> </w:t>
      </w:r>
      <w:r>
        <w:rPr>
          <w:sz w:val="20"/>
        </w:rPr>
        <w:t>2018,/Waltenberger</w:t>
      </w:r>
      <w:r>
        <w:rPr>
          <w:spacing w:val="28"/>
          <w:sz w:val="20"/>
        </w:rPr>
        <w:t> </w:t>
      </w:r>
      <w:r>
        <w:rPr>
          <w:sz w:val="20"/>
        </w:rPr>
        <w:t>Kommentare</w:t>
      </w:r>
      <w:r>
        <w:rPr>
          <w:spacing w:val="-11"/>
          <w:sz w:val="20"/>
        </w:rPr>
        <w:t> </w:t>
      </w:r>
      <w:r>
        <w:rPr>
          <w:sz w:val="20"/>
        </w:rPr>
        <w:t>§287a, S.</w:t>
      </w:r>
      <w:r>
        <w:rPr>
          <w:spacing w:val="1"/>
          <w:sz w:val="20"/>
        </w:rPr>
        <w:t> </w:t>
      </w:r>
      <w:r>
        <w:rPr>
          <w:sz w:val="20"/>
        </w:rPr>
        <w:t>2185.</w:t>
      </w:r>
    </w:p>
    <w:p>
      <w:pPr>
        <w:spacing w:line="240" w:lineRule="auto" w:before="0"/>
        <w:ind w:left="260" w:right="763" w:firstLine="0"/>
        <w:jc w:val="both"/>
        <w:rPr>
          <w:sz w:val="20"/>
        </w:rPr>
      </w:pPr>
      <w:r>
        <w:rPr>
          <w:position w:val="7"/>
          <w:sz w:val="13"/>
        </w:rPr>
        <w:t>454 </w:t>
      </w:r>
      <w:r>
        <w:rPr>
          <w:sz w:val="20"/>
        </w:rPr>
        <w:t>Landgericht Dessau-Rosslau ZInsO 2015, 2233; Amtsgericht Furth ZInsO 2016, 766 (atcelts ar tiesas spriedumu Landgericht Furt ZInsO 2017, 666); Amtsgericht Hamburg ZInsO 2015, 821; Kayser/Thole “Insolvenzordnung”</w:t>
      </w:r>
      <w:r>
        <w:rPr>
          <w:spacing w:val="-8"/>
          <w:sz w:val="20"/>
        </w:rPr>
        <w:t> </w:t>
      </w:r>
      <w:r>
        <w:rPr>
          <w:sz w:val="20"/>
        </w:rPr>
        <w:t>Heidelberger</w:t>
      </w:r>
      <w:r>
        <w:rPr>
          <w:spacing w:val="-7"/>
          <w:sz w:val="20"/>
        </w:rPr>
        <w:t> </w:t>
      </w:r>
      <w:r>
        <w:rPr>
          <w:sz w:val="20"/>
        </w:rPr>
        <w:t>Kommentar,</w:t>
      </w:r>
      <w:r>
        <w:rPr>
          <w:spacing w:val="-7"/>
          <w:sz w:val="20"/>
        </w:rPr>
        <w:t> </w:t>
      </w:r>
      <w:r>
        <w:rPr>
          <w:sz w:val="20"/>
        </w:rPr>
        <w:t>9.</w:t>
      </w:r>
      <w:r>
        <w:rPr>
          <w:spacing w:val="-5"/>
          <w:sz w:val="20"/>
        </w:rPr>
        <w:t> </w:t>
      </w:r>
      <w:r>
        <w:rPr>
          <w:sz w:val="20"/>
        </w:rPr>
        <w:t>neu</w:t>
      </w:r>
      <w:r>
        <w:rPr>
          <w:spacing w:val="-9"/>
          <w:sz w:val="20"/>
        </w:rPr>
        <w:t> </w:t>
      </w:r>
      <w:r>
        <w:rPr>
          <w:sz w:val="20"/>
        </w:rPr>
        <w:t>bearbeitete</w:t>
      </w:r>
      <w:r>
        <w:rPr>
          <w:spacing w:val="-7"/>
          <w:sz w:val="20"/>
        </w:rPr>
        <w:t> </w:t>
      </w:r>
      <w:r>
        <w:rPr>
          <w:sz w:val="20"/>
        </w:rPr>
        <w:t>Auflage,</w:t>
      </w:r>
      <w:r>
        <w:rPr>
          <w:spacing w:val="-5"/>
          <w:sz w:val="20"/>
        </w:rPr>
        <w:t> </w:t>
      </w:r>
      <w:r>
        <w:rPr>
          <w:sz w:val="20"/>
        </w:rPr>
        <w:t>C.F.Mueller,</w:t>
      </w:r>
      <w:r>
        <w:rPr>
          <w:spacing w:val="-7"/>
          <w:sz w:val="20"/>
        </w:rPr>
        <w:t> </w:t>
      </w:r>
      <w:r>
        <w:rPr>
          <w:sz w:val="20"/>
        </w:rPr>
        <w:t>2018,/Waltenberger Kommentare §287a, S. 2185.</w:t>
      </w:r>
    </w:p>
    <w:p>
      <w:pPr>
        <w:spacing w:line="240" w:lineRule="auto" w:before="0"/>
        <w:ind w:left="260" w:right="398" w:firstLine="0"/>
        <w:jc w:val="left"/>
        <w:rPr>
          <w:sz w:val="20"/>
        </w:rPr>
      </w:pPr>
      <w:r>
        <w:rPr>
          <w:position w:val="7"/>
          <w:sz w:val="13"/>
        </w:rPr>
        <w:t>455</w:t>
      </w:r>
      <w:r>
        <w:rPr>
          <w:spacing w:val="3"/>
          <w:position w:val="7"/>
          <w:sz w:val="13"/>
        </w:rPr>
        <w:t> </w:t>
      </w:r>
      <w:r>
        <w:rPr>
          <w:sz w:val="20"/>
        </w:rPr>
        <w:t>Ahrens</w:t>
      </w:r>
      <w:r>
        <w:rPr>
          <w:spacing w:val="-11"/>
          <w:sz w:val="20"/>
        </w:rPr>
        <w:t> </w:t>
      </w:r>
      <w:r>
        <w:rPr>
          <w:sz w:val="20"/>
        </w:rPr>
        <w:t>“Das</w:t>
      </w:r>
      <w:r>
        <w:rPr>
          <w:spacing w:val="-13"/>
          <w:sz w:val="20"/>
        </w:rPr>
        <w:t> </w:t>
      </w:r>
      <w:r>
        <w:rPr>
          <w:sz w:val="20"/>
        </w:rPr>
        <w:t>neue</w:t>
      </w:r>
      <w:r>
        <w:rPr>
          <w:spacing w:val="-13"/>
          <w:sz w:val="20"/>
        </w:rPr>
        <w:t> </w:t>
      </w:r>
      <w:r>
        <w:rPr>
          <w:sz w:val="20"/>
        </w:rPr>
        <w:t>Privatinsolvenzrecht.</w:t>
      </w:r>
      <w:r>
        <w:rPr>
          <w:spacing w:val="-14"/>
          <w:sz w:val="20"/>
        </w:rPr>
        <w:t> </w:t>
      </w:r>
      <w:r>
        <w:rPr>
          <w:sz w:val="20"/>
        </w:rPr>
        <w:t>Reform</w:t>
      </w:r>
      <w:r>
        <w:rPr>
          <w:spacing w:val="-16"/>
          <w:sz w:val="20"/>
        </w:rPr>
        <w:t> </w:t>
      </w:r>
      <w:r>
        <w:rPr>
          <w:sz w:val="20"/>
        </w:rPr>
        <w:t>und</w:t>
      </w:r>
      <w:r>
        <w:rPr>
          <w:spacing w:val="-13"/>
          <w:sz w:val="20"/>
        </w:rPr>
        <w:t> </w:t>
      </w:r>
      <w:r>
        <w:rPr>
          <w:sz w:val="20"/>
        </w:rPr>
        <w:t>aktuelle</w:t>
      </w:r>
      <w:r>
        <w:rPr>
          <w:spacing w:val="-14"/>
          <w:sz w:val="20"/>
        </w:rPr>
        <w:t> </w:t>
      </w:r>
      <w:r>
        <w:rPr>
          <w:sz w:val="20"/>
        </w:rPr>
        <w:t>Entwicklung”,</w:t>
      </w:r>
      <w:r>
        <w:rPr>
          <w:spacing w:val="-13"/>
          <w:sz w:val="20"/>
        </w:rPr>
        <w:t> </w:t>
      </w:r>
      <w:r>
        <w:rPr>
          <w:sz w:val="20"/>
        </w:rPr>
        <w:t>2.</w:t>
      </w:r>
      <w:r>
        <w:rPr>
          <w:spacing w:val="-13"/>
          <w:sz w:val="20"/>
        </w:rPr>
        <w:t> </w:t>
      </w:r>
      <w:r>
        <w:rPr>
          <w:sz w:val="20"/>
        </w:rPr>
        <w:t>ueerarbeitete</w:t>
      </w:r>
      <w:r>
        <w:rPr>
          <w:spacing w:val="-13"/>
          <w:sz w:val="20"/>
        </w:rPr>
        <w:t> </w:t>
      </w:r>
      <w:r>
        <w:rPr>
          <w:sz w:val="20"/>
        </w:rPr>
        <w:t>und</w:t>
      </w:r>
      <w:r>
        <w:rPr>
          <w:spacing w:val="-13"/>
          <w:sz w:val="20"/>
        </w:rPr>
        <w:t> </w:t>
      </w:r>
      <w:r>
        <w:rPr>
          <w:sz w:val="20"/>
        </w:rPr>
        <w:t>ergaenzte Auflage, RWS Verlag, Kommunikationsforum GmbH, Koeln, 2016,</w:t>
      </w:r>
      <w:r>
        <w:rPr>
          <w:spacing w:val="1"/>
          <w:sz w:val="20"/>
        </w:rPr>
        <w:t> </w:t>
      </w:r>
      <w:r>
        <w:rPr>
          <w:sz w:val="20"/>
        </w:rPr>
        <w:t>S.265.</w:t>
      </w:r>
    </w:p>
    <w:p>
      <w:pPr>
        <w:spacing w:line="240" w:lineRule="auto" w:before="0"/>
        <w:ind w:left="260" w:right="0" w:firstLine="0"/>
        <w:jc w:val="left"/>
        <w:rPr>
          <w:sz w:val="20"/>
        </w:rPr>
      </w:pPr>
      <w:r>
        <w:rPr>
          <w:position w:val="7"/>
          <w:sz w:val="13"/>
        </w:rPr>
        <w:t>456</w:t>
      </w:r>
      <w:r>
        <w:rPr>
          <w:sz w:val="20"/>
        </w:rPr>
        <w:t>Kayser/Thole “Insolvenzordnung” Heidelberger Kommentar, 9. neu bearbeitete Auflage, C.F.Mueller, 2018,/Waltenberger Kommentare §287a, S.2185 f.</w:t>
      </w:r>
    </w:p>
    <w:p>
      <w:pPr>
        <w:spacing w:line="240" w:lineRule="auto" w:before="0"/>
        <w:ind w:left="260" w:right="398" w:firstLine="0"/>
        <w:jc w:val="left"/>
        <w:rPr>
          <w:sz w:val="20"/>
        </w:rPr>
      </w:pPr>
      <w:r>
        <w:rPr>
          <w:position w:val="7"/>
          <w:sz w:val="13"/>
        </w:rPr>
        <w:t>457 </w:t>
      </w:r>
      <w:r>
        <w:rPr>
          <w:sz w:val="20"/>
        </w:rPr>
        <w:t>BHG 27.9.2007 – IX ZB 243/06; Kayser/Thole “Insolvenzordnung”, Waltenberger Kommentare §290, S.2198.</w:t>
      </w:r>
    </w:p>
    <w:p>
      <w:pPr>
        <w:spacing w:after="0" w:line="240" w:lineRule="auto"/>
        <w:jc w:val="left"/>
        <w:rPr>
          <w:sz w:val="20"/>
        </w:rPr>
        <w:sectPr>
          <w:footerReference w:type="even" r:id="rId96"/>
          <w:footerReference w:type="default" r:id="rId97"/>
          <w:pgSz w:w="11910" w:h="16840"/>
          <w:pgMar w:footer="1055" w:header="0" w:top="1340" w:bottom="1240" w:left="1180" w:right="1040"/>
          <w:pgNumType w:start="168"/>
        </w:sectPr>
      </w:pPr>
    </w:p>
    <w:p>
      <w:pPr>
        <w:pStyle w:val="BodyText"/>
        <w:spacing w:line="232" w:lineRule="auto" w:before="80"/>
        <w:ind w:left="620" w:right="406"/>
        <w:rPr>
          <w:sz w:val="16"/>
        </w:rPr>
      </w:pPr>
      <w:r>
        <w:rPr/>
        <w:t>jautājumu par ziņu sniegšanas un līdzdarbošanās pienākumu pārkāpumu. Tiesa arī spriedumā norādīja, ka parādnieka rīcībai pēc tās veida jābūt tādai, kas var apdraudēt kreditoru tiesības saņemt sava prasījuma apmierinājumu.</w:t>
      </w:r>
      <w:r>
        <w:rPr>
          <w:position w:val="9"/>
          <w:sz w:val="16"/>
        </w:rPr>
        <w:t>458</w:t>
      </w:r>
    </w:p>
    <w:p>
      <w:pPr>
        <w:pStyle w:val="BodyText"/>
        <w:spacing w:line="235" w:lineRule="auto" w:before="7"/>
        <w:ind w:left="620" w:right="400" w:firstLine="492"/>
        <w:rPr>
          <w:sz w:val="16"/>
        </w:rPr>
      </w:pPr>
      <w:r>
        <w:rPr/>
        <w:t>Attiecībā uz Vācijas Maksātnespējas likuma </w:t>
      </w:r>
      <w:r>
        <w:rPr>
          <w:i/>
        </w:rPr>
        <w:t>§ 290 pirmās daļas 5.punktā </w:t>
      </w:r>
      <w:r>
        <w:rPr/>
        <w:t>noteikto ziņu sniegšanas un līdzdarbošanās pienākumu tiesu praksē ir konkretizēts šis pienākums, norādot, ka līdzdarbošanās pienākums neiestājas tikai tajā brīdī, kad maksātnespējas procesa administrators vai tiesa ir pieprasījusi parādnieku sniegt konkrētas ziņas, paskaidrojumus. </w:t>
      </w:r>
      <w:r>
        <w:rPr>
          <w:spacing w:val="-3"/>
        </w:rPr>
        <w:t>Tieši </w:t>
      </w:r>
      <w:r>
        <w:rPr/>
        <w:t>otrādi, parādniekam ir pienākums paziņot par katru apstākli, kam ir nozīmē maksātnespējas procesa norisē, negaidot pieprasījumu par šādu ziņu sniegšanu.</w:t>
      </w:r>
      <w:r>
        <w:rPr>
          <w:position w:val="9"/>
          <w:sz w:val="16"/>
        </w:rPr>
        <w:t>459 </w:t>
      </w:r>
      <w:r>
        <w:rPr>
          <w:spacing w:val="-5"/>
        </w:rPr>
        <w:t>Tas,</w:t>
      </w:r>
      <w:r>
        <w:rPr>
          <w:spacing w:val="-9"/>
        </w:rPr>
        <w:t> </w:t>
      </w:r>
      <w:r>
        <w:rPr/>
        <w:t>piemēram,</w:t>
      </w:r>
      <w:r>
        <w:rPr>
          <w:spacing w:val="-3"/>
        </w:rPr>
        <w:t> </w:t>
      </w:r>
      <w:r>
        <w:rPr/>
        <w:t>attiecas</w:t>
      </w:r>
      <w:r>
        <w:rPr>
          <w:spacing w:val="-8"/>
        </w:rPr>
        <w:t> </w:t>
      </w:r>
      <w:r>
        <w:rPr/>
        <w:t>uz</w:t>
      </w:r>
      <w:r>
        <w:rPr>
          <w:spacing w:val="-6"/>
        </w:rPr>
        <w:t> </w:t>
      </w:r>
      <w:r>
        <w:rPr/>
        <w:t>mantas</w:t>
      </w:r>
      <w:r>
        <w:rPr>
          <w:spacing w:val="-10"/>
        </w:rPr>
        <w:t> </w:t>
      </w:r>
      <w:r>
        <w:rPr/>
        <w:t>pārdali,</w:t>
      </w:r>
      <w:r>
        <w:rPr>
          <w:spacing w:val="-5"/>
        </w:rPr>
        <w:t> </w:t>
      </w:r>
      <w:r>
        <w:rPr/>
        <w:t>kas</w:t>
      </w:r>
      <w:r>
        <w:rPr>
          <w:spacing w:val="-10"/>
        </w:rPr>
        <w:t> </w:t>
      </w:r>
      <w:r>
        <w:rPr/>
        <w:t>ir</w:t>
      </w:r>
      <w:r>
        <w:rPr>
          <w:spacing w:val="-6"/>
        </w:rPr>
        <w:t> </w:t>
      </w:r>
      <w:r>
        <w:rPr/>
        <w:t>notikusi</w:t>
      </w:r>
      <w:r>
        <w:rPr>
          <w:spacing w:val="-8"/>
        </w:rPr>
        <w:t> </w:t>
      </w:r>
      <w:r>
        <w:rPr/>
        <w:t>pirms</w:t>
      </w:r>
      <w:r>
        <w:rPr>
          <w:spacing w:val="-8"/>
        </w:rPr>
        <w:t> </w:t>
      </w:r>
      <w:r>
        <w:rPr/>
        <w:t>maksātnespējas</w:t>
      </w:r>
      <w:r>
        <w:rPr>
          <w:spacing w:val="-8"/>
        </w:rPr>
        <w:t> </w:t>
      </w:r>
      <w:r>
        <w:rPr/>
        <w:t>procesa</w:t>
      </w:r>
      <w:r>
        <w:rPr>
          <w:spacing w:val="-6"/>
        </w:rPr>
        <w:t> </w:t>
      </w:r>
      <w:r>
        <w:rPr/>
        <w:t>un varētu būt pamats darījumu atcelšanas prasībai maksātnespējas procesā.</w:t>
      </w:r>
      <w:r>
        <w:rPr>
          <w:position w:val="9"/>
          <w:sz w:val="16"/>
        </w:rPr>
        <w:t>460 </w:t>
      </w:r>
      <w:r>
        <w:rPr/>
        <w:t>Parādniekam pēc savas iniciatīvas jāsniedz ziņas arī tādā gadījumā, ja vēlāk parādījušies diezgan</w:t>
      </w:r>
      <w:r>
        <w:rPr>
          <w:spacing w:val="-38"/>
        </w:rPr>
        <w:t> </w:t>
      </w:r>
      <w:r>
        <w:rPr/>
        <w:t>svarīgi grozījumi iepriekš sniegtajās ziņas vai vēlāk noskaidrojies, ka līdzšinēji sniegtie dati</w:t>
      </w:r>
      <w:r>
        <w:rPr>
          <w:spacing w:val="-42"/>
        </w:rPr>
        <w:t> </w:t>
      </w:r>
      <w:r>
        <w:rPr/>
        <w:t>bijuši nepareizi vai nepilnīgi.</w:t>
      </w:r>
      <w:r>
        <w:rPr>
          <w:position w:val="9"/>
          <w:sz w:val="16"/>
        </w:rPr>
        <w:t>461 </w:t>
      </w:r>
      <w:r>
        <w:rPr/>
        <w:t>Kā piemēru parādnieka negodprātīgai rīcībai, kas izpaudusies</w:t>
      </w:r>
      <w:r>
        <w:rPr>
          <w:spacing w:val="-34"/>
        </w:rPr>
        <w:t> </w:t>
      </w:r>
      <w:r>
        <w:rPr/>
        <w:t>kā ziņu nesniegšana, kaut tās arī bija jāsniedz, tiesa atzinusi, rīcību, kad parādnieks uzsāk darbu</w:t>
      </w:r>
      <w:r>
        <w:rPr>
          <w:spacing w:val="-8"/>
        </w:rPr>
        <w:t> </w:t>
      </w:r>
      <w:r>
        <w:rPr/>
        <w:t>jaunā</w:t>
      </w:r>
      <w:r>
        <w:rPr>
          <w:spacing w:val="-10"/>
        </w:rPr>
        <w:t> </w:t>
      </w:r>
      <w:r>
        <w:rPr/>
        <w:t>darba</w:t>
      </w:r>
      <w:r>
        <w:rPr>
          <w:spacing w:val="-8"/>
        </w:rPr>
        <w:t> </w:t>
      </w:r>
      <w:r>
        <w:rPr/>
        <w:t>vietā,</w:t>
      </w:r>
      <w:r>
        <w:rPr>
          <w:spacing w:val="-8"/>
        </w:rPr>
        <w:t> </w:t>
      </w:r>
      <w:r>
        <w:rPr/>
        <w:t>bet</w:t>
      </w:r>
      <w:r>
        <w:rPr>
          <w:spacing w:val="-10"/>
        </w:rPr>
        <w:t> </w:t>
      </w:r>
      <w:r>
        <w:rPr/>
        <w:t>par</w:t>
      </w:r>
      <w:r>
        <w:rPr>
          <w:spacing w:val="-8"/>
        </w:rPr>
        <w:t> </w:t>
      </w:r>
      <w:r>
        <w:rPr/>
        <w:t>to</w:t>
      </w:r>
      <w:r>
        <w:rPr>
          <w:spacing w:val="-8"/>
        </w:rPr>
        <w:t> </w:t>
      </w:r>
      <w:r>
        <w:rPr/>
        <w:t>nepaziņo</w:t>
      </w:r>
      <w:r>
        <w:rPr>
          <w:spacing w:val="-8"/>
        </w:rPr>
        <w:t> </w:t>
      </w:r>
      <w:r>
        <w:rPr/>
        <w:t>administratoram,</w:t>
      </w:r>
      <w:r>
        <w:rPr>
          <w:spacing w:val="-8"/>
        </w:rPr>
        <w:t> </w:t>
      </w:r>
      <w:r>
        <w:rPr/>
        <w:t>vai</w:t>
      </w:r>
      <w:r>
        <w:rPr>
          <w:spacing w:val="-10"/>
        </w:rPr>
        <w:t> </w:t>
      </w:r>
      <w:r>
        <w:rPr/>
        <w:t>maina</w:t>
      </w:r>
      <w:r>
        <w:rPr>
          <w:spacing w:val="-10"/>
        </w:rPr>
        <w:t> </w:t>
      </w:r>
      <w:r>
        <w:rPr/>
        <w:t>dzīves</w:t>
      </w:r>
      <w:r>
        <w:rPr>
          <w:spacing w:val="-10"/>
        </w:rPr>
        <w:t> </w:t>
      </w:r>
      <w:r>
        <w:rPr/>
        <w:t>vietu</w:t>
      </w:r>
      <w:r>
        <w:rPr>
          <w:spacing w:val="-8"/>
        </w:rPr>
        <w:t> </w:t>
      </w:r>
      <w:r>
        <w:rPr/>
        <w:t>un</w:t>
      </w:r>
      <w:r>
        <w:rPr>
          <w:spacing w:val="-8"/>
        </w:rPr>
        <w:t> </w:t>
      </w:r>
      <w:r>
        <w:rPr/>
        <w:t>par to</w:t>
      </w:r>
      <w:r>
        <w:rPr>
          <w:spacing w:val="-11"/>
        </w:rPr>
        <w:t> </w:t>
      </w:r>
      <w:r>
        <w:rPr/>
        <w:t>nepaziņo</w:t>
      </w:r>
      <w:r>
        <w:rPr>
          <w:spacing w:val="-11"/>
        </w:rPr>
        <w:t> </w:t>
      </w:r>
      <w:r>
        <w:rPr/>
        <w:t>administratoram,</w:t>
      </w:r>
      <w:r>
        <w:rPr>
          <w:spacing w:val="-9"/>
        </w:rPr>
        <w:t> </w:t>
      </w:r>
      <w:r>
        <w:rPr/>
        <w:t>bet</w:t>
      </w:r>
      <w:r>
        <w:rPr>
          <w:spacing w:val="-12"/>
        </w:rPr>
        <w:t> </w:t>
      </w:r>
      <w:r>
        <w:rPr/>
        <w:t>ņemot</w:t>
      </w:r>
      <w:r>
        <w:rPr>
          <w:spacing w:val="-11"/>
        </w:rPr>
        <w:t> </w:t>
      </w:r>
      <w:r>
        <w:rPr/>
        <w:t>vērā</w:t>
      </w:r>
      <w:r>
        <w:rPr>
          <w:spacing w:val="-13"/>
        </w:rPr>
        <w:t> </w:t>
      </w:r>
      <w:r>
        <w:rPr/>
        <w:t>apstākli,</w:t>
      </w:r>
      <w:r>
        <w:rPr>
          <w:spacing w:val="-8"/>
        </w:rPr>
        <w:t> </w:t>
      </w:r>
      <w:r>
        <w:rPr/>
        <w:t>vai</w:t>
      </w:r>
      <w:r>
        <w:rPr>
          <w:spacing w:val="-13"/>
        </w:rPr>
        <w:t> </w:t>
      </w:r>
      <w:r>
        <w:rPr/>
        <w:t>minētais</w:t>
      </w:r>
      <w:r>
        <w:rPr>
          <w:spacing w:val="-11"/>
        </w:rPr>
        <w:t> </w:t>
      </w:r>
      <w:r>
        <w:rPr/>
        <w:t>pārkāpums</w:t>
      </w:r>
      <w:r>
        <w:rPr>
          <w:spacing w:val="-11"/>
        </w:rPr>
        <w:t> </w:t>
      </w:r>
      <w:r>
        <w:rPr/>
        <w:t>ir</w:t>
      </w:r>
      <w:r>
        <w:rPr>
          <w:spacing w:val="-8"/>
        </w:rPr>
        <w:t> </w:t>
      </w:r>
      <w:r>
        <w:rPr/>
        <w:t>piemērots, lai kaitētu kreditoru interesēm.</w:t>
      </w:r>
      <w:r>
        <w:rPr>
          <w:position w:val="9"/>
          <w:sz w:val="16"/>
        </w:rPr>
        <w:t>462 </w:t>
      </w:r>
      <w:r>
        <w:rPr/>
        <w:t>Vācijas Federatīvā augstākā tiesa ir konstatējusi, ka pastāvot nebūtiskiem pienākumu pārkāpumiem, samērīguma princips liedz piemērot smago sankciju – atteikumu piemērot parādnieka atbrīvošanu no parādsaistībām. Kāda ir būtiskuma kritērija robeža, katrā atsevišķā gadījumā jānosaka</w:t>
      </w:r>
      <w:r>
        <w:rPr>
          <w:spacing w:val="-6"/>
        </w:rPr>
        <w:t> </w:t>
      </w:r>
      <w:r>
        <w:rPr/>
        <w:t>individuāli.</w:t>
      </w:r>
      <w:r>
        <w:rPr>
          <w:position w:val="9"/>
          <w:sz w:val="16"/>
        </w:rPr>
        <w:t>463</w:t>
      </w:r>
    </w:p>
    <w:p>
      <w:pPr>
        <w:pStyle w:val="BodyText"/>
        <w:spacing w:line="237" w:lineRule="auto" w:before="21"/>
        <w:ind w:left="620" w:right="401" w:firstLine="720"/>
        <w:rPr>
          <w:sz w:val="16"/>
        </w:rPr>
      </w:pPr>
      <w:r>
        <w:rPr/>
        <w:t>Savukārt attiecībā uz pienākumu būt nodarbinātam saskaņā ar Vācijas Maksātnespējas likuma </w:t>
      </w:r>
      <w:r>
        <w:rPr>
          <w:i/>
        </w:rPr>
        <w:t>§ 287b </w:t>
      </w:r>
      <w:r>
        <w:rPr/>
        <w:t>maksātnespējas procesa laikā un šī pienākuma</w:t>
      </w:r>
      <w:r>
        <w:rPr>
          <w:spacing w:val="-17"/>
        </w:rPr>
        <w:t> </w:t>
      </w:r>
      <w:r>
        <w:rPr/>
        <w:t>pārkāpumu, norādāms, ka Vācijas Maksātnespējas likuma </w:t>
      </w:r>
      <w:r>
        <w:rPr>
          <w:i/>
        </w:rPr>
        <w:t>§ 290 pirmās daļas 7.punkts, </w:t>
      </w:r>
      <w:r>
        <w:rPr/>
        <w:t>atšķirībā no augstāk minētajiem saistību dzēšanas procedūras ierobežojumiem, papildus vainojamam objektīvam pārkāpumam kā priekšnoteikumu paredz arī kaitējuma nodarīšanu kreditoru interesēm. Vācijas Augstākā Federatīvā tiesa ir radījusi tiesu praksi attiecībā uz kaitējumu nodarīšanu kreditoru interesēm konstatēšanu, proti, kaitējums ir radies, ja kreditoriem salīdzinājumā ar godprātīgu parādnieku ir radīti novērtējami ekonomiski zaudējumi. </w:t>
      </w:r>
      <w:r>
        <w:rPr>
          <w:spacing w:val="-3"/>
        </w:rPr>
        <w:t>Vienīgi</w:t>
      </w:r>
      <w:r>
        <w:rPr>
          <w:spacing w:val="-12"/>
        </w:rPr>
        <w:t> </w:t>
      </w:r>
      <w:r>
        <w:rPr/>
        <w:t>kreditoru</w:t>
      </w:r>
      <w:r>
        <w:rPr>
          <w:spacing w:val="-12"/>
        </w:rPr>
        <w:t> </w:t>
      </w:r>
      <w:r>
        <w:rPr/>
        <w:t>interešu</w:t>
      </w:r>
      <w:r>
        <w:rPr>
          <w:spacing w:val="-10"/>
        </w:rPr>
        <w:t> </w:t>
      </w:r>
      <w:r>
        <w:rPr/>
        <w:t>apdraudējums</w:t>
      </w:r>
      <w:r>
        <w:rPr>
          <w:spacing w:val="-12"/>
        </w:rPr>
        <w:t> </w:t>
      </w:r>
      <w:r>
        <w:rPr/>
        <w:t>nav</w:t>
      </w:r>
      <w:r>
        <w:rPr>
          <w:spacing w:val="-12"/>
        </w:rPr>
        <w:t> </w:t>
      </w:r>
      <w:r>
        <w:rPr/>
        <w:t>pietiekams,</w:t>
      </w:r>
      <w:r>
        <w:rPr>
          <w:spacing w:val="-12"/>
        </w:rPr>
        <w:t> </w:t>
      </w:r>
      <w:r>
        <w:rPr/>
        <w:t>lai</w:t>
      </w:r>
      <w:r>
        <w:rPr>
          <w:spacing w:val="-12"/>
        </w:rPr>
        <w:t> </w:t>
      </w:r>
      <w:r>
        <w:rPr/>
        <w:t>iestātos</w:t>
      </w:r>
      <w:r>
        <w:rPr>
          <w:spacing w:val="-12"/>
        </w:rPr>
        <w:t> </w:t>
      </w:r>
      <w:r>
        <w:rPr/>
        <w:t>minētajā</w:t>
      </w:r>
      <w:r>
        <w:rPr>
          <w:spacing w:val="-12"/>
        </w:rPr>
        <w:t> </w:t>
      </w:r>
      <w:r>
        <w:rPr/>
        <w:t>tiesību</w:t>
      </w:r>
      <w:r>
        <w:rPr>
          <w:spacing w:val="-12"/>
        </w:rPr>
        <w:t> </w:t>
      </w:r>
      <w:r>
        <w:rPr/>
        <w:t>normā noteiktās tiesiskās sekas, proti, atteikums atbrīvot parādnieku no neizpildītajām parādsaistībām.</w:t>
      </w:r>
      <w:r>
        <w:rPr>
          <w:spacing w:val="1"/>
        </w:rPr>
        <w:t> </w:t>
      </w:r>
      <w:r>
        <w:rPr>
          <w:position w:val="9"/>
          <w:sz w:val="16"/>
        </w:rPr>
        <w:t>464</w:t>
      </w:r>
    </w:p>
    <w:p>
      <w:pPr>
        <w:pStyle w:val="BodyText"/>
        <w:spacing w:before="6"/>
        <w:jc w:val="left"/>
        <w:rPr>
          <w:sz w:val="25"/>
        </w:rPr>
      </w:pPr>
    </w:p>
    <w:p>
      <w:pPr>
        <w:pStyle w:val="Heading4"/>
        <w:numPr>
          <w:ilvl w:val="1"/>
          <w:numId w:val="94"/>
        </w:numPr>
        <w:tabs>
          <w:tab w:pos="982" w:val="left" w:leader="none"/>
        </w:tabs>
        <w:spacing w:line="240" w:lineRule="auto" w:before="1" w:after="0"/>
        <w:ind w:left="981" w:right="0" w:hanging="362"/>
        <w:jc w:val="both"/>
        <w:rPr>
          <w:i/>
        </w:rPr>
      </w:pPr>
      <w:bookmarkStart w:name="_TOC_250026" w:id="52"/>
      <w:r>
        <w:rPr>
          <w:i/>
        </w:rPr>
        <w:t>Atvieglots fiziskās personas maksātnespējas</w:t>
      </w:r>
      <w:r>
        <w:rPr>
          <w:i/>
          <w:spacing w:val="-2"/>
        </w:rPr>
        <w:t> </w:t>
      </w:r>
      <w:bookmarkEnd w:id="52"/>
      <w:r>
        <w:rPr>
          <w:i/>
        </w:rPr>
        <w:t>process</w:t>
      </w:r>
    </w:p>
    <w:p>
      <w:pPr>
        <w:pStyle w:val="BodyText"/>
        <w:spacing w:before="6"/>
        <w:jc w:val="left"/>
        <w:rPr>
          <w:b/>
          <w:i/>
          <w:sz w:val="23"/>
        </w:rPr>
      </w:pPr>
    </w:p>
    <w:p>
      <w:pPr>
        <w:pStyle w:val="BodyText"/>
        <w:ind w:left="620" w:right="406" w:firstLine="708"/>
      </w:pPr>
      <w:r>
        <w:rPr/>
        <w:t>Vācijas tiesiskais regulējums neparedz īpašu fiziskās personas maksātnespējas procedūru, kuru varētu kvalificēt kā atviegloto maksātnespējas procedūru. Tomēr  ir</w:t>
      </w:r>
    </w:p>
    <w:p>
      <w:pPr>
        <w:pStyle w:val="BodyText"/>
        <w:jc w:val="left"/>
        <w:rPr>
          <w:sz w:val="20"/>
        </w:rPr>
      </w:pPr>
    </w:p>
    <w:p>
      <w:pPr>
        <w:pStyle w:val="BodyText"/>
        <w:spacing w:before="7"/>
        <w:jc w:val="left"/>
        <w:rPr>
          <w:sz w:val="12"/>
        </w:rPr>
      </w:pPr>
      <w:r>
        <w:rPr/>
        <w:pict>
          <v:shape style="position:absolute;margin-left:90pt;margin-top:9.522294pt;width:144pt;height:.1pt;mso-position-horizontal-relative:page;mso-position-vertical-relative:paragraph;z-index:-251458560;mso-wrap-distance-left:0;mso-wrap-distance-right:0" coordorigin="1800,190" coordsize="2880,0" path="m1800,190l4680,190e" filled="false" stroked="true" strokeweight=".599991pt" strokecolor="#000000">
            <v:path arrowok="t"/>
            <v:stroke dashstyle="solid"/>
            <w10:wrap type="topAndBottom"/>
          </v:shape>
        </w:pict>
      </w:r>
    </w:p>
    <w:p>
      <w:pPr>
        <w:spacing w:before="70"/>
        <w:ind w:left="620" w:right="398" w:firstLine="0"/>
        <w:jc w:val="left"/>
        <w:rPr>
          <w:sz w:val="20"/>
        </w:rPr>
      </w:pPr>
      <w:r>
        <w:rPr>
          <w:position w:val="7"/>
          <w:sz w:val="13"/>
        </w:rPr>
        <w:t>458 </w:t>
      </w:r>
      <w:r>
        <w:rPr>
          <w:sz w:val="20"/>
        </w:rPr>
        <w:t>BGH 8.01.2009 – IX ZB 73/08; Kayser/Thole “Insolvenzordnung”, Waltenberger Kommentare §290, S.2198.</w:t>
      </w:r>
    </w:p>
    <w:p>
      <w:pPr>
        <w:spacing w:line="231" w:lineRule="exact" w:before="0"/>
        <w:ind w:left="620" w:right="0" w:firstLine="0"/>
        <w:jc w:val="left"/>
        <w:rPr>
          <w:sz w:val="20"/>
        </w:rPr>
      </w:pPr>
      <w:r>
        <w:rPr>
          <w:position w:val="7"/>
          <w:sz w:val="13"/>
        </w:rPr>
        <w:t>459 </w:t>
      </w:r>
      <w:r>
        <w:rPr>
          <w:sz w:val="20"/>
        </w:rPr>
        <w:t>BGH, ZInsO 2013, 138; BGH ZInsO 2011, 396; BGH 15.4.2010 – IX ZB 17509; AG Hamburg ZInsO</w:t>
      </w:r>
    </w:p>
    <w:p>
      <w:pPr>
        <w:spacing w:line="227" w:lineRule="exact" w:before="0"/>
        <w:ind w:left="620" w:right="0" w:firstLine="0"/>
        <w:jc w:val="left"/>
        <w:rPr>
          <w:sz w:val="20"/>
        </w:rPr>
      </w:pPr>
      <w:r>
        <w:rPr>
          <w:sz w:val="20"/>
        </w:rPr>
        <w:t>2012 1585; Kayser/Thole “Insolvenzordnung”, Waltenberger Kommentare §290, S.2203.</w:t>
      </w:r>
    </w:p>
    <w:p>
      <w:pPr>
        <w:spacing w:line="231" w:lineRule="exact" w:before="0"/>
        <w:ind w:left="620" w:right="0" w:firstLine="0"/>
        <w:jc w:val="left"/>
        <w:rPr>
          <w:sz w:val="20"/>
        </w:rPr>
      </w:pPr>
      <w:r>
        <w:rPr>
          <w:position w:val="7"/>
          <w:sz w:val="13"/>
        </w:rPr>
        <w:t>460 </w:t>
      </w:r>
      <w:r>
        <w:rPr>
          <w:sz w:val="20"/>
        </w:rPr>
        <w:t>BGH ZInsO 2010, 2101 un NZI 2011 330, Kayser/Thole “Insolvenzordnung”, Waltenberger Kommentare</w:t>
      </w:r>
    </w:p>
    <w:p>
      <w:pPr>
        <w:spacing w:line="228" w:lineRule="exact" w:before="1"/>
        <w:ind w:left="620" w:right="0" w:firstLine="0"/>
        <w:jc w:val="left"/>
        <w:rPr>
          <w:sz w:val="20"/>
        </w:rPr>
      </w:pPr>
      <w:r>
        <w:rPr>
          <w:sz w:val="20"/>
        </w:rPr>
        <w:t>§290, S.2203.</w:t>
      </w:r>
    </w:p>
    <w:p>
      <w:pPr>
        <w:spacing w:line="240" w:lineRule="auto" w:before="0"/>
        <w:ind w:left="620" w:right="0" w:firstLine="0"/>
        <w:jc w:val="left"/>
        <w:rPr>
          <w:sz w:val="20"/>
        </w:rPr>
      </w:pPr>
      <w:r>
        <w:rPr>
          <w:position w:val="7"/>
          <w:sz w:val="13"/>
        </w:rPr>
        <w:t>461 </w:t>
      </w:r>
      <w:r>
        <w:rPr>
          <w:sz w:val="20"/>
        </w:rPr>
        <w:t>Landgericht Potstam ZInsO 2009, 1415; Amtsgericht Oldenburg ZInsO 2009, 686; Kayser/Thole “Insolvenzordnung”, Waltenberger Kommentare §290, S.2204.</w:t>
      </w:r>
    </w:p>
    <w:p>
      <w:pPr>
        <w:spacing w:line="240" w:lineRule="auto" w:before="0"/>
        <w:ind w:left="620" w:right="398" w:firstLine="0"/>
        <w:jc w:val="left"/>
        <w:rPr>
          <w:sz w:val="20"/>
        </w:rPr>
      </w:pPr>
      <w:r>
        <w:rPr>
          <w:position w:val="7"/>
          <w:sz w:val="13"/>
        </w:rPr>
        <w:t>462 </w:t>
      </w:r>
      <w:r>
        <w:rPr>
          <w:sz w:val="20"/>
        </w:rPr>
        <w:t>BGH 8.1.2009 – IX ZB 73/08; Kayser/Thole “Insolvenzordnung”, Waltenberger Kommentare §290, S.2205.</w:t>
      </w:r>
    </w:p>
    <w:p>
      <w:pPr>
        <w:spacing w:line="240" w:lineRule="auto" w:before="0"/>
        <w:ind w:left="620" w:right="335" w:firstLine="0"/>
        <w:jc w:val="left"/>
        <w:rPr>
          <w:sz w:val="20"/>
        </w:rPr>
      </w:pPr>
      <w:r>
        <w:rPr>
          <w:position w:val="7"/>
          <w:sz w:val="13"/>
        </w:rPr>
        <w:t>463 </w:t>
      </w:r>
      <w:r>
        <w:rPr>
          <w:sz w:val="20"/>
        </w:rPr>
        <w:t>BGH ZInsO 2007, 96; BGH 23.2.2012 – IX ZB 254/10; Kayser/Thole “Insolvenzordnung”, Waltenberger Kommentare §290, S.2206.</w:t>
      </w:r>
    </w:p>
    <w:p>
      <w:pPr>
        <w:spacing w:line="231" w:lineRule="exact" w:before="0"/>
        <w:ind w:left="620" w:right="0" w:firstLine="0"/>
        <w:jc w:val="left"/>
        <w:rPr>
          <w:sz w:val="20"/>
        </w:rPr>
      </w:pPr>
      <w:r>
        <w:rPr>
          <w:position w:val="7"/>
          <w:sz w:val="13"/>
        </w:rPr>
        <w:t>464 </w:t>
      </w:r>
      <w:r>
        <w:rPr>
          <w:sz w:val="20"/>
        </w:rPr>
        <w:t>BGH ZInsO 2006, 548, NZI 2007, 297, ZInsO 2010, 1291, ZInsO 2010, 1558; Kayser/Thole</w:t>
      </w:r>
    </w:p>
    <w:p>
      <w:pPr>
        <w:spacing w:before="0"/>
        <w:ind w:left="620" w:right="0" w:firstLine="0"/>
        <w:jc w:val="left"/>
        <w:rPr>
          <w:sz w:val="20"/>
        </w:rPr>
      </w:pPr>
      <w:r>
        <w:rPr>
          <w:sz w:val="20"/>
        </w:rPr>
        <w:t>“Insolvenzordnung”, Waltenberger Kommentare §290, S.2209.</w:t>
      </w:r>
    </w:p>
    <w:p>
      <w:pPr>
        <w:spacing w:after="0"/>
        <w:jc w:val="left"/>
        <w:rPr>
          <w:sz w:val="20"/>
        </w:rPr>
        <w:sectPr>
          <w:pgSz w:w="11910" w:h="16840"/>
          <w:pgMar w:header="0" w:footer="1055" w:top="1340" w:bottom="1240" w:left="1180" w:right="1040"/>
        </w:sectPr>
      </w:pPr>
    </w:p>
    <w:p>
      <w:pPr>
        <w:pStyle w:val="BodyText"/>
        <w:spacing w:before="73"/>
        <w:ind w:left="260" w:right="763"/>
      </w:pPr>
      <w:r>
        <w:rPr/>
        <w:t>atsevišķi noteikumi, kuri satur atvieglotā maksātnespējas procesa elementus, piemēram, maksātnespējas procesa izmaksu segšanas atlikšana, rakstveida process vai tā sauktais 0 maksājumu saistību dzēšanas plāns.</w:t>
      </w:r>
    </w:p>
    <w:p>
      <w:pPr>
        <w:pStyle w:val="ListParagraph"/>
        <w:numPr>
          <w:ilvl w:val="0"/>
          <w:numId w:val="109"/>
        </w:numPr>
        <w:tabs>
          <w:tab w:pos="980" w:val="left" w:leader="none"/>
        </w:tabs>
        <w:spacing w:line="237" w:lineRule="auto" w:before="7" w:after="0"/>
        <w:ind w:left="260" w:right="760" w:firstLine="427"/>
        <w:jc w:val="both"/>
        <w:rPr>
          <w:i/>
          <w:sz w:val="24"/>
        </w:rPr>
      </w:pPr>
      <w:r>
        <w:rPr>
          <w:b/>
          <w:i/>
          <w:sz w:val="24"/>
        </w:rPr>
        <w:t>Atvieglojums parādniekam – maksātnespējas procesa izmaksu segšanas </w:t>
      </w:r>
      <w:r>
        <w:rPr>
          <w:b/>
          <w:i/>
          <w:sz w:val="24"/>
        </w:rPr>
        <w:t>atlikšana.</w:t>
      </w:r>
      <w:r>
        <w:rPr>
          <w:b/>
          <w:i/>
          <w:spacing w:val="-16"/>
          <w:sz w:val="24"/>
        </w:rPr>
        <w:t> </w:t>
      </w:r>
      <w:r>
        <w:rPr>
          <w:sz w:val="24"/>
        </w:rPr>
        <w:t>Ja</w:t>
      </w:r>
      <w:r>
        <w:rPr>
          <w:spacing w:val="-14"/>
          <w:sz w:val="24"/>
        </w:rPr>
        <w:t> </w:t>
      </w:r>
      <w:r>
        <w:rPr>
          <w:sz w:val="24"/>
        </w:rPr>
        <w:t>parādnieka</w:t>
      </w:r>
      <w:r>
        <w:rPr>
          <w:spacing w:val="-12"/>
          <w:sz w:val="24"/>
        </w:rPr>
        <w:t> </w:t>
      </w:r>
      <w:r>
        <w:rPr>
          <w:sz w:val="24"/>
        </w:rPr>
        <w:t>manta</w:t>
      </w:r>
      <w:r>
        <w:rPr>
          <w:spacing w:val="-13"/>
          <w:sz w:val="24"/>
        </w:rPr>
        <w:t> </w:t>
      </w:r>
      <w:r>
        <w:rPr>
          <w:sz w:val="24"/>
        </w:rPr>
        <w:t>nav</w:t>
      </w:r>
      <w:r>
        <w:rPr>
          <w:spacing w:val="-16"/>
          <w:sz w:val="24"/>
        </w:rPr>
        <w:t> </w:t>
      </w:r>
      <w:r>
        <w:rPr>
          <w:sz w:val="24"/>
        </w:rPr>
        <w:t>pietiekama,</w:t>
      </w:r>
      <w:r>
        <w:rPr>
          <w:spacing w:val="-12"/>
          <w:sz w:val="24"/>
        </w:rPr>
        <w:t> </w:t>
      </w:r>
      <w:r>
        <w:rPr>
          <w:sz w:val="24"/>
        </w:rPr>
        <w:t>lai</w:t>
      </w:r>
      <w:r>
        <w:rPr>
          <w:spacing w:val="-11"/>
          <w:sz w:val="24"/>
        </w:rPr>
        <w:t> </w:t>
      </w:r>
      <w:r>
        <w:rPr>
          <w:sz w:val="24"/>
        </w:rPr>
        <w:t>segtu</w:t>
      </w:r>
      <w:r>
        <w:rPr>
          <w:spacing w:val="-11"/>
          <w:sz w:val="24"/>
        </w:rPr>
        <w:t> </w:t>
      </w:r>
      <w:r>
        <w:rPr>
          <w:sz w:val="24"/>
        </w:rPr>
        <w:t>maksātnespējas</w:t>
      </w:r>
      <w:r>
        <w:rPr>
          <w:spacing w:val="-11"/>
          <w:sz w:val="24"/>
        </w:rPr>
        <w:t> </w:t>
      </w:r>
      <w:r>
        <w:rPr>
          <w:sz w:val="24"/>
        </w:rPr>
        <w:t>procesa</w:t>
      </w:r>
      <w:r>
        <w:rPr>
          <w:spacing w:val="-12"/>
          <w:sz w:val="24"/>
        </w:rPr>
        <w:t> </w:t>
      </w:r>
      <w:r>
        <w:rPr>
          <w:sz w:val="24"/>
        </w:rPr>
        <w:t>izmaksas, un</w:t>
      </w:r>
      <w:r>
        <w:rPr>
          <w:spacing w:val="-11"/>
          <w:sz w:val="24"/>
        </w:rPr>
        <w:t> </w:t>
      </w:r>
      <w:r>
        <w:rPr>
          <w:sz w:val="24"/>
        </w:rPr>
        <w:t>fiziskā</w:t>
      </w:r>
      <w:r>
        <w:rPr>
          <w:spacing w:val="-10"/>
          <w:sz w:val="24"/>
        </w:rPr>
        <w:t> </w:t>
      </w:r>
      <w:r>
        <w:rPr>
          <w:sz w:val="24"/>
        </w:rPr>
        <w:t>persona</w:t>
      </w:r>
      <w:r>
        <w:rPr>
          <w:spacing w:val="-12"/>
          <w:sz w:val="24"/>
        </w:rPr>
        <w:t> </w:t>
      </w:r>
      <w:r>
        <w:rPr>
          <w:sz w:val="24"/>
        </w:rPr>
        <w:t>ir</w:t>
      </w:r>
      <w:r>
        <w:rPr>
          <w:spacing w:val="-8"/>
          <w:sz w:val="24"/>
        </w:rPr>
        <w:t> </w:t>
      </w:r>
      <w:r>
        <w:rPr>
          <w:sz w:val="24"/>
        </w:rPr>
        <w:t>iesniegusi</w:t>
      </w:r>
      <w:r>
        <w:rPr>
          <w:spacing w:val="-7"/>
          <w:sz w:val="24"/>
        </w:rPr>
        <w:t> </w:t>
      </w:r>
      <w:r>
        <w:rPr>
          <w:sz w:val="24"/>
        </w:rPr>
        <w:t>tiesā</w:t>
      </w:r>
      <w:r>
        <w:rPr>
          <w:spacing w:val="-10"/>
          <w:sz w:val="24"/>
        </w:rPr>
        <w:t> </w:t>
      </w:r>
      <w:r>
        <w:rPr>
          <w:sz w:val="24"/>
        </w:rPr>
        <w:t>pieteikumu</w:t>
      </w:r>
      <w:r>
        <w:rPr>
          <w:spacing w:val="-10"/>
          <w:sz w:val="24"/>
        </w:rPr>
        <w:t> </w:t>
      </w:r>
      <w:r>
        <w:rPr>
          <w:sz w:val="24"/>
        </w:rPr>
        <w:t>par</w:t>
      </w:r>
      <w:r>
        <w:rPr>
          <w:spacing w:val="-10"/>
          <w:sz w:val="24"/>
        </w:rPr>
        <w:t> </w:t>
      </w:r>
      <w:r>
        <w:rPr>
          <w:sz w:val="24"/>
        </w:rPr>
        <w:t>maksātnespējas</w:t>
      </w:r>
      <w:r>
        <w:rPr>
          <w:spacing w:val="-10"/>
          <w:sz w:val="24"/>
        </w:rPr>
        <w:t> </w:t>
      </w:r>
      <w:r>
        <w:rPr>
          <w:sz w:val="24"/>
        </w:rPr>
        <w:t>procesa</w:t>
      </w:r>
      <w:r>
        <w:rPr>
          <w:spacing w:val="-9"/>
          <w:sz w:val="24"/>
        </w:rPr>
        <w:t> </w:t>
      </w:r>
      <w:r>
        <w:rPr>
          <w:sz w:val="24"/>
        </w:rPr>
        <w:t>pasludināšanu un pieteikumu par atbrīvošanu no neizpildītajām parādsaistībām, tad tiesa var uz parādnieka pieteikuma pamata, pamatojoties uz Vācijas Maksātnespējas likuma </w:t>
      </w:r>
      <w:r>
        <w:rPr>
          <w:i/>
          <w:sz w:val="24"/>
        </w:rPr>
        <w:t>§4a,</w:t>
      </w:r>
      <w:r>
        <w:rPr>
          <w:i/>
          <w:spacing w:val="-35"/>
          <w:sz w:val="24"/>
        </w:rPr>
        <w:t> </w:t>
      </w:r>
      <w:r>
        <w:rPr>
          <w:sz w:val="24"/>
        </w:rPr>
        <w:t>atlikt maksātnespējas procesa izmaksu segšanu līdz brīdim, kad tiesa pieņems lēmumu par parādnieka atbrīvošanu no neizpildītajām parādsaistībām (tiks izbeigta saistību dzēšanas procedūra). Saskaņā ar </w:t>
      </w:r>
      <w:r>
        <w:rPr>
          <w:i/>
          <w:sz w:val="24"/>
        </w:rPr>
        <w:t>§4a pirmās daļas 2.teikumu </w:t>
      </w:r>
      <w:r>
        <w:rPr>
          <w:sz w:val="24"/>
        </w:rPr>
        <w:t>maksāšanas termiņa atlikšana attiecas arī uz tām procesa izmaksām, kas rodas parāda segšanas plāna izstrādāšanas un saskaņošanas procesā (plāna saskaņošana tiesas ceļā </w:t>
      </w:r>
      <w:r>
        <w:rPr>
          <w:i/>
          <w:sz w:val="24"/>
        </w:rPr>
        <w:t>§306, §309) </w:t>
      </w:r>
      <w:r>
        <w:rPr>
          <w:sz w:val="24"/>
        </w:rPr>
        <w:t>un saistību dzēšanas procedūras laikā. Maksātnespējas likuma </w:t>
      </w:r>
      <w:r>
        <w:rPr>
          <w:i/>
          <w:sz w:val="24"/>
        </w:rPr>
        <w:t>§4a pirmās daļas 3.teikums </w:t>
      </w:r>
      <w:r>
        <w:rPr>
          <w:sz w:val="24"/>
        </w:rPr>
        <w:t>nosaka, ka parādniekam jāpievieno pieteikumam paziņojums, vai pastāv Vācijas Maksātnespējas likuma </w:t>
      </w:r>
      <w:r>
        <w:rPr>
          <w:i/>
          <w:sz w:val="24"/>
        </w:rPr>
        <w:t>§290 pirmajā daļā 1.punktā</w:t>
      </w:r>
      <w:r>
        <w:rPr>
          <w:i/>
          <w:position w:val="9"/>
          <w:sz w:val="16"/>
        </w:rPr>
        <w:t>465 </w:t>
      </w:r>
      <w:r>
        <w:rPr>
          <w:sz w:val="24"/>
        </w:rPr>
        <w:t>noteiktais saistību dzēšanas procedūras piemērošanas</w:t>
      </w:r>
      <w:r>
        <w:rPr>
          <w:spacing w:val="-7"/>
          <w:sz w:val="24"/>
        </w:rPr>
        <w:t> </w:t>
      </w:r>
      <w:r>
        <w:rPr>
          <w:sz w:val="24"/>
        </w:rPr>
        <w:t>ierobežojums.</w:t>
      </w:r>
      <w:r>
        <w:rPr>
          <w:spacing w:val="-9"/>
          <w:sz w:val="24"/>
        </w:rPr>
        <w:t> </w:t>
      </w:r>
      <w:r>
        <w:rPr>
          <w:sz w:val="24"/>
        </w:rPr>
        <w:t>Ja</w:t>
      </w:r>
      <w:r>
        <w:rPr>
          <w:spacing w:val="-10"/>
          <w:sz w:val="24"/>
        </w:rPr>
        <w:t> </w:t>
      </w:r>
      <w:r>
        <w:rPr>
          <w:sz w:val="24"/>
        </w:rPr>
        <w:t>šāds</w:t>
      </w:r>
      <w:r>
        <w:rPr>
          <w:spacing w:val="-9"/>
          <w:sz w:val="24"/>
        </w:rPr>
        <w:t> </w:t>
      </w:r>
      <w:r>
        <w:rPr>
          <w:sz w:val="24"/>
        </w:rPr>
        <w:t>ierobežojums</w:t>
      </w:r>
      <w:r>
        <w:rPr>
          <w:spacing w:val="-7"/>
          <w:sz w:val="24"/>
        </w:rPr>
        <w:t> </w:t>
      </w:r>
      <w:r>
        <w:rPr>
          <w:spacing w:val="-3"/>
          <w:sz w:val="24"/>
        </w:rPr>
        <w:t>pastāv,</w:t>
      </w:r>
      <w:r>
        <w:rPr>
          <w:spacing w:val="-10"/>
          <w:sz w:val="24"/>
        </w:rPr>
        <w:t> </w:t>
      </w:r>
      <w:r>
        <w:rPr>
          <w:sz w:val="24"/>
        </w:rPr>
        <w:t>maksātnespējas</w:t>
      </w:r>
      <w:r>
        <w:rPr>
          <w:spacing w:val="-11"/>
          <w:sz w:val="24"/>
        </w:rPr>
        <w:t> </w:t>
      </w:r>
      <w:r>
        <w:rPr>
          <w:sz w:val="24"/>
        </w:rPr>
        <w:t>procesa</w:t>
      </w:r>
      <w:r>
        <w:rPr>
          <w:spacing w:val="-9"/>
          <w:sz w:val="24"/>
        </w:rPr>
        <w:t> </w:t>
      </w:r>
      <w:r>
        <w:rPr>
          <w:sz w:val="24"/>
        </w:rPr>
        <w:t>izmaksu segšanas atlikšana nav iespējama (</w:t>
      </w:r>
      <w:r>
        <w:rPr>
          <w:i/>
          <w:sz w:val="24"/>
        </w:rPr>
        <w:t>§4a pirmās daļas</w:t>
      </w:r>
      <w:r>
        <w:rPr>
          <w:i/>
          <w:spacing w:val="-4"/>
          <w:sz w:val="24"/>
        </w:rPr>
        <w:t> </w:t>
      </w:r>
      <w:r>
        <w:rPr>
          <w:i/>
          <w:sz w:val="24"/>
        </w:rPr>
        <w:t>4.teikums).</w:t>
      </w:r>
    </w:p>
    <w:p>
      <w:pPr>
        <w:pStyle w:val="BodyText"/>
        <w:spacing w:line="235" w:lineRule="auto" w:before="24"/>
        <w:ind w:left="260" w:right="762" w:firstLine="720"/>
        <w:rPr>
          <w:sz w:val="16"/>
        </w:rPr>
      </w:pPr>
      <w:r>
        <w:rPr/>
        <w:t>Minētās normas mērķis ir dot iespēju arī tām personām, kuras ir bez līdzekļiem (trūcīgas), uzsākt maksātnespējas procesu un to īstenot, kā arī iegūt atbrīvojumu no parādsaistībām.</w:t>
      </w:r>
      <w:r>
        <w:rPr>
          <w:position w:val="9"/>
          <w:sz w:val="16"/>
        </w:rPr>
        <w:t>466</w:t>
      </w:r>
      <w:r>
        <w:rPr>
          <w:spacing w:val="12"/>
          <w:position w:val="9"/>
          <w:sz w:val="16"/>
        </w:rPr>
        <w:t> </w:t>
      </w:r>
      <w:r>
        <w:rPr/>
        <w:t>Vācijas</w:t>
      </w:r>
      <w:r>
        <w:rPr>
          <w:spacing w:val="-11"/>
        </w:rPr>
        <w:t> </w:t>
      </w:r>
      <w:r>
        <w:rPr/>
        <w:t>Maksātnespējas</w:t>
      </w:r>
      <w:r>
        <w:rPr>
          <w:spacing w:val="-9"/>
        </w:rPr>
        <w:t> </w:t>
      </w:r>
      <w:r>
        <w:rPr/>
        <w:t>likuma</w:t>
      </w:r>
      <w:r>
        <w:rPr>
          <w:spacing w:val="-8"/>
        </w:rPr>
        <w:t> </w:t>
      </w:r>
      <w:r>
        <w:rPr>
          <w:i/>
        </w:rPr>
        <w:t>§4a</w:t>
      </w:r>
      <w:r>
        <w:rPr>
          <w:i/>
          <w:spacing w:val="-9"/>
        </w:rPr>
        <w:t> </w:t>
      </w:r>
      <w:r>
        <w:rPr/>
        <w:t>aptver</w:t>
      </w:r>
      <w:r>
        <w:rPr>
          <w:spacing w:val="-12"/>
        </w:rPr>
        <w:t> </w:t>
      </w:r>
      <w:r>
        <w:rPr/>
        <w:t>visu</w:t>
      </w:r>
      <w:r>
        <w:rPr>
          <w:spacing w:val="-11"/>
        </w:rPr>
        <w:t> </w:t>
      </w:r>
      <w:r>
        <w:rPr/>
        <w:t>maksātnespējas</w:t>
      </w:r>
      <w:r>
        <w:rPr>
          <w:spacing w:val="-9"/>
        </w:rPr>
        <w:t> </w:t>
      </w:r>
      <w:r>
        <w:rPr/>
        <w:t>procesu (bankrota procedūru), saistību dzēšanas procedūru un laiku līdz 4 gadiem pēc parādnieka atbrīvošanas no parādsaistībām.</w:t>
      </w:r>
      <w:r>
        <w:rPr>
          <w:position w:val="9"/>
          <w:sz w:val="16"/>
        </w:rPr>
        <w:t>467 </w:t>
      </w:r>
      <w:r>
        <w:rPr/>
        <w:t>Tiesa lemj par maksātnespējas procesa izmaksu maksāšanas termiņa atlikšanu pirms katras procesa stadijas atsevišķi: maksātnespējas procesa pasludināšanas process; tiesā īstenotais kreditoru prasījumu segšanas plāna saskaņošanas process; bankrota procedūra un saistību dzēšanas</w:t>
      </w:r>
      <w:r>
        <w:rPr>
          <w:spacing w:val="-7"/>
        </w:rPr>
        <w:t> </w:t>
      </w:r>
      <w:r>
        <w:rPr/>
        <w:t>procedūra.</w:t>
      </w:r>
      <w:r>
        <w:rPr>
          <w:position w:val="9"/>
          <w:sz w:val="16"/>
        </w:rPr>
        <w:t>468</w:t>
      </w:r>
    </w:p>
    <w:p>
      <w:pPr>
        <w:pStyle w:val="BodyText"/>
        <w:ind w:left="260" w:right="762" w:firstLine="720"/>
      </w:pPr>
      <w:r>
        <w:rPr/>
        <w:t>Saskaņā ar Maksātnespējas likuma </w:t>
      </w:r>
      <w:r>
        <w:rPr>
          <w:i/>
        </w:rPr>
        <w:t>§4b pirmo daļu, </w:t>
      </w:r>
      <w:r>
        <w:rPr/>
        <w:t>ja parādniekam pēc atbrīvošanas no neizpildītajām parādsaistībām nav pietiekami ieņēmumi un mata, no </w:t>
      </w:r>
      <w:r>
        <w:rPr>
          <w:spacing w:val="-6"/>
        </w:rPr>
        <w:t>kā </w:t>
      </w:r>
      <w:r>
        <w:rPr/>
        <w:t>segt</w:t>
      </w:r>
      <w:r>
        <w:rPr>
          <w:spacing w:val="-16"/>
        </w:rPr>
        <w:t> </w:t>
      </w:r>
      <w:r>
        <w:rPr/>
        <w:t>tiesas</w:t>
      </w:r>
      <w:r>
        <w:rPr>
          <w:spacing w:val="-12"/>
        </w:rPr>
        <w:t> </w:t>
      </w:r>
      <w:r>
        <w:rPr/>
        <w:t>atliktās</w:t>
      </w:r>
      <w:r>
        <w:rPr>
          <w:spacing w:val="-18"/>
        </w:rPr>
        <w:t> </w:t>
      </w:r>
      <w:r>
        <w:rPr/>
        <w:t>maksātnespējas</w:t>
      </w:r>
      <w:r>
        <w:rPr>
          <w:spacing w:val="-17"/>
        </w:rPr>
        <w:t> </w:t>
      </w:r>
      <w:r>
        <w:rPr/>
        <w:t>procesa</w:t>
      </w:r>
      <w:r>
        <w:rPr>
          <w:spacing w:val="-16"/>
        </w:rPr>
        <w:t> </w:t>
      </w:r>
      <w:r>
        <w:rPr/>
        <w:t>izmaksas,</w:t>
      </w:r>
      <w:r>
        <w:rPr>
          <w:spacing w:val="-15"/>
        </w:rPr>
        <w:t> </w:t>
      </w:r>
      <w:r>
        <w:rPr/>
        <w:t>tad</w:t>
      </w:r>
      <w:r>
        <w:rPr>
          <w:spacing w:val="-16"/>
        </w:rPr>
        <w:t> </w:t>
      </w:r>
      <w:r>
        <w:rPr/>
        <w:t>tiesa</w:t>
      </w:r>
      <w:r>
        <w:rPr>
          <w:spacing w:val="-15"/>
        </w:rPr>
        <w:t> </w:t>
      </w:r>
      <w:r>
        <w:rPr/>
        <w:t>var</w:t>
      </w:r>
      <w:r>
        <w:rPr>
          <w:spacing w:val="-19"/>
        </w:rPr>
        <w:t> </w:t>
      </w:r>
      <w:r>
        <w:rPr/>
        <w:t>pagarināt</w:t>
      </w:r>
      <w:r>
        <w:rPr>
          <w:spacing w:val="-12"/>
        </w:rPr>
        <w:t> </w:t>
      </w:r>
      <w:r>
        <w:rPr/>
        <w:t>maksātnespējas procesa izmaksu samaksas termiņu un sadalīt izmaksas ikmēneša maksājumos. Saskaņā </w:t>
      </w:r>
      <w:r>
        <w:rPr>
          <w:spacing w:val="-6"/>
        </w:rPr>
        <w:t>ar </w:t>
      </w:r>
      <w:r>
        <w:rPr/>
        <w:t>Maksātnespējas</w:t>
      </w:r>
      <w:r>
        <w:rPr>
          <w:spacing w:val="-11"/>
        </w:rPr>
        <w:t> </w:t>
      </w:r>
      <w:r>
        <w:rPr/>
        <w:t>likuma</w:t>
      </w:r>
      <w:r>
        <w:rPr>
          <w:spacing w:val="-11"/>
        </w:rPr>
        <w:t> </w:t>
      </w:r>
      <w:r>
        <w:rPr>
          <w:i/>
        </w:rPr>
        <w:t>§4b</w:t>
      </w:r>
      <w:r>
        <w:rPr>
          <w:i/>
          <w:spacing w:val="-11"/>
        </w:rPr>
        <w:t> </w:t>
      </w:r>
      <w:r>
        <w:rPr>
          <w:i/>
          <w:spacing w:val="-3"/>
        </w:rPr>
        <w:t>otro</w:t>
      </w:r>
      <w:r>
        <w:rPr>
          <w:i/>
          <w:spacing w:val="-10"/>
        </w:rPr>
        <w:t> </w:t>
      </w:r>
      <w:r>
        <w:rPr>
          <w:i/>
        </w:rPr>
        <w:t>daļu,</w:t>
      </w:r>
      <w:r>
        <w:rPr>
          <w:i/>
          <w:spacing w:val="-10"/>
        </w:rPr>
        <w:t> </w:t>
      </w:r>
      <w:r>
        <w:rPr/>
        <w:t>tiesa</w:t>
      </w:r>
      <w:r>
        <w:rPr>
          <w:spacing w:val="-11"/>
        </w:rPr>
        <w:t> </w:t>
      </w:r>
      <w:r>
        <w:rPr/>
        <w:t>var</w:t>
      </w:r>
      <w:r>
        <w:rPr>
          <w:spacing w:val="-13"/>
        </w:rPr>
        <w:t> </w:t>
      </w:r>
      <w:r>
        <w:rPr/>
        <w:t>grozīt</w:t>
      </w:r>
      <w:r>
        <w:rPr>
          <w:spacing w:val="-11"/>
        </w:rPr>
        <w:t> </w:t>
      </w:r>
      <w:r>
        <w:rPr/>
        <w:t>ikmēneša</w:t>
      </w:r>
      <w:r>
        <w:rPr>
          <w:spacing w:val="-11"/>
        </w:rPr>
        <w:t> </w:t>
      </w:r>
      <w:r>
        <w:rPr/>
        <w:t>maksājuma</w:t>
      </w:r>
      <w:r>
        <w:rPr>
          <w:spacing w:val="-7"/>
        </w:rPr>
        <w:t> </w:t>
      </w:r>
      <w:r>
        <w:rPr/>
        <w:t>apmēru,</w:t>
      </w:r>
      <w:r>
        <w:rPr>
          <w:spacing w:val="-10"/>
        </w:rPr>
        <w:t> </w:t>
      </w:r>
      <w:r>
        <w:rPr/>
        <w:t>ņemot vērā parādnieka finansiālo</w:t>
      </w:r>
      <w:r>
        <w:rPr>
          <w:spacing w:val="-4"/>
        </w:rPr>
        <w:t> </w:t>
      </w:r>
      <w:r>
        <w:rPr/>
        <w:t>stāvokli.</w:t>
      </w:r>
    </w:p>
    <w:p>
      <w:pPr>
        <w:pStyle w:val="BodyText"/>
        <w:spacing w:line="228" w:lineRule="auto" w:before="5"/>
        <w:ind w:left="260" w:right="761" w:firstLine="720"/>
        <w:rPr>
          <w:sz w:val="16"/>
        </w:rPr>
      </w:pPr>
      <w:r>
        <w:rPr/>
        <w:t>Procesos, kas ir vienkārši, kuros nav mantas un ir mazs kreditoru skaits, maksātnespējas procesa izmaksas vidēji veido 1500 – 2000 EUR.</w:t>
      </w:r>
      <w:r>
        <w:rPr>
          <w:position w:val="9"/>
          <w:sz w:val="16"/>
        </w:rPr>
        <w:t>469</w:t>
      </w:r>
    </w:p>
    <w:p>
      <w:pPr>
        <w:pStyle w:val="BodyText"/>
        <w:spacing w:before="2"/>
        <w:ind w:left="260" w:right="764" w:firstLine="720"/>
      </w:pPr>
      <w:r>
        <w:rPr/>
        <w:t>Saskaņā ar Vācijas Maksātnespējas likuma </w:t>
      </w:r>
      <w:r>
        <w:rPr>
          <w:i/>
        </w:rPr>
        <w:t>§4c </w:t>
      </w:r>
      <w:r>
        <w:rPr/>
        <w:t>tiesa var atcelt lēmumu par maksātnespējas procesa izmaksu segšanas atlikšanu, ja:</w:t>
      </w:r>
    </w:p>
    <w:p>
      <w:pPr>
        <w:pStyle w:val="ListParagraph"/>
        <w:numPr>
          <w:ilvl w:val="1"/>
          <w:numId w:val="109"/>
        </w:numPr>
        <w:tabs>
          <w:tab w:pos="1394" w:val="left" w:leader="none"/>
        </w:tabs>
        <w:spacing w:line="240" w:lineRule="auto" w:before="0" w:after="0"/>
        <w:ind w:left="1392" w:right="764" w:hanging="425"/>
        <w:jc w:val="both"/>
        <w:rPr>
          <w:sz w:val="24"/>
        </w:rPr>
      </w:pPr>
      <w:r>
        <w:rPr>
          <w:sz w:val="24"/>
        </w:rPr>
        <w:t>parādnieks</w:t>
      </w:r>
      <w:r>
        <w:rPr>
          <w:spacing w:val="-6"/>
          <w:sz w:val="24"/>
        </w:rPr>
        <w:t> </w:t>
      </w:r>
      <w:r>
        <w:rPr>
          <w:sz w:val="24"/>
        </w:rPr>
        <w:t>ar</w:t>
      </w:r>
      <w:r>
        <w:rPr>
          <w:spacing w:val="-9"/>
          <w:sz w:val="24"/>
        </w:rPr>
        <w:t> </w:t>
      </w:r>
      <w:r>
        <w:rPr>
          <w:sz w:val="24"/>
        </w:rPr>
        <w:t>nodomu</w:t>
      </w:r>
      <w:r>
        <w:rPr>
          <w:spacing w:val="-3"/>
          <w:sz w:val="24"/>
        </w:rPr>
        <w:t> </w:t>
      </w:r>
      <w:r>
        <w:rPr>
          <w:sz w:val="24"/>
        </w:rPr>
        <w:t>vai</w:t>
      </w:r>
      <w:r>
        <w:rPr>
          <w:spacing w:val="-6"/>
          <w:sz w:val="24"/>
        </w:rPr>
        <w:t> </w:t>
      </w:r>
      <w:r>
        <w:rPr>
          <w:sz w:val="24"/>
        </w:rPr>
        <w:t>aiz</w:t>
      </w:r>
      <w:r>
        <w:rPr>
          <w:spacing w:val="-4"/>
          <w:sz w:val="24"/>
        </w:rPr>
        <w:t> </w:t>
      </w:r>
      <w:r>
        <w:rPr>
          <w:sz w:val="24"/>
        </w:rPr>
        <w:t>rupjas</w:t>
      </w:r>
      <w:r>
        <w:rPr>
          <w:spacing w:val="-6"/>
          <w:sz w:val="24"/>
        </w:rPr>
        <w:t> </w:t>
      </w:r>
      <w:r>
        <w:rPr>
          <w:sz w:val="24"/>
        </w:rPr>
        <w:t>neuzmanības</w:t>
      </w:r>
      <w:r>
        <w:rPr>
          <w:spacing w:val="-11"/>
          <w:sz w:val="24"/>
        </w:rPr>
        <w:t> </w:t>
      </w:r>
      <w:r>
        <w:rPr>
          <w:sz w:val="24"/>
        </w:rPr>
        <w:t>sniedzis</w:t>
      </w:r>
      <w:r>
        <w:rPr>
          <w:spacing w:val="-5"/>
          <w:sz w:val="24"/>
        </w:rPr>
        <w:t> </w:t>
      </w:r>
      <w:r>
        <w:rPr>
          <w:sz w:val="24"/>
        </w:rPr>
        <w:t>nepatiesas</w:t>
      </w:r>
      <w:r>
        <w:rPr>
          <w:spacing w:val="-6"/>
          <w:sz w:val="24"/>
        </w:rPr>
        <w:t> </w:t>
      </w:r>
      <w:r>
        <w:rPr>
          <w:sz w:val="24"/>
        </w:rPr>
        <w:t>ziņas</w:t>
      </w:r>
      <w:r>
        <w:rPr>
          <w:spacing w:val="-10"/>
          <w:sz w:val="24"/>
        </w:rPr>
        <w:t> </w:t>
      </w:r>
      <w:r>
        <w:rPr>
          <w:sz w:val="24"/>
        </w:rPr>
        <w:t>par apstākļiem, kuras bija būtiskas jautājuma izlemšanai par maksātnespējas procesa pasludināšanu vai lēmuma pieņemšanai par maksātnespējas procesa izmaksu segšanas</w:t>
      </w:r>
      <w:r>
        <w:rPr>
          <w:spacing w:val="-1"/>
          <w:sz w:val="24"/>
        </w:rPr>
        <w:t> </w:t>
      </w:r>
      <w:r>
        <w:rPr>
          <w:sz w:val="24"/>
        </w:rPr>
        <w:t>atlikšanu;</w:t>
      </w:r>
    </w:p>
    <w:p>
      <w:pPr>
        <w:pStyle w:val="ListParagraph"/>
        <w:numPr>
          <w:ilvl w:val="1"/>
          <w:numId w:val="109"/>
        </w:numPr>
        <w:tabs>
          <w:tab w:pos="1394" w:val="left" w:leader="none"/>
        </w:tabs>
        <w:spacing w:line="240" w:lineRule="auto" w:before="0" w:after="0"/>
        <w:ind w:left="1392" w:right="764" w:hanging="425"/>
        <w:jc w:val="both"/>
        <w:rPr>
          <w:sz w:val="24"/>
        </w:rPr>
      </w:pPr>
      <w:r>
        <w:rPr>
          <w:sz w:val="24"/>
        </w:rPr>
        <w:t>personiskie vai ekonomiskie priekšnoteikumi maksātnespējas procesa</w:t>
      </w:r>
      <w:r>
        <w:rPr>
          <w:spacing w:val="-38"/>
          <w:sz w:val="24"/>
        </w:rPr>
        <w:t> </w:t>
      </w:r>
      <w:r>
        <w:rPr>
          <w:sz w:val="24"/>
        </w:rPr>
        <w:t>izmaksu segšanas</w:t>
      </w:r>
      <w:r>
        <w:rPr>
          <w:spacing w:val="13"/>
          <w:sz w:val="24"/>
        </w:rPr>
        <w:t> </w:t>
      </w:r>
      <w:r>
        <w:rPr>
          <w:sz w:val="24"/>
        </w:rPr>
        <w:t>atlikšanai</w:t>
      </w:r>
      <w:r>
        <w:rPr>
          <w:spacing w:val="13"/>
          <w:sz w:val="24"/>
        </w:rPr>
        <w:t> </w:t>
      </w:r>
      <w:r>
        <w:rPr>
          <w:sz w:val="24"/>
        </w:rPr>
        <w:t>nepastāvēja.</w:t>
      </w:r>
      <w:r>
        <w:rPr>
          <w:spacing w:val="13"/>
          <w:sz w:val="24"/>
        </w:rPr>
        <w:t> </w:t>
      </w:r>
      <w:r>
        <w:rPr>
          <w:sz w:val="24"/>
        </w:rPr>
        <w:t>Lēmuma</w:t>
      </w:r>
      <w:r>
        <w:rPr>
          <w:spacing w:val="13"/>
          <w:sz w:val="24"/>
        </w:rPr>
        <w:t> </w:t>
      </w:r>
      <w:r>
        <w:rPr>
          <w:sz w:val="24"/>
        </w:rPr>
        <w:t>atcelšana</w:t>
      </w:r>
      <w:r>
        <w:rPr>
          <w:spacing w:val="13"/>
          <w:sz w:val="24"/>
        </w:rPr>
        <w:t> </w:t>
      </w:r>
      <w:r>
        <w:rPr>
          <w:sz w:val="24"/>
        </w:rPr>
        <w:t>nav</w:t>
      </w:r>
      <w:r>
        <w:rPr>
          <w:spacing w:val="13"/>
          <w:sz w:val="24"/>
        </w:rPr>
        <w:t> </w:t>
      </w:r>
      <w:r>
        <w:rPr>
          <w:sz w:val="24"/>
        </w:rPr>
        <w:t>iespējama,</w:t>
      </w:r>
      <w:r>
        <w:rPr>
          <w:spacing w:val="13"/>
          <w:sz w:val="24"/>
        </w:rPr>
        <w:t> </w:t>
      </w:r>
      <w:r>
        <w:rPr>
          <w:sz w:val="24"/>
        </w:rPr>
        <w:t>ja</w:t>
      </w:r>
      <w:r>
        <w:rPr>
          <w:spacing w:val="15"/>
          <w:sz w:val="24"/>
        </w:rPr>
        <w:t> </w:t>
      </w:r>
      <w:r>
        <w:rPr>
          <w:sz w:val="24"/>
        </w:rPr>
        <w:t>no</w:t>
      </w:r>
    </w:p>
    <w:p>
      <w:pPr>
        <w:pStyle w:val="BodyText"/>
        <w:jc w:val="left"/>
        <w:rPr>
          <w:sz w:val="20"/>
        </w:rPr>
      </w:pPr>
    </w:p>
    <w:p>
      <w:pPr>
        <w:pStyle w:val="BodyText"/>
        <w:spacing w:before="6"/>
        <w:jc w:val="left"/>
        <w:rPr>
          <w:sz w:val="12"/>
        </w:rPr>
      </w:pPr>
      <w:r>
        <w:rPr/>
        <w:pict>
          <v:shape style="position:absolute;margin-left:72pt;margin-top:9.489582pt;width:144pt;height:.1pt;mso-position-horizontal-relative:page;mso-position-vertical-relative:paragraph;z-index:-251457536;mso-wrap-distance-left:0;mso-wrap-distance-right:0" coordorigin="1440,190" coordsize="2880,0" path="m1440,190l4320,190e" filled="false" stroked="true" strokeweight=".599991pt" strokecolor="#000000">
            <v:path arrowok="t"/>
            <v:stroke dashstyle="solid"/>
            <w10:wrap type="topAndBottom"/>
          </v:shape>
        </w:pict>
      </w:r>
    </w:p>
    <w:p>
      <w:pPr>
        <w:spacing w:before="70"/>
        <w:ind w:left="260" w:right="764" w:firstLine="0"/>
        <w:jc w:val="both"/>
        <w:rPr>
          <w:sz w:val="20"/>
        </w:rPr>
      </w:pPr>
      <w:r>
        <w:rPr>
          <w:position w:val="7"/>
          <w:sz w:val="13"/>
        </w:rPr>
        <w:t>465 </w:t>
      </w:r>
      <w:r>
        <w:rPr>
          <w:sz w:val="20"/>
        </w:rPr>
        <w:t>Parādnieks pēdējo piecu gadu laikā pirms maksātnespējas procesa pieteikuma iesniegšanas tiesā vai pēc pieteikuma</w:t>
      </w:r>
      <w:r>
        <w:rPr>
          <w:spacing w:val="-9"/>
          <w:sz w:val="20"/>
        </w:rPr>
        <w:t> </w:t>
      </w:r>
      <w:r>
        <w:rPr>
          <w:sz w:val="20"/>
        </w:rPr>
        <w:t>iesniegšanas</w:t>
      </w:r>
      <w:r>
        <w:rPr>
          <w:spacing w:val="-8"/>
          <w:sz w:val="20"/>
        </w:rPr>
        <w:t> </w:t>
      </w:r>
      <w:r>
        <w:rPr>
          <w:sz w:val="20"/>
        </w:rPr>
        <w:t>tiesā,</w:t>
      </w:r>
      <w:r>
        <w:rPr>
          <w:spacing w:val="-9"/>
          <w:sz w:val="20"/>
        </w:rPr>
        <w:t> </w:t>
      </w:r>
      <w:r>
        <w:rPr>
          <w:sz w:val="20"/>
        </w:rPr>
        <w:t>ir</w:t>
      </w:r>
      <w:r>
        <w:rPr>
          <w:spacing w:val="-8"/>
          <w:sz w:val="20"/>
        </w:rPr>
        <w:t> </w:t>
      </w:r>
      <w:r>
        <w:rPr>
          <w:sz w:val="20"/>
        </w:rPr>
        <w:t>ticis</w:t>
      </w:r>
      <w:r>
        <w:rPr>
          <w:spacing w:val="-7"/>
          <w:sz w:val="20"/>
        </w:rPr>
        <w:t> </w:t>
      </w:r>
      <w:r>
        <w:rPr>
          <w:sz w:val="20"/>
        </w:rPr>
        <w:t>notiesāts</w:t>
      </w:r>
      <w:r>
        <w:rPr>
          <w:spacing w:val="-9"/>
          <w:sz w:val="20"/>
        </w:rPr>
        <w:t> </w:t>
      </w:r>
      <w:r>
        <w:rPr>
          <w:sz w:val="20"/>
        </w:rPr>
        <w:t>ar</w:t>
      </w:r>
      <w:r>
        <w:rPr>
          <w:spacing w:val="-7"/>
          <w:sz w:val="20"/>
        </w:rPr>
        <w:t> </w:t>
      </w:r>
      <w:r>
        <w:rPr>
          <w:sz w:val="20"/>
        </w:rPr>
        <w:t>spēkā</w:t>
      </w:r>
      <w:r>
        <w:rPr>
          <w:spacing w:val="-8"/>
          <w:sz w:val="20"/>
        </w:rPr>
        <w:t> </w:t>
      </w:r>
      <w:r>
        <w:rPr>
          <w:sz w:val="20"/>
        </w:rPr>
        <w:t>stājušos</w:t>
      </w:r>
      <w:r>
        <w:rPr>
          <w:spacing w:val="-9"/>
          <w:sz w:val="20"/>
        </w:rPr>
        <w:t> </w:t>
      </w:r>
      <w:r>
        <w:rPr>
          <w:sz w:val="20"/>
        </w:rPr>
        <w:t>tiesas</w:t>
      </w:r>
      <w:r>
        <w:rPr>
          <w:spacing w:val="-6"/>
          <w:sz w:val="20"/>
        </w:rPr>
        <w:t> </w:t>
      </w:r>
      <w:r>
        <w:rPr>
          <w:sz w:val="20"/>
        </w:rPr>
        <w:t>spriedumu</w:t>
      </w:r>
      <w:r>
        <w:rPr>
          <w:spacing w:val="-11"/>
          <w:sz w:val="20"/>
        </w:rPr>
        <w:t> </w:t>
      </w:r>
      <w:r>
        <w:rPr>
          <w:sz w:val="20"/>
        </w:rPr>
        <w:t>par</w:t>
      </w:r>
      <w:r>
        <w:rPr>
          <w:spacing w:val="-8"/>
          <w:sz w:val="20"/>
        </w:rPr>
        <w:t> </w:t>
      </w:r>
      <w:r>
        <w:rPr>
          <w:sz w:val="20"/>
        </w:rPr>
        <w:t>noziedzīgu</w:t>
      </w:r>
      <w:r>
        <w:rPr>
          <w:spacing w:val="-7"/>
          <w:sz w:val="20"/>
        </w:rPr>
        <w:t> </w:t>
      </w:r>
      <w:r>
        <w:rPr>
          <w:sz w:val="20"/>
        </w:rPr>
        <w:t>nodarījumu, kas paredzēts Vācijas Krimināllikuma §§ 283 – 283c, piespriežot naudas sodu notiesātā 90 vienas dienas vidējo izpeļņu apmērā vai brīvības atņemšanu ilgāk kā 3</w:t>
      </w:r>
      <w:r>
        <w:rPr>
          <w:spacing w:val="-2"/>
          <w:sz w:val="20"/>
        </w:rPr>
        <w:t> </w:t>
      </w:r>
      <w:r>
        <w:rPr>
          <w:sz w:val="20"/>
        </w:rPr>
        <w:t>mēneši.</w:t>
      </w:r>
    </w:p>
    <w:p>
      <w:pPr>
        <w:spacing w:line="235" w:lineRule="auto" w:before="0"/>
        <w:ind w:left="260" w:right="3236" w:firstLine="0"/>
        <w:jc w:val="both"/>
        <w:rPr>
          <w:sz w:val="20"/>
        </w:rPr>
      </w:pPr>
      <w:r>
        <w:rPr>
          <w:position w:val="7"/>
          <w:sz w:val="13"/>
        </w:rPr>
        <w:t>466 </w:t>
      </w:r>
      <w:r>
        <w:rPr>
          <w:sz w:val="20"/>
        </w:rPr>
        <w:t>Kayser/Thole “Insolvenzordnung”, Waltenberger Kommentare §4a, S.50. </w:t>
      </w:r>
      <w:r>
        <w:rPr>
          <w:position w:val="7"/>
          <w:sz w:val="13"/>
        </w:rPr>
        <w:t>467 </w:t>
      </w:r>
      <w:r>
        <w:rPr>
          <w:sz w:val="20"/>
        </w:rPr>
        <w:t>Kayser/Thole “Insolvenzordnung”, Waltenberger Kommentare §4a, S.51. </w:t>
      </w:r>
      <w:r>
        <w:rPr>
          <w:position w:val="7"/>
          <w:sz w:val="13"/>
        </w:rPr>
        <w:t>468 </w:t>
      </w:r>
      <w:r>
        <w:rPr>
          <w:sz w:val="20"/>
        </w:rPr>
        <w:t>Kayser/Thole “Insolvenzordnung”, Waltenberger Kommentare §4a, S.54.</w:t>
      </w:r>
    </w:p>
    <w:p>
      <w:pPr>
        <w:spacing w:line="232" w:lineRule="exact" w:before="0"/>
        <w:ind w:left="260" w:right="0" w:firstLine="0"/>
        <w:jc w:val="both"/>
        <w:rPr>
          <w:sz w:val="20"/>
        </w:rPr>
      </w:pPr>
      <w:r>
        <w:rPr>
          <w:position w:val="7"/>
          <w:sz w:val="13"/>
        </w:rPr>
        <w:t>469 </w:t>
      </w:r>
      <w:r>
        <w:rPr>
          <w:sz w:val="20"/>
        </w:rPr>
        <w:t>Kayser/Thole “Insolvenzordnung”, Waltenberger Kommentare §300, S.2252.</w:t>
      </w:r>
    </w:p>
    <w:p>
      <w:pPr>
        <w:spacing w:after="0" w:line="232" w:lineRule="exact"/>
        <w:jc w:val="both"/>
        <w:rPr>
          <w:sz w:val="20"/>
        </w:rPr>
        <w:sectPr>
          <w:pgSz w:w="11910" w:h="16840"/>
          <w:pgMar w:header="0" w:footer="1055" w:top="1340" w:bottom="1240" w:left="1180" w:right="1040"/>
        </w:sectPr>
      </w:pPr>
    </w:p>
    <w:p>
      <w:pPr>
        <w:pStyle w:val="BodyText"/>
        <w:spacing w:before="73"/>
        <w:ind w:left="1752"/>
      </w:pPr>
      <w:r>
        <w:rPr/>
        <w:t>procesa pabeigšanas ir pagājuši 4 gadi;</w:t>
      </w:r>
    </w:p>
    <w:p>
      <w:pPr>
        <w:pStyle w:val="ListParagraph"/>
        <w:numPr>
          <w:ilvl w:val="1"/>
          <w:numId w:val="109"/>
        </w:numPr>
        <w:tabs>
          <w:tab w:pos="1754" w:val="left" w:leader="none"/>
        </w:tabs>
        <w:spacing w:line="240" w:lineRule="auto" w:before="0" w:after="0"/>
        <w:ind w:left="1752" w:right="405" w:hanging="425"/>
        <w:jc w:val="both"/>
        <w:rPr>
          <w:sz w:val="24"/>
        </w:rPr>
      </w:pPr>
      <w:r>
        <w:rPr>
          <w:sz w:val="24"/>
        </w:rPr>
        <w:t>parādnieks nepamatoti ir nokavējis ilgāk kā 3 mēnešus mēneša maksājumu</w:t>
      </w:r>
      <w:r>
        <w:rPr>
          <w:spacing w:val="-27"/>
          <w:sz w:val="24"/>
        </w:rPr>
        <w:t> </w:t>
      </w:r>
      <w:r>
        <w:rPr>
          <w:sz w:val="24"/>
        </w:rPr>
        <w:t>vai citu maksājumu, kas tam bija</w:t>
      </w:r>
      <w:r>
        <w:rPr>
          <w:spacing w:val="-1"/>
          <w:sz w:val="24"/>
        </w:rPr>
        <w:t> </w:t>
      </w:r>
      <w:r>
        <w:rPr>
          <w:sz w:val="24"/>
        </w:rPr>
        <w:t>jāveic;</w:t>
      </w:r>
    </w:p>
    <w:p>
      <w:pPr>
        <w:pStyle w:val="ListParagraph"/>
        <w:numPr>
          <w:ilvl w:val="1"/>
          <w:numId w:val="109"/>
        </w:numPr>
        <w:tabs>
          <w:tab w:pos="1754" w:val="left" w:leader="none"/>
        </w:tabs>
        <w:spacing w:line="237" w:lineRule="auto" w:before="3" w:after="0"/>
        <w:ind w:left="1752" w:right="403" w:hanging="425"/>
        <w:jc w:val="both"/>
        <w:rPr>
          <w:i/>
          <w:sz w:val="24"/>
        </w:rPr>
      </w:pPr>
      <w:r>
        <w:rPr>
          <w:sz w:val="24"/>
        </w:rPr>
        <w:t>parādnieks</w:t>
      </w:r>
      <w:r>
        <w:rPr>
          <w:spacing w:val="-11"/>
          <w:sz w:val="24"/>
        </w:rPr>
        <w:t> </w:t>
      </w:r>
      <w:r>
        <w:rPr>
          <w:sz w:val="24"/>
        </w:rPr>
        <w:t>neveic</w:t>
      </w:r>
      <w:r>
        <w:rPr>
          <w:spacing w:val="-13"/>
          <w:sz w:val="24"/>
        </w:rPr>
        <w:t> </w:t>
      </w:r>
      <w:r>
        <w:rPr>
          <w:sz w:val="24"/>
        </w:rPr>
        <w:t>atbilstošu</w:t>
      </w:r>
      <w:r>
        <w:rPr>
          <w:spacing w:val="-13"/>
          <w:sz w:val="24"/>
        </w:rPr>
        <w:t> </w:t>
      </w:r>
      <w:r>
        <w:rPr>
          <w:sz w:val="24"/>
        </w:rPr>
        <w:t>darbu</w:t>
      </w:r>
      <w:r>
        <w:rPr>
          <w:spacing w:val="-10"/>
          <w:sz w:val="24"/>
        </w:rPr>
        <w:t> </w:t>
      </w:r>
      <w:r>
        <w:rPr>
          <w:sz w:val="24"/>
        </w:rPr>
        <w:t>vai,</w:t>
      </w:r>
      <w:r>
        <w:rPr>
          <w:spacing w:val="-13"/>
          <w:sz w:val="24"/>
        </w:rPr>
        <w:t> </w:t>
      </w:r>
      <w:r>
        <w:rPr>
          <w:sz w:val="24"/>
        </w:rPr>
        <w:t>parādnieks</w:t>
      </w:r>
      <w:r>
        <w:rPr>
          <w:spacing w:val="-11"/>
          <w:sz w:val="24"/>
        </w:rPr>
        <w:t> </w:t>
      </w:r>
      <w:r>
        <w:rPr>
          <w:sz w:val="24"/>
        </w:rPr>
        <w:t>nav</w:t>
      </w:r>
      <w:r>
        <w:rPr>
          <w:spacing w:val="-16"/>
          <w:sz w:val="24"/>
        </w:rPr>
        <w:t> </w:t>
      </w:r>
      <w:r>
        <w:rPr>
          <w:sz w:val="24"/>
        </w:rPr>
        <w:t>nodarbināts</w:t>
      </w:r>
      <w:r>
        <w:rPr>
          <w:spacing w:val="-10"/>
          <w:sz w:val="24"/>
        </w:rPr>
        <w:t> </w:t>
      </w:r>
      <w:r>
        <w:rPr>
          <w:sz w:val="24"/>
        </w:rPr>
        <w:t>un</w:t>
      </w:r>
      <w:r>
        <w:rPr>
          <w:spacing w:val="-11"/>
          <w:sz w:val="24"/>
        </w:rPr>
        <w:t> </w:t>
      </w:r>
      <w:r>
        <w:rPr>
          <w:sz w:val="24"/>
        </w:rPr>
        <w:t>necenšas sameklēt darbu, vai noraida atbilstošu darba piedāvājumu un tādejādi aizskar kreditoru tiesības uz savu prasījumu segšanu; šī norma nav piemērojama, ja parādnieks nav vainojams; piemērojams </w:t>
      </w:r>
      <w:r>
        <w:rPr>
          <w:i/>
          <w:sz w:val="24"/>
        </w:rPr>
        <w:t>§ 296 otrās daļas 2. teikums un </w:t>
      </w:r>
      <w:r>
        <w:rPr>
          <w:i/>
          <w:sz w:val="24"/>
        </w:rPr>
        <w:t>3.teikums</w:t>
      </w:r>
      <w:r>
        <w:rPr>
          <w:i/>
          <w:position w:val="9"/>
          <w:sz w:val="16"/>
        </w:rPr>
        <w:t>470</w:t>
      </w:r>
      <w:r>
        <w:rPr>
          <w:i/>
          <w:sz w:val="24"/>
        </w:rPr>
        <w:t>;</w:t>
      </w:r>
    </w:p>
    <w:p>
      <w:pPr>
        <w:pStyle w:val="ListParagraph"/>
        <w:numPr>
          <w:ilvl w:val="1"/>
          <w:numId w:val="109"/>
        </w:numPr>
        <w:tabs>
          <w:tab w:pos="1753" w:val="left" w:leader="none"/>
        </w:tabs>
        <w:spacing w:line="272" w:lineRule="exact" w:before="0" w:after="0"/>
        <w:ind w:left="1752" w:right="0" w:hanging="426"/>
        <w:jc w:val="both"/>
        <w:rPr>
          <w:sz w:val="24"/>
        </w:rPr>
      </w:pPr>
      <w:r>
        <w:rPr>
          <w:sz w:val="24"/>
        </w:rPr>
        <w:t>tiesa atsaka atbrīvošanu no atlikušajām parādsaistībām vai atsauc</w:t>
      </w:r>
      <w:r>
        <w:rPr>
          <w:spacing w:val="-1"/>
          <w:sz w:val="24"/>
        </w:rPr>
        <w:t> </w:t>
      </w:r>
      <w:r>
        <w:rPr>
          <w:sz w:val="24"/>
        </w:rPr>
        <w:t>to.</w:t>
      </w:r>
    </w:p>
    <w:p>
      <w:pPr>
        <w:pStyle w:val="BodyText"/>
        <w:spacing w:before="11"/>
        <w:jc w:val="left"/>
        <w:rPr>
          <w:sz w:val="23"/>
        </w:rPr>
      </w:pPr>
    </w:p>
    <w:p>
      <w:pPr>
        <w:pStyle w:val="ListParagraph"/>
        <w:numPr>
          <w:ilvl w:val="0"/>
          <w:numId w:val="109"/>
        </w:numPr>
        <w:tabs>
          <w:tab w:pos="1601" w:val="left" w:leader="none"/>
        </w:tabs>
        <w:spacing w:line="240" w:lineRule="auto" w:before="0" w:after="0"/>
        <w:ind w:left="620" w:right="401" w:firstLine="708"/>
        <w:jc w:val="both"/>
        <w:rPr>
          <w:sz w:val="24"/>
        </w:rPr>
      </w:pPr>
      <w:r>
        <w:rPr>
          <w:b/>
          <w:i/>
          <w:sz w:val="24"/>
        </w:rPr>
        <w:t>Rakstisks</w:t>
      </w:r>
      <w:r>
        <w:rPr>
          <w:b/>
          <w:i/>
          <w:spacing w:val="-11"/>
          <w:sz w:val="24"/>
        </w:rPr>
        <w:t> </w:t>
      </w:r>
      <w:r>
        <w:rPr>
          <w:b/>
          <w:i/>
          <w:sz w:val="24"/>
        </w:rPr>
        <w:t>maksātnespējas</w:t>
      </w:r>
      <w:r>
        <w:rPr>
          <w:b/>
          <w:i/>
          <w:spacing w:val="-8"/>
          <w:sz w:val="24"/>
        </w:rPr>
        <w:t> </w:t>
      </w:r>
      <w:r>
        <w:rPr>
          <w:b/>
          <w:i/>
          <w:sz w:val="24"/>
        </w:rPr>
        <w:t>process.</w:t>
      </w:r>
      <w:r>
        <w:rPr>
          <w:b/>
          <w:i/>
          <w:spacing w:val="-4"/>
          <w:sz w:val="24"/>
        </w:rPr>
        <w:t> </w:t>
      </w:r>
      <w:r>
        <w:rPr>
          <w:sz w:val="24"/>
        </w:rPr>
        <w:t>Vācijas</w:t>
      </w:r>
      <w:r>
        <w:rPr>
          <w:spacing w:val="-8"/>
          <w:sz w:val="24"/>
        </w:rPr>
        <w:t> </w:t>
      </w:r>
      <w:r>
        <w:rPr>
          <w:sz w:val="24"/>
        </w:rPr>
        <w:t>Maksātnespējas</w:t>
      </w:r>
      <w:r>
        <w:rPr>
          <w:spacing w:val="-8"/>
          <w:sz w:val="24"/>
        </w:rPr>
        <w:t> </w:t>
      </w:r>
      <w:r>
        <w:rPr>
          <w:sz w:val="24"/>
        </w:rPr>
        <w:t>likuma</w:t>
      </w:r>
      <w:r>
        <w:rPr>
          <w:spacing w:val="-5"/>
          <w:sz w:val="24"/>
        </w:rPr>
        <w:t> </w:t>
      </w:r>
      <w:r>
        <w:rPr>
          <w:i/>
          <w:sz w:val="24"/>
        </w:rPr>
        <w:t>§5</w:t>
      </w:r>
      <w:r>
        <w:rPr>
          <w:i/>
          <w:spacing w:val="-8"/>
          <w:sz w:val="24"/>
        </w:rPr>
        <w:t> </w:t>
      </w:r>
      <w:r>
        <w:rPr>
          <w:i/>
          <w:sz w:val="24"/>
        </w:rPr>
        <w:t>otrā</w:t>
      </w:r>
      <w:r>
        <w:rPr>
          <w:i/>
          <w:spacing w:val="-8"/>
          <w:sz w:val="24"/>
        </w:rPr>
        <w:t> </w:t>
      </w:r>
      <w:r>
        <w:rPr>
          <w:i/>
          <w:sz w:val="24"/>
        </w:rPr>
        <w:t>daļa </w:t>
      </w:r>
      <w:r>
        <w:rPr>
          <w:sz w:val="24"/>
        </w:rPr>
        <w:t>nosaka, ka, ja parādnieka mantiskais stāvoklis ir pārredzams (izsekojams) un kreditoru skaits ir mazs un parādsaistības ir nelielas, maksātnespējas process norit rakstveidā. </w:t>
      </w:r>
      <w:r>
        <w:rPr>
          <w:spacing w:val="-4"/>
          <w:sz w:val="24"/>
        </w:rPr>
        <w:t>Taču </w:t>
      </w:r>
      <w:r>
        <w:rPr>
          <w:sz w:val="24"/>
        </w:rPr>
        <w:t>tiesa var noteikt, ka atsevišķas procesa stadijas var noritēt mutvārdu</w:t>
      </w:r>
      <w:r>
        <w:rPr>
          <w:spacing w:val="-3"/>
          <w:sz w:val="24"/>
        </w:rPr>
        <w:t> </w:t>
      </w:r>
      <w:r>
        <w:rPr>
          <w:sz w:val="24"/>
        </w:rPr>
        <w:t>procesā.</w:t>
      </w:r>
    </w:p>
    <w:p>
      <w:pPr>
        <w:pStyle w:val="ListParagraph"/>
        <w:numPr>
          <w:ilvl w:val="0"/>
          <w:numId w:val="109"/>
        </w:numPr>
        <w:tabs>
          <w:tab w:pos="1599" w:val="left" w:leader="none"/>
        </w:tabs>
        <w:spacing w:line="240" w:lineRule="auto" w:before="0" w:after="0"/>
        <w:ind w:left="620" w:right="402" w:firstLine="708"/>
        <w:jc w:val="both"/>
        <w:rPr>
          <w:i/>
          <w:sz w:val="24"/>
        </w:rPr>
      </w:pPr>
      <w:r>
        <w:rPr>
          <w:b/>
          <w:i/>
          <w:sz w:val="24"/>
        </w:rPr>
        <w:t>Nulles</w:t>
      </w:r>
      <w:r>
        <w:rPr>
          <w:b/>
          <w:i/>
          <w:spacing w:val="-16"/>
          <w:sz w:val="24"/>
        </w:rPr>
        <w:t> </w:t>
      </w:r>
      <w:r>
        <w:rPr>
          <w:b/>
          <w:i/>
          <w:sz w:val="24"/>
        </w:rPr>
        <w:t>maksātnespējas</w:t>
      </w:r>
      <w:r>
        <w:rPr>
          <w:b/>
          <w:i/>
          <w:spacing w:val="-11"/>
          <w:sz w:val="24"/>
        </w:rPr>
        <w:t> </w:t>
      </w:r>
      <w:r>
        <w:rPr>
          <w:b/>
          <w:i/>
          <w:sz w:val="24"/>
        </w:rPr>
        <w:t>process.</w:t>
      </w:r>
      <w:r>
        <w:rPr>
          <w:b/>
          <w:i/>
          <w:spacing w:val="-11"/>
          <w:sz w:val="24"/>
        </w:rPr>
        <w:t> </w:t>
      </w:r>
      <w:r>
        <w:rPr>
          <w:sz w:val="24"/>
        </w:rPr>
        <w:t>Nulles</w:t>
      </w:r>
      <w:r>
        <w:rPr>
          <w:spacing w:val="-11"/>
          <w:sz w:val="24"/>
        </w:rPr>
        <w:t> </w:t>
      </w:r>
      <w:r>
        <w:rPr>
          <w:sz w:val="24"/>
        </w:rPr>
        <w:t>maksātnespējas</w:t>
      </w:r>
      <w:r>
        <w:rPr>
          <w:spacing w:val="-11"/>
          <w:sz w:val="24"/>
        </w:rPr>
        <w:t> </w:t>
      </w:r>
      <w:r>
        <w:rPr>
          <w:sz w:val="24"/>
        </w:rPr>
        <w:t>process</w:t>
      </w:r>
      <w:r>
        <w:rPr>
          <w:spacing w:val="-11"/>
          <w:sz w:val="24"/>
        </w:rPr>
        <w:t> </w:t>
      </w:r>
      <w:r>
        <w:rPr>
          <w:sz w:val="24"/>
        </w:rPr>
        <w:t>ir</w:t>
      </w:r>
      <w:r>
        <w:rPr>
          <w:spacing w:val="-11"/>
          <w:sz w:val="24"/>
        </w:rPr>
        <w:t> </w:t>
      </w:r>
      <w:r>
        <w:rPr>
          <w:sz w:val="24"/>
        </w:rPr>
        <w:t>attiecināms</w:t>
      </w:r>
      <w:r>
        <w:rPr>
          <w:spacing w:val="-11"/>
          <w:sz w:val="24"/>
        </w:rPr>
        <w:t> </w:t>
      </w:r>
      <w:r>
        <w:rPr>
          <w:sz w:val="24"/>
        </w:rPr>
        <w:t>uz tā</w:t>
      </w:r>
      <w:r>
        <w:rPr>
          <w:spacing w:val="23"/>
          <w:sz w:val="24"/>
        </w:rPr>
        <w:t> </w:t>
      </w:r>
      <w:r>
        <w:rPr>
          <w:sz w:val="24"/>
        </w:rPr>
        <w:t>saucamo</w:t>
      </w:r>
      <w:r>
        <w:rPr>
          <w:spacing w:val="24"/>
          <w:sz w:val="24"/>
        </w:rPr>
        <w:t> </w:t>
      </w:r>
      <w:r>
        <w:rPr>
          <w:sz w:val="24"/>
        </w:rPr>
        <w:t>nulles</w:t>
      </w:r>
      <w:r>
        <w:rPr>
          <w:spacing w:val="20"/>
          <w:sz w:val="24"/>
        </w:rPr>
        <w:t> </w:t>
      </w:r>
      <w:r>
        <w:rPr>
          <w:sz w:val="24"/>
        </w:rPr>
        <w:t>plānu.</w:t>
      </w:r>
      <w:r>
        <w:rPr>
          <w:spacing w:val="24"/>
          <w:sz w:val="24"/>
        </w:rPr>
        <w:t> </w:t>
      </w:r>
      <w:r>
        <w:rPr>
          <w:sz w:val="24"/>
        </w:rPr>
        <w:t>Savukārt</w:t>
      </w:r>
      <w:r>
        <w:rPr>
          <w:spacing w:val="22"/>
          <w:sz w:val="24"/>
        </w:rPr>
        <w:t> </w:t>
      </w:r>
      <w:r>
        <w:rPr>
          <w:sz w:val="24"/>
        </w:rPr>
        <w:t>ar</w:t>
      </w:r>
      <w:r>
        <w:rPr>
          <w:spacing w:val="23"/>
          <w:sz w:val="24"/>
        </w:rPr>
        <w:t> </w:t>
      </w:r>
      <w:r>
        <w:rPr>
          <w:sz w:val="24"/>
        </w:rPr>
        <w:t>plānu</w:t>
      </w:r>
      <w:r>
        <w:rPr>
          <w:spacing w:val="24"/>
          <w:sz w:val="24"/>
        </w:rPr>
        <w:t> </w:t>
      </w:r>
      <w:r>
        <w:rPr>
          <w:sz w:val="24"/>
        </w:rPr>
        <w:t>saprotams</w:t>
      </w:r>
      <w:r>
        <w:rPr>
          <w:spacing w:val="16"/>
          <w:sz w:val="24"/>
        </w:rPr>
        <w:t> </w:t>
      </w:r>
      <w:r>
        <w:rPr>
          <w:sz w:val="24"/>
        </w:rPr>
        <w:t>Vācijas</w:t>
      </w:r>
      <w:r>
        <w:rPr>
          <w:spacing w:val="23"/>
          <w:sz w:val="24"/>
        </w:rPr>
        <w:t> </w:t>
      </w:r>
      <w:r>
        <w:rPr>
          <w:sz w:val="24"/>
        </w:rPr>
        <w:t>Maksātnespējas</w:t>
      </w:r>
      <w:r>
        <w:rPr>
          <w:spacing w:val="21"/>
          <w:sz w:val="24"/>
        </w:rPr>
        <w:t> </w:t>
      </w:r>
      <w:r>
        <w:rPr>
          <w:sz w:val="24"/>
        </w:rPr>
        <w:t>likuma</w:t>
      </w:r>
      <w:r>
        <w:rPr>
          <w:spacing w:val="22"/>
          <w:sz w:val="24"/>
        </w:rPr>
        <w:t> </w:t>
      </w:r>
      <w:r>
        <w:rPr>
          <w:i/>
          <w:sz w:val="24"/>
        </w:rPr>
        <w:t>§</w:t>
      </w:r>
    </w:p>
    <w:p>
      <w:pPr>
        <w:pStyle w:val="BodyText"/>
        <w:ind w:left="620" w:right="401"/>
        <w:rPr>
          <w:sz w:val="16"/>
        </w:rPr>
      </w:pPr>
      <w:r>
        <w:rPr>
          <w:i/>
        </w:rPr>
        <w:t>305 </w:t>
      </w:r>
      <w:r>
        <w:rPr/>
        <w:t>(ārpus tiesas kreditoru prasījumu segšanas plāns) </w:t>
      </w:r>
      <w:r>
        <w:rPr>
          <w:i/>
        </w:rPr>
        <w:t>un § 306 </w:t>
      </w:r>
      <w:r>
        <w:rPr/>
        <w:t>noteiktais kreditoru prasījumu segšanas plāns (plāns, kuru parādnieks sniedz tiesai, lai panāktu vienošanos ar kreditoriem par parādu segšanas kārtību, pirms tiek pasludināts maksātnespējas process). Par nulles plānu to sauc tāpēc, ka parādniekam uz brīdi, kad tiek sastādīts plāns, nav brīvo līdzekļu, kurus novirzīt kreditoru prasījumu segšanai. Vācijas Augstākā tiesa ir savā 2013.gada 10.oktobra spriedumā atzinusi šāda nulles plāna pieļaujamību parādnieka </w:t>
      </w:r>
      <w:r>
        <w:rPr>
          <w:spacing w:val="-6"/>
        </w:rPr>
        <w:t>un </w:t>
      </w:r>
      <w:r>
        <w:rPr/>
        <w:t>kreditoru</w:t>
      </w:r>
      <w:r>
        <w:rPr>
          <w:spacing w:val="-17"/>
        </w:rPr>
        <w:t> </w:t>
      </w:r>
      <w:r>
        <w:rPr/>
        <w:t>vienošanās</w:t>
      </w:r>
      <w:r>
        <w:rPr>
          <w:spacing w:val="-17"/>
        </w:rPr>
        <w:t> </w:t>
      </w:r>
      <w:r>
        <w:rPr/>
        <w:t>procesā.</w:t>
      </w:r>
      <w:r>
        <w:rPr>
          <w:spacing w:val="-18"/>
        </w:rPr>
        <w:t> </w:t>
      </w:r>
      <w:r>
        <w:rPr/>
        <w:t>Tiesa</w:t>
      </w:r>
      <w:r>
        <w:rPr>
          <w:spacing w:val="-17"/>
        </w:rPr>
        <w:t> </w:t>
      </w:r>
      <w:r>
        <w:rPr/>
        <w:t>to</w:t>
      </w:r>
      <w:r>
        <w:rPr>
          <w:spacing w:val="-11"/>
        </w:rPr>
        <w:t> </w:t>
      </w:r>
      <w:r>
        <w:rPr/>
        <w:t>pamatojusi</w:t>
      </w:r>
      <w:r>
        <w:rPr>
          <w:spacing w:val="-12"/>
        </w:rPr>
        <w:t> </w:t>
      </w:r>
      <w:r>
        <w:rPr/>
        <w:t>ar</w:t>
      </w:r>
      <w:r>
        <w:rPr>
          <w:spacing w:val="-18"/>
        </w:rPr>
        <w:t> </w:t>
      </w:r>
      <w:r>
        <w:rPr/>
        <w:t>argumentu,</w:t>
      </w:r>
      <w:r>
        <w:rPr>
          <w:spacing w:val="-13"/>
        </w:rPr>
        <w:t> </w:t>
      </w:r>
      <w:r>
        <w:rPr/>
        <w:t>ka</w:t>
      </w:r>
      <w:r>
        <w:rPr>
          <w:spacing w:val="-14"/>
        </w:rPr>
        <w:t> </w:t>
      </w:r>
      <w:r>
        <w:rPr/>
        <w:t>maksātnespējas</w:t>
      </w:r>
      <w:r>
        <w:rPr>
          <w:spacing w:val="-14"/>
        </w:rPr>
        <w:t> </w:t>
      </w:r>
      <w:r>
        <w:rPr/>
        <w:t>process neparedz</w:t>
      </w:r>
      <w:r>
        <w:rPr>
          <w:spacing w:val="-12"/>
        </w:rPr>
        <w:t> </w:t>
      </w:r>
      <w:r>
        <w:rPr/>
        <w:t>minimālo</w:t>
      </w:r>
      <w:r>
        <w:rPr>
          <w:spacing w:val="-12"/>
        </w:rPr>
        <w:t> </w:t>
      </w:r>
      <w:r>
        <w:rPr/>
        <w:t>summu,</w:t>
      </w:r>
      <w:r>
        <w:rPr>
          <w:spacing w:val="-12"/>
        </w:rPr>
        <w:t> </w:t>
      </w:r>
      <w:r>
        <w:rPr/>
        <w:t>kas</w:t>
      </w:r>
      <w:r>
        <w:rPr>
          <w:spacing w:val="-12"/>
        </w:rPr>
        <w:t> </w:t>
      </w:r>
      <w:r>
        <w:rPr/>
        <w:t>būtu</w:t>
      </w:r>
      <w:r>
        <w:rPr>
          <w:spacing w:val="-12"/>
        </w:rPr>
        <w:t> </w:t>
      </w:r>
      <w:r>
        <w:rPr/>
        <w:t>novirzāma</w:t>
      </w:r>
      <w:r>
        <w:rPr>
          <w:spacing w:val="-13"/>
        </w:rPr>
        <w:t> </w:t>
      </w:r>
      <w:r>
        <w:rPr/>
        <w:t>kreditoru</w:t>
      </w:r>
      <w:r>
        <w:rPr>
          <w:spacing w:val="-15"/>
        </w:rPr>
        <w:t> </w:t>
      </w:r>
      <w:r>
        <w:rPr/>
        <w:t>prasījumu</w:t>
      </w:r>
      <w:r>
        <w:rPr>
          <w:spacing w:val="-12"/>
        </w:rPr>
        <w:t> </w:t>
      </w:r>
      <w:r>
        <w:rPr/>
        <w:t>segšanai.</w:t>
      </w:r>
      <w:r>
        <w:rPr>
          <w:spacing w:val="-17"/>
        </w:rPr>
        <w:t> </w:t>
      </w:r>
      <w:r>
        <w:rPr/>
        <w:t>Tāpēc</w:t>
      </w:r>
      <w:r>
        <w:rPr>
          <w:spacing w:val="-16"/>
        </w:rPr>
        <w:t> </w:t>
      </w:r>
      <w:r>
        <w:rPr/>
        <w:t>nulles plāns</w:t>
      </w:r>
      <w:r>
        <w:rPr>
          <w:spacing w:val="-5"/>
        </w:rPr>
        <w:t> </w:t>
      </w:r>
      <w:r>
        <w:rPr/>
        <w:t>nevar</w:t>
      </w:r>
      <w:r>
        <w:rPr>
          <w:spacing w:val="-8"/>
        </w:rPr>
        <w:t> </w:t>
      </w:r>
      <w:r>
        <w:rPr/>
        <w:t>nostādīt</w:t>
      </w:r>
      <w:r>
        <w:rPr>
          <w:spacing w:val="-5"/>
        </w:rPr>
        <w:t> </w:t>
      </w:r>
      <w:r>
        <w:rPr/>
        <w:t>kreditorus</w:t>
      </w:r>
      <w:r>
        <w:rPr>
          <w:spacing w:val="-5"/>
        </w:rPr>
        <w:t> </w:t>
      </w:r>
      <w:r>
        <w:rPr/>
        <w:t>ekonomiski</w:t>
      </w:r>
      <w:r>
        <w:rPr>
          <w:spacing w:val="-5"/>
        </w:rPr>
        <w:t> </w:t>
      </w:r>
      <w:r>
        <w:rPr/>
        <w:t>neizdevīgākā</w:t>
      </w:r>
      <w:r>
        <w:rPr>
          <w:spacing w:val="-5"/>
        </w:rPr>
        <w:t> </w:t>
      </w:r>
      <w:r>
        <w:rPr/>
        <w:t>stāvoklī</w:t>
      </w:r>
      <w:r>
        <w:rPr>
          <w:spacing w:val="-5"/>
        </w:rPr>
        <w:t> </w:t>
      </w:r>
      <w:r>
        <w:rPr/>
        <w:t>nekā,</w:t>
      </w:r>
      <w:r>
        <w:rPr>
          <w:spacing w:val="-8"/>
        </w:rPr>
        <w:t> </w:t>
      </w:r>
      <w:r>
        <w:rPr/>
        <w:t>ja</w:t>
      </w:r>
      <w:r>
        <w:rPr>
          <w:spacing w:val="-5"/>
        </w:rPr>
        <w:t> </w:t>
      </w:r>
      <w:r>
        <w:rPr/>
        <w:t>būtu</w:t>
      </w:r>
      <w:r>
        <w:rPr>
          <w:spacing w:val="-5"/>
        </w:rPr>
        <w:t> </w:t>
      </w:r>
      <w:r>
        <w:rPr/>
        <w:t>pasludināts maksātnespējas process. Tāpēc lēmuma pieņemšana apstiprināt plānu vai noraidīt piekrīt vienīgi kreditoru autonomijai. Pēc tiesas ieskata, ja parādnieks nav plānā paredzējis pielāgošanās un uzlabošanās klauzulu atbilstoši nākotnē paredzamiem ienākumiem, tad kreditora nepiekrišana plānam nav aizstājama ar piekrišanu atbilstoši </w:t>
      </w:r>
      <w:r>
        <w:rPr>
          <w:i/>
        </w:rPr>
        <w:t>§ 309, </w:t>
      </w:r>
      <w:r>
        <w:rPr/>
        <w:t>ja kreditors, kurš iebilst pret plānu, tiesai iesniedzis ziņas par faktiem, ka nākotnē parādnieka ienākumi un mantiskās attiecības mainīsies un to ir ticami apliecinājis.</w:t>
      </w:r>
      <w:r>
        <w:rPr>
          <w:position w:val="9"/>
          <w:sz w:val="16"/>
        </w:rPr>
        <w:t>471</w:t>
      </w:r>
    </w:p>
    <w:p>
      <w:pPr>
        <w:pStyle w:val="BodyText"/>
        <w:spacing w:before="1"/>
        <w:jc w:val="left"/>
        <w:rPr>
          <w:sz w:val="23"/>
        </w:rPr>
      </w:pPr>
    </w:p>
    <w:p>
      <w:pPr>
        <w:pStyle w:val="Heading4"/>
        <w:numPr>
          <w:ilvl w:val="1"/>
          <w:numId w:val="94"/>
        </w:numPr>
        <w:tabs>
          <w:tab w:pos="1187" w:val="left" w:leader="none"/>
        </w:tabs>
        <w:spacing w:line="240" w:lineRule="auto" w:before="1" w:after="0"/>
        <w:ind w:left="1186" w:right="403" w:hanging="567"/>
        <w:jc w:val="left"/>
      </w:pPr>
      <w:r>
        <w:rPr>
          <w:i/>
        </w:rPr>
        <w:t>Priekšlikumi attiecībā uz tiesisko regulējumu, ko Latvija varētu pārņemt no </w:t>
      </w:r>
      <w:r>
        <w:rPr/>
        <w:t>Vācijas</w:t>
      </w:r>
    </w:p>
    <w:p>
      <w:pPr>
        <w:pStyle w:val="BodyText"/>
        <w:spacing w:before="6"/>
        <w:jc w:val="left"/>
        <w:rPr>
          <w:b/>
          <w:i/>
          <w:sz w:val="23"/>
        </w:rPr>
      </w:pPr>
    </w:p>
    <w:p>
      <w:pPr>
        <w:pStyle w:val="ListParagraph"/>
        <w:numPr>
          <w:ilvl w:val="0"/>
          <w:numId w:val="110"/>
        </w:numPr>
        <w:tabs>
          <w:tab w:pos="1340" w:val="left" w:leader="none"/>
        </w:tabs>
        <w:spacing w:line="240" w:lineRule="auto" w:before="0" w:after="0"/>
        <w:ind w:left="1340" w:right="401" w:hanging="360"/>
        <w:jc w:val="both"/>
        <w:rPr>
          <w:sz w:val="24"/>
        </w:rPr>
      </w:pPr>
      <w:r>
        <w:rPr>
          <w:sz w:val="24"/>
        </w:rPr>
        <w:t>Ja</w:t>
      </w:r>
      <w:r>
        <w:rPr>
          <w:spacing w:val="-9"/>
          <w:sz w:val="24"/>
        </w:rPr>
        <w:t> </w:t>
      </w:r>
      <w:r>
        <w:rPr>
          <w:sz w:val="24"/>
        </w:rPr>
        <w:t>Latvijā</w:t>
      </w:r>
      <w:r>
        <w:rPr>
          <w:spacing w:val="-7"/>
          <w:sz w:val="24"/>
        </w:rPr>
        <w:t> </w:t>
      </w:r>
      <w:r>
        <w:rPr>
          <w:sz w:val="24"/>
        </w:rPr>
        <w:t>tiek</w:t>
      </w:r>
      <w:r>
        <w:rPr>
          <w:spacing w:val="-9"/>
          <w:sz w:val="24"/>
        </w:rPr>
        <w:t> </w:t>
      </w:r>
      <w:r>
        <w:rPr>
          <w:sz w:val="24"/>
        </w:rPr>
        <w:t>atbalstīts</w:t>
      </w:r>
      <w:r>
        <w:rPr>
          <w:spacing w:val="-8"/>
          <w:sz w:val="24"/>
        </w:rPr>
        <w:t> </w:t>
      </w:r>
      <w:r>
        <w:rPr>
          <w:sz w:val="24"/>
        </w:rPr>
        <w:t>priekšlikums</w:t>
      </w:r>
      <w:r>
        <w:rPr>
          <w:spacing w:val="-9"/>
          <w:sz w:val="24"/>
        </w:rPr>
        <w:t> </w:t>
      </w:r>
      <w:r>
        <w:rPr>
          <w:sz w:val="24"/>
        </w:rPr>
        <w:t>paredzēt</w:t>
      </w:r>
      <w:r>
        <w:rPr>
          <w:spacing w:val="-9"/>
          <w:sz w:val="24"/>
        </w:rPr>
        <w:t> </w:t>
      </w:r>
      <w:r>
        <w:rPr>
          <w:sz w:val="24"/>
        </w:rPr>
        <w:t>kreditoriem</w:t>
      </w:r>
      <w:r>
        <w:rPr>
          <w:spacing w:val="-9"/>
          <w:sz w:val="24"/>
        </w:rPr>
        <w:t> </w:t>
      </w:r>
      <w:r>
        <w:rPr>
          <w:sz w:val="24"/>
        </w:rPr>
        <w:t>tiesības</w:t>
      </w:r>
      <w:r>
        <w:rPr>
          <w:spacing w:val="-8"/>
          <w:sz w:val="24"/>
        </w:rPr>
        <w:t> </w:t>
      </w:r>
      <w:r>
        <w:rPr>
          <w:sz w:val="24"/>
        </w:rPr>
        <w:t>iesniegt</w:t>
      </w:r>
      <w:r>
        <w:rPr>
          <w:spacing w:val="-6"/>
          <w:sz w:val="24"/>
        </w:rPr>
        <w:t> </w:t>
      </w:r>
      <w:r>
        <w:rPr>
          <w:sz w:val="24"/>
        </w:rPr>
        <w:t>fiziskās personas maksātnespējas procesa pieteikumu, idejiski varētu pārņemt Vācijas tiesisko regulējumu jautājumā par parādnieka tiesībām iesaistīties šajā procesā, iesniedzot pieteikumu par saistību dzēšanu; ja parādnieks šādu iniciatīvu neizrāda, tad viņam tiek piemērota tikai bankrota procedūra, kuras noslēgumā neizpildītās saistības netiek dzēstas (plašāks apraksts pētījuma IV.nodaļas 4.1.punkta C.apakšpunktā). Vienīgi, atšķirībā no Vācijas, Latvijā varētu paredzēt, ka parādniekam</w:t>
      </w:r>
      <w:r>
        <w:rPr>
          <w:spacing w:val="29"/>
          <w:sz w:val="24"/>
        </w:rPr>
        <w:t> </w:t>
      </w:r>
      <w:r>
        <w:rPr>
          <w:sz w:val="24"/>
        </w:rPr>
        <w:t>ir</w:t>
      </w:r>
      <w:r>
        <w:rPr>
          <w:spacing w:val="31"/>
          <w:sz w:val="24"/>
        </w:rPr>
        <w:t> </w:t>
      </w:r>
      <w:r>
        <w:rPr>
          <w:sz w:val="24"/>
        </w:rPr>
        <w:t>tiesības</w:t>
      </w:r>
      <w:r>
        <w:rPr>
          <w:spacing w:val="31"/>
          <w:sz w:val="24"/>
        </w:rPr>
        <w:t> </w:t>
      </w:r>
      <w:r>
        <w:rPr>
          <w:sz w:val="24"/>
        </w:rPr>
        <w:t>izrādīt</w:t>
      </w:r>
      <w:r>
        <w:rPr>
          <w:spacing w:val="34"/>
          <w:sz w:val="24"/>
        </w:rPr>
        <w:t> </w:t>
      </w:r>
      <w:r>
        <w:rPr>
          <w:sz w:val="24"/>
        </w:rPr>
        <w:t>šādu</w:t>
      </w:r>
      <w:r>
        <w:rPr>
          <w:spacing w:val="31"/>
          <w:sz w:val="24"/>
        </w:rPr>
        <w:t> </w:t>
      </w:r>
      <w:r>
        <w:rPr>
          <w:sz w:val="24"/>
        </w:rPr>
        <w:t>iniciatīvu</w:t>
      </w:r>
      <w:r>
        <w:rPr>
          <w:spacing w:val="31"/>
          <w:sz w:val="24"/>
        </w:rPr>
        <w:t> </w:t>
      </w:r>
      <w:r>
        <w:rPr>
          <w:sz w:val="24"/>
        </w:rPr>
        <w:t>līdz</w:t>
      </w:r>
      <w:r>
        <w:rPr>
          <w:spacing w:val="34"/>
          <w:sz w:val="24"/>
        </w:rPr>
        <w:t> </w:t>
      </w:r>
      <w:r>
        <w:rPr>
          <w:sz w:val="24"/>
        </w:rPr>
        <w:t>kreditoru</w:t>
      </w:r>
      <w:r>
        <w:rPr>
          <w:spacing w:val="29"/>
          <w:sz w:val="24"/>
        </w:rPr>
        <w:t> </w:t>
      </w:r>
      <w:r>
        <w:rPr>
          <w:sz w:val="24"/>
        </w:rPr>
        <w:t>prasījumu</w:t>
      </w:r>
      <w:r>
        <w:rPr>
          <w:spacing w:val="31"/>
          <w:sz w:val="24"/>
        </w:rPr>
        <w:t> </w:t>
      </w:r>
      <w:r>
        <w:rPr>
          <w:sz w:val="24"/>
        </w:rPr>
        <w:t>segšanas</w:t>
      </w:r>
    </w:p>
    <w:p>
      <w:pPr>
        <w:pStyle w:val="BodyText"/>
        <w:spacing w:before="7"/>
        <w:jc w:val="left"/>
        <w:rPr>
          <w:sz w:val="28"/>
        </w:rPr>
      </w:pPr>
      <w:r>
        <w:rPr/>
        <w:pict>
          <v:shape style="position:absolute;margin-left:90pt;margin-top:18.745771pt;width:144pt;height:.1pt;mso-position-horizontal-relative:page;mso-position-vertical-relative:paragraph;z-index:-251456512;mso-wrap-distance-left:0;mso-wrap-distance-right:0" coordorigin="1800,375" coordsize="2880,0" path="m1800,375l4680,375e" filled="false" stroked="true" strokeweight=".599991pt" strokecolor="#000000">
            <v:path arrowok="t"/>
            <v:stroke dashstyle="solid"/>
            <w10:wrap type="topAndBottom"/>
          </v:shape>
        </w:pict>
      </w:r>
    </w:p>
    <w:p>
      <w:pPr>
        <w:spacing w:before="70"/>
        <w:ind w:left="620" w:right="401" w:firstLine="0"/>
        <w:jc w:val="both"/>
        <w:rPr>
          <w:sz w:val="20"/>
        </w:rPr>
      </w:pPr>
      <w:r>
        <w:rPr>
          <w:position w:val="7"/>
          <w:sz w:val="13"/>
        </w:rPr>
        <w:t>470 </w:t>
      </w:r>
      <w:r>
        <w:rPr>
          <w:sz w:val="20"/>
        </w:rPr>
        <w:t>Parādniekam par to, ka viņš ir pildījis savus pienākumus, jāsniedz ziņas tiesai, un pēc kreditora pieprasījuma, minētās ziņas jāapliecina ar zvērestu. Ja parādnieks nesniedz ziņas tiesai vai zvērestu tiesas noteiktajā termiņā bez attaisnojoša pamata, vai neierodas uz tiesu, neinformējot tiesu par attaisnojošiem neierašanās</w:t>
      </w:r>
      <w:r>
        <w:rPr>
          <w:spacing w:val="-7"/>
          <w:sz w:val="20"/>
        </w:rPr>
        <w:t> </w:t>
      </w:r>
      <w:r>
        <w:rPr>
          <w:sz w:val="20"/>
        </w:rPr>
        <w:t>iemesliem,</w:t>
      </w:r>
      <w:r>
        <w:rPr>
          <w:spacing w:val="-7"/>
          <w:sz w:val="20"/>
        </w:rPr>
        <w:t> </w:t>
      </w:r>
      <w:r>
        <w:rPr>
          <w:sz w:val="20"/>
        </w:rPr>
        <w:t>tad</w:t>
      </w:r>
      <w:r>
        <w:rPr>
          <w:spacing w:val="-7"/>
          <w:sz w:val="20"/>
        </w:rPr>
        <w:t> </w:t>
      </w:r>
      <w:r>
        <w:rPr>
          <w:sz w:val="20"/>
        </w:rPr>
        <w:t>tiesa</w:t>
      </w:r>
      <w:r>
        <w:rPr>
          <w:spacing w:val="-7"/>
          <w:sz w:val="20"/>
        </w:rPr>
        <w:t> </w:t>
      </w:r>
      <w:r>
        <w:rPr>
          <w:sz w:val="20"/>
        </w:rPr>
        <w:t>atsaka</w:t>
      </w:r>
      <w:r>
        <w:rPr>
          <w:spacing w:val="-5"/>
          <w:sz w:val="20"/>
        </w:rPr>
        <w:t> </w:t>
      </w:r>
      <w:r>
        <w:rPr>
          <w:sz w:val="20"/>
        </w:rPr>
        <w:t>parādniekam</w:t>
      </w:r>
      <w:r>
        <w:rPr>
          <w:spacing w:val="-8"/>
          <w:sz w:val="20"/>
        </w:rPr>
        <w:t> </w:t>
      </w:r>
      <w:r>
        <w:rPr>
          <w:sz w:val="20"/>
        </w:rPr>
        <w:t>saistību</w:t>
      </w:r>
      <w:r>
        <w:rPr>
          <w:spacing w:val="-7"/>
          <w:sz w:val="20"/>
        </w:rPr>
        <w:t> </w:t>
      </w:r>
      <w:r>
        <w:rPr>
          <w:sz w:val="20"/>
        </w:rPr>
        <w:t>dzēšanu.</w:t>
      </w:r>
      <w:r>
        <w:rPr>
          <w:spacing w:val="-7"/>
          <w:sz w:val="20"/>
        </w:rPr>
        <w:t> </w:t>
      </w:r>
      <w:r>
        <w:rPr>
          <w:sz w:val="20"/>
        </w:rPr>
        <w:t>Par</w:t>
      </w:r>
      <w:r>
        <w:rPr>
          <w:spacing w:val="-3"/>
          <w:sz w:val="20"/>
        </w:rPr>
        <w:t> </w:t>
      </w:r>
      <w:r>
        <w:rPr>
          <w:sz w:val="20"/>
        </w:rPr>
        <w:t>minēto</w:t>
      </w:r>
      <w:r>
        <w:rPr>
          <w:spacing w:val="-5"/>
          <w:sz w:val="20"/>
        </w:rPr>
        <w:t> </w:t>
      </w:r>
      <w:r>
        <w:rPr>
          <w:sz w:val="20"/>
        </w:rPr>
        <w:t>tiesas</w:t>
      </w:r>
      <w:r>
        <w:rPr>
          <w:spacing w:val="-7"/>
          <w:sz w:val="20"/>
        </w:rPr>
        <w:t> </w:t>
      </w:r>
      <w:r>
        <w:rPr>
          <w:sz w:val="20"/>
        </w:rPr>
        <w:t>lēmumu</w:t>
      </w:r>
      <w:r>
        <w:rPr>
          <w:spacing w:val="-5"/>
          <w:sz w:val="20"/>
        </w:rPr>
        <w:t> </w:t>
      </w:r>
      <w:r>
        <w:rPr>
          <w:sz w:val="20"/>
        </w:rPr>
        <w:t>kreditors</w:t>
      </w:r>
      <w:r>
        <w:rPr>
          <w:spacing w:val="-8"/>
          <w:sz w:val="20"/>
        </w:rPr>
        <w:t> </w:t>
      </w:r>
      <w:r>
        <w:rPr>
          <w:sz w:val="20"/>
        </w:rPr>
        <w:t>un parādnieks nekavējoties var iesniegt</w:t>
      </w:r>
      <w:r>
        <w:rPr>
          <w:spacing w:val="-4"/>
          <w:sz w:val="20"/>
        </w:rPr>
        <w:t> </w:t>
      </w:r>
      <w:r>
        <w:rPr>
          <w:sz w:val="20"/>
        </w:rPr>
        <w:t>sūdzību.</w:t>
      </w:r>
    </w:p>
    <w:p>
      <w:pPr>
        <w:spacing w:line="230" w:lineRule="exact" w:before="0"/>
        <w:ind w:left="620" w:right="0" w:firstLine="0"/>
        <w:jc w:val="both"/>
        <w:rPr>
          <w:sz w:val="20"/>
        </w:rPr>
      </w:pPr>
      <w:r>
        <w:rPr>
          <w:position w:val="7"/>
          <w:sz w:val="13"/>
        </w:rPr>
        <w:t>471 </w:t>
      </w:r>
      <w:r>
        <w:rPr>
          <w:sz w:val="20"/>
        </w:rPr>
        <w:t>BGH 10.10.2013 – Az IX ZB 97/12 NZI 2014, 34 un ZInsO 2013, 2333; Kayser/Thole</w:t>
      </w:r>
    </w:p>
    <w:p>
      <w:pPr>
        <w:spacing w:before="0"/>
        <w:ind w:left="620" w:right="0" w:firstLine="0"/>
        <w:jc w:val="both"/>
        <w:rPr>
          <w:sz w:val="20"/>
        </w:rPr>
      </w:pPr>
      <w:r>
        <w:rPr>
          <w:sz w:val="20"/>
        </w:rPr>
        <w:t>“Insolvenzordnung”, Waltenberger Kommentare §309, S.2315.</w:t>
      </w:r>
    </w:p>
    <w:p>
      <w:pPr>
        <w:spacing w:after="0"/>
        <w:jc w:val="both"/>
        <w:rPr>
          <w:sz w:val="20"/>
        </w:rPr>
        <w:sectPr>
          <w:pgSz w:w="11910" w:h="16840"/>
          <w:pgMar w:header="0" w:footer="1055" w:top="1340" w:bottom="1240" w:left="1180" w:right="1040"/>
        </w:sectPr>
      </w:pPr>
    </w:p>
    <w:p>
      <w:pPr>
        <w:pStyle w:val="BodyText"/>
        <w:spacing w:before="73"/>
        <w:ind w:left="980" w:right="762"/>
      </w:pPr>
      <w:r>
        <w:rPr/>
        <w:t>plāna izpildei (Vācijā parādniekam tiek dotas tikai divas nedēļas šādas iniciatīvas izrādīšanai saistībā ar tiesisko regulējumu, kas paredz iespēju vienoties ar kreditoriem par parādu segšanu ārpustiesas kārtībā; taču, tā kā Latvijā šāda regulējuma nav, parādniekam var noteikt garāku termiņu lēmuma pieņemšanai par to, vai parādnieks vēlas piemērot saistību dzēšanas</w:t>
      </w:r>
      <w:r>
        <w:rPr>
          <w:spacing w:val="-3"/>
        </w:rPr>
        <w:t> </w:t>
      </w:r>
      <w:r>
        <w:rPr/>
        <w:t>procedūru).</w:t>
      </w:r>
    </w:p>
    <w:p>
      <w:pPr>
        <w:pStyle w:val="BodyText"/>
        <w:jc w:val="left"/>
      </w:pPr>
    </w:p>
    <w:p>
      <w:pPr>
        <w:pStyle w:val="ListParagraph"/>
        <w:numPr>
          <w:ilvl w:val="0"/>
          <w:numId w:val="110"/>
        </w:numPr>
        <w:tabs>
          <w:tab w:pos="980" w:val="left" w:leader="none"/>
        </w:tabs>
        <w:spacing w:line="240" w:lineRule="auto" w:before="0" w:after="0"/>
        <w:ind w:left="980" w:right="761" w:hanging="360"/>
        <w:jc w:val="both"/>
        <w:rPr>
          <w:sz w:val="24"/>
        </w:rPr>
      </w:pPr>
      <w:r>
        <w:rPr>
          <w:sz w:val="24"/>
        </w:rPr>
        <w:t>Latvijā līdzīgi kā Vācijā varētu viennozīmīgāk izteikt ierobežojumus saistību dzēšanas</w:t>
      </w:r>
      <w:r>
        <w:rPr>
          <w:spacing w:val="-13"/>
          <w:sz w:val="24"/>
        </w:rPr>
        <w:t> </w:t>
      </w:r>
      <w:r>
        <w:rPr>
          <w:sz w:val="24"/>
        </w:rPr>
        <w:t>procedūras</w:t>
      </w:r>
      <w:r>
        <w:rPr>
          <w:spacing w:val="-13"/>
          <w:sz w:val="24"/>
        </w:rPr>
        <w:t> </w:t>
      </w:r>
      <w:r>
        <w:rPr>
          <w:sz w:val="24"/>
        </w:rPr>
        <w:t>piemērošanai,</w:t>
      </w:r>
      <w:r>
        <w:rPr>
          <w:spacing w:val="-13"/>
          <w:sz w:val="24"/>
        </w:rPr>
        <w:t> </w:t>
      </w:r>
      <w:r>
        <w:rPr>
          <w:sz w:val="24"/>
        </w:rPr>
        <w:t>tādējādi</w:t>
      </w:r>
      <w:r>
        <w:rPr>
          <w:spacing w:val="-10"/>
          <w:sz w:val="24"/>
        </w:rPr>
        <w:t> </w:t>
      </w:r>
      <w:r>
        <w:rPr>
          <w:sz w:val="24"/>
        </w:rPr>
        <w:t>veicinot</w:t>
      </w:r>
      <w:r>
        <w:rPr>
          <w:spacing w:val="-13"/>
          <w:sz w:val="24"/>
        </w:rPr>
        <w:t> </w:t>
      </w:r>
      <w:r>
        <w:rPr>
          <w:sz w:val="24"/>
        </w:rPr>
        <w:t>atbildīgu</w:t>
      </w:r>
      <w:r>
        <w:rPr>
          <w:spacing w:val="-13"/>
          <w:sz w:val="24"/>
        </w:rPr>
        <w:t> </w:t>
      </w:r>
      <w:r>
        <w:rPr>
          <w:sz w:val="24"/>
        </w:rPr>
        <w:t>saistību</w:t>
      </w:r>
      <w:r>
        <w:rPr>
          <w:spacing w:val="-12"/>
          <w:sz w:val="24"/>
        </w:rPr>
        <w:t> </w:t>
      </w:r>
      <w:r>
        <w:rPr>
          <w:sz w:val="24"/>
        </w:rPr>
        <w:t>uzņemšanos, paaugstinot saistību izpildes kultūru un samazinot negodprātīgu fiziskās personas maksātnespējas procesu</w:t>
      </w:r>
      <w:r>
        <w:rPr>
          <w:spacing w:val="-1"/>
          <w:sz w:val="24"/>
        </w:rPr>
        <w:t> </w:t>
      </w:r>
      <w:r>
        <w:rPr>
          <w:sz w:val="24"/>
        </w:rPr>
        <w:t>skaitu.</w:t>
      </w:r>
    </w:p>
    <w:p>
      <w:pPr>
        <w:pStyle w:val="BodyText"/>
        <w:jc w:val="left"/>
      </w:pPr>
    </w:p>
    <w:p>
      <w:pPr>
        <w:pStyle w:val="ListParagraph"/>
        <w:numPr>
          <w:ilvl w:val="0"/>
          <w:numId w:val="110"/>
        </w:numPr>
        <w:tabs>
          <w:tab w:pos="980" w:val="left" w:leader="none"/>
        </w:tabs>
        <w:spacing w:line="240" w:lineRule="auto" w:before="0" w:after="0"/>
        <w:ind w:left="980" w:right="761" w:hanging="360"/>
        <w:jc w:val="both"/>
        <w:rPr>
          <w:sz w:val="24"/>
        </w:rPr>
      </w:pPr>
      <w:r>
        <w:rPr>
          <w:sz w:val="24"/>
        </w:rPr>
        <w:t>Ņemot vērā salīdzinoši augsto parādnieku negodprātības gadījumu skaitu, secināms, ka Latvijas Maksātnespējas likuma 130.panta 5.punktā ir noteikts nesamērīgi īss termiņš (1 gads), kādā parādnieks var atkārtoti iesniegt fiziskās personas maksātnespējas procesa pieteikumu, ja iepriekšējais maksātnespējas process izbeigts, nedzēšot saistības. Šāds regulējums zināmā mērā pat “mudina” parādniekus rīkoties negodprātīgi (piemēram, slēpt patiesos ienākumus) vai nepietiekami attur no negodprātīgas rīcības, apzinoties, ka sliktākajā gadījumā jau pēc gada atkārtoti varēs iesniegt tiesā fiziskās personas maksātnespējas procesa pieteikumu.</w:t>
      </w:r>
      <w:r>
        <w:rPr>
          <w:spacing w:val="-9"/>
          <w:sz w:val="24"/>
        </w:rPr>
        <w:t> </w:t>
      </w:r>
      <w:r>
        <w:rPr>
          <w:sz w:val="24"/>
        </w:rPr>
        <w:t>Tādējādi</w:t>
      </w:r>
      <w:r>
        <w:rPr>
          <w:spacing w:val="-8"/>
          <w:sz w:val="24"/>
        </w:rPr>
        <w:t> </w:t>
      </w:r>
      <w:r>
        <w:rPr>
          <w:sz w:val="24"/>
        </w:rPr>
        <w:t>būtu</w:t>
      </w:r>
      <w:r>
        <w:rPr>
          <w:spacing w:val="-8"/>
          <w:sz w:val="24"/>
        </w:rPr>
        <w:t> </w:t>
      </w:r>
      <w:r>
        <w:rPr>
          <w:sz w:val="24"/>
        </w:rPr>
        <w:t>jāpārskata</w:t>
      </w:r>
      <w:r>
        <w:rPr>
          <w:spacing w:val="-8"/>
          <w:sz w:val="24"/>
        </w:rPr>
        <w:t> </w:t>
      </w:r>
      <w:r>
        <w:rPr>
          <w:sz w:val="24"/>
        </w:rPr>
        <w:t>minētais</w:t>
      </w:r>
      <w:r>
        <w:rPr>
          <w:spacing w:val="-8"/>
          <w:sz w:val="24"/>
        </w:rPr>
        <w:t> </w:t>
      </w:r>
      <w:r>
        <w:rPr>
          <w:sz w:val="24"/>
        </w:rPr>
        <w:t>termiņš,</w:t>
      </w:r>
      <w:r>
        <w:rPr>
          <w:spacing w:val="-5"/>
          <w:sz w:val="24"/>
        </w:rPr>
        <w:t> </w:t>
      </w:r>
      <w:r>
        <w:rPr>
          <w:sz w:val="24"/>
        </w:rPr>
        <w:t>piemēram,</w:t>
      </w:r>
      <w:r>
        <w:rPr>
          <w:spacing w:val="-8"/>
          <w:sz w:val="24"/>
        </w:rPr>
        <w:t> </w:t>
      </w:r>
      <w:r>
        <w:rPr>
          <w:sz w:val="24"/>
        </w:rPr>
        <w:t>līdzīgi</w:t>
      </w:r>
      <w:r>
        <w:rPr>
          <w:spacing w:val="-8"/>
          <w:sz w:val="24"/>
        </w:rPr>
        <w:t> </w:t>
      </w:r>
      <w:r>
        <w:rPr>
          <w:sz w:val="24"/>
        </w:rPr>
        <w:t>kā</w:t>
      </w:r>
      <w:r>
        <w:rPr>
          <w:spacing w:val="-8"/>
          <w:sz w:val="24"/>
        </w:rPr>
        <w:t> </w:t>
      </w:r>
      <w:r>
        <w:rPr>
          <w:sz w:val="24"/>
        </w:rPr>
        <w:t>Vācijā paredzot, ka ierobežojošais termiņš atkārtota fiziskās personas maksātnespējas procesa</w:t>
      </w:r>
      <w:r>
        <w:rPr>
          <w:spacing w:val="-14"/>
          <w:sz w:val="24"/>
        </w:rPr>
        <w:t> </w:t>
      </w:r>
      <w:r>
        <w:rPr>
          <w:sz w:val="24"/>
        </w:rPr>
        <w:t>iesniegšanai,</w:t>
      </w:r>
      <w:r>
        <w:rPr>
          <w:spacing w:val="-16"/>
          <w:sz w:val="24"/>
        </w:rPr>
        <w:t> </w:t>
      </w:r>
      <w:r>
        <w:rPr>
          <w:sz w:val="24"/>
        </w:rPr>
        <w:t>ja</w:t>
      </w:r>
      <w:r>
        <w:rPr>
          <w:spacing w:val="-15"/>
          <w:sz w:val="24"/>
        </w:rPr>
        <w:t> </w:t>
      </w:r>
      <w:r>
        <w:rPr>
          <w:sz w:val="24"/>
        </w:rPr>
        <w:t>sākotnējais</w:t>
      </w:r>
      <w:r>
        <w:rPr>
          <w:spacing w:val="-16"/>
          <w:sz w:val="24"/>
        </w:rPr>
        <w:t> </w:t>
      </w:r>
      <w:r>
        <w:rPr>
          <w:sz w:val="24"/>
        </w:rPr>
        <w:t>process</w:t>
      </w:r>
      <w:r>
        <w:rPr>
          <w:spacing w:val="-15"/>
          <w:sz w:val="24"/>
        </w:rPr>
        <w:t> </w:t>
      </w:r>
      <w:r>
        <w:rPr>
          <w:sz w:val="24"/>
        </w:rPr>
        <w:t>beidzies</w:t>
      </w:r>
      <w:r>
        <w:rPr>
          <w:spacing w:val="-16"/>
          <w:sz w:val="24"/>
        </w:rPr>
        <w:t> </w:t>
      </w:r>
      <w:r>
        <w:rPr>
          <w:sz w:val="24"/>
        </w:rPr>
        <w:t>bez</w:t>
      </w:r>
      <w:r>
        <w:rPr>
          <w:spacing w:val="-15"/>
          <w:sz w:val="24"/>
        </w:rPr>
        <w:t> </w:t>
      </w:r>
      <w:r>
        <w:rPr>
          <w:sz w:val="24"/>
        </w:rPr>
        <w:t>saistību</w:t>
      </w:r>
      <w:r>
        <w:rPr>
          <w:spacing w:val="-16"/>
          <w:sz w:val="24"/>
        </w:rPr>
        <w:t> </w:t>
      </w:r>
      <w:r>
        <w:rPr>
          <w:sz w:val="24"/>
        </w:rPr>
        <w:t>dzēšanas,</w:t>
      </w:r>
      <w:r>
        <w:rPr>
          <w:spacing w:val="-15"/>
          <w:sz w:val="24"/>
        </w:rPr>
        <w:t> </w:t>
      </w:r>
      <w:r>
        <w:rPr>
          <w:sz w:val="24"/>
        </w:rPr>
        <w:t>ir</w:t>
      </w:r>
      <w:r>
        <w:rPr>
          <w:spacing w:val="-16"/>
          <w:sz w:val="24"/>
        </w:rPr>
        <w:t> </w:t>
      </w:r>
      <w:r>
        <w:rPr>
          <w:sz w:val="24"/>
        </w:rPr>
        <w:t>3</w:t>
      </w:r>
      <w:r>
        <w:rPr>
          <w:spacing w:val="-12"/>
          <w:sz w:val="24"/>
        </w:rPr>
        <w:t> </w:t>
      </w:r>
      <w:r>
        <w:rPr>
          <w:sz w:val="24"/>
        </w:rPr>
        <w:t>gadi.</w:t>
      </w:r>
    </w:p>
    <w:p>
      <w:pPr>
        <w:pStyle w:val="BodyText"/>
        <w:spacing w:before="1"/>
        <w:jc w:val="left"/>
      </w:pPr>
    </w:p>
    <w:p>
      <w:pPr>
        <w:pStyle w:val="ListParagraph"/>
        <w:numPr>
          <w:ilvl w:val="0"/>
          <w:numId w:val="110"/>
        </w:numPr>
        <w:tabs>
          <w:tab w:pos="980" w:val="left" w:leader="none"/>
        </w:tabs>
        <w:spacing w:line="240" w:lineRule="auto" w:before="0" w:after="0"/>
        <w:ind w:left="980" w:right="761" w:hanging="360"/>
        <w:jc w:val="both"/>
        <w:rPr>
          <w:sz w:val="24"/>
        </w:rPr>
      </w:pPr>
      <w:r>
        <w:rPr>
          <w:sz w:val="24"/>
        </w:rPr>
        <w:t>Ņemot vērā to, ka ir samērā grūti pierādīt un pārbaudīt to, vai parādnieks maksātnespējas procesa laikā gūst ienākumus atbilstoši savām spējām, pozitīvi vērtējams ir Vācijas tiesībās noteiktais zvēresta institūts. Proti, līdzīgi kā Vācijā Latvijas Maksātnespējas likumā varētu noteikt parādniekam pienākumu sniegt ziņas par savu nodarbinātību, un pēc kreditora vai tiesas pieprasījuma apliecināt minētās ziņas ar zvērestu, nosakot, ka atteikšanās sniegt zvērestu ir pamats</w:t>
      </w:r>
      <w:r>
        <w:rPr>
          <w:spacing w:val="-20"/>
          <w:sz w:val="24"/>
        </w:rPr>
        <w:t> </w:t>
      </w:r>
      <w:r>
        <w:rPr>
          <w:sz w:val="24"/>
        </w:rPr>
        <w:t>nedzēst saistības.</w:t>
      </w:r>
    </w:p>
    <w:p>
      <w:pPr>
        <w:pStyle w:val="BodyText"/>
        <w:jc w:val="left"/>
      </w:pPr>
    </w:p>
    <w:p>
      <w:pPr>
        <w:pStyle w:val="ListParagraph"/>
        <w:numPr>
          <w:ilvl w:val="0"/>
          <w:numId w:val="110"/>
        </w:numPr>
        <w:tabs>
          <w:tab w:pos="980" w:val="left" w:leader="none"/>
        </w:tabs>
        <w:spacing w:line="240" w:lineRule="auto" w:before="0" w:after="0"/>
        <w:ind w:left="980" w:right="762" w:hanging="360"/>
        <w:jc w:val="both"/>
        <w:rPr>
          <w:sz w:val="24"/>
        </w:rPr>
      </w:pPr>
      <w:r>
        <w:rPr>
          <w:sz w:val="24"/>
        </w:rPr>
        <w:t>Ņemot vērā to, ka lēmums par atlikušo saistību dzēšanu būtiski ietekmē kreditora tiesības, būtu lietderīgi paredzēt šī lēmuma pārsūdzēšanas iespējas - līdzīgi kā tas ir noteikts Vācijas tiesībās. Tāpat, ja tiesa nolēmusi nedzēst saistības, arī parādniekam būtu jāparedz tiesības šo lēmumu pārsūdzēt. Šāds regulējums, pirmkārt, palīdzētu virzīties uz vienveidīgāku tiesu praksi (būtiski atšķirīgā pirmās instances tiesu īstenotā tiesību normu interpretācija ir viena no būtiskākajām Latvijas maksātnespējas tiesību piemērošanas problēmām), un, otrkārt, atkristu nepieciešamība “darbināt” protesta institūtu un tērēt Augstākās tiesas resursus šo jautājumu izskatīšanai.</w:t>
      </w:r>
    </w:p>
    <w:p>
      <w:pPr>
        <w:pStyle w:val="BodyText"/>
        <w:jc w:val="left"/>
      </w:pPr>
    </w:p>
    <w:p>
      <w:pPr>
        <w:pStyle w:val="ListParagraph"/>
        <w:numPr>
          <w:ilvl w:val="0"/>
          <w:numId w:val="110"/>
        </w:numPr>
        <w:tabs>
          <w:tab w:pos="980" w:val="left" w:leader="none"/>
        </w:tabs>
        <w:spacing w:line="240" w:lineRule="auto" w:before="0" w:after="0"/>
        <w:ind w:left="980" w:right="760" w:hanging="360"/>
        <w:jc w:val="both"/>
        <w:rPr>
          <w:sz w:val="24"/>
        </w:rPr>
      </w:pPr>
      <w:r>
        <w:rPr>
          <w:sz w:val="24"/>
        </w:rPr>
        <w:t>Maksātnespējas likumā kā viens no parādnieka negodprātību sodošajiem instrumentiem būtu ieviešama iespēja atcelt tiesas lēmumu par saistību dzēšanu. Piemēram, Vācijā kreditoriem viena gada laikā pēc saistību dzēšanas ir tiesības iesniegt tiesā pieteikumu par saistību dzēšanas lēmuma atcelšanu, ja parādnieks maksātnespējas procesa laikā ir slēpis mantu vai patiesos ienākumus, radot būtiski kreditora interešu aizskārumu. Līdzvērtīgus risinājumus būtu vēlams ieviest arī Latvijas tiesībās, tādējādi preventīvi samazinot parādnieku vēlmi rīkoties negodprātīgi.</w:t>
      </w:r>
    </w:p>
    <w:p>
      <w:pPr>
        <w:spacing w:after="0" w:line="240" w:lineRule="auto"/>
        <w:jc w:val="both"/>
        <w:rPr>
          <w:sz w:val="24"/>
        </w:rPr>
        <w:sectPr>
          <w:pgSz w:w="11910" w:h="16840"/>
          <w:pgMar w:header="0" w:footer="1055" w:top="1340" w:bottom="1240" w:left="1180" w:right="1040"/>
        </w:sectPr>
      </w:pPr>
    </w:p>
    <w:p>
      <w:pPr>
        <w:pStyle w:val="Heading2"/>
        <w:numPr>
          <w:ilvl w:val="2"/>
          <w:numId w:val="99"/>
        </w:numPr>
        <w:tabs>
          <w:tab w:pos="4714" w:val="left" w:leader="none"/>
        </w:tabs>
        <w:spacing w:line="322" w:lineRule="exact" w:before="59" w:after="0"/>
        <w:ind w:left="4713" w:right="0" w:hanging="341"/>
        <w:jc w:val="left"/>
      </w:pPr>
      <w:r>
        <w:rPr>
          <w:color w:val="4472C3"/>
        </w:rPr>
        <w:t>nodaļa</w:t>
      </w:r>
    </w:p>
    <w:p>
      <w:pPr>
        <w:spacing w:before="0"/>
        <w:ind w:left="1342" w:right="0" w:firstLine="0"/>
        <w:jc w:val="both"/>
        <w:rPr>
          <w:b/>
          <w:sz w:val="28"/>
        </w:rPr>
      </w:pPr>
      <w:r>
        <w:rPr>
          <w:b/>
          <w:color w:val="4472C3"/>
          <w:sz w:val="28"/>
        </w:rPr>
        <w:t>NOZARES PĀRSTĀVJU IDENTIFICĒTĀS</w:t>
      </w:r>
      <w:r>
        <w:rPr>
          <w:b/>
          <w:color w:val="4472C3"/>
          <w:spacing w:val="-2"/>
          <w:sz w:val="28"/>
        </w:rPr>
        <w:t> </w:t>
      </w:r>
      <w:r>
        <w:rPr>
          <w:b/>
          <w:color w:val="4472C3"/>
          <w:sz w:val="28"/>
        </w:rPr>
        <w:t>PROBLĒMAS</w:t>
      </w:r>
    </w:p>
    <w:p>
      <w:pPr>
        <w:pStyle w:val="BodyText"/>
        <w:jc w:val="left"/>
        <w:rPr>
          <w:b/>
          <w:sz w:val="30"/>
        </w:rPr>
      </w:pPr>
    </w:p>
    <w:p>
      <w:pPr>
        <w:pStyle w:val="BodyText"/>
        <w:spacing w:before="201"/>
        <w:ind w:left="620"/>
        <w:jc w:val="left"/>
      </w:pPr>
      <w:r>
        <w:rPr/>
        <w:t>Latvijas kredītņēmēju asociācija (LAKRA) ir norādījusi uz sekojošām</w:t>
      </w:r>
      <w:r>
        <w:rPr>
          <w:spacing w:val="-8"/>
        </w:rPr>
        <w:t> </w:t>
      </w:r>
      <w:r>
        <w:rPr/>
        <w:t>problēmām:</w:t>
      </w:r>
    </w:p>
    <w:p>
      <w:pPr>
        <w:pStyle w:val="BodyText"/>
        <w:jc w:val="left"/>
      </w:pPr>
    </w:p>
    <w:p>
      <w:pPr>
        <w:pStyle w:val="ListParagraph"/>
        <w:numPr>
          <w:ilvl w:val="0"/>
          <w:numId w:val="111"/>
        </w:numPr>
        <w:tabs>
          <w:tab w:pos="1340" w:val="left" w:leader="none"/>
        </w:tabs>
        <w:spacing w:line="240" w:lineRule="auto" w:before="0" w:after="0"/>
        <w:ind w:left="1340" w:right="402" w:hanging="360"/>
        <w:jc w:val="both"/>
        <w:rPr>
          <w:sz w:val="24"/>
        </w:rPr>
      </w:pPr>
      <w:r>
        <w:rPr>
          <w:sz w:val="24"/>
        </w:rPr>
        <w:t>Vēl līdz šim brīdim trūkst vienotas tiesu prakses, jo dažādās tiesās ir dažādi spriedumi vienā lietā – par piemēru viena tiesa atsaka pieņemt dokumentus, jo pieteicējs</w:t>
      </w:r>
      <w:r>
        <w:rPr>
          <w:spacing w:val="-2"/>
          <w:sz w:val="24"/>
        </w:rPr>
        <w:t> </w:t>
      </w:r>
      <w:r>
        <w:rPr>
          <w:sz w:val="24"/>
        </w:rPr>
        <w:t>it</w:t>
      </w:r>
      <w:r>
        <w:rPr>
          <w:spacing w:val="-5"/>
          <w:sz w:val="24"/>
        </w:rPr>
        <w:t> </w:t>
      </w:r>
      <w:r>
        <w:rPr>
          <w:sz w:val="24"/>
        </w:rPr>
        <w:t>kā</w:t>
      </w:r>
      <w:r>
        <w:rPr>
          <w:spacing w:val="-4"/>
          <w:sz w:val="24"/>
        </w:rPr>
        <w:t> </w:t>
      </w:r>
      <w:r>
        <w:rPr>
          <w:sz w:val="24"/>
        </w:rPr>
        <w:t>neesot</w:t>
      </w:r>
      <w:r>
        <w:rPr>
          <w:spacing w:val="-2"/>
          <w:sz w:val="24"/>
        </w:rPr>
        <w:t> </w:t>
      </w:r>
      <w:r>
        <w:rPr>
          <w:sz w:val="24"/>
        </w:rPr>
        <w:t>nodokļu</w:t>
      </w:r>
      <w:r>
        <w:rPr>
          <w:spacing w:val="-4"/>
          <w:sz w:val="24"/>
        </w:rPr>
        <w:t> </w:t>
      </w:r>
      <w:r>
        <w:rPr>
          <w:sz w:val="24"/>
        </w:rPr>
        <w:t>maksātājs</w:t>
      </w:r>
      <w:r>
        <w:rPr>
          <w:spacing w:val="-5"/>
          <w:sz w:val="24"/>
        </w:rPr>
        <w:t> </w:t>
      </w:r>
      <w:r>
        <w:rPr>
          <w:sz w:val="24"/>
        </w:rPr>
        <w:t>pēdējos</w:t>
      </w:r>
      <w:r>
        <w:rPr>
          <w:spacing w:val="-4"/>
          <w:sz w:val="24"/>
        </w:rPr>
        <w:t> </w:t>
      </w:r>
      <w:r>
        <w:rPr>
          <w:sz w:val="24"/>
        </w:rPr>
        <w:t>6</w:t>
      </w:r>
      <w:r>
        <w:rPr>
          <w:spacing w:val="-5"/>
          <w:sz w:val="24"/>
        </w:rPr>
        <w:t> </w:t>
      </w:r>
      <w:r>
        <w:rPr>
          <w:sz w:val="24"/>
        </w:rPr>
        <w:t>mēnešus,</w:t>
      </w:r>
      <w:r>
        <w:rPr>
          <w:spacing w:val="-4"/>
          <w:sz w:val="24"/>
        </w:rPr>
        <w:t> </w:t>
      </w:r>
      <w:r>
        <w:rPr>
          <w:sz w:val="24"/>
        </w:rPr>
        <w:t>kaut</w:t>
      </w:r>
      <w:r>
        <w:rPr>
          <w:spacing w:val="-5"/>
          <w:sz w:val="24"/>
        </w:rPr>
        <w:t> </w:t>
      </w:r>
      <w:r>
        <w:rPr>
          <w:sz w:val="24"/>
        </w:rPr>
        <w:t>gan</w:t>
      </w:r>
      <w:r>
        <w:rPr>
          <w:spacing w:val="-4"/>
          <w:sz w:val="24"/>
        </w:rPr>
        <w:t> </w:t>
      </w:r>
      <w:r>
        <w:rPr>
          <w:sz w:val="24"/>
        </w:rPr>
        <w:t>ir</w:t>
      </w:r>
      <w:r>
        <w:rPr>
          <w:spacing w:val="-5"/>
          <w:sz w:val="24"/>
        </w:rPr>
        <w:t> </w:t>
      </w:r>
      <w:r>
        <w:rPr>
          <w:sz w:val="24"/>
        </w:rPr>
        <w:t>pievienota izziņa no Valsts ieņēmumu dienesta, ka pieteicējs ir reģistrēts nodokļu maksātājs vairāk kā 6 mēnešus, un atkārtoti iesniedzot pieteikumu, cits tiesas sastāvs</w:t>
      </w:r>
      <w:r>
        <w:rPr>
          <w:spacing w:val="-18"/>
          <w:sz w:val="24"/>
        </w:rPr>
        <w:t> </w:t>
      </w:r>
      <w:r>
        <w:rPr>
          <w:sz w:val="24"/>
        </w:rPr>
        <w:t>ierosina lietu un pasludina</w:t>
      </w:r>
      <w:r>
        <w:rPr>
          <w:spacing w:val="-1"/>
          <w:sz w:val="24"/>
        </w:rPr>
        <w:t> </w:t>
      </w:r>
      <w:r>
        <w:rPr>
          <w:sz w:val="24"/>
        </w:rPr>
        <w:t>procesu.</w:t>
      </w:r>
    </w:p>
    <w:p>
      <w:pPr>
        <w:pStyle w:val="ListParagraph"/>
        <w:numPr>
          <w:ilvl w:val="0"/>
          <w:numId w:val="111"/>
        </w:numPr>
        <w:tabs>
          <w:tab w:pos="1340" w:val="left" w:leader="none"/>
        </w:tabs>
        <w:spacing w:line="240" w:lineRule="auto" w:before="0" w:after="0"/>
        <w:ind w:left="1340" w:right="402" w:hanging="360"/>
        <w:jc w:val="both"/>
        <w:rPr>
          <w:sz w:val="24"/>
        </w:rPr>
      </w:pPr>
      <w:r>
        <w:rPr>
          <w:sz w:val="24"/>
        </w:rPr>
        <w:t>Attiecībā uz administratoriem arī būtu pozitīvi, ja būtu kāda vienota prakse – atsevišķi administratori pieprasa izziņas, kas jau ir iesniegtas tiesā un tiesa, piemēram ir konstatējusi, ka parādniekam nav ne automašīnas, ne nekustamais īpašums, bet šīs ziņas tiek prasītas</w:t>
      </w:r>
      <w:r>
        <w:rPr>
          <w:spacing w:val="-6"/>
          <w:sz w:val="24"/>
        </w:rPr>
        <w:t> </w:t>
      </w:r>
      <w:r>
        <w:rPr>
          <w:sz w:val="24"/>
        </w:rPr>
        <w:t>atkārtoti.</w:t>
      </w:r>
    </w:p>
    <w:p>
      <w:pPr>
        <w:pStyle w:val="ListParagraph"/>
        <w:numPr>
          <w:ilvl w:val="0"/>
          <w:numId w:val="111"/>
        </w:numPr>
        <w:tabs>
          <w:tab w:pos="1340" w:val="left" w:leader="none"/>
        </w:tabs>
        <w:spacing w:line="240" w:lineRule="auto" w:before="0" w:after="0"/>
        <w:ind w:left="1340" w:right="403" w:hanging="360"/>
        <w:jc w:val="both"/>
        <w:rPr>
          <w:sz w:val="24"/>
        </w:rPr>
      </w:pPr>
      <w:r>
        <w:rPr>
          <w:sz w:val="24"/>
        </w:rPr>
        <w:t>Trūkst</w:t>
      </w:r>
      <w:r>
        <w:rPr>
          <w:spacing w:val="-6"/>
          <w:sz w:val="24"/>
        </w:rPr>
        <w:t> </w:t>
      </w:r>
      <w:r>
        <w:rPr>
          <w:sz w:val="24"/>
        </w:rPr>
        <w:t>tiesu</w:t>
      </w:r>
      <w:r>
        <w:rPr>
          <w:spacing w:val="-5"/>
          <w:sz w:val="24"/>
        </w:rPr>
        <w:t> </w:t>
      </w:r>
      <w:r>
        <w:rPr>
          <w:sz w:val="24"/>
        </w:rPr>
        <w:t>prakses</w:t>
      </w:r>
      <w:r>
        <w:rPr>
          <w:spacing w:val="-5"/>
          <w:sz w:val="24"/>
        </w:rPr>
        <w:t> </w:t>
      </w:r>
      <w:r>
        <w:rPr>
          <w:sz w:val="24"/>
        </w:rPr>
        <w:t>apkopojuma,</w:t>
      </w:r>
      <w:r>
        <w:rPr>
          <w:spacing w:val="-5"/>
          <w:sz w:val="24"/>
        </w:rPr>
        <w:t> </w:t>
      </w:r>
      <w:r>
        <w:rPr>
          <w:sz w:val="24"/>
        </w:rPr>
        <w:t>kā</w:t>
      </w:r>
      <w:r>
        <w:rPr>
          <w:spacing w:val="-8"/>
          <w:sz w:val="24"/>
        </w:rPr>
        <w:t> </w:t>
      </w:r>
      <w:r>
        <w:rPr>
          <w:sz w:val="24"/>
        </w:rPr>
        <w:t>arī</w:t>
      </w:r>
      <w:r>
        <w:rPr>
          <w:spacing w:val="-5"/>
          <w:sz w:val="24"/>
        </w:rPr>
        <w:t> </w:t>
      </w:r>
      <w:r>
        <w:rPr>
          <w:sz w:val="24"/>
        </w:rPr>
        <w:t>būtu</w:t>
      </w:r>
      <w:r>
        <w:rPr>
          <w:spacing w:val="-5"/>
          <w:sz w:val="24"/>
        </w:rPr>
        <w:t> </w:t>
      </w:r>
      <w:r>
        <w:rPr>
          <w:sz w:val="24"/>
        </w:rPr>
        <w:t>nepieciešama</w:t>
      </w:r>
      <w:r>
        <w:rPr>
          <w:spacing w:val="-5"/>
          <w:sz w:val="24"/>
        </w:rPr>
        <w:t> </w:t>
      </w:r>
      <w:r>
        <w:rPr>
          <w:sz w:val="24"/>
        </w:rPr>
        <w:t>administratoru</w:t>
      </w:r>
      <w:r>
        <w:rPr>
          <w:spacing w:val="-8"/>
          <w:sz w:val="24"/>
        </w:rPr>
        <w:t> </w:t>
      </w:r>
      <w:r>
        <w:rPr>
          <w:sz w:val="24"/>
        </w:rPr>
        <w:t>vienotas prakses</w:t>
      </w:r>
      <w:r>
        <w:rPr>
          <w:spacing w:val="-1"/>
          <w:sz w:val="24"/>
        </w:rPr>
        <w:t> </w:t>
      </w:r>
      <w:r>
        <w:rPr>
          <w:sz w:val="24"/>
        </w:rPr>
        <w:t>izstrāde.</w:t>
      </w:r>
    </w:p>
    <w:p>
      <w:pPr>
        <w:pStyle w:val="ListParagraph"/>
        <w:numPr>
          <w:ilvl w:val="0"/>
          <w:numId w:val="111"/>
        </w:numPr>
        <w:tabs>
          <w:tab w:pos="1340" w:val="left" w:leader="none"/>
        </w:tabs>
        <w:spacing w:line="240" w:lineRule="auto" w:before="0" w:after="0"/>
        <w:ind w:left="1340" w:right="400" w:hanging="360"/>
        <w:jc w:val="both"/>
        <w:rPr>
          <w:sz w:val="24"/>
        </w:rPr>
      </w:pPr>
      <w:r>
        <w:rPr>
          <w:sz w:val="24"/>
        </w:rPr>
        <w:t>Raksturot</w:t>
      </w:r>
      <w:r>
        <w:rPr>
          <w:spacing w:val="-9"/>
          <w:sz w:val="24"/>
        </w:rPr>
        <w:t> </w:t>
      </w:r>
      <w:r>
        <w:rPr>
          <w:sz w:val="24"/>
        </w:rPr>
        <w:t>negodprātīgu</w:t>
      </w:r>
      <w:r>
        <w:rPr>
          <w:spacing w:val="-9"/>
          <w:sz w:val="24"/>
        </w:rPr>
        <w:t> </w:t>
      </w:r>
      <w:r>
        <w:rPr>
          <w:sz w:val="24"/>
        </w:rPr>
        <w:t>parādnieku</w:t>
      </w:r>
      <w:r>
        <w:rPr>
          <w:spacing w:val="-9"/>
          <w:sz w:val="24"/>
        </w:rPr>
        <w:t> </w:t>
      </w:r>
      <w:r>
        <w:rPr>
          <w:sz w:val="24"/>
        </w:rPr>
        <w:t>ir</w:t>
      </w:r>
      <w:r>
        <w:rPr>
          <w:spacing w:val="-9"/>
          <w:sz w:val="24"/>
        </w:rPr>
        <w:t> </w:t>
      </w:r>
      <w:r>
        <w:rPr>
          <w:sz w:val="24"/>
        </w:rPr>
        <w:t>sarežģīti,</w:t>
      </w:r>
      <w:r>
        <w:rPr>
          <w:spacing w:val="-8"/>
          <w:sz w:val="24"/>
        </w:rPr>
        <w:t> </w:t>
      </w:r>
      <w:r>
        <w:rPr>
          <w:sz w:val="24"/>
        </w:rPr>
        <w:t>jo</w:t>
      </w:r>
      <w:r>
        <w:rPr>
          <w:spacing w:val="-6"/>
          <w:sz w:val="24"/>
        </w:rPr>
        <w:t> </w:t>
      </w:r>
      <w:r>
        <w:rPr>
          <w:sz w:val="24"/>
        </w:rPr>
        <w:t>katrs</w:t>
      </w:r>
      <w:r>
        <w:rPr>
          <w:spacing w:val="-9"/>
          <w:sz w:val="24"/>
        </w:rPr>
        <w:t> </w:t>
      </w:r>
      <w:r>
        <w:rPr>
          <w:sz w:val="24"/>
        </w:rPr>
        <w:t>gadījums</w:t>
      </w:r>
      <w:r>
        <w:rPr>
          <w:spacing w:val="-9"/>
          <w:sz w:val="24"/>
        </w:rPr>
        <w:t> </w:t>
      </w:r>
      <w:r>
        <w:rPr>
          <w:sz w:val="24"/>
        </w:rPr>
        <w:t>ir</w:t>
      </w:r>
      <w:r>
        <w:rPr>
          <w:spacing w:val="-6"/>
          <w:sz w:val="24"/>
        </w:rPr>
        <w:t> </w:t>
      </w:r>
      <w:r>
        <w:rPr>
          <w:sz w:val="24"/>
        </w:rPr>
        <w:t>individuāls.</w:t>
      </w:r>
      <w:r>
        <w:rPr>
          <w:spacing w:val="-9"/>
          <w:sz w:val="24"/>
        </w:rPr>
        <w:t> </w:t>
      </w:r>
      <w:r>
        <w:rPr>
          <w:sz w:val="24"/>
        </w:rPr>
        <w:t>Par piemēru var minēt parādniekus, kuri negūst ienākumus maksātnespējas procesa laikā – ir atsevišķi gadījumi, kad parādnieki pat uzsākot procesu nevar atbloķēt kontus, kaut gan ir vērsušies pie tiesu izpildītājiem ar šādu lūgumu, un atsevišķos gadījumos tiesu izpildītāji atbloķē norēķinu kontus, dažos gadījumos nē, un līdz ar to</w:t>
      </w:r>
      <w:r>
        <w:rPr>
          <w:spacing w:val="-6"/>
          <w:sz w:val="24"/>
        </w:rPr>
        <w:t> </w:t>
      </w:r>
      <w:r>
        <w:rPr>
          <w:sz w:val="24"/>
        </w:rPr>
        <w:t>parādnieks</w:t>
      </w:r>
      <w:r>
        <w:rPr>
          <w:spacing w:val="-4"/>
          <w:sz w:val="24"/>
        </w:rPr>
        <w:t> </w:t>
      </w:r>
      <w:r>
        <w:rPr>
          <w:sz w:val="24"/>
        </w:rPr>
        <w:t>saņem</w:t>
      </w:r>
      <w:r>
        <w:rPr>
          <w:spacing w:val="-5"/>
          <w:sz w:val="24"/>
        </w:rPr>
        <w:t> </w:t>
      </w:r>
      <w:r>
        <w:rPr>
          <w:sz w:val="24"/>
        </w:rPr>
        <w:t>“aplokšņu”</w:t>
      </w:r>
      <w:r>
        <w:rPr>
          <w:spacing w:val="-9"/>
          <w:sz w:val="24"/>
        </w:rPr>
        <w:t> </w:t>
      </w:r>
      <w:r>
        <w:rPr>
          <w:sz w:val="24"/>
        </w:rPr>
        <w:t>algu.</w:t>
      </w:r>
      <w:r>
        <w:rPr>
          <w:spacing w:val="-5"/>
          <w:sz w:val="24"/>
        </w:rPr>
        <w:t> </w:t>
      </w:r>
      <w:r>
        <w:rPr>
          <w:sz w:val="24"/>
        </w:rPr>
        <w:t>Protams</w:t>
      </w:r>
      <w:r>
        <w:rPr>
          <w:spacing w:val="-6"/>
          <w:sz w:val="24"/>
        </w:rPr>
        <w:t> </w:t>
      </w:r>
      <w:r>
        <w:rPr>
          <w:sz w:val="24"/>
        </w:rPr>
        <w:t>ir</w:t>
      </w:r>
      <w:r>
        <w:rPr>
          <w:spacing w:val="-4"/>
          <w:sz w:val="24"/>
        </w:rPr>
        <w:t> </w:t>
      </w:r>
      <w:r>
        <w:rPr>
          <w:sz w:val="24"/>
        </w:rPr>
        <w:t>arī</w:t>
      </w:r>
      <w:r>
        <w:rPr>
          <w:spacing w:val="-6"/>
          <w:sz w:val="24"/>
        </w:rPr>
        <w:t> </w:t>
      </w:r>
      <w:r>
        <w:rPr>
          <w:sz w:val="24"/>
        </w:rPr>
        <w:t>gadījumi,</w:t>
      </w:r>
      <w:r>
        <w:rPr>
          <w:spacing w:val="-3"/>
          <w:sz w:val="24"/>
        </w:rPr>
        <w:t> </w:t>
      </w:r>
      <w:r>
        <w:rPr>
          <w:sz w:val="24"/>
        </w:rPr>
        <w:t>kad</w:t>
      </w:r>
      <w:r>
        <w:rPr>
          <w:spacing w:val="-6"/>
          <w:sz w:val="24"/>
        </w:rPr>
        <w:t> </w:t>
      </w:r>
      <w:r>
        <w:rPr>
          <w:sz w:val="24"/>
        </w:rPr>
        <w:t>LAKRA</w:t>
      </w:r>
      <w:r>
        <w:rPr>
          <w:spacing w:val="-3"/>
          <w:sz w:val="24"/>
        </w:rPr>
        <w:t> </w:t>
      </w:r>
      <w:r>
        <w:rPr>
          <w:sz w:val="24"/>
        </w:rPr>
        <w:t>secina, ka parādnieki slēpj savus patiesos ienākumus. Tomēr uzskatam, ka uz šo brīdi likumdošanā kreditoriem ir tiesības jebkurā brīdī, pastāvot aizdomām par nepatiesas informācijas sniegšanu, vērsties pie administratora ar lūgumu pārbaudīt šo informāciju, līdz ar to uzskatām, ka stingrāki ierobežojumi nav</w:t>
      </w:r>
      <w:r>
        <w:rPr>
          <w:spacing w:val="-5"/>
          <w:sz w:val="24"/>
        </w:rPr>
        <w:t> </w:t>
      </w:r>
      <w:r>
        <w:rPr>
          <w:sz w:val="24"/>
        </w:rPr>
        <w:t>nepieciešami.</w:t>
      </w:r>
    </w:p>
    <w:p>
      <w:pPr>
        <w:pStyle w:val="ListParagraph"/>
        <w:numPr>
          <w:ilvl w:val="0"/>
          <w:numId w:val="111"/>
        </w:numPr>
        <w:tabs>
          <w:tab w:pos="1340" w:val="left" w:leader="none"/>
        </w:tabs>
        <w:spacing w:line="240" w:lineRule="auto" w:before="0" w:after="0"/>
        <w:ind w:left="1340" w:right="403" w:hanging="360"/>
        <w:jc w:val="both"/>
        <w:rPr>
          <w:sz w:val="24"/>
        </w:rPr>
      </w:pPr>
      <w:r>
        <w:rPr>
          <w:sz w:val="24"/>
        </w:rPr>
        <w:t>Uzskatām, ka būtu nepieciešams ieviest atsevišķu regulējumu personām, </w:t>
      </w:r>
      <w:r>
        <w:rPr>
          <w:spacing w:val="-4"/>
          <w:sz w:val="24"/>
        </w:rPr>
        <w:t>kas </w:t>
      </w:r>
      <w:r>
        <w:rPr>
          <w:sz w:val="24"/>
        </w:rPr>
        <w:t>uzņēmušās nelielas saistības un kuriem ir zemi ienākumi; kā arī personām ar invaliditāti</w:t>
      </w:r>
      <w:r>
        <w:rPr>
          <w:spacing w:val="-9"/>
          <w:sz w:val="24"/>
        </w:rPr>
        <w:t> </w:t>
      </w:r>
      <w:r>
        <w:rPr>
          <w:sz w:val="24"/>
        </w:rPr>
        <w:t>un</w:t>
      </w:r>
      <w:r>
        <w:rPr>
          <w:spacing w:val="-9"/>
          <w:sz w:val="24"/>
        </w:rPr>
        <w:t> </w:t>
      </w:r>
      <w:r>
        <w:rPr>
          <w:sz w:val="24"/>
        </w:rPr>
        <w:t>maznodrošinātām</w:t>
      </w:r>
      <w:r>
        <w:rPr>
          <w:spacing w:val="-10"/>
          <w:sz w:val="24"/>
        </w:rPr>
        <w:t> </w:t>
      </w:r>
      <w:r>
        <w:rPr>
          <w:sz w:val="24"/>
        </w:rPr>
        <w:t>personām</w:t>
      </w:r>
      <w:r>
        <w:rPr>
          <w:spacing w:val="-6"/>
          <w:sz w:val="24"/>
        </w:rPr>
        <w:t> </w:t>
      </w:r>
      <w:r>
        <w:rPr>
          <w:sz w:val="24"/>
        </w:rPr>
        <w:t>būtu</w:t>
      </w:r>
      <w:r>
        <w:rPr>
          <w:spacing w:val="-8"/>
          <w:sz w:val="24"/>
        </w:rPr>
        <w:t> </w:t>
      </w:r>
      <w:r>
        <w:rPr>
          <w:sz w:val="24"/>
        </w:rPr>
        <w:t>jāatvieglo</w:t>
      </w:r>
      <w:r>
        <w:rPr>
          <w:spacing w:val="-9"/>
          <w:sz w:val="24"/>
        </w:rPr>
        <w:t> </w:t>
      </w:r>
      <w:r>
        <w:rPr>
          <w:sz w:val="24"/>
        </w:rPr>
        <w:t>maksātnespējas</w:t>
      </w:r>
      <w:r>
        <w:rPr>
          <w:spacing w:val="-5"/>
          <w:sz w:val="24"/>
        </w:rPr>
        <w:t> </w:t>
      </w:r>
      <w:r>
        <w:rPr>
          <w:sz w:val="24"/>
        </w:rPr>
        <w:t>process.</w:t>
      </w:r>
    </w:p>
    <w:p>
      <w:pPr>
        <w:pStyle w:val="ListParagraph"/>
        <w:numPr>
          <w:ilvl w:val="0"/>
          <w:numId w:val="111"/>
        </w:numPr>
        <w:tabs>
          <w:tab w:pos="1340" w:val="left" w:leader="none"/>
        </w:tabs>
        <w:spacing w:line="240" w:lineRule="auto" w:before="0" w:after="0"/>
        <w:ind w:left="1340" w:right="404" w:hanging="360"/>
        <w:jc w:val="both"/>
        <w:rPr>
          <w:sz w:val="24"/>
        </w:rPr>
      </w:pPr>
      <w:r>
        <w:rPr>
          <w:sz w:val="24"/>
        </w:rPr>
        <w:t>LAKRA uzskata, ka būtu jāizskata iespēja valstij segt daļēji administratora atlīdzību, ja cilvēks ar invaliditāti un maznodrošinātajām</w:t>
      </w:r>
      <w:r>
        <w:rPr>
          <w:spacing w:val="-1"/>
          <w:sz w:val="24"/>
        </w:rPr>
        <w:t> </w:t>
      </w:r>
      <w:r>
        <w:rPr>
          <w:sz w:val="24"/>
        </w:rPr>
        <w:t>personām.</w:t>
      </w:r>
    </w:p>
    <w:p>
      <w:pPr>
        <w:pStyle w:val="BodyText"/>
        <w:jc w:val="left"/>
        <w:rPr>
          <w:sz w:val="26"/>
        </w:rPr>
      </w:pPr>
    </w:p>
    <w:p>
      <w:pPr>
        <w:pStyle w:val="BodyText"/>
        <w:jc w:val="left"/>
        <w:rPr>
          <w:sz w:val="22"/>
        </w:rPr>
      </w:pPr>
    </w:p>
    <w:p>
      <w:pPr>
        <w:pStyle w:val="BodyText"/>
        <w:ind w:left="620"/>
        <w:jc w:val="left"/>
      </w:pPr>
      <w:r>
        <w:rPr/>
        <w:t>Savukārt Finanšu nozares asociācija ir norādījusi uz šādām galvenajām problēmām:</w:t>
      </w:r>
    </w:p>
    <w:p>
      <w:pPr>
        <w:pStyle w:val="BodyText"/>
        <w:jc w:val="left"/>
      </w:pPr>
    </w:p>
    <w:p>
      <w:pPr>
        <w:pStyle w:val="ListParagraph"/>
        <w:numPr>
          <w:ilvl w:val="0"/>
          <w:numId w:val="112"/>
        </w:numPr>
        <w:tabs>
          <w:tab w:pos="1340" w:val="left" w:leader="none"/>
        </w:tabs>
        <w:spacing w:line="240" w:lineRule="auto" w:before="0" w:after="0"/>
        <w:ind w:left="1340" w:right="0" w:hanging="360"/>
        <w:jc w:val="both"/>
        <w:rPr>
          <w:sz w:val="24"/>
        </w:rPr>
      </w:pPr>
      <w:r>
        <w:rPr>
          <w:sz w:val="24"/>
        </w:rPr>
        <w:t>Depozīta un tiesas nodevas dēļ fiziskās personas maksātnespējas process</w:t>
      </w:r>
      <w:r>
        <w:rPr>
          <w:spacing w:val="8"/>
          <w:sz w:val="24"/>
        </w:rPr>
        <w:t> </w:t>
      </w:r>
      <w:r>
        <w:rPr>
          <w:sz w:val="24"/>
        </w:rPr>
        <w:t>(turpmāk</w:t>
      </w:r>
    </w:p>
    <w:p>
      <w:pPr>
        <w:pStyle w:val="BodyText"/>
        <w:spacing w:before="1"/>
        <w:ind w:left="1340" w:right="403"/>
      </w:pPr>
      <w:r>
        <w:rPr/>
        <w:t>–</w:t>
      </w:r>
      <w:r>
        <w:rPr>
          <w:spacing w:val="-9"/>
        </w:rPr>
        <w:t> </w:t>
      </w:r>
      <w:r>
        <w:rPr/>
        <w:t>MNP)</w:t>
      </w:r>
      <w:r>
        <w:rPr>
          <w:spacing w:val="-9"/>
        </w:rPr>
        <w:t> </w:t>
      </w:r>
      <w:r>
        <w:rPr/>
        <w:t>nav</w:t>
      </w:r>
      <w:r>
        <w:rPr>
          <w:spacing w:val="-9"/>
        </w:rPr>
        <w:t> </w:t>
      </w:r>
      <w:r>
        <w:rPr/>
        <w:t>pieejams</w:t>
      </w:r>
      <w:r>
        <w:rPr>
          <w:spacing w:val="-9"/>
        </w:rPr>
        <w:t> </w:t>
      </w:r>
      <w:r>
        <w:rPr/>
        <w:t>personām</w:t>
      </w:r>
      <w:r>
        <w:rPr>
          <w:spacing w:val="-10"/>
        </w:rPr>
        <w:t> </w:t>
      </w:r>
      <w:r>
        <w:rPr/>
        <w:t>ar</w:t>
      </w:r>
      <w:r>
        <w:rPr>
          <w:spacing w:val="-9"/>
        </w:rPr>
        <w:t> </w:t>
      </w:r>
      <w:r>
        <w:rPr/>
        <w:t>maziem</w:t>
      </w:r>
      <w:r>
        <w:rPr>
          <w:spacing w:val="-9"/>
        </w:rPr>
        <w:t> </w:t>
      </w:r>
      <w:r>
        <w:rPr/>
        <w:t>ienākumiem</w:t>
      </w:r>
      <w:r>
        <w:rPr>
          <w:spacing w:val="-11"/>
        </w:rPr>
        <w:t> </w:t>
      </w:r>
      <w:r>
        <w:rPr/>
        <w:t>vai</w:t>
      </w:r>
      <w:r>
        <w:rPr>
          <w:spacing w:val="-9"/>
        </w:rPr>
        <w:t> </w:t>
      </w:r>
      <w:r>
        <w:rPr/>
        <w:t>saistībām,</w:t>
      </w:r>
      <w:r>
        <w:rPr>
          <w:spacing w:val="-8"/>
        </w:rPr>
        <w:t> </w:t>
      </w:r>
      <w:r>
        <w:rPr/>
        <w:t>kas</w:t>
      </w:r>
      <w:r>
        <w:rPr>
          <w:spacing w:val="-9"/>
        </w:rPr>
        <w:t> </w:t>
      </w:r>
      <w:r>
        <w:rPr/>
        <w:t>nedaudz pārsniedz šo izmaksu apmēru. Jāparedz šāda iespēja. Par šo Asociācija jau ir iesniegusi ierosinājumu Tieslietu</w:t>
      </w:r>
      <w:r>
        <w:rPr>
          <w:spacing w:val="1"/>
        </w:rPr>
        <w:t> </w:t>
      </w:r>
      <w:r>
        <w:rPr/>
        <w:t>ministrijai.</w:t>
      </w:r>
    </w:p>
    <w:p>
      <w:pPr>
        <w:pStyle w:val="ListParagraph"/>
        <w:numPr>
          <w:ilvl w:val="0"/>
          <w:numId w:val="112"/>
        </w:numPr>
        <w:tabs>
          <w:tab w:pos="1340" w:val="left" w:leader="none"/>
        </w:tabs>
        <w:spacing w:line="240" w:lineRule="auto" w:before="0" w:after="0"/>
        <w:ind w:left="1340" w:right="401" w:hanging="360"/>
        <w:jc w:val="both"/>
        <w:rPr>
          <w:sz w:val="24"/>
        </w:rPr>
      </w:pPr>
      <w:r>
        <w:rPr>
          <w:sz w:val="24"/>
        </w:rPr>
        <w:t>Ir gadījumi, kad fiziskās personas rīkojas negodprātīgi, proti, pirms MNP uzsākšanas cenšas nobēdzināt savus aktīvus un neuzrāda savus patiesos</w:t>
      </w:r>
      <w:r>
        <w:rPr>
          <w:spacing w:val="-39"/>
          <w:sz w:val="24"/>
        </w:rPr>
        <w:t> </w:t>
      </w:r>
      <w:r>
        <w:rPr>
          <w:sz w:val="24"/>
        </w:rPr>
        <w:t>ienākumus saistību dzēšanas procedūras laikā. Būtu jānosaka personas juridiskā atbildība </w:t>
      </w:r>
      <w:r>
        <w:rPr>
          <w:spacing w:val="-4"/>
          <w:sz w:val="24"/>
        </w:rPr>
        <w:t>par </w:t>
      </w:r>
      <w:r>
        <w:rPr>
          <w:sz w:val="24"/>
        </w:rPr>
        <w:t>šādu rīcību (ne tikai tāda, kas personai MNP padarītu par neiespējamu). Tāpat likums neuzliek pienākumu maksātnespējas administratoram pirms procesa pasludināšanas veikt pārbaudi par personas iepriekšējiem</w:t>
      </w:r>
      <w:r>
        <w:rPr>
          <w:spacing w:val="-4"/>
          <w:sz w:val="24"/>
        </w:rPr>
        <w:t> </w:t>
      </w:r>
      <w:r>
        <w:rPr>
          <w:sz w:val="24"/>
        </w:rPr>
        <w:t>darījumiem.</w:t>
      </w:r>
    </w:p>
    <w:p>
      <w:pPr>
        <w:pStyle w:val="ListParagraph"/>
        <w:numPr>
          <w:ilvl w:val="0"/>
          <w:numId w:val="112"/>
        </w:numPr>
        <w:tabs>
          <w:tab w:pos="1340" w:val="left" w:leader="none"/>
        </w:tabs>
        <w:spacing w:line="240" w:lineRule="auto" w:before="0" w:after="0"/>
        <w:ind w:left="1340" w:right="402" w:hanging="360"/>
        <w:jc w:val="both"/>
        <w:rPr>
          <w:sz w:val="24"/>
        </w:rPr>
      </w:pPr>
      <w:r>
        <w:rPr>
          <w:sz w:val="24"/>
        </w:rPr>
        <w:t>Jāparedz</w:t>
      </w:r>
      <w:r>
        <w:rPr>
          <w:spacing w:val="-12"/>
          <w:sz w:val="24"/>
        </w:rPr>
        <w:t> </w:t>
      </w:r>
      <w:r>
        <w:rPr>
          <w:sz w:val="24"/>
        </w:rPr>
        <w:t>iespējas</w:t>
      </w:r>
      <w:r>
        <w:rPr>
          <w:spacing w:val="-13"/>
          <w:sz w:val="24"/>
        </w:rPr>
        <w:t> </w:t>
      </w:r>
      <w:r>
        <w:rPr>
          <w:sz w:val="24"/>
        </w:rPr>
        <w:t>uzsākt</w:t>
      </w:r>
      <w:r>
        <w:rPr>
          <w:spacing w:val="-16"/>
          <w:sz w:val="24"/>
        </w:rPr>
        <w:t> </w:t>
      </w:r>
      <w:r>
        <w:rPr>
          <w:sz w:val="24"/>
        </w:rPr>
        <w:t>MNP</w:t>
      </w:r>
      <w:r>
        <w:rPr>
          <w:spacing w:val="-13"/>
          <w:sz w:val="24"/>
        </w:rPr>
        <w:t> </w:t>
      </w:r>
      <w:r>
        <w:rPr>
          <w:sz w:val="24"/>
        </w:rPr>
        <w:t>gan</w:t>
      </w:r>
      <w:r>
        <w:rPr>
          <w:spacing w:val="-13"/>
          <w:sz w:val="24"/>
        </w:rPr>
        <w:t> </w:t>
      </w:r>
      <w:r>
        <w:rPr>
          <w:sz w:val="24"/>
        </w:rPr>
        <w:t>pašai</w:t>
      </w:r>
      <w:r>
        <w:rPr>
          <w:spacing w:val="-13"/>
          <w:sz w:val="24"/>
        </w:rPr>
        <w:t> </w:t>
      </w:r>
      <w:r>
        <w:rPr>
          <w:sz w:val="24"/>
        </w:rPr>
        <w:t>personai,</w:t>
      </w:r>
      <w:r>
        <w:rPr>
          <w:spacing w:val="-11"/>
          <w:sz w:val="24"/>
        </w:rPr>
        <w:t> </w:t>
      </w:r>
      <w:r>
        <w:rPr>
          <w:sz w:val="24"/>
        </w:rPr>
        <w:t>gan</w:t>
      </w:r>
      <w:r>
        <w:rPr>
          <w:spacing w:val="-13"/>
          <w:sz w:val="24"/>
        </w:rPr>
        <w:t> </w:t>
      </w:r>
      <w:r>
        <w:rPr>
          <w:sz w:val="24"/>
        </w:rPr>
        <w:t>viņas</w:t>
      </w:r>
      <w:r>
        <w:rPr>
          <w:spacing w:val="-16"/>
          <w:sz w:val="24"/>
        </w:rPr>
        <w:t> </w:t>
      </w:r>
      <w:r>
        <w:rPr>
          <w:sz w:val="24"/>
        </w:rPr>
        <w:t>radiniekiem</w:t>
      </w:r>
      <w:r>
        <w:rPr>
          <w:spacing w:val="-13"/>
          <w:sz w:val="24"/>
        </w:rPr>
        <w:t> </w:t>
      </w:r>
      <w:r>
        <w:rPr>
          <w:sz w:val="24"/>
        </w:rPr>
        <w:t>līdz</w:t>
      </w:r>
      <w:r>
        <w:rPr>
          <w:spacing w:val="-12"/>
          <w:sz w:val="24"/>
        </w:rPr>
        <w:t> </w:t>
      </w:r>
      <w:r>
        <w:rPr>
          <w:sz w:val="24"/>
        </w:rPr>
        <w:t>otrajai pakāpei, gan</w:t>
      </w:r>
      <w:r>
        <w:rPr>
          <w:spacing w:val="1"/>
          <w:sz w:val="24"/>
        </w:rPr>
        <w:t> </w:t>
      </w:r>
      <w:r>
        <w:rPr>
          <w:sz w:val="24"/>
        </w:rPr>
        <w:t>kreditoriem.</w:t>
      </w:r>
    </w:p>
    <w:p>
      <w:pPr>
        <w:spacing w:after="0" w:line="240" w:lineRule="auto"/>
        <w:jc w:val="both"/>
        <w:rPr>
          <w:sz w:val="24"/>
        </w:rPr>
        <w:sectPr>
          <w:pgSz w:w="11910" w:h="16840"/>
          <w:pgMar w:header="0" w:footer="1055" w:top="1360" w:bottom="1240" w:left="1180" w:right="1040"/>
        </w:sectPr>
      </w:pPr>
    </w:p>
    <w:p>
      <w:pPr>
        <w:pStyle w:val="ListParagraph"/>
        <w:numPr>
          <w:ilvl w:val="0"/>
          <w:numId w:val="112"/>
        </w:numPr>
        <w:tabs>
          <w:tab w:pos="980" w:val="left" w:leader="none"/>
        </w:tabs>
        <w:spacing w:line="240" w:lineRule="auto" w:before="73" w:after="0"/>
        <w:ind w:left="980" w:right="764" w:hanging="360"/>
        <w:jc w:val="both"/>
        <w:rPr>
          <w:sz w:val="24"/>
        </w:rPr>
      </w:pPr>
      <w:r>
        <w:rPr>
          <w:sz w:val="24"/>
        </w:rPr>
        <w:t>Jāparedz iespēja laika posmā līdz tiesas sēdei personai ar administratora starpniecību vienoties ar kreditoriem par izlīgumu, saistību restrukturizāciju vai dzēšanu. Ja vienošanās starp pusēm netiek panākta, tad lieta jānodod tiesai nolēmuma</w:t>
      </w:r>
      <w:r>
        <w:rPr>
          <w:spacing w:val="-1"/>
          <w:sz w:val="24"/>
        </w:rPr>
        <w:t> </w:t>
      </w:r>
      <w:r>
        <w:rPr>
          <w:sz w:val="24"/>
        </w:rPr>
        <w:t>pieņemšanai.</w:t>
      </w:r>
    </w:p>
    <w:p>
      <w:pPr>
        <w:pStyle w:val="ListParagraph"/>
        <w:numPr>
          <w:ilvl w:val="0"/>
          <w:numId w:val="112"/>
        </w:numPr>
        <w:tabs>
          <w:tab w:pos="980" w:val="left" w:leader="none"/>
        </w:tabs>
        <w:spacing w:line="240" w:lineRule="auto" w:before="0" w:after="0"/>
        <w:ind w:left="980" w:right="760" w:hanging="360"/>
        <w:jc w:val="both"/>
        <w:rPr>
          <w:sz w:val="24"/>
        </w:rPr>
      </w:pPr>
      <w:r>
        <w:rPr>
          <w:sz w:val="24"/>
        </w:rPr>
        <w:t>Personai ir jāparedz tiesības saistību dzēšanas procedūras laikā lūgt tiesu atļaut uz noteiktu</w:t>
      </w:r>
      <w:r>
        <w:rPr>
          <w:spacing w:val="-14"/>
          <w:sz w:val="24"/>
        </w:rPr>
        <w:t> </w:t>
      </w:r>
      <w:r>
        <w:rPr>
          <w:sz w:val="24"/>
        </w:rPr>
        <w:t>laika</w:t>
      </w:r>
      <w:r>
        <w:rPr>
          <w:spacing w:val="-14"/>
          <w:sz w:val="24"/>
        </w:rPr>
        <w:t> </w:t>
      </w:r>
      <w:r>
        <w:rPr>
          <w:sz w:val="24"/>
        </w:rPr>
        <w:t>periodu</w:t>
      </w:r>
      <w:r>
        <w:rPr>
          <w:spacing w:val="-14"/>
          <w:sz w:val="24"/>
        </w:rPr>
        <w:t> </w:t>
      </w:r>
      <w:r>
        <w:rPr>
          <w:sz w:val="24"/>
        </w:rPr>
        <w:t>nepildīt</w:t>
      </w:r>
      <w:r>
        <w:rPr>
          <w:spacing w:val="-14"/>
          <w:sz w:val="24"/>
        </w:rPr>
        <w:t> </w:t>
      </w:r>
      <w:r>
        <w:rPr>
          <w:sz w:val="24"/>
        </w:rPr>
        <w:t>saistības,</w:t>
      </w:r>
      <w:r>
        <w:rPr>
          <w:spacing w:val="-14"/>
          <w:sz w:val="24"/>
        </w:rPr>
        <w:t> </w:t>
      </w:r>
      <w:r>
        <w:rPr>
          <w:sz w:val="24"/>
        </w:rPr>
        <w:t>attiecīgi</w:t>
      </w:r>
      <w:r>
        <w:rPr>
          <w:spacing w:val="-13"/>
          <w:sz w:val="24"/>
        </w:rPr>
        <w:t> </w:t>
      </w:r>
      <w:r>
        <w:rPr>
          <w:sz w:val="24"/>
        </w:rPr>
        <w:t>pagarinot</w:t>
      </w:r>
      <w:r>
        <w:rPr>
          <w:spacing w:val="-14"/>
          <w:sz w:val="24"/>
        </w:rPr>
        <w:t> </w:t>
      </w:r>
      <w:r>
        <w:rPr>
          <w:sz w:val="24"/>
        </w:rPr>
        <w:t>kopējo</w:t>
      </w:r>
      <w:r>
        <w:rPr>
          <w:spacing w:val="-14"/>
          <w:sz w:val="24"/>
        </w:rPr>
        <w:t> </w:t>
      </w:r>
      <w:r>
        <w:rPr>
          <w:sz w:val="24"/>
        </w:rPr>
        <w:t>saistību</w:t>
      </w:r>
      <w:r>
        <w:rPr>
          <w:spacing w:val="-14"/>
          <w:sz w:val="24"/>
        </w:rPr>
        <w:t> </w:t>
      </w:r>
      <w:r>
        <w:rPr>
          <w:sz w:val="24"/>
        </w:rPr>
        <w:t>dzēšanas procedūras</w:t>
      </w:r>
      <w:r>
        <w:rPr>
          <w:spacing w:val="-1"/>
          <w:sz w:val="24"/>
        </w:rPr>
        <w:t> </w:t>
      </w:r>
      <w:r>
        <w:rPr>
          <w:sz w:val="24"/>
        </w:rPr>
        <w:t>laiku.</w:t>
      </w:r>
    </w:p>
    <w:p>
      <w:pPr>
        <w:spacing w:after="0" w:line="240" w:lineRule="auto"/>
        <w:jc w:val="both"/>
        <w:rPr>
          <w:sz w:val="24"/>
        </w:rPr>
        <w:sectPr>
          <w:pgSz w:w="11910" w:h="16840"/>
          <w:pgMar w:header="0" w:footer="1055" w:top="1340" w:bottom="1240" w:left="1180" w:right="1040"/>
        </w:sectPr>
      </w:pPr>
    </w:p>
    <w:p>
      <w:pPr>
        <w:pStyle w:val="Heading2"/>
        <w:numPr>
          <w:ilvl w:val="2"/>
          <w:numId w:val="99"/>
        </w:numPr>
        <w:tabs>
          <w:tab w:pos="4537" w:val="left" w:leader="none"/>
        </w:tabs>
        <w:spacing w:line="322" w:lineRule="exact" w:before="59" w:after="0"/>
        <w:ind w:left="4536" w:right="0" w:hanging="4325"/>
        <w:jc w:val="left"/>
      </w:pPr>
      <w:r>
        <w:rPr>
          <w:color w:val="4472C3"/>
        </w:rPr>
        <w:t>NODAĻA</w:t>
      </w:r>
    </w:p>
    <w:p>
      <w:pPr>
        <w:spacing w:before="0"/>
        <w:ind w:left="1332" w:right="1125" w:firstLine="0"/>
        <w:jc w:val="center"/>
        <w:rPr>
          <w:b/>
          <w:sz w:val="28"/>
        </w:rPr>
      </w:pPr>
      <w:r>
        <w:rPr>
          <w:b/>
          <w:color w:val="4472C3"/>
          <w:sz w:val="28"/>
        </w:rPr>
        <w:t>KONSTATĒTO PROBLĒMJAUTĀJUMU ANALĪZE</w:t>
      </w:r>
    </w:p>
    <w:p>
      <w:pPr>
        <w:pStyle w:val="BodyText"/>
        <w:spacing w:before="10"/>
        <w:jc w:val="left"/>
        <w:rPr>
          <w:b/>
          <w:sz w:val="27"/>
        </w:rPr>
      </w:pPr>
    </w:p>
    <w:p>
      <w:pPr>
        <w:pStyle w:val="Heading2"/>
        <w:numPr>
          <w:ilvl w:val="0"/>
          <w:numId w:val="113"/>
        </w:numPr>
        <w:tabs>
          <w:tab w:pos="3707" w:val="left" w:leader="none"/>
        </w:tabs>
        <w:spacing w:line="240" w:lineRule="auto" w:before="1" w:after="0"/>
        <w:ind w:left="3706" w:right="0" w:hanging="361"/>
        <w:jc w:val="left"/>
      </w:pPr>
      <w:bookmarkStart w:name="_TOC_250025" w:id="53"/>
      <w:r>
        <w:rPr/>
        <w:t>Patieso ienākumu</w:t>
      </w:r>
      <w:r>
        <w:rPr>
          <w:spacing w:val="-1"/>
        </w:rPr>
        <w:t> </w:t>
      </w:r>
      <w:bookmarkEnd w:id="53"/>
      <w:r>
        <w:rPr/>
        <w:t>slēpšana</w:t>
      </w:r>
    </w:p>
    <w:p>
      <w:pPr>
        <w:pStyle w:val="BodyText"/>
        <w:spacing w:before="7"/>
        <w:jc w:val="left"/>
        <w:rPr>
          <w:b/>
          <w:sz w:val="27"/>
        </w:rPr>
      </w:pPr>
    </w:p>
    <w:p>
      <w:pPr>
        <w:pStyle w:val="BodyText"/>
        <w:ind w:left="620" w:right="401" w:firstLine="360"/>
      </w:pPr>
      <w:r>
        <w:rPr/>
        <w:t>Pētījuma laikā ir secināts, ka viena no būtiskākajām problēmām attiecībā uz fiziskās personas maksātnespējas procesu ir patieso ienākumu slēpšana – šāda problēma visbiežāk tika norādīta respondentu atbildēs uz aptaujas anketā uzdotajiem jautājumiem, uz to ir norādījusi arī Latvijas Finanšu nozares asociācija, kā arī šīs problēmas esamību apliecina tiesu prakses analīze.</w:t>
      </w:r>
    </w:p>
    <w:p>
      <w:pPr>
        <w:pStyle w:val="BodyText"/>
        <w:jc w:val="left"/>
      </w:pPr>
    </w:p>
    <w:p>
      <w:pPr>
        <w:pStyle w:val="BodyText"/>
        <w:ind w:left="620" w:right="402" w:firstLine="360"/>
      </w:pPr>
      <w:r>
        <w:rPr/>
        <w:t>Arī maksātnespējas procesu analīzes rezultāti nepārprotami apliecina augsto gadījumu īpatsvaru, kuros parādnieki, acīmredzot, slēpj savus patiesos ienākumus. Piemēram, analizējamajos maksātnespējas procesos, kuri ir uzsākti pēc 2015.gada 1.marta, saistību dzēšanas plānā ir paredzēts kreditoriem veikt tā saucamo minimālo maksājumu slieksni – 1/3 daļu no minimālās mēnešalgas 53,57 % gadījumu, koros ir bijis sastādīts mantas pārdošanas plāns, un 43,94 % gadījumu, kuros ir bijis sastādīts ziņojums par mantas neesamību (turklāt pārējos gadījumos ļoti bieži novērojama tendence veikt maksājumus, kuru apmērs ļoti nebūtiski pārsniedz minimālo maksājumu slieksni).</w:t>
      </w:r>
    </w:p>
    <w:p>
      <w:pPr>
        <w:pStyle w:val="BodyText"/>
        <w:spacing w:before="2"/>
        <w:jc w:val="left"/>
      </w:pPr>
    </w:p>
    <w:p>
      <w:pPr>
        <w:pStyle w:val="BodyText"/>
        <w:spacing w:line="237" w:lineRule="auto" w:before="1"/>
        <w:ind w:left="620" w:right="400" w:firstLine="360"/>
      </w:pPr>
      <w:r>
        <w:rPr/>
        <w:t>Kā liecina starptautiskie pētījumi, fiziskās personas maksātnespējas process pamatā ir aktuāls personām ar salīdzinoši zemiem ienākumiem. Līdz ar to par pieļaujamu būtu uzskatāms tas, ka maksātnespējīgu parādnieku vidējais ienākumu apmērs ir zemāks par vidējo darba samaksas apmēru valstī. Turklāt jāatzīst, ka Latvijā kopumā ir pietiekami augsts to personu skaits, kuru “oficiālie” ienākumi ir minimālās mēnešalgas vai pat vēl zemākā apmērā. Proti, atbilstoši statistikas datiem 2018.gada 2.ceturksnī Latvijā</w:t>
      </w:r>
      <w:r>
        <w:rPr>
          <w:spacing w:val="-33"/>
        </w:rPr>
        <w:t> </w:t>
      </w:r>
      <w:r>
        <w:rPr/>
        <w:t>minimālo algu</w:t>
      </w:r>
      <w:r>
        <w:rPr>
          <w:spacing w:val="-6"/>
        </w:rPr>
        <w:t> </w:t>
      </w:r>
      <w:r>
        <w:rPr/>
        <w:t>(vai</w:t>
      </w:r>
      <w:r>
        <w:rPr>
          <w:spacing w:val="-8"/>
        </w:rPr>
        <w:t> </w:t>
      </w:r>
      <w:r>
        <w:rPr/>
        <w:t>mazāk)</w:t>
      </w:r>
      <w:r>
        <w:rPr>
          <w:spacing w:val="-9"/>
        </w:rPr>
        <w:t> </w:t>
      </w:r>
      <w:r>
        <w:rPr/>
        <w:t>saņēma</w:t>
      </w:r>
      <w:r>
        <w:rPr>
          <w:spacing w:val="-6"/>
        </w:rPr>
        <w:t> </w:t>
      </w:r>
      <w:r>
        <w:rPr/>
        <w:t>17,4</w:t>
      </w:r>
      <w:r>
        <w:rPr>
          <w:spacing w:val="-5"/>
        </w:rPr>
        <w:t> </w:t>
      </w:r>
      <w:r>
        <w:rPr/>
        <w:t>%</w:t>
      </w:r>
      <w:r>
        <w:rPr>
          <w:spacing w:val="-6"/>
        </w:rPr>
        <w:t> </w:t>
      </w:r>
      <w:r>
        <w:rPr/>
        <w:t>darbinieku.</w:t>
      </w:r>
      <w:r>
        <w:rPr>
          <w:position w:val="9"/>
          <w:sz w:val="16"/>
        </w:rPr>
        <w:t>472</w:t>
      </w:r>
      <w:r>
        <w:rPr>
          <w:spacing w:val="16"/>
          <w:position w:val="9"/>
          <w:sz w:val="16"/>
        </w:rPr>
        <w:t> </w:t>
      </w:r>
      <w:r>
        <w:rPr/>
        <w:t>Attiecīgi</w:t>
      </w:r>
      <w:r>
        <w:rPr>
          <w:spacing w:val="-6"/>
        </w:rPr>
        <w:t> </w:t>
      </w:r>
      <w:r>
        <w:rPr/>
        <w:t>fakts,</w:t>
      </w:r>
      <w:r>
        <w:rPr>
          <w:spacing w:val="-6"/>
        </w:rPr>
        <w:t> </w:t>
      </w:r>
      <w:r>
        <w:rPr/>
        <w:t>ka</w:t>
      </w:r>
      <w:r>
        <w:rPr>
          <w:spacing w:val="-9"/>
        </w:rPr>
        <w:t> </w:t>
      </w:r>
      <w:r>
        <w:rPr/>
        <w:t>ļoti</w:t>
      </w:r>
      <w:r>
        <w:rPr>
          <w:spacing w:val="-2"/>
        </w:rPr>
        <w:t> </w:t>
      </w:r>
      <w:r>
        <w:rPr/>
        <w:t>liela</w:t>
      </w:r>
      <w:r>
        <w:rPr>
          <w:spacing w:val="-6"/>
        </w:rPr>
        <w:t> </w:t>
      </w:r>
      <w:r>
        <w:rPr/>
        <w:t>daļa</w:t>
      </w:r>
      <w:r>
        <w:rPr>
          <w:spacing w:val="-6"/>
        </w:rPr>
        <w:t> </w:t>
      </w:r>
      <w:r>
        <w:rPr/>
        <w:t>parādnieku fiziskās</w:t>
      </w:r>
      <w:r>
        <w:rPr>
          <w:spacing w:val="-16"/>
        </w:rPr>
        <w:t> </w:t>
      </w:r>
      <w:r>
        <w:rPr/>
        <w:t>personas</w:t>
      </w:r>
      <w:r>
        <w:rPr>
          <w:spacing w:val="-16"/>
        </w:rPr>
        <w:t> </w:t>
      </w:r>
      <w:r>
        <w:rPr/>
        <w:t>maksātnespējas</w:t>
      </w:r>
      <w:r>
        <w:rPr>
          <w:spacing w:val="-15"/>
        </w:rPr>
        <w:t> </w:t>
      </w:r>
      <w:r>
        <w:rPr/>
        <w:t>procesā</w:t>
      </w:r>
      <w:r>
        <w:rPr>
          <w:spacing w:val="-16"/>
        </w:rPr>
        <w:t> </w:t>
      </w:r>
      <w:r>
        <w:rPr/>
        <w:t>paredz</w:t>
      </w:r>
      <w:r>
        <w:rPr>
          <w:spacing w:val="-14"/>
        </w:rPr>
        <w:t> </w:t>
      </w:r>
      <w:r>
        <w:rPr/>
        <w:t>veikt</w:t>
      </w:r>
      <w:r>
        <w:rPr>
          <w:spacing w:val="-15"/>
        </w:rPr>
        <w:t> </w:t>
      </w:r>
      <w:r>
        <w:rPr/>
        <w:t>kreditoriem</w:t>
      </w:r>
      <w:r>
        <w:rPr>
          <w:spacing w:val="-16"/>
        </w:rPr>
        <w:t> </w:t>
      </w:r>
      <w:r>
        <w:rPr/>
        <w:t>maksājumus</w:t>
      </w:r>
      <w:r>
        <w:rPr>
          <w:spacing w:val="-16"/>
        </w:rPr>
        <w:t> </w:t>
      </w:r>
      <w:r>
        <w:rPr/>
        <w:t>1/3</w:t>
      </w:r>
      <w:r>
        <w:rPr>
          <w:spacing w:val="-15"/>
        </w:rPr>
        <w:t> </w:t>
      </w:r>
      <w:r>
        <w:rPr/>
        <w:t>apmērā no minimālās mēnešalgas, nenoliedzami ir arī cieši saistīts ar augsto “ēnu” ekonomikas īpatsvaru, nevis Maksātnespējas likuma trūkumiem vai nepareizu tiesību normu piemērošanu.</w:t>
      </w:r>
    </w:p>
    <w:p>
      <w:pPr>
        <w:pStyle w:val="BodyText"/>
        <w:spacing w:before="1"/>
        <w:jc w:val="left"/>
        <w:rPr>
          <w:sz w:val="25"/>
        </w:rPr>
      </w:pPr>
    </w:p>
    <w:p>
      <w:pPr>
        <w:pStyle w:val="BodyText"/>
        <w:ind w:left="620" w:right="403" w:firstLine="360"/>
      </w:pPr>
      <w:r>
        <w:rPr/>
        <w:t>Tomēr, kā to norādījuši respondenti aptaujas anketās, nereti parādnieku ienākumi bez objektīva pamatojuma sarūk tieši maksātnespējas procesa laikā. Turklāt atšķirība starp statistikas rādītājiem attiecībā uz minimālās algas saņēmējiem (17,4 %) un parādniekiem, kuri veic kreditoriem maksājumus 1/3 daļas apmērā no minimālās algas (43,94 %-53,57</w:t>
      </w:r>
    </w:p>
    <w:p>
      <w:pPr>
        <w:pStyle w:val="BodyText"/>
        <w:ind w:left="620" w:right="406"/>
      </w:pPr>
      <w:r>
        <w:rPr/>
        <w:t>%) ir tik būtiska, ka nenoliedzami liecina par samērā augsto to parādnieku īpatsvaru, kuri, iespējams, slēpj savus patiesos ienākumus.</w:t>
      </w:r>
    </w:p>
    <w:p>
      <w:pPr>
        <w:pStyle w:val="BodyText"/>
        <w:spacing w:before="9"/>
        <w:jc w:val="left"/>
        <w:rPr>
          <w:sz w:val="23"/>
        </w:rPr>
      </w:pPr>
    </w:p>
    <w:p>
      <w:pPr>
        <w:pStyle w:val="BodyText"/>
        <w:ind w:left="980"/>
        <w:jc w:val="left"/>
      </w:pPr>
      <w:r>
        <w:rPr/>
        <w:t>Patieso ienākumu slēpšanu veicina vairāki faktori:</w:t>
      </w:r>
    </w:p>
    <w:p>
      <w:pPr>
        <w:pStyle w:val="BodyText"/>
        <w:jc w:val="left"/>
      </w:pPr>
    </w:p>
    <w:p>
      <w:pPr>
        <w:pStyle w:val="ListParagraph"/>
        <w:numPr>
          <w:ilvl w:val="0"/>
          <w:numId w:val="114"/>
        </w:numPr>
        <w:tabs>
          <w:tab w:pos="1472" w:val="left" w:leader="none"/>
        </w:tabs>
        <w:spacing w:line="240" w:lineRule="auto" w:before="0" w:after="0"/>
        <w:ind w:left="1472" w:right="402" w:hanging="425"/>
        <w:jc w:val="both"/>
        <w:rPr>
          <w:sz w:val="24"/>
        </w:rPr>
      </w:pPr>
      <w:r>
        <w:rPr>
          <w:sz w:val="24"/>
        </w:rPr>
        <w:t>Maksātnespējas likumā minimālais maksājumu slieksnis – 1/3 daļa no minimālās mēnešalgas, tika noteikts nolūkā, lai veicinātu parādnieka saistību izpildi. </w:t>
      </w:r>
      <w:r>
        <w:rPr>
          <w:spacing w:val="-3"/>
          <w:sz w:val="24"/>
        </w:rPr>
        <w:t>Tomēr, </w:t>
      </w:r>
      <w:r>
        <w:rPr>
          <w:sz w:val="24"/>
        </w:rPr>
        <w:t>kā</w:t>
      </w:r>
      <w:r>
        <w:rPr>
          <w:spacing w:val="-11"/>
          <w:sz w:val="24"/>
        </w:rPr>
        <w:t> </w:t>
      </w:r>
      <w:r>
        <w:rPr>
          <w:sz w:val="24"/>
        </w:rPr>
        <w:t>to</w:t>
      </w:r>
      <w:r>
        <w:rPr>
          <w:spacing w:val="-10"/>
          <w:sz w:val="24"/>
        </w:rPr>
        <w:t> </w:t>
      </w:r>
      <w:r>
        <w:rPr>
          <w:sz w:val="24"/>
        </w:rPr>
        <w:t>nepārprotami</w:t>
      </w:r>
      <w:r>
        <w:rPr>
          <w:spacing w:val="-11"/>
          <w:sz w:val="24"/>
        </w:rPr>
        <w:t> </w:t>
      </w:r>
      <w:r>
        <w:rPr>
          <w:sz w:val="24"/>
        </w:rPr>
        <w:t>apliecina</w:t>
      </w:r>
      <w:r>
        <w:rPr>
          <w:spacing w:val="-10"/>
          <w:sz w:val="24"/>
        </w:rPr>
        <w:t> </w:t>
      </w:r>
      <w:r>
        <w:rPr>
          <w:sz w:val="24"/>
        </w:rPr>
        <w:t>likuma</w:t>
      </w:r>
      <w:r>
        <w:rPr>
          <w:spacing w:val="-10"/>
          <w:sz w:val="24"/>
        </w:rPr>
        <w:t> </w:t>
      </w:r>
      <w:r>
        <w:rPr>
          <w:sz w:val="24"/>
        </w:rPr>
        <w:t>praktiskā</w:t>
      </w:r>
      <w:r>
        <w:rPr>
          <w:spacing w:val="-13"/>
          <w:sz w:val="24"/>
        </w:rPr>
        <w:t> </w:t>
      </w:r>
      <w:r>
        <w:rPr>
          <w:sz w:val="24"/>
        </w:rPr>
        <w:t>piemērošana,</w:t>
      </w:r>
      <w:r>
        <w:rPr>
          <w:spacing w:val="-10"/>
          <w:sz w:val="24"/>
        </w:rPr>
        <w:t> </w:t>
      </w:r>
      <w:r>
        <w:rPr>
          <w:sz w:val="24"/>
        </w:rPr>
        <w:t>minimālo</w:t>
      </w:r>
      <w:r>
        <w:rPr>
          <w:spacing w:val="-10"/>
          <w:sz w:val="24"/>
        </w:rPr>
        <w:t> </w:t>
      </w:r>
      <w:r>
        <w:rPr>
          <w:sz w:val="24"/>
        </w:rPr>
        <w:t>maksājumu slieksni parādnieki bieži vien uztver kā legālu atļauju veikt tieši šāda apmēra maksājumus,</w:t>
      </w:r>
      <w:r>
        <w:rPr>
          <w:spacing w:val="19"/>
          <w:sz w:val="24"/>
        </w:rPr>
        <w:t> </w:t>
      </w:r>
      <w:r>
        <w:rPr>
          <w:sz w:val="24"/>
        </w:rPr>
        <w:t>pretī</w:t>
      </w:r>
      <w:r>
        <w:rPr>
          <w:spacing w:val="23"/>
          <w:sz w:val="24"/>
        </w:rPr>
        <w:t> </w:t>
      </w:r>
      <w:r>
        <w:rPr>
          <w:sz w:val="24"/>
        </w:rPr>
        <w:t>saņemot</w:t>
      </w:r>
      <w:r>
        <w:rPr>
          <w:spacing w:val="19"/>
          <w:sz w:val="24"/>
        </w:rPr>
        <w:t> </w:t>
      </w:r>
      <w:r>
        <w:rPr>
          <w:sz w:val="24"/>
        </w:rPr>
        <w:t>teju</w:t>
      </w:r>
      <w:r>
        <w:rPr>
          <w:spacing w:val="20"/>
          <w:sz w:val="24"/>
        </w:rPr>
        <w:t> </w:t>
      </w:r>
      <w:r>
        <w:rPr>
          <w:sz w:val="24"/>
        </w:rPr>
        <w:t>garantētu</w:t>
      </w:r>
      <w:r>
        <w:rPr>
          <w:spacing w:val="19"/>
          <w:sz w:val="24"/>
        </w:rPr>
        <w:t> </w:t>
      </w:r>
      <w:r>
        <w:rPr>
          <w:sz w:val="24"/>
        </w:rPr>
        <w:t>atlikušo</w:t>
      </w:r>
      <w:r>
        <w:rPr>
          <w:spacing w:val="20"/>
          <w:sz w:val="24"/>
        </w:rPr>
        <w:t> </w:t>
      </w:r>
      <w:r>
        <w:rPr>
          <w:sz w:val="24"/>
        </w:rPr>
        <w:t>saistību</w:t>
      </w:r>
      <w:r>
        <w:rPr>
          <w:spacing w:val="20"/>
          <w:sz w:val="24"/>
        </w:rPr>
        <w:t> </w:t>
      </w:r>
      <w:r>
        <w:rPr>
          <w:sz w:val="24"/>
        </w:rPr>
        <w:t>dzēšanu</w:t>
      </w:r>
      <w:r>
        <w:rPr>
          <w:spacing w:val="19"/>
          <w:sz w:val="24"/>
        </w:rPr>
        <w:t> </w:t>
      </w:r>
      <w:r>
        <w:rPr>
          <w:sz w:val="24"/>
        </w:rPr>
        <w:t>pēc</w:t>
      </w:r>
      <w:r>
        <w:rPr>
          <w:spacing w:val="14"/>
          <w:sz w:val="24"/>
        </w:rPr>
        <w:t> </w:t>
      </w:r>
      <w:r>
        <w:rPr>
          <w:sz w:val="24"/>
        </w:rPr>
        <w:t>saistību</w:t>
      </w:r>
    </w:p>
    <w:p>
      <w:pPr>
        <w:pStyle w:val="BodyText"/>
        <w:spacing w:before="9"/>
        <w:jc w:val="left"/>
        <w:rPr>
          <w:sz w:val="16"/>
        </w:rPr>
      </w:pPr>
      <w:r>
        <w:rPr/>
        <w:pict>
          <v:shape style="position:absolute;margin-left:90pt;margin-top:11.906351pt;width:144pt;height:.1pt;mso-position-horizontal-relative:page;mso-position-vertical-relative:paragraph;z-index:-251455488;mso-wrap-distance-left:0;mso-wrap-distance-right:0" coordorigin="1800,238" coordsize="2880,0" path="m1800,238l4680,238e" filled="false" stroked="true" strokeweight=".600037pt" strokecolor="#000000">
            <v:path arrowok="t"/>
            <v:stroke dashstyle="solid"/>
            <w10:wrap type="topAndBottom"/>
          </v:shape>
        </w:pict>
      </w:r>
    </w:p>
    <w:p>
      <w:pPr>
        <w:spacing w:before="70"/>
        <w:ind w:left="620" w:right="407" w:firstLine="0"/>
        <w:jc w:val="left"/>
        <w:rPr>
          <w:sz w:val="20"/>
        </w:rPr>
      </w:pPr>
      <w:r>
        <w:rPr>
          <w:position w:val="7"/>
          <w:sz w:val="13"/>
        </w:rPr>
        <w:t>472 </w:t>
      </w:r>
      <w:r>
        <w:rPr>
          <w:sz w:val="20"/>
        </w:rPr>
        <w:t>Sk.: Centrālā statistikas pārvalde: 2018. gada 2. ceturksnī 64,4 % iedzīvotāju bija nodarbināti. Pieejams: </w:t>
      </w:r>
      <w:r>
        <w:rPr>
          <w:color w:val="0562C1"/>
          <w:sz w:val="20"/>
          <w:u w:val="single" w:color="0562C1"/>
        </w:rPr>
        <w:t>https://</w:t>
      </w:r>
      <w:hyperlink r:id="rId63">
        <w:r>
          <w:rPr>
            <w:color w:val="0562C1"/>
            <w:sz w:val="20"/>
            <w:u w:val="single" w:color="0562C1"/>
          </w:rPr>
          <w:t>www.csb.gov.lv/lv/statistika/statistikas-temas/socialie-procesi/nodarbinatiba/meklet-tema/2422-</w:t>
        </w:r>
      </w:hyperlink>
      <w:r>
        <w:rPr>
          <w:color w:val="0562C1"/>
          <w:sz w:val="20"/>
        </w:rPr>
        <w:t> </w:t>
      </w:r>
      <w:r>
        <w:rPr>
          <w:color w:val="0562C1"/>
          <w:sz w:val="20"/>
          <w:u w:val="single" w:color="0562C1"/>
        </w:rPr>
        <w:t>nodarbinatiba-2018-gada-2-ceturksni</w:t>
      </w:r>
      <w:r>
        <w:rPr>
          <w:color w:val="0562C1"/>
          <w:sz w:val="20"/>
        </w:rPr>
        <w:t> </w:t>
      </w:r>
      <w:r>
        <w:rPr>
          <w:sz w:val="20"/>
        </w:rPr>
        <w:t>[aplūkots 2018.gada 15.oktobrī].</w:t>
      </w:r>
    </w:p>
    <w:p>
      <w:pPr>
        <w:spacing w:after="0"/>
        <w:jc w:val="left"/>
        <w:rPr>
          <w:sz w:val="20"/>
        </w:rPr>
        <w:sectPr>
          <w:pgSz w:w="11910" w:h="16840"/>
          <w:pgMar w:header="0" w:footer="1055" w:top="1360" w:bottom="1240" w:left="1180" w:right="1040"/>
        </w:sectPr>
      </w:pPr>
    </w:p>
    <w:p>
      <w:pPr>
        <w:pStyle w:val="BodyText"/>
        <w:spacing w:before="73"/>
        <w:ind w:left="1112" w:right="761"/>
      </w:pPr>
      <w:r>
        <w:rPr/>
        <w:t>dzēšanas plāna izpildes (ņemot vērā to, ka likums faktiski neparedz kontroles mehānismus vai nelabvēlīgas sekas tam, ka parādnieks negūst savām spējām atbilstošus ienākumus). Līdz ar to faktiski tieši likumā noteiktais minimālais maksājumu slieksnis veicina to, ka parādnieki saistību dzēšanas procedūras laikā novirza</w:t>
      </w:r>
      <w:r>
        <w:rPr>
          <w:spacing w:val="-12"/>
        </w:rPr>
        <w:t> </w:t>
      </w:r>
      <w:r>
        <w:rPr/>
        <w:t>kreditoru</w:t>
      </w:r>
      <w:r>
        <w:rPr>
          <w:spacing w:val="-14"/>
        </w:rPr>
        <w:t> </w:t>
      </w:r>
      <w:r>
        <w:rPr/>
        <w:t>prasījumu</w:t>
      </w:r>
      <w:r>
        <w:rPr>
          <w:spacing w:val="-12"/>
        </w:rPr>
        <w:t> </w:t>
      </w:r>
      <w:r>
        <w:rPr/>
        <w:t>segšanai</w:t>
      </w:r>
      <w:r>
        <w:rPr>
          <w:spacing w:val="-13"/>
        </w:rPr>
        <w:t> </w:t>
      </w:r>
      <w:r>
        <w:rPr/>
        <w:t>minimālos</w:t>
      </w:r>
      <w:r>
        <w:rPr>
          <w:spacing w:val="-11"/>
        </w:rPr>
        <w:t> </w:t>
      </w:r>
      <w:r>
        <w:rPr/>
        <w:t>maksājumus,</w:t>
      </w:r>
      <w:r>
        <w:rPr>
          <w:spacing w:val="-12"/>
        </w:rPr>
        <w:t> </w:t>
      </w:r>
      <w:r>
        <w:rPr/>
        <w:t>nevis</w:t>
      </w:r>
      <w:r>
        <w:rPr>
          <w:spacing w:val="-11"/>
        </w:rPr>
        <w:t> </w:t>
      </w:r>
      <w:r>
        <w:rPr/>
        <w:t>1/3</w:t>
      </w:r>
      <w:r>
        <w:rPr>
          <w:spacing w:val="-12"/>
        </w:rPr>
        <w:t> </w:t>
      </w:r>
      <w:r>
        <w:rPr/>
        <w:t>no</w:t>
      </w:r>
      <w:r>
        <w:rPr>
          <w:spacing w:val="-11"/>
        </w:rPr>
        <w:t> </w:t>
      </w:r>
      <w:r>
        <w:rPr>
          <w:spacing w:val="-3"/>
        </w:rPr>
        <w:t>saviem </w:t>
      </w:r>
      <w:r>
        <w:rPr/>
        <w:t>reālajiem ienākumiem. Turklāt nereti parādnieki savus izkontrolējamos (deklarētos) ienākumus “pielāgo” atbilstoši minimālā maksājuma slieksnim, tādejādi veicinot parādnieku apzinātu nonākšanu “pelēkajā zonā”. Līdz ar to minimālā maksājuma slieksnis veicina parādnieku izvēli par labu “ēnu ekonomikai” (aplokšņu algām u.tml.), nevis iznākšanu no</w:t>
      </w:r>
      <w:r>
        <w:rPr>
          <w:spacing w:val="-6"/>
        </w:rPr>
        <w:t> </w:t>
      </w:r>
      <w:r>
        <w:rPr/>
        <w:t>tās.</w:t>
      </w:r>
    </w:p>
    <w:p>
      <w:pPr>
        <w:pStyle w:val="BodyText"/>
        <w:jc w:val="left"/>
      </w:pPr>
    </w:p>
    <w:p>
      <w:pPr>
        <w:pStyle w:val="BodyText"/>
        <w:ind w:left="1112" w:right="760"/>
      </w:pPr>
      <w:r>
        <w:rPr/>
        <w:t>Attiecīgi secināms, ka minimālā maksājumu sliekšņa noteikšana Maksātnespējas likumā</w:t>
      </w:r>
      <w:r>
        <w:rPr>
          <w:spacing w:val="-11"/>
        </w:rPr>
        <w:t> </w:t>
      </w:r>
      <w:r>
        <w:rPr/>
        <w:t>nav</w:t>
      </w:r>
      <w:r>
        <w:rPr>
          <w:spacing w:val="-13"/>
        </w:rPr>
        <w:t> </w:t>
      </w:r>
      <w:r>
        <w:rPr/>
        <w:t>sevi</w:t>
      </w:r>
      <w:r>
        <w:rPr>
          <w:spacing w:val="-11"/>
        </w:rPr>
        <w:t> </w:t>
      </w:r>
      <w:r>
        <w:rPr/>
        <w:t>attaisnojusi,</w:t>
      </w:r>
      <w:r>
        <w:rPr>
          <w:spacing w:val="-10"/>
        </w:rPr>
        <w:t> </w:t>
      </w:r>
      <w:r>
        <w:rPr/>
        <w:t>bet</w:t>
      </w:r>
      <w:r>
        <w:rPr>
          <w:spacing w:val="-13"/>
        </w:rPr>
        <w:t> </w:t>
      </w:r>
      <w:r>
        <w:rPr/>
        <w:t>gan</w:t>
      </w:r>
      <w:r>
        <w:rPr>
          <w:spacing w:val="-9"/>
        </w:rPr>
        <w:t> </w:t>
      </w:r>
      <w:r>
        <w:rPr/>
        <w:t>gluži</w:t>
      </w:r>
      <w:r>
        <w:rPr>
          <w:spacing w:val="-12"/>
        </w:rPr>
        <w:t> </w:t>
      </w:r>
      <w:r>
        <w:rPr/>
        <w:t>pretēji</w:t>
      </w:r>
      <w:r>
        <w:rPr>
          <w:spacing w:val="-9"/>
        </w:rPr>
        <w:t> </w:t>
      </w:r>
      <w:r>
        <w:rPr/>
        <w:t>radījusi</w:t>
      </w:r>
      <w:r>
        <w:rPr>
          <w:spacing w:val="-11"/>
        </w:rPr>
        <w:t> </w:t>
      </w:r>
      <w:r>
        <w:rPr/>
        <w:t>augsni</w:t>
      </w:r>
      <w:r>
        <w:rPr>
          <w:spacing w:val="-12"/>
        </w:rPr>
        <w:t> </w:t>
      </w:r>
      <w:r>
        <w:rPr/>
        <w:t>patieso</w:t>
      </w:r>
      <w:r>
        <w:rPr>
          <w:spacing w:val="-11"/>
        </w:rPr>
        <w:t> </w:t>
      </w:r>
      <w:r>
        <w:rPr/>
        <w:t>ienākumu slēpšanai (piemēram, pēc 2015.gada 1.marta</w:t>
      </w:r>
      <w:r>
        <w:rPr>
          <w:spacing w:val="-44"/>
        </w:rPr>
        <w:t> </w:t>
      </w:r>
      <w:r>
        <w:rPr/>
        <w:t>uzsāktajos maksātnespējas procesos, kuri tika analizēti Pētījuma ietvaros, 53,57 % maksātnespējas procesu, kuros bija sastādīts mantas pārdošanas plāns, saistību dzēšanas plānā tika paredzēts veikt kreditoriem maksājumus minimālā maksājuma sliekšņa ietvaros). Šajā ziņā jāatzīmē, ka nevienā no Pētāmajām valstīm likumā nav noteikts šāds minimālais maksājumu slieksnis.</w:t>
      </w:r>
    </w:p>
    <w:p>
      <w:pPr>
        <w:pStyle w:val="BodyText"/>
        <w:spacing w:before="1"/>
        <w:jc w:val="left"/>
      </w:pPr>
    </w:p>
    <w:p>
      <w:pPr>
        <w:pStyle w:val="BodyText"/>
        <w:ind w:left="1112" w:right="760"/>
      </w:pPr>
      <w:r>
        <w:rPr/>
        <w:t>Jāņem vērā arī tas, ka atbilstoši Civilprocesa likuma 2013.gada 23.maija grozījumiem, kas stājās spēkā 2013.gada 1.novembrī, izdarot piedziņu no parādnieka darba samaksas, parādniekam ir saglabājama darba samaksa un tai pielīdzinātie maksājumi minimālās mēneša darba algas apmērā, kā arī uz katru apgādībā esošo nepilngadīgo bērnu papildus ir saglabājami līdzekļi valsts sociālā nodrošinājuma pabalsta apmērā (Civilprocesa likuma 594.p.1.d.3.pkt.). Attiecīgi Maksātnespējas likuma prasība saistību dzēšanas procedūras ietvaros kreditoru prasījumu segšanai novirzīt ne mazāk kā 1/3 daļu no minimālās mēnešalgas (turklāt pirms nodokļu nomaksas) faktiski nostāda parādnieku ar zemiem ienākumiem</w:t>
      </w:r>
      <w:r>
        <w:rPr>
          <w:spacing w:val="26"/>
        </w:rPr>
        <w:t> </w:t>
      </w:r>
      <w:r>
        <w:rPr/>
        <w:t>ekonomiski</w:t>
      </w:r>
      <w:r>
        <w:rPr>
          <w:spacing w:val="-11"/>
        </w:rPr>
        <w:t> </w:t>
      </w:r>
      <w:r>
        <w:rPr/>
        <w:t>nelabvēlīgākā</w:t>
      </w:r>
      <w:r>
        <w:rPr>
          <w:spacing w:val="-14"/>
        </w:rPr>
        <w:t> </w:t>
      </w:r>
      <w:r>
        <w:rPr/>
        <w:t>situācijā,</w:t>
      </w:r>
      <w:r>
        <w:rPr>
          <w:spacing w:val="-16"/>
        </w:rPr>
        <w:t> </w:t>
      </w:r>
      <w:r>
        <w:rPr/>
        <w:t>nekā</w:t>
      </w:r>
      <w:r>
        <w:rPr>
          <w:spacing w:val="-17"/>
        </w:rPr>
        <w:t> </w:t>
      </w:r>
      <w:r>
        <w:rPr/>
        <w:t>parādnieks</w:t>
      </w:r>
      <w:r>
        <w:rPr>
          <w:spacing w:val="-13"/>
        </w:rPr>
        <w:t> </w:t>
      </w:r>
      <w:r>
        <w:rPr/>
        <w:t>būtu,</w:t>
      </w:r>
      <w:r>
        <w:rPr>
          <w:spacing w:val="-16"/>
        </w:rPr>
        <w:t> </w:t>
      </w:r>
      <w:r>
        <w:rPr/>
        <w:t>neuzsākot fiziskās personas maksātnespējas</w:t>
      </w:r>
      <w:r>
        <w:rPr>
          <w:spacing w:val="-1"/>
        </w:rPr>
        <w:t> </w:t>
      </w:r>
      <w:r>
        <w:rPr/>
        <w:t>procesu.</w:t>
      </w:r>
    </w:p>
    <w:p>
      <w:pPr>
        <w:pStyle w:val="BodyText"/>
        <w:jc w:val="left"/>
      </w:pPr>
    </w:p>
    <w:p>
      <w:pPr>
        <w:pStyle w:val="BodyText"/>
        <w:ind w:left="1112" w:right="760"/>
      </w:pPr>
      <w:r>
        <w:rPr/>
        <w:t>Ņemot vērā minētos apsvērumus, iesakām konceptuāli atteikties no minimālā maksājuma sliekšņa, tā vietā dodot priekšroku stingram regulējumam par parādnieka pienākumu veikt maksājumus atbilstoši saviem ienākumiem – piemēram, saglabājot šobrīd likumā noteikto pienākumu kreditoru prasījumu segšanai novirzīt 1/3 no saviem ienākumiem. Šajā aspektā gan atzīmējams, ka esošais tiesiskais regulējums nepietiekami skaidri regulē jautājumu par to, vai pilnīgi visās situācijās parādniekam ir pienākums kreditoru prasījumu segšanai novirzīt 1/3 daļu no saviem ienākumiem. Turklāt jāatzīmē arī tas, ka Maksātnespējas likuma regulējums par kreditoru prasījumu segšanai novirzāmo summu būtu jāsaskaņo ar Civilprocesa likuma 594.pnata prasībām, tas ir, zemu ienākumu gadījumā (ja zemu ienākumu gūšanai ir objektīvs pamatojums) garantējot tā saucamo neaizskaramo minimumu.</w:t>
      </w:r>
    </w:p>
    <w:p>
      <w:pPr>
        <w:pStyle w:val="BodyText"/>
        <w:jc w:val="left"/>
      </w:pPr>
    </w:p>
    <w:p>
      <w:pPr>
        <w:pStyle w:val="ListParagraph"/>
        <w:numPr>
          <w:ilvl w:val="0"/>
          <w:numId w:val="114"/>
        </w:numPr>
        <w:tabs>
          <w:tab w:pos="1112" w:val="left" w:leader="none"/>
        </w:tabs>
        <w:spacing w:line="240" w:lineRule="auto" w:before="0" w:after="0"/>
        <w:ind w:left="1112" w:right="760" w:hanging="425"/>
        <w:jc w:val="both"/>
        <w:rPr>
          <w:sz w:val="24"/>
        </w:rPr>
      </w:pPr>
      <w:r>
        <w:rPr>
          <w:sz w:val="24"/>
        </w:rPr>
        <w:t>Maksātnespējas likuma 155.pants teorētiski noteic, ka viens no kritērijiem, kas tiek</w:t>
      </w:r>
      <w:r>
        <w:rPr>
          <w:spacing w:val="-8"/>
          <w:sz w:val="24"/>
        </w:rPr>
        <w:t> </w:t>
      </w:r>
      <w:r>
        <w:rPr>
          <w:sz w:val="24"/>
        </w:rPr>
        <w:t>izmantots,</w:t>
      </w:r>
      <w:r>
        <w:rPr>
          <w:spacing w:val="-10"/>
          <w:sz w:val="24"/>
        </w:rPr>
        <w:t> </w:t>
      </w:r>
      <w:r>
        <w:rPr>
          <w:sz w:val="24"/>
        </w:rPr>
        <w:t>lai</w:t>
      </w:r>
      <w:r>
        <w:rPr>
          <w:spacing w:val="-10"/>
          <w:sz w:val="24"/>
        </w:rPr>
        <w:t> </w:t>
      </w:r>
      <w:r>
        <w:rPr>
          <w:sz w:val="24"/>
        </w:rPr>
        <w:t>noteiktu</w:t>
      </w:r>
      <w:r>
        <w:rPr>
          <w:spacing w:val="-8"/>
          <w:sz w:val="24"/>
        </w:rPr>
        <w:t> </w:t>
      </w:r>
      <w:r>
        <w:rPr>
          <w:sz w:val="24"/>
        </w:rPr>
        <w:t>saistību</w:t>
      </w:r>
      <w:r>
        <w:rPr>
          <w:spacing w:val="-8"/>
          <w:sz w:val="24"/>
        </w:rPr>
        <w:t> </w:t>
      </w:r>
      <w:r>
        <w:rPr>
          <w:sz w:val="24"/>
        </w:rPr>
        <w:t>dzēšanas</w:t>
      </w:r>
      <w:r>
        <w:rPr>
          <w:spacing w:val="-8"/>
          <w:sz w:val="24"/>
        </w:rPr>
        <w:t> </w:t>
      </w:r>
      <w:r>
        <w:rPr>
          <w:sz w:val="24"/>
        </w:rPr>
        <w:t>plāna</w:t>
      </w:r>
      <w:r>
        <w:rPr>
          <w:spacing w:val="-10"/>
          <w:sz w:val="24"/>
        </w:rPr>
        <w:t> </w:t>
      </w:r>
      <w:r>
        <w:rPr>
          <w:sz w:val="24"/>
        </w:rPr>
        <w:t>termiņu,</w:t>
      </w:r>
      <w:r>
        <w:rPr>
          <w:spacing w:val="-8"/>
          <w:sz w:val="24"/>
        </w:rPr>
        <w:t> </w:t>
      </w:r>
      <w:r>
        <w:rPr>
          <w:sz w:val="24"/>
        </w:rPr>
        <w:t>ir</w:t>
      </w:r>
      <w:r>
        <w:rPr>
          <w:spacing w:val="-8"/>
          <w:sz w:val="24"/>
        </w:rPr>
        <w:t> </w:t>
      </w:r>
      <w:r>
        <w:rPr>
          <w:sz w:val="24"/>
        </w:rPr>
        <w:t>fakts,</w:t>
      </w:r>
      <w:r>
        <w:rPr>
          <w:spacing w:val="-8"/>
          <w:sz w:val="24"/>
        </w:rPr>
        <w:t> </w:t>
      </w:r>
      <w:r>
        <w:rPr>
          <w:sz w:val="24"/>
        </w:rPr>
        <w:t>ka</w:t>
      </w:r>
      <w:r>
        <w:rPr>
          <w:spacing w:val="-10"/>
          <w:sz w:val="24"/>
        </w:rPr>
        <w:t> </w:t>
      </w:r>
      <w:r>
        <w:rPr>
          <w:sz w:val="24"/>
        </w:rPr>
        <w:t>parādnieks no savas gribas neatkarīgu apstākļu dēļ nespēj segt vismaz 50 %, 35 % vai 20 % no kopējām saistībām, kuras paliek pēc bankrota procedūras pabeigšanas. Taču jāatzīst, ka praksē, lemjot par saistību dzēšanas plāna apstiprināšanu, parasti</w:t>
      </w:r>
      <w:r>
        <w:rPr>
          <w:spacing w:val="-2"/>
          <w:sz w:val="24"/>
        </w:rPr>
        <w:t> </w:t>
      </w:r>
      <w:r>
        <w:rPr>
          <w:sz w:val="24"/>
        </w:rPr>
        <w:t>tiesa</w:t>
      </w:r>
    </w:p>
    <w:p>
      <w:pPr>
        <w:spacing w:after="0" w:line="240" w:lineRule="auto"/>
        <w:jc w:val="both"/>
        <w:rPr>
          <w:sz w:val="24"/>
        </w:rPr>
        <w:sectPr>
          <w:pgSz w:w="11910" w:h="16840"/>
          <w:pgMar w:header="0" w:footer="1055" w:top="1340" w:bottom="1240" w:left="1180" w:right="1040"/>
        </w:sectPr>
      </w:pPr>
    </w:p>
    <w:p>
      <w:pPr>
        <w:pStyle w:val="BodyText"/>
        <w:spacing w:before="73"/>
        <w:ind w:left="1472" w:right="402"/>
      </w:pPr>
      <w:r>
        <w:rPr/>
        <w:t>nevērtē to, vai parādnieks gūst ienākumus atbilstoši savām spējām (tas ir, nespēj segt saistības 50 %, 35 % vai 20 % apmērā no savas gribas neatkarīgu apstākļu dēļ), jo likums tiešā veidā neparedz šādu izvērtējumu.</w:t>
      </w:r>
    </w:p>
    <w:p>
      <w:pPr>
        <w:pStyle w:val="BodyText"/>
        <w:spacing w:before="8"/>
        <w:jc w:val="left"/>
        <w:rPr>
          <w:sz w:val="22"/>
        </w:rPr>
      </w:pPr>
    </w:p>
    <w:p>
      <w:pPr>
        <w:pStyle w:val="BodyText"/>
        <w:ind w:left="1472" w:right="400"/>
      </w:pPr>
      <w:r>
        <w:rPr/>
        <w:t>Proti, atbilstoši Civilprocesa likuma 363.</w:t>
      </w:r>
      <w:r>
        <w:rPr>
          <w:position w:val="9"/>
          <w:sz w:val="16"/>
        </w:rPr>
        <w:t>31 </w:t>
      </w:r>
      <w:r>
        <w:rPr/>
        <w:t>panta otrajai un piektajai daļai, tiesa neapstiprina saistību dzēšanas plānu, ja konstatē ierobežojumus saistību dzēšanas procedūras piemērošanai, savukārt apstiprina, ja tas atbilst likuma prasībām un nav saņemti kreditoru un parādnieku iebildumi vai šie iebildumi atzīstami par nepamatotiem. Ņemot vērā to, ka parādniekam saistību dzēšanas plānā nav jānorāda plānoto ienākumu pamatojums, savukārt likumā noteiktie ierobežojumi saistību dzēšanas procedūras piemērošanai nav tiešā veidā saistīti ar to, vai parādnieks gūst ienākumus atbilstoši savām spējām, praksē faktiski nenotiek kontrole par parādnieka plānoto ienākumu un maksājumu kreditoriem samērīgumu ar parādnieka spējām (kvalifikāciju, arodu, darba tirgus tendencēm, vidējo atalgojumu nozarē u.c.).</w:t>
      </w:r>
    </w:p>
    <w:p>
      <w:pPr>
        <w:pStyle w:val="BodyText"/>
        <w:jc w:val="left"/>
      </w:pPr>
    </w:p>
    <w:p>
      <w:pPr>
        <w:pStyle w:val="BodyText"/>
        <w:ind w:left="1472" w:right="402"/>
      </w:pPr>
      <w:r>
        <w:rPr/>
        <w:t>Attiecīgi, lai mazinātu negodprātīgu parādnieku īpatsvaru, ir nepieciešams papildināt Maksātnespējas likuma 154.pantu ar parādnieka pienākumu norādīt pamatojumu paredzamajam ienākumu apmēram. Savukārt, ja parādnieks bez objektīva pamatojuma negūst ienākumus atbilstoši savām spējām, tas </w:t>
      </w:r>
      <w:r>
        <w:rPr>
          <w:spacing w:val="-4"/>
        </w:rPr>
        <w:t>būtu </w:t>
      </w:r>
      <w:r>
        <w:rPr/>
        <w:t>nosakāms vai nu kā viens no ierobežojumiem saistību dzēšanas procedūras piemērošanai</w:t>
      </w:r>
      <w:r>
        <w:rPr>
          <w:spacing w:val="-9"/>
        </w:rPr>
        <w:t> </w:t>
      </w:r>
      <w:r>
        <w:rPr/>
        <w:t>(ja</w:t>
      </w:r>
      <w:r>
        <w:rPr>
          <w:spacing w:val="-10"/>
        </w:rPr>
        <w:t> </w:t>
      </w:r>
      <w:r>
        <w:rPr/>
        <w:t>netiek</w:t>
      </w:r>
      <w:r>
        <w:rPr>
          <w:spacing w:val="-9"/>
        </w:rPr>
        <w:t> </w:t>
      </w:r>
      <w:r>
        <w:rPr/>
        <w:t>ieviests</w:t>
      </w:r>
      <w:r>
        <w:rPr>
          <w:spacing w:val="-8"/>
        </w:rPr>
        <w:t> </w:t>
      </w:r>
      <w:r>
        <w:rPr/>
        <w:t>“plūstošā”</w:t>
      </w:r>
      <w:r>
        <w:rPr>
          <w:spacing w:val="-10"/>
        </w:rPr>
        <w:t> </w:t>
      </w:r>
      <w:r>
        <w:rPr/>
        <w:t>saistību</w:t>
      </w:r>
      <w:r>
        <w:rPr>
          <w:spacing w:val="-11"/>
        </w:rPr>
        <w:t> </w:t>
      </w:r>
      <w:r>
        <w:rPr/>
        <w:t>dzēšanas</w:t>
      </w:r>
      <w:r>
        <w:rPr>
          <w:spacing w:val="-10"/>
        </w:rPr>
        <w:t> </w:t>
      </w:r>
      <w:r>
        <w:rPr/>
        <w:t>plāna</w:t>
      </w:r>
      <w:r>
        <w:rPr>
          <w:spacing w:val="-11"/>
        </w:rPr>
        <w:t> </w:t>
      </w:r>
      <w:r>
        <w:rPr/>
        <w:t>termiņš)</w:t>
      </w:r>
      <w:r>
        <w:rPr>
          <w:spacing w:val="-8"/>
        </w:rPr>
        <w:t> </w:t>
      </w:r>
      <w:r>
        <w:rPr/>
        <w:t>vai</w:t>
      </w:r>
      <w:r>
        <w:rPr>
          <w:spacing w:val="-8"/>
        </w:rPr>
        <w:t> </w:t>
      </w:r>
      <w:r>
        <w:rPr/>
        <w:t>arī kā pamats noteikt parādniekam ilgāku saistību dzēšanas plāna termiņu (ja tiek ieviests “plūstošā” saistību dzēšanas plāna termiņš). Šāds regulējums radītu parādniekam pienākumu motivēt to, kādēļ saistību dzēšanas plānā tiek paredzēts gūt salīdzinoši zemus ienākumus, kā arī piešķirtu tiesām plašākas iespējas vērtēt parādnieka godprātību tā gūto ienākumu</w:t>
      </w:r>
      <w:r>
        <w:rPr>
          <w:spacing w:val="1"/>
        </w:rPr>
        <w:t> </w:t>
      </w:r>
      <w:r>
        <w:rPr/>
        <w:t>kontekstā.</w:t>
      </w:r>
    </w:p>
    <w:p>
      <w:pPr>
        <w:pStyle w:val="BodyText"/>
        <w:jc w:val="left"/>
      </w:pPr>
    </w:p>
    <w:p>
      <w:pPr>
        <w:pStyle w:val="ListParagraph"/>
        <w:numPr>
          <w:ilvl w:val="0"/>
          <w:numId w:val="114"/>
        </w:numPr>
        <w:tabs>
          <w:tab w:pos="1340" w:val="left" w:leader="none"/>
        </w:tabs>
        <w:spacing w:line="240" w:lineRule="auto" w:before="1" w:after="0"/>
        <w:ind w:left="1340" w:right="403" w:hanging="360"/>
        <w:jc w:val="both"/>
        <w:rPr>
          <w:sz w:val="24"/>
        </w:rPr>
      </w:pPr>
      <w:r>
        <w:rPr>
          <w:sz w:val="24"/>
        </w:rPr>
        <w:t>Maksātnespējas likuma 160.pants paredz parādniekam pienākumu </w:t>
      </w:r>
      <w:r>
        <w:rPr>
          <w:spacing w:val="-3"/>
          <w:sz w:val="24"/>
        </w:rPr>
        <w:t>saistību </w:t>
      </w:r>
      <w:r>
        <w:rPr>
          <w:sz w:val="24"/>
        </w:rPr>
        <w:t>dzēšanas procedūras laikā sniegt informāciju administratoram tikai par saistību dzēšanas plāna izpildi. Līdz ar to, formāli raugoties, likums uzliek parādniekam pienākumu sniegt ļoti ierobežota satura informāciju. Attiecīgi, lai varētu pilnvērtīgāk kontrolēt parādnieku, ir nepieciešams noteikt to, ka parādniekam saistību dzēšanas procedūras laikā ir pienākums pēc maksātnespējas procesa administratora vai tiesas pieprasījuma sniegt informāciju par nodarbinātību, ienākumiem, mantisko stāvokli, likumā noteikto ierobežojumu ievērošanu un saistību dzēšanas plāna</w:t>
      </w:r>
      <w:r>
        <w:rPr>
          <w:spacing w:val="-6"/>
          <w:sz w:val="24"/>
        </w:rPr>
        <w:t> </w:t>
      </w:r>
      <w:r>
        <w:rPr>
          <w:sz w:val="24"/>
        </w:rPr>
        <w:t>izpildi.</w:t>
      </w:r>
    </w:p>
    <w:p>
      <w:pPr>
        <w:pStyle w:val="BodyText"/>
        <w:jc w:val="left"/>
      </w:pPr>
    </w:p>
    <w:p>
      <w:pPr>
        <w:pStyle w:val="ListParagraph"/>
        <w:numPr>
          <w:ilvl w:val="0"/>
          <w:numId w:val="114"/>
        </w:numPr>
        <w:tabs>
          <w:tab w:pos="1340" w:val="left" w:leader="none"/>
        </w:tabs>
        <w:spacing w:line="240" w:lineRule="auto" w:before="0" w:after="0"/>
        <w:ind w:left="1340" w:right="402" w:hanging="360"/>
        <w:jc w:val="both"/>
        <w:rPr>
          <w:sz w:val="24"/>
        </w:rPr>
      </w:pPr>
      <w:r>
        <w:rPr>
          <w:sz w:val="24"/>
        </w:rPr>
        <w:t>Nenoliedzami, jautājums, ciktāl parādnieks saistību dzēšanas procedūras laikā</w:t>
      </w:r>
      <w:r>
        <w:rPr>
          <w:spacing w:val="-33"/>
          <w:sz w:val="24"/>
        </w:rPr>
        <w:t> </w:t>
      </w:r>
      <w:r>
        <w:rPr>
          <w:sz w:val="24"/>
        </w:rPr>
        <w:t>gūst vai negūst ienākumus atbilstoši savām spējām, ir grūti pārbaudāms un nereti </w:t>
      </w:r>
      <w:r>
        <w:rPr>
          <w:spacing w:val="-5"/>
          <w:sz w:val="24"/>
        </w:rPr>
        <w:t>pat </w:t>
      </w:r>
      <w:r>
        <w:rPr>
          <w:sz w:val="24"/>
        </w:rPr>
        <w:t>nepierādāms fakts. Tādējādi, pat ieviešot Maksātnespējas likumā kontroles mehānismus (parādnieka pienākumu pamatot plānotos ienākumus, saistību dzēšanas procedūras ierobežojumu saistībā ar nepamatoti zemu ienākumu gūšanu u.c.), tie var nesniegt nepieciešamo rezultātu. Līdz ar to Latvijā, līdzīgi kā Vācijā un Igaunijā būtu nepieciešams ieviest zvēresta institūtu maksātnespējas tiesībās, kurš pamatā varētu darboties tieši kontekstā ar zvērestu par ienākumu gūšanu atbilstoši savām spējām un kvalifikācijai. Piemēram, zvēresta institūts varētu tikt izmantots pēc kreditoru vai tiesas iniciatīvas, ja rodas šaubas par parādnieka sniegtās</w:t>
      </w:r>
      <w:r>
        <w:rPr>
          <w:spacing w:val="49"/>
          <w:sz w:val="24"/>
        </w:rPr>
        <w:t> </w:t>
      </w:r>
      <w:r>
        <w:rPr>
          <w:sz w:val="24"/>
        </w:rPr>
        <w:t>informācijas</w:t>
      </w:r>
      <w:r>
        <w:rPr>
          <w:spacing w:val="49"/>
          <w:sz w:val="24"/>
        </w:rPr>
        <w:t> </w:t>
      </w:r>
      <w:r>
        <w:rPr>
          <w:sz w:val="24"/>
        </w:rPr>
        <w:t>ticamību.</w:t>
      </w:r>
      <w:r>
        <w:rPr>
          <w:spacing w:val="49"/>
          <w:sz w:val="24"/>
        </w:rPr>
        <w:t> </w:t>
      </w:r>
      <w:r>
        <w:rPr>
          <w:sz w:val="24"/>
        </w:rPr>
        <w:t>Tā</w:t>
      </w:r>
      <w:r>
        <w:rPr>
          <w:spacing w:val="50"/>
          <w:sz w:val="24"/>
        </w:rPr>
        <w:t> </w:t>
      </w:r>
      <w:r>
        <w:rPr>
          <w:sz w:val="24"/>
        </w:rPr>
        <w:t>kā</w:t>
      </w:r>
      <w:r>
        <w:rPr>
          <w:spacing w:val="50"/>
          <w:sz w:val="24"/>
        </w:rPr>
        <w:t> </w:t>
      </w:r>
      <w:r>
        <w:rPr>
          <w:sz w:val="24"/>
        </w:rPr>
        <w:t>patieso</w:t>
      </w:r>
      <w:r>
        <w:rPr>
          <w:spacing w:val="49"/>
          <w:sz w:val="24"/>
        </w:rPr>
        <w:t> </w:t>
      </w:r>
      <w:r>
        <w:rPr>
          <w:sz w:val="24"/>
        </w:rPr>
        <w:t>ienākumu</w:t>
      </w:r>
      <w:r>
        <w:rPr>
          <w:spacing w:val="50"/>
          <w:sz w:val="24"/>
        </w:rPr>
        <w:t> </w:t>
      </w:r>
      <w:r>
        <w:rPr>
          <w:sz w:val="24"/>
        </w:rPr>
        <w:t>slēpšana</w:t>
      </w:r>
      <w:r>
        <w:rPr>
          <w:spacing w:val="49"/>
          <w:sz w:val="24"/>
        </w:rPr>
        <w:t> </w:t>
      </w:r>
      <w:r>
        <w:rPr>
          <w:sz w:val="24"/>
        </w:rPr>
        <w:t>lielā</w:t>
      </w:r>
      <w:r>
        <w:rPr>
          <w:spacing w:val="51"/>
          <w:sz w:val="24"/>
        </w:rPr>
        <w:t> </w:t>
      </w:r>
      <w:r>
        <w:rPr>
          <w:sz w:val="24"/>
        </w:rPr>
        <w:t>mērā</w:t>
      </w:r>
      <w:r>
        <w:rPr>
          <w:spacing w:val="50"/>
          <w:sz w:val="24"/>
        </w:rPr>
        <w:t> </w:t>
      </w:r>
      <w:r>
        <w:rPr>
          <w:sz w:val="24"/>
        </w:rPr>
        <w:t>ir</w:t>
      </w:r>
    </w:p>
    <w:p>
      <w:pPr>
        <w:spacing w:after="0" w:line="240" w:lineRule="auto"/>
        <w:jc w:val="both"/>
        <w:rPr>
          <w:sz w:val="24"/>
        </w:rPr>
        <w:sectPr>
          <w:pgSz w:w="11910" w:h="16840"/>
          <w:pgMar w:header="0" w:footer="1055" w:top="1340" w:bottom="1240" w:left="1180" w:right="1040"/>
        </w:sectPr>
      </w:pPr>
    </w:p>
    <w:p>
      <w:pPr>
        <w:pStyle w:val="BodyText"/>
        <w:spacing w:before="73"/>
        <w:ind w:left="980" w:right="764"/>
      </w:pPr>
      <w:r>
        <w:rPr/>
        <w:t>parādnieka godprātības jautājums, tad zvēresta institūts varētu būt viens no piemērotākajiem risinājumiem preventīvai cīņai pret patieso ienākumu slēpšanu.</w:t>
      </w:r>
    </w:p>
    <w:p>
      <w:pPr>
        <w:pStyle w:val="BodyText"/>
        <w:jc w:val="left"/>
      </w:pPr>
    </w:p>
    <w:p>
      <w:pPr>
        <w:pStyle w:val="ListParagraph"/>
        <w:numPr>
          <w:ilvl w:val="0"/>
          <w:numId w:val="114"/>
        </w:numPr>
        <w:tabs>
          <w:tab w:pos="980" w:val="left" w:leader="none"/>
        </w:tabs>
        <w:spacing w:line="240" w:lineRule="auto" w:before="0" w:after="0"/>
        <w:ind w:left="980" w:right="762" w:hanging="360"/>
        <w:jc w:val="both"/>
        <w:rPr>
          <w:sz w:val="24"/>
        </w:rPr>
      </w:pPr>
      <w:r>
        <w:rPr>
          <w:sz w:val="24"/>
        </w:rPr>
        <w:t>Spēkā esošais Maksātnespējas likuma regulējums attiecībā uz saistību dzēšanas plāna termiņiem zināmā mērā pat “motivē” parādnieku slēpt patiesos ienākumus, jo</w:t>
      </w:r>
      <w:r>
        <w:rPr>
          <w:spacing w:val="-10"/>
          <w:sz w:val="24"/>
        </w:rPr>
        <w:t> </w:t>
      </w:r>
      <w:r>
        <w:rPr>
          <w:sz w:val="24"/>
        </w:rPr>
        <w:t>tādā</w:t>
      </w:r>
      <w:r>
        <w:rPr>
          <w:spacing w:val="-9"/>
          <w:sz w:val="24"/>
        </w:rPr>
        <w:t> </w:t>
      </w:r>
      <w:r>
        <w:rPr>
          <w:sz w:val="24"/>
        </w:rPr>
        <w:t>veidā</w:t>
      </w:r>
      <w:r>
        <w:rPr>
          <w:spacing w:val="-9"/>
          <w:sz w:val="24"/>
        </w:rPr>
        <w:t> </w:t>
      </w:r>
      <w:r>
        <w:rPr>
          <w:sz w:val="24"/>
        </w:rPr>
        <w:t>parādnieks</w:t>
      </w:r>
      <w:r>
        <w:rPr>
          <w:spacing w:val="-9"/>
          <w:sz w:val="24"/>
        </w:rPr>
        <w:t> </w:t>
      </w:r>
      <w:r>
        <w:rPr>
          <w:sz w:val="24"/>
        </w:rPr>
        <w:t>iegūst</w:t>
      </w:r>
      <w:r>
        <w:rPr>
          <w:spacing w:val="-9"/>
          <w:sz w:val="24"/>
        </w:rPr>
        <w:t> </w:t>
      </w:r>
      <w:r>
        <w:rPr>
          <w:sz w:val="24"/>
        </w:rPr>
        <w:t>tiesības</w:t>
      </w:r>
      <w:r>
        <w:rPr>
          <w:spacing w:val="-9"/>
          <w:sz w:val="24"/>
        </w:rPr>
        <w:t> </w:t>
      </w:r>
      <w:r>
        <w:rPr>
          <w:sz w:val="24"/>
        </w:rPr>
        <w:t>uz</w:t>
      </w:r>
      <w:r>
        <w:rPr>
          <w:spacing w:val="-7"/>
          <w:sz w:val="24"/>
        </w:rPr>
        <w:t> </w:t>
      </w:r>
      <w:r>
        <w:rPr>
          <w:sz w:val="24"/>
        </w:rPr>
        <w:t>īsāku</w:t>
      </w:r>
      <w:r>
        <w:rPr>
          <w:spacing w:val="-9"/>
          <w:sz w:val="24"/>
        </w:rPr>
        <w:t> </w:t>
      </w:r>
      <w:r>
        <w:rPr>
          <w:sz w:val="24"/>
        </w:rPr>
        <w:t>saistību</w:t>
      </w:r>
      <w:r>
        <w:rPr>
          <w:spacing w:val="-9"/>
          <w:sz w:val="24"/>
        </w:rPr>
        <w:t> </w:t>
      </w:r>
      <w:r>
        <w:rPr>
          <w:sz w:val="24"/>
        </w:rPr>
        <w:t>dzēšanas</w:t>
      </w:r>
      <w:r>
        <w:rPr>
          <w:spacing w:val="-11"/>
          <w:sz w:val="24"/>
        </w:rPr>
        <w:t> </w:t>
      </w:r>
      <w:r>
        <w:rPr>
          <w:sz w:val="24"/>
        </w:rPr>
        <w:t>plāna</w:t>
      </w:r>
      <w:r>
        <w:rPr>
          <w:spacing w:val="-11"/>
          <w:sz w:val="24"/>
        </w:rPr>
        <w:t> </w:t>
      </w:r>
      <w:r>
        <w:rPr>
          <w:sz w:val="24"/>
        </w:rPr>
        <w:t>termiņu</w:t>
      </w:r>
      <w:r>
        <w:rPr>
          <w:spacing w:val="-9"/>
          <w:sz w:val="24"/>
        </w:rPr>
        <w:t> </w:t>
      </w:r>
      <w:r>
        <w:rPr>
          <w:sz w:val="24"/>
        </w:rPr>
        <w:t>vai vismaz līdzvērtīgu termiņu, kāds būtu situācijā, ja parādnieks maksājumus veiktu no saviem reālajiem</w:t>
      </w:r>
      <w:r>
        <w:rPr>
          <w:spacing w:val="-1"/>
          <w:sz w:val="24"/>
        </w:rPr>
        <w:t> </w:t>
      </w:r>
      <w:r>
        <w:rPr>
          <w:sz w:val="24"/>
        </w:rPr>
        <w:t>ienākumiem.</w:t>
      </w:r>
    </w:p>
    <w:p>
      <w:pPr>
        <w:pStyle w:val="BodyText"/>
        <w:jc w:val="left"/>
      </w:pPr>
    </w:p>
    <w:p>
      <w:pPr>
        <w:pStyle w:val="BodyText"/>
        <w:ind w:left="980" w:right="761"/>
      </w:pPr>
      <w:r>
        <w:rPr/>
        <w:t>Piemēram, atbilstoši Maksātnespējas likuma 155.panta noteikumiem, saistību dzēšanas plāna termiņš ir 1 gads šādos gadījumos: (a) parādnieks paredz, ka viņa ienākumi</w:t>
      </w:r>
      <w:r>
        <w:rPr>
          <w:spacing w:val="-6"/>
        </w:rPr>
        <w:t> </w:t>
      </w:r>
      <w:r>
        <w:rPr/>
        <w:t>būs</w:t>
      </w:r>
      <w:r>
        <w:rPr>
          <w:spacing w:val="-9"/>
        </w:rPr>
        <w:t> </w:t>
      </w:r>
      <w:r>
        <w:rPr/>
        <w:t>pietiekami,</w:t>
      </w:r>
      <w:r>
        <w:rPr>
          <w:spacing w:val="-8"/>
        </w:rPr>
        <w:t> </w:t>
      </w:r>
      <w:r>
        <w:rPr/>
        <w:t>lai</w:t>
      </w:r>
      <w:r>
        <w:rPr>
          <w:spacing w:val="-9"/>
        </w:rPr>
        <w:t> </w:t>
      </w:r>
      <w:r>
        <w:rPr/>
        <w:t>segtu</w:t>
      </w:r>
      <w:r>
        <w:rPr>
          <w:spacing w:val="-9"/>
        </w:rPr>
        <w:t> </w:t>
      </w:r>
      <w:r>
        <w:rPr/>
        <w:t>vismaz</w:t>
      </w:r>
      <w:r>
        <w:rPr>
          <w:spacing w:val="-6"/>
        </w:rPr>
        <w:t> </w:t>
      </w:r>
      <w:r>
        <w:rPr/>
        <w:t>35</w:t>
      </w:r>
      <w:r>
        <w:rPr>
          <w:spacing w:val="-9"/>
        </w:rPr>
        <w:t> </w:t>
      </w:r>
      <w:r>
        <w:rPr/>
        <w:t>%</w:t>
      </w:r>
      <w:r>
        <w:rPr>
          <w:spacing w:val="-9"/>
        </w:rPr>
        <w:t> </w:t>
      </w:r>
      <w:r>
        <w:rPr/>
        <w:t>no</w:t>
      </w:r>
      <w:r>
        <w:rPr>
          <w:spacing w:val="-5"/>
        </w:rPr>
        <w:t> </w:t>
      </w:r>
      <w:r>
        <w:rPr/>
        <w:t>kopējām</w:t>
      </w:r>
      <w:r>
        <w:rPr>
          <w:spacing w:val="-9"/>
        </w:rPr>
        <w:t> </w:t>
      </w:r>
      <w:r>
        <w:rPr/>
        <w:t>saistībām,</w:t>
      </w:r>
      <w:r>
        <w:rPr>
          <w:spacing w:val="-9"/>
        </w:rPr>
        <w:t> </w:t>
      </w:r>
      <w:r>
        <w:rPr/>
        <w:t>kuras</w:t>
      </w:r>
      <w:r>
        <w:rPr>
          <w:spacing w:val="-8"/>
        </w:rPr>
        <w:t> </w:t>
      </w:r>
      <w:r>
        <w:rPr/>
        <w:t>paliek pēc bankrota procedūras pabeigšanas (155.p.3.d.1.pkt.) vai (b) fiziskās personas saistību</w:t>
      </w:r>
      <w:r>
        <w:rPr>
          <w:spacing w:val="-13"/>
        </w:rPr>
        <w:t> </w:t>
      </w:r>
      <w:r>
        <w:rPr/>
        <w:t>dzēšanas</w:t>
      </w:r>
      <w:r>
        <w:rPr>
          <w:spacing w:val="-16"/>
        </w:rPr>
        <w:t> </w:t>
      </w:r>
      <w:r>
        <w:rPr/>
        <w:t>plānā</w:t>
      </w:r>
      <w:r>
        <w:rPr>
          <w:spacing w:val="-16"/>
        </w:rPr>
        <w:t> </w:t>
      </w:r>
      <w:r>
        <w:rPr/>
        <w:t>tiek</w:t>
      </w:r>
      <w:r>
        <w:rPr>
          <w:spacing w:val="-13"/>
        </w:rPr>
        <w:t> </w:t>
      </w:r>
      <w:r>
        <w:rPr/>
        <w:t>paredzēts,</w:t>
      </w:r>
      <w:r>
        <w:rPr>
          <w:spacing w:val="-13"/>
        </w:rPr>
        <w:t> </w:t>
      </w:r>
      <w:r>
        <w:rPr/>
        <w:t>ka</w:t>
      </w:r>
      <w:r>
        <w:rPr>
          <w:spacing w:val="-13"/>
        </w:rPr>
        <w:t> </w:t>
      </w:r>
      <w:r>
        <w:rPr/>
        <w:t>kreditoru</w:t>
      </w:r>
      <w:r>
        <w:rPr>
          <w:spacing w:val="-13"/>
        </w:rPr>
        <w:t> </w:t>
      </w:r>
      <w:r>
        <w:rPr/>
        <w:t>prasījumu</w:t>
      </w:r>
      <w:r>
        <w:rPr>
          <w:spacing w:val="-12"/>
        </w:rPr>
        <w:t> </w:t>
      </w:r>
      <w:r>
        <w:rPr/>
        <w:t>segšanai</w:t>
      </w:r>
      <w:r>
        <w:rPr>
          <w:spacing w:val="-15"/>
        </w:rPr>
        <w:t> </w:t>
      </w:r>
      <w:r>
        <w:rPr/>
        <w:t>tiks</w:t>
      </w:r>
      <w:r>
        <w:rPr>
          <w:spacing w:val="-13"/>
        </w:rPr>
        <w:t> </w:t>
      </w:r>
      <w:r>
        <w:rPr/>
        <w:t>novirzīti līdzekļi</w:t>
      </w:r>
      <w:r>
        <w:rPr>
          <w:spacing w:val="-6"/>
        </w:rPr>
        <w:t> </w:t>
      </w:r>
      <w:r>
        <w:rPr/>
        <w:t>vienas</w:t>
      </w:r>
      <w:r>
        <w:rPr>
          <w:spacing w:val="-7"/>
        </w:rPr>
        <w:t> </w:t>
      </w:r>
      <w:r>
        <w:rPr/>
        <w:t>trešdaļas</w:t>
      </w:r>
      <w:r>
        <w:rPr>
          <w:spacing w:val="-5"/>
        </w:rPr>
        <w:t> </w:t>
      </w:r>
      <w:r>
        <w:rPr/>
        <w:t>apmērā</w:t>
      </w:r>
      <w:r>
        <w:rPr>
          <w:spacing w:val="-6"/>
        </w:rPr>
        <w:t> </w:t>
      </w:r>
      <w:r>
        <w:rPr/>
        <w:t>no</w:t>
      </w:r>
      <w:r>
        <w:rPr>
          <w:spacing w:val="-5"/>
        </w:rPr>
        <w:t> </w:t>
      </w:r>
      <w:r>
        <w:rPr/>
        <w:t>parādnieka</w:t>
      </w:r>
      <w:r>
        <w:rPr>
          <w:spacing w:val="-8"/>
        </w:rPr>
        <w:t> </w:t>
      </w:r>
      <w:r>
        <w:rPr/>
        <w:t>ienākumiem</w:t>
      </w:r>
      <w:r>
        <w:rPr>
          <w:spacing w:val="-8"/>
        </w:rPr>
        <w:t> </w:t>
      </w:r>
      <w:r>
        <w:rPr/>
        <w:t>pēc</w:t>
      </w:r>
      <w:r>
        <w:rPr>
          <w:spacing w:val="-5"/>
        </w:rPr>
        <w:t> </w:t>
      </w:r>
      <w:r>
        <w:rPr/>
        <w:t>nodokļu</w:t>
      </w:r>
      <w:r>
        <w:rPr>
          <w:spacing w:val="-5"/>
        </w:rPr>
        <w:t> </w:t>
      </w:r>
      <w:r>
        <w:rPr/>
        <w:t>samaksas, bet ne mazāk kā vienas trešdaļas apmērā no vienas minimālās mēnešalgas mēnesī pirms nodokļu samaksas, pie nosacījuma, ja parādnieka kopējās saistības pēc bankrota procedūras pabeigšanas nepārsniedz 30 000 </w:t>
      </w:r>
      <w:r>
        <w:rPr>
          <w:i/>
        </w:rPr>
        <w:t>euro</w:t>
      </w:r>
      <w:r>
        <w:rPr>
          <w:i/>
          <w:spacing w:val="-4"/>
        </w:rPr>
        <w:t> </w:t>
      </w:r>
      <w:r>
        <w:rPr/>
        <w:t>(155.p.4.d.1.pkt.).</w:t>
      </w:r>
    </w:p>
    <w:p>
      <w:pPr>
        <w:pStyle w:val="BodyText"/>
        <w:jc w:val="left"/>
      </w:pPr>
    </w:p>
    <w:p>
      <w:pPr>
        <w:pStyle w:val="BodyText"/>
        <w:spacing w:before="1"/>
        <w:ind w:left="980" w:right="762"/>
      </w:pPr>
      <w:r>
        <w:rPr/>
        <w:t>Tādējādi, ja, piemēram, parādnieka kopējās saistības ir 10 000 </w:t>
      </w:r>
      <w:r>
        <w:rPr>
          <w:i/>
        </w:rPr>
        <w:t>euro</w:t>
      </w:r>
      <w:r>
        <w:rPr/>
        <w:t>, </w:t>
      </w:r>
      <w:r>
        <w:rPr>
          <w:spacing w:val="-3"/>
        </w:rPr>
        <w:t>atbilstoši </w:t>
      </w:r>
      <w:r>
        <w:rPr/>
        <w:t>Maksātnespējas</w:t>
      </w:r>
      <w:r>
        <w:rPr>
          <w:spacing w:val="-12"/>
        </w:rPr>
        <w:t> </w:t>
      </w:r>
      <w:r>
        <w:rPr/>
        <w:t>likuma</w:t>
      </w:r>
      <w:r>
        <w:rPr>
          <w:spacing w:val="-11"/>
        </w:rPr>
        <w:t> </w:t>
      </w:r>
      <w:r>
        <w:rPr/>
        <w:t>155.panta</w:t>
      </w:r>
      <w:r>
        <w:rPr>
          <w:spacing w:val="-14"/>
        </w:rPr>
        <w:t> </w:t>
      </w:r>
      <w:r>
        <w:rPr/>
        <w:t>noteikumiem</w:t>
      </w:r>
      <w:r>
        <w:rPr>
          <w:spacing w:val="-11"/>
        </w:rPr>
        <w:t> </w:t>
      </w:r>
      <w:r>
        <w:rPr/>
        <w:t>saistību</w:t>
      </w:r>
      <w:r>
        <w:rPr>
          <w:spacing w:val="-11"/>
        </w:rPr>
        <w:t> </w:t>
      </w:r>
      <w:r>
        <w:rPr/>
        <w:t>dzēšanas</w:t>
      </w:r>
      <w:r>
        <w:rPr>
          <w:spacing w:val="-15"/>
        </w:rPr>
        <w:t> </w:t>
      </w:r>
      <w:r>
        <w:rPr/>
        <w:t>plāna</w:t>
      </w:r>
      <w:r>
        <w:rPr>
          <w:spacing w:val="-11"/>
        </w:rPr>
        <w:t> </w:t>
      </w:r>
      <w:r>
        <w:rPr/>
        <w:t>termiņš</w:t>
      </w:r>
      <w:r>
        <w:rPr>
          <w:spacing w:val="-11"/>
        </w:rPr>
        <w:t> </w:t>
      </w:r>
      <w:r>
        <w:rPr>
          <w:spacing w:val="-4"/>
        </w:rPr>
        <w:t>būs </w:t>
      </w:r>
      <w:r>
        <w:rPr/>
        <w:t>viens gads gan tajā gadījumā, ja plānā tiks paredzēts kreditoru prasījumu segšanai novirzīt</w:t>
      </w:r>
      <w:r>
        <w:rPr>
          <w:spacing w:val="-4"/>
        </w:rPr>
        <w:t> </w:t>
      </w:r>
      <w:r>
        <w:rPr/>
        <w:t>EUR</w:t>
      </w:r>
      <w:r>
        <w:rPr>
          <w:spacing w:val="-3"/>
        </w:rPr>
        <w:t> </w:t>
      </w:r>
      <w:r>
        <w:rPr/>
        <w:t>3</w:t>
      </w:r>
      <w:r>
        <w:rPr>
          <w:spacing w:val="-3"/>
        </w:rPr>
        <w:t> </w:t>
      </w:r>
      <w:r>
        <w:rPr/>
        <w:t>500</w:t>
      </w:r>
      <w:r>
        <w:rPr>
          <w:spacing w:val="-3"/>
        </w:rPr>
        <w:t> </w:t>
      </w:r>
      <w:r>
        <w:rPr/>
        <w:t>jeb</w:t>
      </w:r>
      <w:r>
        <w:rPr>
          <w:spacing w:val="-4"/>
        </w:rPr>
        <w:t> </w:t>
      </w:r>
      <w:r>
        <w:rPr/>
        <w:t>EUR</w:t>
      </w:r>
      <w:r>
        <w:rPr>
          <w:spacing w:val="-5"/>
        </w:rPr>
        <w:t> </w:t>
      </w:r>
      <w:r>
        <w:rPr/>
        <w:t>291,67</w:t>
      </w:r>
      <w:r>
        <w:rPr>
          <w:spacing w:val="-3"/>
        </w:rPr>
        <w:t> </w:t>
      </w:r>
      <w:r>
        <w:rPr/>
        <w:t>mēnesī</w:t>
      </w:r>
      <w:r>
        <w:rPr>
          <w:spacing w:val="-3"/>
        </w:rPr>
        <w:t> </w:t>
      </w:r>
      <w:r>
        <w:rPr/>
        <w:t>(155.p.3.d.1.pkt.),</w:t>
      </w:r>
      <w:r>
        <w:rPr>
          <w:spacing w:val="-4"/>
        </w:rPr>
        <w:t> </w:t>
      </w:r>
      <w:r>
        <w:rPr/>
        <w:t>gan</w:t>
      </w:r>
      <w:r>
        <w:rPr>
          <w:spacing w:val="-3"/>
        </w:rPr>
        <w:t> </w:t>
      </w:r>
      <w:r>
        <w:rPr/>
        <w:t>arī</w:t>
      </w:r>
      <w:r>
        <w:rPr>
          <w:spacing w:val="-5"/>
        </w:rPr>
        <w:t> </w:t>
      </w:r>
      <w:r>
        <w:rPr/>
        <w:t>tad, ja</w:t>
      </w:r>
      <w:r>
        <w:rPr>
          <w:spacing w:val="-5"/>
        </w:rPr>
        <w:t> </w:t>
      </w:r>
      <w:r>
        <w:rPr/>
        <w:t>plānā tiks paredzēts veikt maksājumus 1/3 apmērā no minimālās mēnešalgas pirms nodokļu nomaksas jeb EUR 143,33 mēnesī (155.p.4.d.1.pkt.). Attiecīgi, pat tad, ja parādnieka ienākumi ļauj viņam veikt ikmēneša maksājumu EUR 291,67 apmērā, esošā regulējuma ietvaros parādniekam ir liels kārdinājums maksāt tikai minimālo maksājumu, jo abējādi saistību dzēšanas plāna termiņš ir 1</w:t>
      </w:r>
      <w:r>
        <w:rPr>
          <w:spacing w:val="-4"/>
        </w:rPr>
        <w:t> </w:t>
      </w:r>
      <w:r>
        <w:rPr/>
        <w:t>gads.</w:t>
      </w:r>
    </w:p>
    <w:p>
      <w:pPr>
        <w:pStyle w:val="BodyText"/>
        <w:jc w:val="left"/>
      </w:pPr>
    </w:p>
    <w:p>
      <w:pPr>
        <w:pStyle w:val="BodyText"/>
        <w:ind w:left="980" w:right="762"/>
      </w:pPr>
      <w:r>
        <w:rPr/>
        <w:t>Līdzīgi parādnieks nav motivēts maksāt vairāk par minimālo maksājumu slieksni arī tad, ja parādniekam ir liela apmēra saistības (virs 150 000 </w:t>
      </w:r>
      <w:r>
        <w:rPr>
          <w:i/>
        </w:rPr>
        <w:t>euro</w:t>
      </w:r>
      <w:r>
        <w:rPr/>
        <w:t>). Proti, ja parādnieks no saviem ienākumiem nespēj segt vismaz 20 % no saistībām (vismaz EUR 833,33 mēnesī), viņam saistību dzēšanas plāna termiņš būs trīs gadi (155.p.4.d.3.pkt.). Attiecīgi, neatkarīgi no tā, vai parādnieks kreditoru prasījumu segšanai novirzītu, piemēram, EUR 500,00 vai minimālo maksājumu – EUR 143,33, abos gadījumos saistību dzēšanas plāna termiņš būtu trīs gadi.</w:t>
      </w:r>
    </w:p>
    <w:p>
      <w:pPr>
        <w:pStyle w:val="BodyText"/>
        <w:jc w:val="left"/>
      </w:pPr>
    </w:p>
    <w:p>
      <w:pPr>
        <w:pStyle w:val="BodyText"/>
        <w:ind w:left="980" w:right="761"/>
      </w:pPr>
      <w:r>
        <w:rPr/>
        <w:t>Ņemot vērā minēto, patieso ienākumu slēpšanas problemātika cita starpā būtu risināma, pārskatot Maksātnespējas likuma 155.panta regulējumu par saistību dzēšanas plāna termiņiem.</w:t>
      </w:r>
    </w:p>
    <w:p>
      <w:pPr>
        <w:pStyle w:val="BodyText"/>
        <w:jc w:val="left"/>
        <w:rPr>
          <w:sz w:val="26"/>
        </w:rPr>
      </w:pPr>
    </w:p>
    <w:p>
      <w:pPr>
        <w:pStyle w:val="BodyText"/>
        <w:spacing w:before="5"/>
        <w:jc w:val="left"/>
        <w:rPr>
          <w:sz w:val="26"/>
        </w:rPr>
      </w:pPr>
    </w:p>
    <w:p>
      <w:pPr>
        <w:pStyle w:val="Heading2"/>
        <w:numPr>
          <w:ilvl w:val="0"/>
          <w:numId w:val="113"/>
        </w:numPr>
        <w:tabs>
          <w:tab w:pos="1228" w:val="left" w:leader="none"/>
        </w:tabs>
        <w:spacing w:line="322" w:lineRule="exact" w:before="1" w:after="0"/>
        <w:ind w:left="1227" w:right="0" w:hanging="361"/>
        <w:jc w:val="left"/>
      </w:pPr>
      <w:bookmarkStart w:name="_TOC_250024" w:id="54"/>
      <w:r>
        <w:rPr/>
        <w:t>Motivācijas trūkums gūt lielākus ienākumus saistību</w:t>
      </w:r>
      <w:r>
        <w:rPr>
          <w:spacing w:val="-3"/>
        </w:rPr>
        <w:t> </w:t>
      </w:r>
      <w:bookmarkEnd w:id="54"/>
      <w:r>
        <w:rPr/>
        <w:t>dzēšanas</w:t>
      </w:r>
    </w:p>
    <w:p>
      <w:pPr>
        <w:pStyle w:val="Heading2"/>
        <w:spacing w:before="0"/>
        <w:ind w:left="3941"/>
      </w:pPr>
      <w:bookmarkStart w:name="_TOC_250023" w:id="55"/>
      <w:bookmarkEnd w:id="55"/>
      <w:r>
        <w:rPr/>
        <w:t>procedūras laikā</w:t>
      </w:r>
    </w:p>
    <w:p>
      <w:pPr>
        <w:pStyle w:val="BodyText"/>
        <w:spacing w:before="4"/>
        <w:jc w:val="left"/>
        <w:rPr>
          <w:b/>
          <w:sz w:val="27"/>
        </w:rPr>
      </w:pPr>
    </w:p>
    <w:p>
      <w:pPr>
        <w:pStyle w:val="BodyText"/>
        <w:ind w:left="260" w:right="761" w:firstLine="720"/>
      </w:pPr>
      <w:r>
        <w:rPr/>
        <w:t>Līdztekus patieso ienākumu slēpšanai Latvijā ir konstatējama arī kāda cita problēma – motivācijas trūkumus sākt gūt lielākus ienākumus jau saistību dzēšanas procedūras laikā. Zināmā mērā šī problēma ir aktuāla visās valstīs, kurās fiziskās personas maksātnespējas procesa regulējums paredz parādniekam pienākumu veikt kreditoriem</w:t>
      </w:r>
    </w:p>
    <w:p>
      <w:pPr>
        <w:spacing w:after="0"/>
        <w:sectPr>
          <w:pgSz w:w="11910" w:h="16840"/>
          <w:pgMar w:header="0" w:footer="1055" w:top="1340" w:bottom="1240" w:left="1180" w:right="1040"/>
        </w:sectPr>
      </w:pPr>
    </w:p>
    <w:p>
      <w:pPr>
        <w:pStyle w:val="BodyText"/>
        <w:spacing w:line="237" w:lineRule="auto" w:before="75"/>
        <w:ind w:left="620" w:right="400"/>
      </w:pPr>
      <w:r>
        <w:rPr/>
        <w:t>maksājumus no darba samaksas vai nodarbinātības ienākumiem. Tomēr, tā kā Latvijā ir būtiski</w:t>
      </w:r>
      <w:r>
        <w:rPr>
          <w:spacing w:val="-7"/>
        </w:rPr>
        <w:t> </w:t>
      </w:r>
      <w:r>
        <w:rPr/>
        <w:t>atšķirīgs</w:t>
      </w:r>
      <w:r>
        <w:rPr>
          <w:spacing w:val="-6"/>
        </w:rPr>
        <w:t> </w:t>
      </w:r>
      <w:r>
        <w:rPr/>
        <w:t>regulējums</w:t>
      </w:r>
      <w:r>
        <w:rPr>
          <w:spacing w:val="-5"/>
        </w:rPr>
        <w:t> </w:t>
      </w:r>
      <w:r>
        <w:rPr/>
        <w:t>jautājumā</w:t>
      </w:r>
      <w:r>
        <w:rPr>
          <w:spacing w:val="-7"/>
        </w:rPr>
        <w:t> </w:t>
      </w:r>
      <w:r>
        <w:rPr/>
        <w:t>par</w:t>
      </w:r>
      <w:r>
        <w:rPr>
          <w:spacing w:val="-9"/>
        </w:rPr>
        <w:t> </w:t>
      </w:r>
      <w:r>
        <w:rPr/>
        <w:t>kreditoru</w:t>
      </w:r>
      <w:r>
        <w:rPr>
          <w:spacing w:val="-6"/>
        </w:rPr>
        <w:t> </w:t>
      </w:r>
      <w:r>
        <w:rPr/>
        <w:t>prasījumu</w:t>
      </w:r>
      <w:r>
        <w:rPr>
          <w:spacing w:val="-7"/>
        </w:rPr>
        <w:t> </w:t>
      </w:r>
      <w:r>
        <w:rPr/>
        <w:t>segšanai</w:t>
      </w:r>
      <w:r>
        <w:rPr>
          <w:spacing w:val="-6"/>
        </w:rPr>
        <w:t> </w:t>
      </w:r>
      <w:r>
        <w:rPr/>
        <w:t>novirzāmo</w:t>
      </w:r>
      <w:r>
        <w:rPr>
          <w:spacing w:val="-7"/>
        </w:rPr>
        <w:t> </w:t>
      </w:r>
      <w:r>
        <w:rPr/>
        <w:t>summu saistību dzēšanas procedūras laikā</w:t>
      </w:r>
      <w:r>
        <w:rPr>
          <w:position w:val="9"/>
          <w:sz w:val="16"/>
        </w:rPr>
        <w:t>473</w:t>
      </w:r>
      <w:r>
        <w:rPr/>
        <w:t>, parādniekiem teorētiski būtu jābūt motivācijai gūt pēc iespējas lielākus ienākumus. Tomēr faktiskā realitāte ir pilnīgi cita, un tas ir saistāms ar vairākiem trūkumiem Maksātnespējas likumā. Proti, Maksātnespējas likums neparedz nekādus instrumentus, lai motivētu parādnieku gūt lielākus ienākumus. Diemžēl jāteic, ka Maksātnespējas likums zināmā mērā pat demotivē parādnieku gūt lielākus ienākumus. Attiecīgi secināms, ka Latvijā netiek sasniegts viens no galvenajiem fiziskās personas maksātnespējas procesa mērķiem - paaugstināt parādnieka</w:t>
      </w:r>
      <w:r>
        <w:rPr>
          <w:spacing w:val="-2"/>
        </w:rPr>
        <w:t> </w:t>
      </w:r>
      <w:r>
        <w:rPr/>
        <w:t>produktivitāti.</w:t>
      </w:r>
    </w:p>
    <w:p>
      <w:pPr>
        <w:pStyle w:val="BodyText"/>
        <w:spacing w:before="8"/>
        <w:ind w:left="620" w:right="401" w:firstLine="720"/>
      </w:pPr>
      <w:r>
        <w:rPr/>
        <w:t>Tā, pirmkārt, Maksātnespējas likuma 160.panta otrā daļa paredz parādniekam pienākumu</w:t>
      </w:r>
      <w:r>
        <w:rPr>
          <w:spacing w:val="-7"/>
        </w:rPr>
        <w:t> </w:t>
      </w:r>
      <w:r>
        <w:rPr/>
        <w:t>saistību</w:t>
      </w:r>
      <w:r>
        <w:rPr>
          <w:spacing w:val="-9"/>
        </w:rPr>
        <w:t> </w:t>
      </w:r>
      <w:r>
        <w:rPr/>
        <w:t>dzēšanas</w:t>
      </w:r>
      <w:r>
        <w:rPr>
          <w:spacing w:val="-11"/>
        </w:rPr>
        <w:t> </w:t>
      </w:r>
      <w:r>
        <w:rPr/>
        <w:t>procedūras</w:t>
      </w:r>
      <w:r>
        <w:rPr>
          <w:spacing w:val="-9"/>
        </w:rPr>
        <w:t> </w:t>
      </w:r>
      <w:r>
        <w:rPr/>
        <w:t>laikā</w:t>
      </w:r>
      <w:r>
        <w:rPr>
          <w:spacing w:val="-6"/>
        </w:rPr>
        <w:t> </w:t>
      </w:r>
      <w:r>
        <w:rPr/>
        <w:t>gūt</w:t>
      </w:r>
      <w:r>
        <w:rPr>
          <w:spacing w:val="-9"/>
        </w:rPr>
        <w:t> </w:t>
      </w:r>
      <w:r>
        <w:rPr/>
        <w:t>ienākumus</w:t>
      </w:r>
      <w:r>
        <w:rPr>
          <w:spacing w:val="-9"/>
        </w:rPr>
        <w:t> </w:t>
      </w:r>
      <w:r>
        <w:rPr/>
        <w:t>atbilstoši</w:t>
      </w:r>
      <w:r>
        <w:rPr>
          <w:spacing w:val="-9"/>
        </w:rPr>
        <w:t> </w:t>
      </w:r>
      <w:r>
        <w:rPr/>
        <w:t>savām</w:t>
      </w:r>
      <w:r>
        <w:rPr>
          <w:spacing w:val="-11"/>
        </w:rPr>
        <w:t> </w:t>
      </w:r>
      <w:r>
        <w:rPr/>
        <w:t>spējām,</w:t>
      </w:r>
      <w:r>
        <w:rPr>
          <w:spacing w:val="-9"/>
        </w:rPr>
        <w:t> </w:t>
      </w:r>
      <w:r>
        <w:rPr/>
        <w:t>taču neparedz šī pienākuma izpildes kontroles mehānismus, kā arī faktiski neparedz tiešas nelabvēlīgas sekas šī pienākuma neizpildes gadījumā. Proti, jāņem vērā, ka atbilstoši Maksātnespējas likuma 164.panta pirmajai daļai parādnieks tiek atbrīvots no saistībām, ja viņš ir veicis saistību dzēšanas plānā noteiktās darbības. Tādējādi, formāli raugoties, ja parādnieks</w:t>
      </w:r>
      <w:r>
        <w:rPr>
          <w:spacing w:val="-6"/>
        </w:rPr>
        <w:t> </w:t>
      </w:r>
      <w:r>
        <w:rPr/>
        <w:t>ir</w:t>
      </w:r>
      <w:r>
        <w:rPr>
          <w:spacing w:val="-5"/>
        </w:rPr>
        <w:t> </w:t>
      </w:r>
      <w:r>
        <w:rPr/>
        <w:t>veicis</w:t>
      </w:r>
      <w:r>
        <w:rPr>
          <w:spacing w:val="-5"/>
        </w:rPr>
        <w:t> </w:t>
      </w:r>
      <w:r>
        <w:rPr/>
        <w:t>saistību</w:t>
      </w:r>
      <w:r>
        <w:rPr>
          <w:spacing w:val="-6"/>
        </w:rPr>
        <w:t> </w:t>
      </w:r>
      <w:r>
        <w:rPr/>
        <w:t>dzēšanas</w:t>
      </w:r>
      <w:r>
        <w:rPr>
          <w:spacing w:val="-7"/>
        </w:rPr>
        <w:t> </w:t>
      </w:r>
      <w:r>
        <w:rPr/>
        <w:t>plānā</w:t>
      </w:r>
      <w:r>
        <w:rPr>
          <w:spacing w:val="-5"/>
        </w:rPr>
        <w:t> </w:t>
      </w:r>
      <w:r>
        <w:rPr/>
        <w:t>paredzētos</w:t>
      </w:r>
      <w:r>
        <w:rPr>
          <w:spacing w:val="-5"/>
        </w:rPr>
        <w:t> </w:t>
      </w:r>
      <w:r>
        <w:rPr/>
        <w:t>maksājumus,</w:t>
      </w:r>
      <w:r>
        <w:rPr>
          <w:spacing w:val="-6"/>
        </w:rPr>
        <w:t> </w:t>
      </w:r>
      <w:r>
        <w:rPr/>
        <w:t>viņš</w:t>
      </w:r>
      <w:r>
        <w:rPr>
          <w:spacing w:val="-5"/>
        </w:rPr>
        <w:t> </w:t>
      </w:r>
      <w:r>
        <w:rPr/>
        <w:t>ir</w:t>
      </w:r>
      <w:r>
        <w:rPr>
          <w:spacing w:val="-8"/>
        </w:rPr>
        <w:t> </w:t>
      </w:r>
      <w:r>
        <w:rPr/>
        <w:t>atbrīvojams</w:t>
      </w:r>
      <w:r>
        <w:rPr>
          <w:spacing w:val="-5"/>
        </w:rPr>
        <w:t> </w:t>
      </w:r>
      <w:r>
        <w:rPr/>
        <w:t>no neizpildītajām saistībām (kā liecina respondentu sniegtās atbildes un arī tiesu prakses analīze, lielākoties jautājums par parādnieka atbrīvošanu no saistībām tiek izlemts, tikai aprēķinot</w:t>
      </w:r>
      <w:r>
        <w:rPr>
          <w:spacing w:val="-9"/>
        </w:rPr>
        <w:t> </w:t>
      </w:r>
      <w:r>
        <w:rPr/>
        <w:t>to,</w:t>
      </w:r>
      <w:r>
        <w:rPr>
          <w:spacing w:val="-8"/>
        </w:rPr>
        <w:t> </w:t>
      </w:r>
      <w:r>
        <w:rPr/>
        <w:t>vai</w:t>
      </w:r>
      <w:r>
        <w:rPr>
          <w:spacing w:val="-8"/>
        </w:rPr>
        <w:t> </w:t>
      </w:r>
      <w:r>
        <w:rPr/>
        <w:t>ir</w:t>
      </w:r>
      <w:r>
        <w:rPr>
          <w:spacing w:val="-9"/>
        </w:rPr>
        <w:t> </w:t>
      </w:r>
      <w:r>
        <w:rPr/>
        <w:t>veikti</w:t>
      </w:r>
      <w:r>
        <w:rPr>
          <w:spacing w:val="-2"/>
        </w:rPr>
        <w:t> </w:t>
      </w:r>
      <w:r>
        <w:rPr/>
        <w:t>plānā</w:t>
      </w:r>
      <w:r>
        <w:rPr>
          <w:spacing w:val="-8"/>
        </w:rPr>
        <w:t> </w:t>
      </w:r>
      <w:r>
        <w:rPr/>
        <w:t>paredzētie</w:t>
      </w:r>
      <w:r>
        <w:rPr>
          <w:spacing w:val="-9"/>
        </w:rPr>
        <w:t> </w:t>
      </w:r>
      <w:r>
        <w:rPr/>
        <w:t>maksājumi,</w:t>
      </w:r>
      <w:r>
        <w:rPr>
          <w:spacing w:val="-8"/>
        </w:rPr>
        <w:t> </w:t>
      </w:r>
      <w:r>
        <w:rPr/>
        <w:t>nereti</w:t>
      </w:r>
      <w:r>
        <w:rPr>
          <w:spacing w:val="-8"/>
        </w:rPr>
        <w:t> </w:t>
      </w:r>
      <w:r>
        <w:rPr/>
        <w:t>pat</w:t>
      </w:r>
      <w:r>
        <w:rPr>
          <w:spacing w:val="-8"/>
        </w:rPr>
        <w:t> </w:t>
      </w:r>
      <w:r>
        <w:rPr/>
        <w:t>nepārliecinoties</w:t>
      </w:r>
      <w:r>
        <w:rPr>
          <w:spacing w:val="-9"/>
        </w:rPr>
        <w:t> </w:t>
      </w:r>
      <w:r>
        <w:rPr/>
        <w:t>par</w:t>
      </w:r>
      <w:r>
        <w:rPr>
          <w:spacing w:val="-11"/>
        </w:rPr>
        <w:t> </w:t>
      </w:r>
      <w:r>
        <w:rPr/>
        <w:t>to,</w:t>
      </w:r>
      <w:r>
        <w:rPr>
          <w:spacing w:val="-8"/>
        </w:rPr>
        <w:t> </w:t>
      </w:r>
      <w:r>
        <w:rPr/>
        <w:t>vai veiktie maksājumi atbilst minimālās mēnešalgas</w:t>
      </w:r>
      <w:r>
        <w:rPr>
          <w:spacing w:val="-4"/>
        </w:rPr>
        <w:t> </w:t>
      </w:r>
      <w:r>
        <w:rPr/>
        <w:t>pieaugumam).</w:t>
      </w:r>
    </w:p>
    <w:p>
      <w:pPr>
        <w:pStyle w:val="BodyText"/>
        <w:ind w:left="620" w:right="401" w:firstLine="720"/>
      </w:pPr>
      <w:r>
        <w:rPr/>
        <w:t>Ja raugāmies ne tik formāli, nenoliedzami secinām, ka Maksātnespējas likuma 165.panta otrās daļas 1.punkts un trešās daļas 2.punkts paredz maksātnespējas procesa administratoram un kreditoram tiesības iesniegt pieteikumu par saistību dzēšanas procedūras izbeigšanu, ja tiek konstatēti Maksātnespējas likuma 153.pantā noteiktie ierobežojumi. Taču Maksātnespējas likuma 153.panta 2.punkts kā vienu no ierobežojumiem paredz nepatiesas informācijas sniegšanu un patieso ienākumu slēpšanu. Tādējādi Maksātnespējas likuma 153.panta 2.punkts “soda” patieso ienākumu slēpšanu, nevis neadekvāti zemu ienākumu gūšanu. Praksē ir bijuši gadījumi, kad neadekvāti zemu ienākumu gūšana tiek saistīta ar Maksātnespējas likuma 153.panta 3.punktu - parādnieks nepilda bankrota vai saistību dzēšanas procedūrā paredzētos pienākumus, būtiski apgrūtinot maksātnespējas procesa efektīvu norisi. Taču, lai arī ienākumu negūšana atbilstoši savām spējām varētu tikt uzskatīta par saistību dzēšanas procedūrā paredzēto pienākumu (Maksātnespējas likuma 160.p.2.d.) nepildīšanu, visnotaļ interpretējams ir jautājums par to, vai spēkā esošā regulējuma ietvaros to var uzskatīt par būtisku apgrūtinājumu</w:t>
      </w:r>
      <w:r>
        <w:rPr>
          <w:spacing w:val="-11"/>
        </w:rPr>
        <w:t> </w:t>
      </w:r>
      <w:r>
        <w:rPr/>
        <w:t>maksātnespējas</w:t>
      </w:r>
      <w:r>
        <w:rPr>
          <w:spacing w:val="-10"/>
        </w:rPr>
        <w:t> </w:t>
      </w:r>
      <w:r>
        <w:rPr/>
        <w:t>procesa</w:t>
      </w:r>
      <w:r>
        <w:rPr>
          <w:spacing w:val="-11"/>
        </w:rPr>
        <w:t> </w:t>
      </w:r>
      <w:r>
        <w:rPr/>
        <w:t>efektīvai</w:t>
      </w:r>
      <w:r>
        <w:rPr>
          <w:spacing w:val="-12"/>
        </w:rPr>
        <w:t> </w:t>
      </w:r>
      <w:r>
        <w:rPr/>
        <w:t>norisei</w:t>
      </w:r>
      <w:r>
        <w:rPr>
          <w:spacing w:val="-11"/>
        </w:rPr>
        <w:t> </w:t>
      </w:r>
      <w:r>
        <w:rPr/>
        <w:t>(ņemot</w:t>
      </w:r>
      <w:r>
        <w:rPr>
          <w:spacing w:val="-8"/>
        </w:rPr>
        <w:t> </w:t>
      </w:r>
      <w:r>
        <w:rPr/>
        <w:t>vērā</w:t>
      </w:r>
      <w:r>
        <w:rPr>
          <w:spacing w:val="-12"/>
        </w:rPr>
        <w:t> </w:t>
      </w:r>
      <w:r>
        <w:rPr/>
        <w:t>to,</w:t>
      </w:r>
      <w:r>
        <w:rPr>
          <w:spacing w:val="-11"/>
        </w:rPr>
        <w:t> </w:t>
      </w:r>
      <w:r>
        <w:rPr/>
        <w:t>ka</w:t>
      </w:r>
      <w:r>
        <w:rPr>
          <w:spacing w:val="-10"/>
        </w:rPr>
        <w:t> </w:t>
      </w:r>
      <w:r>
        <w:rPr/>
        <w:t>Maksātnespējas likuma 6.pants procesa efektivitāti skaidro kā vismazāko resursu patēriņu). Attiecīgi, lai motivētu parādnieku gūt ienākumus atbilstoši savām spējām, ir nepieciešams noteikt likumā tiešu regulējumu pretējai darbībai (piemēram, līdzīgi kā Vācijā var noteikts, ka ienākumu negūšana atbilstoši savām spējām ir viens no saistību dzēšanas procedūras ierobežojumiem).</w:t>
      </w:r>
    </w:p>
    <w:p>
      <w:pPr>
        <w:pStyle w:val="BodyText"/>
        <w:spacing w:before="1"/>
        <w:ind w:left="620" w:right="401" w:firstLine="720"/>
      </w:pPr>
      <w:r>
        <w:rPr/>
        <w:t>Otrkārt, kā viens no būtiskākajiem demotivatoriem sākt gūt lielākus ienākumus</w:t>
      </w:r>
      <w:r>
        <w:rPr>
          <w:spacing w:val="-31"/>
        </w:rPr>
        <w:t> </w:t>
      </w:r>
      <w:r>
        <w:rPr/>
        <w:t>jau saistību dzēšanas procedūras laikā ir minama saistību dzēšanas plāna ideja kā tāda. Proti, ja tiesa ir apstiprinājusi plānu, kurā tiek norādīti plānotie parādnieka ienākumi un kreditoriem maksājamā summa, parādnieka apziņā tas lielā mērā darbojas kā gūstamo ienākumu un kreditoriem maksājamo summu “rāmis”. Tādēļ, raugoties no parādnieka produktivitātes paaugstināšanas prizmas, daudz veiksmīgāks risinājums ir</w:t>
      </w:r>
      <w:r>
        <w:rPr>
          <w:spacing w:val="58"/>
        </w:rPr>
        <w:t> </w:t>
      </w:r>
      <w:r>
        <w:rPr/>
        <w:t>paredzēts</w:t>
      </w:r>
    </w:p>
    <w:p>
      <w:pPr>
        <w:pStyle w:val="BodyText"/>
        <w:jc w:val="left"/>
        <w:rPr>
          <w:sz w:val="20"/>
        </w:rPr>
      </w:pPr>
    </w:p>
    <w:p>
      <w:pPr>
        <w:pStyle w:val="BodyText"/>
        <w:spacing w:before="6"/>
        <w:jc w:val="left"/>
        <w:rPr>
          <w:sz w:val="12"/>
        </w:rPr>
      </w:pPr>
      <w:r>
        <w:rPr/>
        <w:pict>
          <v:shape style="position:absolute;margin-left:90pt;margin-top:9.491127pt;width:144pt;height:.1pt;mso-position-horizontal-relative:page;mso-position-vertical-relative:paragraph;z-index:-251454464;mso-wrap-distance-left:0;mso-wrap-distance-right:0" coordorigin="1800,190" coordsize="2880,0" path="m1800,190l4680,190e" filled="false" stroked="true" strokeweight=".599991pt" strokecolor="#000000">
            <v:path arrowok="t"/>
            <v:stroke dashstyle="solid"/>
            <w10:wrap type="topAndBottom"/>
          </v:shape>
        </w:pict>
      </w:r>
    </w:p>
    <w:p>
      <w:pPr>
        <w:spacing w:line="244" w:lineRule="auto" w:before="58"/>
        <w:ind w:left="620" w:right="402" w:firstLine="0"/>
        <w:jc w:val="both"/>
        <w:rPr>
          <w:sz w:val="20"/>
        </w:rPr>
      </w:pPr>
      <w:r>
        <w:rPr>
          <w:position w:val="9"/>
          <w:sz w:val="16"/>
        </w:rPr>
        <w:t>473 </w:t>
      </w:r>
      <w:r>
        <w:rPr>
          <w:sz w:val="20"/>
        </w:rPr>
        <w:t>Latvijā parādniekam saistību dzēšanas procedūras laikā jānovirza kreditoru prasījumu segšanai 1/3 daļa no</w:t>
      </w:r>
      <w:r>
        <w:rPr>
          <w:spacing w:val="-3"/>
          <w:sz w:val="20"/>
        </w:rPr>
        <w:t> </w:t>
      </w:r>
      <w:r>
        <w:rPr>
          <w:sz w:val="20"/>
        </w:rPr>
        <w:t>ienākumiem,</w:t>
      </w:r>
      <w:r>
        <w:rPr>
          <w:spacing w:val="-5"/>
          <w:sz w:val="20"/>
        </w:rPr>
        <w:t> </w:t>
      </w:r>
      <w:r>
        <w:rPr>
          <w:sz w:val="20"/>
        </w:rPr>
        <w:t>nevis</w:t>
      </w:r>
      <w:r>
        <w:rPr>
          <w:spacing w:val="-3"/>
          <w:sz w:val="20"/>
        </w:rPr>
        <w:t> </w:t>
      </w:r>
      <w:r>
        <w:rPr>
          <w:sz w:val="20"/>
        </w:rPr>
        <w:t>kā</w:t>
      </w:r>
      <w:r>
        <w:rPr>
          <w:spacing w:val="-5"/>
          <w:sz w:val="20"/>
        </w:rPr>
        <w:t> </w:t>
      </w:r>
      <w:r>
        <w:rPr>
          <w:sz w:val="20"/>
        </w:rPr>
        <w:t>tas</w:t>
      </w:r>
      <w:r>
        <w:rPr>
          <w:spacing w:val="-6"/>
          <w:sz w:val="20"/>
        </w:rPr>
        <w:t> </w:t>
      </w:r>
      <w:r>
        <w:rPr>
          <w:sz w:val="20"/>
        </w:rPr>
        <w:t>ir</w:t>
      </w:r>
      <w:r>
        <w:rPr>
          <w:spacing w:val="-3"/>
          <w:sz w:val="20"/>
        </w:rPr>
        <w:t> </w:t>
      </w:r>
      <w:r>
        <w:rPr>
          <w:sz w:val="20"/>
        </w:rPr>
        <w:t>vairumā</w:t>
      </w:r>
      <w:r>
        <w:rPr>
          <w:spacing w:val="-3"/>
          <w:sz w:val="20"/>
        </w:rPr>
        <w:t> </w:t>
      </w:r>
      <w:r>
        <w:rPr>
          <w:sz w:val="20"/>
        </w:rPr>
        <w:t>valstu</w:t>
      </w:r>
      <w:r>
        <w:rPr>
          <w:spacing w:val="-3"/>
          <w:sz w:val="20"/>
        </w:rPr>
        <w:t> </w:t>
      </w:r>
      <w:r>
        <w:rPr>
          <w:sz w:val="20"/>
        </w:rPr>
        <w:t>-</w:t>
      </w:r>
      <w:r>
        <w:rPr>
          <w:spacing w:val="-6"/>
          <w:sz w:val="20"/>
        </w:rPr>
        <w:t> </w:t>
      </w:r>
      <w:r>
        <w:rPr>
          <w:sz w:val="20"/>
        </w:rPr>
        <w:t>visa</w:t>
      </w:r>
      <w:r>
        <w:rPr>
          <w:spacing w:val="-3"/>
          <w:sz w:val="20"/>
        </w:rPr>
        <w:t> </w:t>
      </w:r>
      <w:r>
        <w:rPr>
          <w:sz w:val="20"/>
        </w:rPr>
        <w:t>summa</w:t>
      </w:r>
      <w:r>
        <w:rPr>
          <w:spacing w:val="-3"/>
          <w:sz w:val="20"/>
        </w:rPr>
        <w:t> </w:t>
      </w:r>
      <w:r>
        <w:rPr>
          <w:sz w:val="20"/>
        </w:rPr>
        <w:t>no</w:t>
      </w:r>
      <w:r>
        <w:rPr>
          <w:spacing w:val="-5"/>
          <w:sz w:val="20"/>
        </w:rPr>
        <w:t> </w:t>
      </w:r>
      <w:r>
        <w:rPr>
          <w:sz w:val="20"/>
        </w:rPr>
        <w:t>ienākumiem,</w:t>
      </w:r>
      <w:r>
        <w:rPr>
          <w:spacing w:val="-4"/>
          <w:sz w:val="20"/>
        </w:rPr>
        <w:t> </w:t>
      </w:r>
      <w:r>
        <w:rPr>
          <w:sz w:val="20"/>
        </w:rPr>
        <w:t>kas</w:t>
      </w:r>
      <w:r>
        <w:rPr>
          <w:spacing w:val="-5"/>
          <w:sz w:val="20"/>
        </w:rPr>
        <w:t> </w:t>
      </w:r>
      <w:r>
        <w:rPr>
          <w:sz w:val="20"/>
        </w:rPr>
        <w:t>pārsniedz</w:t>
      </w:r>
      <w:r>
        <w:rPr>
          <w:spacing w:val="-5"/>
          <w:sz w:val="20"/>
        </w:rPr>
        <w:t> </w:t>
      </w:r>
      <w:r>
        <w:rPr>
          <w:sz w:val="20"/>
        </w:rPr>
        <w:t>likumā,</w:t>
      </w:r>
      <w:r>
        <w:rPr>
          <w:spacing w:val="-5"/>
          <w:sz w:val="20"/>
        </w:rPr>
        <w:t> </w:t>
      </w:r>
      <w:r>
        <w:rPr>
          <w:sz w:val="20"/>
        </w:rPr>
        <w:t>tiesas</w:t>
      </w:r>
      <w:r>
        <w:rPr>
          <w:spacing w:val="-4"/>
          <w:sz w:val="20"/>
        </w:rPr>
        <w:t> </w:t>
      </w:r>
      <w:r>
        <w:rPr>
          <w:sz w:val="20"/>
        </w:rPr>
        <w:t>vai administratīvās iestādes lēmumā noteikto</w:t>
      </w:r>
      <w:r>
        <w:rPr>
          <w:spacing w:val="-1"/>
          <w:sz w:val="20"/>
        </w:rPr>
        <w:t> </w:t>
      </w:r>
      <w:r>
        <w:rPr>
          <w:sz w:val="20"/>
        </w:rPr>
        <w:t>summu.</w:t>
      </w:r>
    </w:p>
    <w:p>
      <w:pPr>
        <w:spacing w:after="0" w:line="244" w:lineRule="auto"/>
        <w:jc w:val="both"/>
        <w:rPr>
          <w:sz w:val="20"/>
        </w:rPr>
        <w:sectPr>
          <w:pgSz w:w="11910" w:h="16840"/>
          <w:pgMar w:header="0" w:footer="1055" w:top="1340" w:bottom="1240" w:left="1180" w:right="1040"/>
        </w:sectPr>
      </w:pPr>
    </w:p>
    <w:p>
      <w:pPr>
        <w:pStyle w:val="BodyText"/>
        <w:spacing w:before="73"/>
        <w:ind w:left="260" w:right="761"/>
      </w:pPr>
      <w:r>
        <w:rPr/>
        <w:t>Igaunijas un Vācijas tiesībās – maksājumu veikšana uz likuma pamata, nevis saskaņā ar fiksētu grafiku vai plānu. Vienlaikus protams jāņem vērā, ka Igaunijā un Vācijā saistību dzēšanas procedūras laikā maksājumus kreditoriem veic maksātnespējas procesa administrators,</w:t>
      </w:r>
      <w:r>
        <w:rPr>
          <w:spacing w:val="-7"/>
        </w:rPr>
        <w:t> </w:t>
      </w:r>
      <w:r>
        <w:rPr/>
        <w:t>nevis</w:t>
      </w:r>
      <w:r>
        <w:rPr>
          <w:spacing w:val="-7"/>
        </w:rPr>
        <w:t> </w:t>
      </w:r>
      <w:r>
        <w:rPr/>
        <w:t>pats</w:t>
      </w:r>
      <w:r>
        <w:rPr>
          <w:spacing w:val="-5"/>
        </w:rPr>
        <w:t> </w:t>
      </w:r>
      <w:r>
        <w:rPr/>
        <w:t>parādnieks.</w:t>
      </w:r>
      <w:r>
        <w:rPr>
          <w:spacing w:val="-7"/>
        </w:rPr>
        <w:t> </w:t>
      </w:r>
      <w:r>
        <w:rPr/>
        <w:t>Šāds</w:t>
      </w:r>
      <w:r>
        <w:rPr>
          <w:spacing w:val="-7"/>
        </w:rPr>
        <w:t> </w:t>
      </w:r>
      <w:r>
        <w:rPr/>
        <w:t>modelis</w:t>
      </w:r>
      <w:r>
        <w:rPr>
          <w:spacing w:val="-6"/>
        </w:rPr>
        <w:t> </w:t>
      </w:r>
      <w:r>
        <w:rPr/>
        <w:t>nenoliedzami</w:t>
      </w:r>
      <w:r>
        <w:rPr>
          <w:spacing w:val="-5"/>
        </w:rPr>
        <w:t> </w:t>
      </w:r>
      <w:r>
        <w:rPr/>
        <w:t>ir</w:t>
      </w:r>
      <w:r>
        <w:rPr>
          <w:spacing w:val="-7"/>
        </w:rPr>
        <w:t> </w:t>
      </w:r>
      <w:r>
        <w:rPr/>
        <w:t>dārgāks,</w:t>
      </w:r>
      <w:r>
        <w:rPr>
          <w:spacing w:val="-7"/>
        </w:rPr>
        <w:t> </w:t>
      </w:r>
      <w:r>
        <w:rPr/>
        <w:t>nekā</w:t>
      </w:r>
      <w:r>
        <w:rPr>
          <w:spacing w:val="-5"/>
        </w:rPr>
        <w:t> </w:t>
      </w:r>
      <w:r>
        <w:rPr/>
        <w:t>Latvijas modelis, tādējādi tā zināmā mērā ir politiskā izšķiršanās, vai saglabāt saistību dzēšanas plāna modeli ar “rāmja” efektu, vai tomēr izvēlēties Igaunijas vai Vācijas</w:t>
      </w:r>
      <w:r>
        <w:rPr>
          <w:spacing w:val="-3"/>
        </w:rPr>
        <w:t> </w:t>
      </w:r>
      <w:r>
        <w:rPr/>
        <w:t>modeli.</w:t>
      </w:r>
    </w:p>
    <w:p>
      <w:pPr>
        <w:pStyle w:val="BodyText"/>
        <w:ind w:left="260" w:right="761" w:firstLine="720"/>
      </w:pPr>
      <w:r>
        <w:rPr/>
        <w:t>Treškārt, arī spēkā esošais regulējums attiecībā uz saistību dzēšanas plāna termiņiem nekādā veidā nemotivē parādnieku sākt gūt lielākus ienākumus jau saistību dzēšanas procedūras laikā. Piemēram, kā norādījām iepriekš, esošā regulējuma ietvaros parādniekam ar neliela apmēra saistībām saistību dzēšanas plāna termiņš būs 1gads gan tajā gadījumā, ja kreditoru prasījumu segšanai tiks novirzīti minimāli maksājumi (EUR 143,33), gan arī tad, ja tiks maksāts, piemēram, EUR 450 mēnesī. Līdzīga situācija ir arī liela</w:t>
      </w:r>
      <w:r>
        <w:rPr>
          <w:spacing w:val="-6"/>
        </w:rPr>
        <w:t> </w:t>
      </w:r>
      <w:r>
        <w:rPr/>
        <w:t>apmēra</w:t>
      </w:r>
      <w:r>
        <w:rPr>
          <w:spacing w:val="-10"/>
        </w:rPr>
        <w:t> </w:t>
      </w:r>
      <w:r>
        <w:rPr/>
        <w:t>saistību</w:t>
      </w:r>
      <w:r>
        <w:rPr>
          <w:spacing w:val="-5"/>
        </w:rPr>
        <w:t> </w:t>
      </w:r>
      <w:r>
        <w:rPr/>
        <w:t>gadījumā,</w:t>
      </w:r>
      <w:r>
        <w:rPr>
          <w:spacing w:val="-6"/>
        </w:rPr>
        <w:t> </w:t>
      </w:r>
      <w:r>
        <w:rPr/>
        <w:t>jo</w:t>
      </w:r>
      <w:r>
        <w:rPr>
          <w:spacing w:val="-5"/>
        </w:rPr>
        <w:t> </w:t>
      </w:r>
      <w:r>
        <w:rPr/>
        <w:t>saistību</w:t>
      </w:r>
      <w:r>
        <w:rPr>
          <w:spacing w:val="-6"/>
        </w:rPr>
        <w:t> </w:t>
      </w:r>
      <w:r>
        <w:rPr/>
        <w:t>dzēšanas</w:t>
      </w:r>
      <w:r>
        <w:rPr>
          <w:spacing w:val="-5"/>
        </w:rPr>
        <w:t> </w:t>
      </w:r>
      <w:r>
        <w:rPr/>
        <w:t>plāna</w:t>
      </w:r>
      <w:r>
        <w:rPr>
          <w:spacing w:val="-9"/>
        </w:rPr>
        <w:t> </w:t>
      </w:r>
      <w:r>
        <w:rPr/>
        <w:t>termiņš</w:t>
      </w:r>
      <w:r>
        <w:rPr>
          <w:spacing w:val="-5"/>
        </w:rPr>
        <w:t> </w:t>
      </w:r>
      <w:r>
        <w:rPr/>
        <w:t>būs</w:t>
      </w:r>
      <w:r>
        <w:rPr>
          <w:spacing w:val="-6"/>
        </w:rPr>
        <w:t> </w:t>
      </w:r>
      <w:r>
        <w:rPr/>
        <w:t>3</w:t>
      </w:r>
      <w:r>
        <w:rPr>
          <w:spacing w:val="-5"/>
        </w:rPr>
        <w:t> </w:t>
      </w:r>
      <w:r>
        <w:rPr/>
        <w:t>gadi,</w:t>
      </w:r>
      <w:r>
        <w:rPr>
          <w:spacing w:val="-6"/>
        </w:rPr>
        <w:t> </w:t>
      </w:r>
      <w:r>
        <w:rPr/>
        <w:t>neatkarīgi</w:t>
      </w:r>
      <w:r>
        <w:rPr>
          <w:spacing w:val="-5"/>
        </w:rPr>
        <w:t> </w:t>
      </w:r>
      <w:r>
        <w:rPr/>
        <w:t>no tā, vai kreditoru prasījumu segšanai tiks novirzīti minimāli maksājumi (EUR 143,33) vai, piemēram,</w:t>
      </w:r>
      <w:r>
        <w:rPr>
          <w:spacing w:val="-11"/>
        </w:rPr>
        <w:t> </w:t>
      </w:r>
      <w:r>
        <w:rPr/>
        <w:t>EUR</w:t>
      </w:r>
      <w:r>
        <w:rPr>
          <w:spacing w:val="-11"/>
        </w:rPr>
        <w:t> </w:t>
      </w:r>
      <w:r>
        <w:rPr/>
        <w:t>800</w:t>
      </w:r>
      <w:r>
        <w:rPr>
          <w:spacing w:val="-16"/>
        </w:rPr>
        <w:t> </w:t>
      </w:r>
      <w:r>
        <w:rPr/>
        <w:t>mēnesī.</w:t>
      </w:r>
      <w:r>
        <w:rPr>
          <w:spacing w:val="-13"/>
        </w:rPr>
        <w:t> </w:t>
      </w:r>
      <w:r>
        <w:rPr/>
        <w:t>Šo</w:t>
      </w:r>
      <w:r>
        <w:rPr>
          <w:spacing w:val="-11"/>
        </w:rPr>
        <w:t> </w:t>
      </w:r>
      <w:r>
        <w:rPr/>
        <w:t>problēmu</w:t>
      </w:r>
      <w:r>
        <w:rPr>
          <w:spacing w:val="-16"/>
        </w:rPr>
        <w:t> </w:t>
      </w:r>
      <w:r>
        <w:rPr/>
        <w:t>var</w:t>
      </w:r>
      <w:r>
        <w:rPr>
          <w:spacing w:val="-12"/>
        </w:rPr>
        <w:t> </w:t>
      </w:r>
      <w:r>
        <w:rPr/>
        <w:t>risināt</w:t>
      </w:r>
      <w:r>
        <w:rPr>
          <w:spacing w:val="-18"/>
        </w:rPr>
        <w:t> </w:t>
      </w:r>
      <w:r>
        <w:rPr/>
        <w:t>ar</w:t>
      </w:r>
      <w:r>
        <w:rPr>
          <w:spacing w:val="-13"/>
        </w:rPr>
        <w:t> </w:t>
      </w:r>
      <w:r>
        <w:rPr/>
        <w:t>tā</w:t>
      </w:r>
      <w:r>
        <w:rPr>
          <w:spacing w:val="-16"/>
        </w:rPr>
        <w:t> </w:t>
      </w:r>
      <w:r>
        <w:rPr/>
        <w:t>saukto</w:t>
      </w:r>
      <w:r>
        <w:rPr>
          <w:spacing w:val="-16"/>
        </w:rPr>
        <w:t> </w:t>
      </w:r>
      <w:r>
        <w:rPr/>
        <w:t>plūstošo</w:t>
      </w:r>
      <w:r>
        <w:rPr>
          <w:spacing w:val="-12"/>
        </w:rPr>
        <w:t> </w:t>
      </w:r>
      <w:r>
        <w:rPr/>
        <w:t>saistību</w:t>
      </w:r>
      <w:r>
        <w:rPr>
          <w:spacing w:val="-16"/>
        </w:rPr>
        <w:t> </w:t>
      </w:r>
      <w:r>
        <w:rPr/>
        <w:t>dzēšanas procedūras</w:t>
      </w:r>
      <w:r>
        <w:rPr>
          <w:spacing w:val="-11"/>
        </w:rPr>
        <w:t> </w:t>
      </w:r>
      <w:r>
        <w:rPr/>
        <w:t>termiņu,</w:t>
      </w:r>
      <w:r>
        <w:rPr>
          <w:spacing w:val="-11"/>
        </w:rPr>
        <w:t> </w:t>
      </w:r>
      <w:r>
        <w:rPr/>
        <w:t>kad</w:t>
      </w:r>
      <w:r>
        <w:rPr>
          <w:spacing w:val="-10"/>
        </w:rPr>
        <w:t> </w:t>
      </w:r>
      <w:r>
        <w:rPr/>
        <w:t>tiesa</w:t>
      </w:r>
      <w:r>
        <w:rPr>
          <w:spacing w:val="-11"/>
        </w:rPr>
        <w:t> </w:t>
      </w:r>
      <w:r>
        <w:rPr/>
        <w:t>var</w:t>
      </w:r>
      <w:r>
        <w:rPr>
          <w:spacing w:val="-9"/>
        </w:rPr>
        <w:t> </w:t>
      </w:r>
      <w:r>
        <w:rPr/>
        <w:t>saīsināt</w:t>
      </w:r>
      <w:r>
        <w:rPr>
          <w:spacing w:val="-10"/>
        </w:rPr>
        <w:t> </w:t>
      </w:r>
      <w:r>
        <w:rPr/>
        <w:t>vai</w:t>
      </w:r>
      <w:r>
        <w:rPr>
          <w:spacing w:val="-8"/>
        </w:rPr>
        <w:t> </w:t>
      </w:r>
      <w:r>
        <w:rPr/>
        <w:t>pagarināt</w:t>
      </w:r>
      <w:r>
        <w:rPr>
          <w:spacing w:val="-10"/>
        </w:rPr>
        <w:t> </w:t>
      </w:r>
      <w:r>
        <w:rPr/>
        <w:t>sākotnēji</w:t>
      </w:r>
      <w:r>
        <w:rPr>
          <w:spacing w:val="-9"/>
        </w:rPr>
        <w:t> </w:t>
      </w:r>
      <w:r>
        <w:rPr/>
        <w:t>noteikto</w:t>
      </w:r>
      <w:r>
        <w:rPr>
          <w:spacing w:val="-9"/>
        </w:rPr>
        <w:t> </w:t>
      </w:r>
      <w:r>
        <w:rPr/>
        <w:t>saistību</w:t>
      </w:r>
      <w:r>
        <w:rPr>
          <w:spacing w:val="-10"/>
        </w:rPr>
        <w:t> </w:t>
      </w:r>
      <w:r>
        <w:rPr/>
        <w:t>dzēšanas procedūras</w:t>
      </w:r>
      <w:r>
        <w:rPr>
          <w:spacing w:val="-5"/>
        </w:rPr>
        <w:t> </w:t>
      </w:r>
      <w:r>
        <w:rPr/>
        <w:t>termiņu,</w:t>
      </w:r>
      <w:r>
        <w:rPr>
          <w:spacing w:val="-5"/>
        </w:rPr>
        <w:t> </w:t>
      </w:r>
      <w:r>
        <w:rPr/>
        <w:t>vērtējot</w:t>
      </w:r>
      <w:r>
        <w:rPr>
          <w:spacing w:val="-5"/>
        </w:rPr>
        <w:t> </w:t>
      </w:r>
      <w:r>
        <w:rPr/>
        <w:t>to,</w:t>
      </w:r>
      <w:r>
        <w:rPr>
          <w:spacing w:val="-5"/>
        </w:rPr>
        <w:t> </w:t>
      </w:r>
      <w:r>
        <w:rPr/>
        <w:t>kā</w:t>
      </w:r>
      <w:r>
        <w:rPr>
          <w:spacing w:val="-5"/>
        </w:rPr>
        <w:t> </w:t>
      </w:r>
      <w:r>
        <w:rPr/>
        <w:t>parādnieks</w:t>
      </w:r>
      <w:r>
        <w:rPr>
          <w:spacing w:val="-3"/>
        </w:rPr>
        <w:t> </w:t>
      </w:r>
      <w:r>
        <w:rPr/>
        <w:t>ir</w:t>
      </w:r>
      <w:r>
        <w:rPr>
          <w:spacing w:val="-5"/>
        </w:rPr>
        <w:t> </w:t>
      </w:r>
      <w:r>
        <w:rPr/>
        <w:t>vai</w:t>
      </w:r>
      <w:r>
        <w:rPr>
          <w:spacing w:val="-5"/>
        </w:rPr>
        <w:t> </w:t>
      </w:r>
      <w:r>
        <w:rPr/>
        <w:t>nav</w:t>
      </w:r>
      <w:r>
        <w:rPr>
          <w:spacing w:val="-5"/>
        </w:rPr>
        <w:t> </w:t>
      </w:r>
      <w:r>
        <w:rPr/>
        <w:t>pildījis</w:t>
      </w:r>
      <w:r>
        <w:rPr>
          <w:spacing w:val="-5"/>
        </w:rPr>
        <w:t> </w:t>
      </w:r>
      <w:r>
        <w:rPr/>
        <w:t>savus</w:t>
      </w:r>
      <w:r>
        <w:rPr>
          <w:spacing w:val="-3"/>
        </w:rPr>
        <w:t> </w:t>
      </w:r>
      <w:r>
        <w:rPr/>
        <w:t>pienākumus</w:t>
      </w:r>
      <w:r>
        <w:rPr>
          <w:spacing w:val="-5"/>
        </w:rPr>
        <w:t> </w:t>
      </w:r>
      <w:r>
        <w:rPr/>
        <w:t>saistību dzēšanas procedūras laikā. Proti, pastāvot iespējai ātrāk iegūt saistību dzēšanu, parādnieks ir vairāk motivēts būt godprātīgs un pēc iespējas pilnīgāk segt kreditoru prasījumus (nesaistot to ar konkrētu segto saistību apmēru, bet gan to, ciktāl parādnieks ir centies gūt ienākumus atbilstoši savām spējām un</w:t>
      </w:r>
      <w:r>
        <w:rPr>
          <w:spacing w:val="-3"/>
        </w:rPr>
        <w:t> </w:t>
      </w:r>
      <w:r>
        <w:rPr/>
        <w:t>kvalifikācijai).</w:t>
      </w:r>
    </w:p>
    <w:p>
      <w:pPr>
        <w:pStyle w:val="BodyText"/>
        <w:spacing w:before="1"/>
        <w:ind w:left="260" w:right="762" w:firstLine="720"/>
      </w:pPr>
      <w:r>
        <w:rPr/>
        <w:t>No</w:t>
      </w:r>
      <w:r>
        <w:rPr>
          <w:spacing w:val="-11"/>
        </w:rPr>
        <w:t> </w:t>
      </w:r>
      <w:r>
        <w:rPr/>
        <w:t>otras</w:t>
      </w:r>
      <w:r>
        <w:rPr>
          <w:spacing w:val="-12"/>
        </w:rPr>
        <w:t> </w:t>
      </w:r>
      <w:r>
        <w:rPr/>
        <w:t>puses,</w:t>
      </w:r>
      <w:r>
        <w:rPr>
          <w:spacing w:val="-10"/>
        </w:rPr>
        <w:t> </w:t>
      </w:r>
      <w:r>
        <w:rPr/>
        <w:t>iespējams,</w:t>
      </w:r>
      <w:r>
        <w:rPr>
          <w:spacing w:val="-11"/>
        </w:rPr>
        <w:t> </w:t>
      </w:r>
      <w:r>
        <w:rPr/>
        <w:t>ka</w:t>
      </w:r>
      <w:r>
        <w:rPr>
          <w:spacing w:val="-10"/>
        </w:rPr>
        <w:t> </w:t>
      </w:r>
      <w:r>
        <w:rPr/>
        <w:t>daudz</w:t>
      </w:r>
      <w:r>
        <w:rPr>
          <w:spacing w:val="-9"/>
        </w:rPr>
        <w:t> </w:t>
      </w:r>
      <w:r>
        <w:rPr/>
        <w:t>sekmīgāk</w:t>
      </w:r>
      <w:r>
        <w:rPr>
          <w:spacing w:val="-13"/>
        </w:rPr>
        <w:t> </w:t>
      </w:r>
      <w:r>
        <w:rPr/>
        <w:t>parādnieka</w:t>
      </w:r>
      <w:r>
        <w:rPr>
          <w:spacing w:val="-10"/>
        </w:rPr>
        <w:t> </w:t>
      </w:r>
      <w:r>
        <w:rPr/>
        <w:t>motivācijas</w:t>
      </w:r>
      <w:r>
        <w:rPr>
          <w:spacing w:val="-10"/>
        </w:rPr>
        <w:t> </w:t>
      </w:r>
      <w:r>
        <w:rPr/>
        <w:t>trūkumu</w:t>
      </w:r>
      <w:r>
        <w:rPr>
          <w:spacing w:val="-10"/>
        </w:rPr>
        <w:t> </w:t>
      </w:r>
      <w:r>
        <w:rPr/>
        <w:t>sākt gūt lielākus ienākumus jau saistību dzēšanas procedūras laikā var risināt ar pilnīgi citu pieeju.</w:t>
      </w:r>
      <w:r>
        <w:rPr>
          <w:spacing w:val="-16"/>
        </w:rPr>
        <w:t> </w:t>
      </w:r>
      <w:r>
        <w:rPr/>
        <w:t>Un</w:t>
      </w:r>
      <w:r>
        <w:rPr>
          <w:spacing w:val="-15"/>
        </w:rPr>
        <w:t> </w:t>
      </w:r>
      <w:r>
        <w:rPr/>
        <w:t>tieši</w:t>
      </w:r>
      <w:r>
        <w:rPr>
          <w:spacing w:val="-15"/>
        </w:rPr>
        <w:t> </w:t>
      </w:r>
      <w:r>
        <w:rPr/>
        <w:t>–</w:t>
      </w:r>
      <w:r>
        <w:rPr>
          <w:spacing w:val="-12"/>
        </w:rPr>
        <w:t> </w:t>
      </w:r>
      <w:r>
        <w:rPr/>
        <w:t>paredzot,</w:t>
      </w:r>
      <w:r>
        <w:rPr>
          <w:spacing w:val="-15"/>
        </w:rPr>
        <w:t> </w:t>
      </w:r>
      <w:r>
        <w:rPr/>
        <w:t>ka</w:t>
      </w:r>
      <w:r>
        <w:rPr>
          <w:spacing w:val="-15"/>
        </w:rPr>
        <w:t> </w:t>
      </w:r>
      <w:r>
        <w:rPr/>
        <w:t>parādniekam</w:t>
      </w:r>
      <w:r>
        <w:rPr>
          <w:spacing w:val="-16"/>
        </w:rPr>
        <w:t> </w:t>
      </w:r>
      <w:r>
        <w:rPr/>
        <w:t>saistību</w:t>
      </w:r>
      <w:r>
        <w:rPr>
          <w:spacing w:val="-15"/>
        </w:rPr>
        <w:t> </w:t>
      </w:r>
      <w:r>
        <w:rPr/>
        <w:t>dzēšanas</w:t>
      </w:r>
      <w:r>
        <w:rPr>
          <w:spacing w:val="-17"/>
        </w:rPr>
        <w:t> </w:t>
      </w:r>
      <w:r>
        <w:rPr/>
        <w:t>procedūras</w:t>
      </w:r>
      <w:r>
        <w:rPr>
          <w:spacing w:val="-15"/>
        </w:rPr>
        <w:t> </w:t>
      </w:r>
      <w:r>
        <w:rPr/>
        <w:t>laikā</w:t>
      </w:r>
      <w:r>
        <w:rPr>
          <w:spacing w:val="-17"/>
        </w:rPr>
        <w:t> </w:t>
      </w:r>
      <w:r>
        <w:rPr/>
        <w:t>ir</w:t>
      </w:r>
      <w:r>
        <w:rPr>
          <w:spacing w:val="-13"/>
        </w:rPr>
        <w:t> </w:t>
      </w:r>
      <w:r>
        <w:rPr/>
        <w:t>pienākums kreditoru prasījumu segšanai novirzīt nevis noteiktu daļu no saviem faktiskajiem ienākumiem (atbilstoši spēkā esošajam tiesiskajam regulējumam – 1/3), bet fiksētu</w:t>
      </w:r>
      <w:r>
        <w:rPr>
          <w:spacing w:val="-31"/>
        </w:rPr>
        <w:t> </w:t>
      </w:r>
      <w:r>
        <w:rPr/>
        <w:t>ciparu, kurš tiek noteikts, apstiprinot saistību dzēšanas plānu. Attiecīgi, paaugstinoties parādnieka darba samaksai vai nodarbinātības ienākumiem, viņam nav pienākums veikt lielākus maksājumus kreditoriem, nekā tas ir paredzēts plānā. Šāda pieeja ir nostiprināta Dānijas tiesībās un kopš 2015.gada arī Polijā. Piemēram, atbilstoši Polijas Maksātnespējas</w:t>
      </w:r>
      <w:r>
        <w:rPr>
          <w:spacing w:val="29"/>
        </w:rPr>
        <w:t> </w:t>
      </w:r>
      <w:r>
        <w:rPr/>
        <w:t>likuma</w:t>
      </w:r>
    </w:p>
    <w:p>
      <w:pPr>
        <w:pStyle w:val="BodyText"/>
        <w:spacing w:line="232" w:lineRule="auto"/>
        <w:ind w:left="260" w:right="763"/>
        <w:rPr>
          <w:sz w:val="16"/>
        </w:rPr>
      </w:pPr>
      <w:r>
        <w:rPr/>
        <w:t>491.</w:t>
      </w:r>
      <w:r>
        <w:rPr>
          <w:position w:val="9"/>
          <w:sz w:val="16"/>
        </w:rPr>
        <w:t>19 </w:t>
      </w:r>
      <w:r>
        <w:rPr/>
        <w:t>panta trešajai daļai, ja saistību dzēšanas procedūras laikā pieaug parādnieka darba samaksa</w:t>
      </w:r>
      <w:r>
        <w:rPr>
          <w:spacing w:val="-13"/>
        </w:rPr>
        <w:t> </w:t>
      </w:r>
      <w:r>
        <w:rPr/>
        <w:t>vai</w:t>
      </w:r>
      <w:r>
        <w:rPr>
          <w:spacing w:val="-7"/>
        </w:rPr>
        <w:t> </w:t>
      </w:r>
      <w:r>
        <w:rPr/>
        <w:t>ienākumi</w:t>
      </w:r>
      <w:r>
        <w:rPr>
          <w:spacing w:val="-8"/>
        </w:rPr>
        <w:t> </w:t>
      </w:r>
      <w:r>
        <w:rPr/>
        <w:t>no</w:t>
      </w:r>
      <w:r>
        <w:rPr>
          <w:spacing w:val="-8"/>
        </w:rPr>
        <w:t> </w:t>
      </w:r>
      <w:r>
        <w:rPr/>
        <w:t>nodarbinātības,</w:t>
      </w:r>
      <w:r>
        <w:rPr>
          <w:spacing w:val="-10"/>
        </w:rPr>
        <w:t> </w:t>
      </w:r>
      <w:r>
        <w:rPr/>
        <w:t>tas</w:t>
      </w:r>
      <w:r>
        <w:rPr>
          <w:spacing w:val="-11"/>
        </w:rPr>
        <w:t> </w:t>
      </w:r>
      <w:r>
        <w:rPr/>
        <w:t>nav</w:t>
      </w:r>
      <w:r>
        <w:rPr>
          <w:spacing w:val="-10"/>
        </w:rPr>
        <w:t> </w:t>
      </w:r>
      <w:r>
        <w:rPr/>
        <w:t>pamats</w:t>
      </w:r>
      <w:r>
        <w:rPr>
          <w:spacing w:val="-10"/>
        </w:rPr>
        <w:t> </w:t>
      </w:r>
      <w:r>
        <w:rPr/>
        <w:t>saistību</w:t>
      </w:r>
      <w:r>
        <w:rPr>
          <w:spacing w:val="-11"/>
        </w:rPr>
        <w:t> </w:t>
      </w:r>
      <w:r>
        <w:rPr/>
        <w:t>dzēšanas</w:t>
      </w:r>
      <w:r>
        <w:rPr>
          <w:spacing w:val="-12"/>
        </w:rPr>
        <w:t> </w:t>
      </w:r>
      <w:r>
        <w:rPr/>
        <w:t>plāna</w:t>
      </w:r>
      <w:r>
        <w:rPr>
          <w:spacing w:val="-10"/>
        </w:rPr>
        <w:t> </w:t>
      </w:r>
      <w:r>
        <w:rPr/>
        <w:t>grozījumu veikšanai.</w:t>
      </w:r>
      <w:r>
        <w:rPr>
          <w:position w:val="9"/>
          <w:sz w:val="16"/>
        </w:rPr>
        <w:t>474</w:t>
      </w:r>
    </w:p>
    <w:p>
      <w:pPr>
        <w:pStyle w:val="BodyText"/>
        <w:ind w:left="260" w:right="762" w:firstLine="720"/>
      </w:pPr>
      <w:r>
        <w:rPr/>
        <w:t>Pastāvot tiesiskajam regulējumam, kurš paredz parādniekam pienākumu maksāt fiksētu</w:t>
      </w:r>
      <w:r>
        <w:rPr>
          <w:spacing w:val="-11"/>
        </w:rPr>
        <w:t> </w:t>
      </w:r>
      <w:r>
        <w:rPr/>
        <w:t>summu,</w:t>
      </w:r>
      <w:r>
        <w:rPr>
          <w:spacing w:val="-11"/>
        </w:rPr>
        <w:t> </w:t>
      </w:r>
      <w:r>
        <w:rPr/>
        <w:t>kas</w:t>
      </w:r>
      <w:r>
        <w:rPr>
          <w:spacing w:val="-10"/>
        </w:rPr>
        <w:t> </w:t>
      </w:r>
      <w:r>
        <w:rPr/>
        <w:t>nepieaug,</w:t>
      </w:r>
      <w:r>
        <w:rPr>
          <w:spacing w:val="-11"/>
        </w:rPr>
        <w:t> </w:t>
      </w:r>
      <w:r>
        <w:rPr/>
        <w:t>paaugstinoties</w:t>
      </w:r>
      <w:r>
        <w:rPr>
          <w:spacing w:val="-10"/>
        </w:rPr>
        <w:t> </w:t>
      </w:r>
      <w:r>
        <w:rPr/>
        <w:t>parādnieka</w:t>
      </w:r>
      <w:r>
        <w:rPr>
          <w:spacing w:val="-13"/>
        </w:rPr>
        <w:t> </w:t>
      </w:r>
      <w:r>
        <w:rPr/>
        <w:t>darba</w:t>
      </w:r>
      <w:r>
        <w:rPr>
          <w:spacing w:val="-12"/>
        </w:rPr>
        <w:t> </w:t>
      </w:r>
      <w:r>
        <w:rPr/>
        <w:t>samaksai</w:t>
      </w:r>
      <w:r>
        <w:rPr>
          <w:spacing w:val="-13"/>
        </w:rPr>
        <w:t> </w:t>
      </w:r>
      <w:r>
        <w:rPr/>
        <w:t>vai</w:t>
      </w:r>
      <w:r>
        <w:rPr>
          <w:spacing w:val="-8"/>
        </w:rPr>
        <w:t> </w:t>
      </w:r>
      <w:r>
        <w:rPr/>
        <w:t>nodarbinātības ienākumiem, parādnieks, no vienas puses, ir daudz motivētāks celt savu produktivitāti. Attiecīgi šādā veidā var sekmīgāk sasniegt vienu no fiziskās personas maksātnespējas procesa pamatmērķiem – parādnieka finansiālās situācijas sekmīgu rehabilitāciju. Turklāt šāda tiesiskā regulējuma ietvaros faktiski nav nepieciešams īstenot parādnieka ienākumu kontroli saistību dzēšanas procedūras laikā, un tiesai ir salīdzinoši vienkāršāk lemt par parādnieka atbrīvošanu no neizpildītajām parādsaistībām maksātnespējas procedūras noslēgumā (piemēram, Dānijā tiesa šādu lēmumu pieņem pat vienlaikus ar lēmumu par plāna</w:t>
      </w:r>
      <w:r>
        <w:rPr>
          <w:spacing w:val="-3"/>
        </w:rPr>
        <w:t> </w:t>
      </w:r>
      <w:r>
        <w:rPr/>
        <w:t>apstiprināšanu).</w:t>
      </w:r>
    </w:p>
    <w:p>
      <w:pPr>
        <w:pStyle w:val="BodyText"/>
        <w:ind w:left="260" w:right="763" w:firstLine="720"/>
      </w:pPr>
      <w:r>
        <w:rPr/>
        <w:t>Tomēr šādam regulējumam nenoliedzami ir arī būtiska ēnas puse – proti, netiek sasniegts kāds cits būtisks fiziskās personas maksātnespējas procesa mērķis, tas ir, kreditoru prasījumu segšana pēc iespējas lielākā apmērā. Turklāt, pastāvot šādam regulējumam, ļoti sarežģīti ir noteikt fiksētā maksājuma apmēru, jo pastāv iespēja, ka tas</w:t>
      </w:r>
    </w:p>
    <w:p>
      <w:pPr>
        <w:pStyle w:val="BodyText"/>
        <w:spacing w:before="1"/>
        <w:jc w:val="left"/>
        <w:rPr>
          <w:sz w:val="28"/>
        </w:rPr>
      </w:pPr>
      <w:r>
        <w:rPr/>
        <w:pict>
          <v:shape style="position:absolute;margin-left:72pt;margin-top:18.445686pt;width:144pt;height:.1pt;mso-position-horizontal-relative:page;mso-position-vertical-relative:paragraph;z-index:-251453440;mso-wrap-distance-left:0;mso-wrap-distance-right:0" coordorigin="1440,369" coordsize="2880,0" path="m1440,369l4320,369e" filled="false" stroked="true" strokeweight=".599991pt" strokecolor="#000000">
            <v:path arrowok="t"/>
            <v:stroke dashstyle="solid"/>
            <w10:wrap type="topAndBottom"/>
          </v:shape>
        </w:pict>
      </w:r>
    </w:p>
    <w:p>
      <w:pPr>
        <w:spacing w:line="249" w:lineRule="auto" w:before="58"/>
        <w:ind w:left="260" w:right="635" w:firstLine="0"/>
        <w:jc w:val="left"/>
        <w:rPr>
          <w:sz w:val="20"/>
        </w:rPr>
      </w:pPr>
      <w:r>
        <w:rPr>
          <w:position w:val="9"/>
          <w:sz w:val="16"/>
        </w:rPr>
        <w:t>474 </w:t>
      </w:r>
      <w:r>
        <w:rPr>
          <w:sz w:val="20"/>
        </w:rPr>
        <w:t>Sk.: Kilborn Jason J. The Rise and Fall of Fear of Abuse in Consumer Bankruptcy: Most Recent Comparative Evidence from Europe and Beyond. Texas Law Review, Vol.96:1327, 2018, p.1338.</w:t>
      </w:r>
    </w:p>
    <w:p>
      <w:pPr>
        <w:spacing w:after="0" w:line="249" w:lineRule="auto"/>
        <w:jc w:val="left"/>
        <w:rPr>
          <w:sz w:val="20"/>
        </w:rPr>
        <w:sectPr>
          <w:pgSz w:w="11910" w:h="16840"/>
          <w:pgMar w:header="0" w:footer="1055" w:top="1340" w:bottom="1240" w:left="1180" w:right="1040"/>
        </w:sectPr>
      </w:pPr>
    </w:p>
    <w:p>
      <w:pPr>
        <w:pStyle w:val="BodyText"/>
        <w:spacing w:line="237" w:lineRule="auto" w:before="75"/>
        <w:ind w:left="620" w:right="401"/>
      </w:pPr>
      <w:r>
        <w:rPr/>
        <w:t>tiek noteikts vai nu pārlieku optimistiski (kā rezultātā parādnieks plānu nespēj pildīt), vai arī</w:t>
      </w:r>
      <w:r>
        <w:rPr>
          <w:spacing w:val="-12"/>
        </w:rPr>
        <w:t> </w:t>
      </w:r>
      <w:r>
        <w:rPr/>
        <w:t>–</w:t>
      </w:r>
      <w:r>
        <w:rPr>
          <w:spacing w:val="-9"/>
        </w:rPr>
        <w:t> </w:t>
      </w:r>
      <w:r>
        <w:rPr/>
        <w:t>pārlieku</w:t>
      </w:r>
      <w:r>
        <w:rPr>
          <w:spacing w:val="-8"/>
        </w:rPr>
        <w:t> </w:t>
      </w:r>
      <w:r>
        <w:rPr/>
        <w:t>piesardzīgi</w:t>
      </w:r>
      <w:r>
        <w:rPr>
          <w:spacing w:val="-7"/>
        </w:rPr>
        <w:t> </w:t>
      </w:r>
      <w:r>
        <w:rPr/>
        <w:t>(kā</w:t>
      </w:r>
      <w:r>
        <w:rPr>
          <w:spacing w:val="-10"/>
        </w:rPr>
        <w:t> </w:t>
      </w:r>
      <w:r>
        <w:rPr/>
        <w:t>rezultātā</w:t>
      </w:r>
      <w:r>
        <w:rPr>
          <w:spacing w:val="-9"/>
        </w:rPr>
        <w:t> </w:t>
      </w:r>
      <w:r>
        <w:rPr/>
        <w:t>kreditori</w:t>
      </w:r>
      <w:r>
        <w:rPr>
          <w:spacing w:val="-12"/>
        </w:rPr>
        <w:t> </w:t>
      </w:r>
      <w:r>
        <w:rPr/>
        <w:t>nesaņem</w:t>
      </w:r>
      <w:r>
        <w:rPr>
          <w:spacing w:val="-11"/>
        </w:rPr>
        <w:t> </w:t>
      </w:r>
      <w:r>
        <w:rPr/>
        <w:t>samērīgu</w:t>
      </w:r>
      <w:r>
        <w:rPr>
          <w:spacing w:val="-9"/>
        </w:rPr>
        <w:t> </w:t>
      </w:r>
      <w:r>
        <w:rPr/>
        <w:t>saistību</w:t>
      </w:r>
      <w:r>
        <w:rPr>
          <w:spacing w:val="-10"/>
        </w:rPr>
        <w:t> </w:t>
      </w:r>
      <w:r>
        <w:rPr/>
        <w:t>izpildījumu).</w:t>
      </w:r>
      <w:r>
        <w:rPr>
          <w:spacing w:val="-35"/>
        </w:rPr>
        <w:t> </w:t>
      </w:r>
      <w:r>
        <w:rPr>
          <w:position w:val="9"/>
          <w:sz w:val="16"/>
        </w:rPr>
        <w:t>475 </w:t>
      </w:r>
      <w:r>
        <w:rPr/>
        <w:t>Tādējādi izšķiršanās par labu vienam no šiem risinājumiem lielā mērā ir saistīta ar to, </w:t>
      </w:r>
      <w:r>
        <w:rPr>
          <w:spacing w:val="-6"/>
        </w:rPr>
        <w:t>ko </w:t>
      </w:r>
      <w:r>
        <w:rPr/>
        <w:t>katras valsts tiesību politikas veidotājs atzīst par būtiskāku – vienkāršot saistību dzēšanas procedūras norisi un paaugstināt parādnieka produktivitāti (tādējādi gūstot lielāku sabiedrisko labumu no fiziskās personas maksātnespējas procesa institūta)</w:t>
      </w:r>
      <w:r>
        <w:rPr>
          <w:spacing w:val="-44"/>
        </w:rPr>
        <w:t> </w:t>
      </w:r>
      <w:r>
        <w:rPr/>
        <w:t>vai pēc iespējas pilnīgāk segt parādnieka saistības (tādējādi aizsargājot kreditoru</w:t>
      </w:r>
      <w:r>
        <w:rPr>
          <w:spacing w:val="-5"/>
        </w:rPr>
        <w:t> </w:t>
      </w:r>
      <w:r>
        <w:rPr/>
        <w:t>intereses).</w:t>
      </w:r>
    </w:p>
    <w:p>
      <w:pPr>
        <w:pStyle w:val="BodyText"/>
        <w:spacing w:line="237" w:lineRule="auto" w:before="5"/>
        <w:ind w:left="620" w:right="401" w:firstLine="720"/>
        <w:rPr>
          <w:sz w:val="16"/>
        </w:rPr>
      </w:pPr>
      <w:r>
        <w:rPr/>
        <w:t>Jāatzīmē arī tas, ka atsevišķās valstīs ir izvēlēta inovatīva pieeja jautājumā par parādnieka mudināšanu pēc iespējas ātrāk celt savu produktivitāti un atgūt finansiālo stabilitāti. Tā, piemēram, Japānā</w:t>
      </w:r>
      <w:r>
        <w:rPr>
          <w:position w:val="9"/>
          <w:sz w:val="16"/>
        </w:rPr>
        <w:t>476</w:t>
      </w:r>
      <w:r>
        <w:rPr/>
        <w:t>, reformējot fiziskās personas maksātnespējas procesa tiesisko regulējumu, viena no karstākajām debatēm bija jautājumā par to, vai noteikt parādniekiem pienākumu maksātnespējas procesa laikā veikt maksājumus no daba samaksa/nodarbinātības ienākumiem. Apverot visus pozitīvos un negatīvos aspektus, priekšroka tika dota regulējumam, kas neparedz parādniekiem šādu pienākumu. Šādas izvēles pamatā bija divi noteicošie faktori: (1) nesamērīgs laika patēriņš un izmaksas attiecībā pret ekonomisko ieguvumu, ja tiesiskais regulējums paredz parādniekam veikt maksājumus</w:t>
      </w:r>
      <w:r>
        <w:rPr>
          <w:spacing w:val="-6"/>
        </w:rPr>
        <w:t> </w:t>
      </w:r>
      <w:r>
        <w:rPr/>
        <w:t>no</w:t>
      </w:r>
      <w:r>
        <w:rPr>
          <w:spacing w:val="-6"/>
        </w:rPr>
        <w:t> </w:t>
      </w:r>
      <w:r>
        <w:rPr/>
        <w:t>darba</w:t>
      </w:r>
      <w:r>
        <w:rPr>
          <w:spacing w:val="-5"/>
        </w:rPr>
        <w:t> </w:t>
      </w:r>
      <w:r>
        <w:rPr/>
        <w:t>algas/nodarbinātības</w:t>
      </w:r>
      <w:r>
        <w:rPr>
          <w:spacing w:val="-6"/>
        </w:rPr>
        <w:t> </w:t>
      </w:r>
      <w:r>
        <w:rPr/>
        <w:t>ienākumiem</w:t>
      </w:r>
      <w:r>
        <w:rPr>
          <w:spacing w:val="-5"/>
        </w:rPr>
        <w:t> </w:t>
      </w:r>
      <w:r>
        <w:rPr/>
        <w:t>un</w:t>
      </w:r>
      <w:r>
        <w:rPr>
          <w:spacing w:val="-6"/>
        </w:rPr>
        <w:t> </w:t>
      </w:r>
      <w:r>
        <w:rPr/>
        <w:t>(2)</w:t>
      </w:r>
      <w:r>
        <w:rPr>
          <w:spacing w:val="-5"/>
        </w:rPr>
        <w:t> </w:t>
      </w:r>
      <w:r>
        <w:rPr/>
        <w:t>parādnieks</w:t>
      </w:r>
      <w:r>
        <w:rPr>
          <w:spacing w:val="-4"/>
        </w:rPr>
        <w:t> </w:t>
      </w:r>
      <w:r>
        <w:rPr/>
        <w:t>zaudē</w:t>
      </w:r>
      <w:r>
        <w:rPr>
          <w:spacing w:val="-5"/>
        </w:rPr>
        <w:t> </w:t>
      </w:r>
      <w:r>
        <w:rPr/>
        <w:t>iniciatīvu paaugstināt</w:t>
      </w:r>
      <w:r>
        <w:rPr>
          <w:spacing w:val="-7"/>
        </w:rPr>
        <w:t> </w:t>
      </w:r>
      <w:r>
        <w:rPr/>
        <w:t>savus</w:t>
      </w:r>
      <w:r>
        <w:rPr>
          <w:spacing w:val="-5"/>
        </w:rPr>
        <w:t> </w:t>
      </w:r>
      <w:r>
        <w:rPr/>
        <w:t>ienākumus</w:t>
      </w:r>
      <w:r>
        <w:rPr>
          <w:spacing w:val="-5"/>
        </w:rPr>
        <w:t> </w:t>
      </w:r>
      <w:r>
        <w:rPr/>
        <w:t>no</w:t>
      </w:r>
      <w:r>
        <w:rPr>
          <w:spacing w:val="-5"/>
        </w:rPr>
        <w:t> </w:t>
      </w:r>
      <w:r>
        <w:rPr/>
        <w:t>algota</w:t>
      </w:r>
      <w:r>
        <w:rPr>
          <w:spacing w:val="-5"/>
        </w:rPr>
        <w:t> </w:t>
      </w:r>
      <w:r>
        <w:rPr/>
        <w:t>darba</w:t>
      </w:r>
      <w:r>
        <w:rPr>
          <w:spacing w:val="-5"/>
        </w:rPr>
        <w:t> </w:t>
      </w:r>
      <w:r>
        <w:rPr/>
        <w:t>vai</w:t>
      </w:r>
      <w:r>
        <w:rPr>
          <w:spacing w:val="-7"/>
        </w:rPr>
        <w:t> </w:t>
      </w:r>
      <w:r>
        <w:rPr/>
        <w:t>nodarbinātības,</w:t>
      </w:r>
      <w:r>
        <w:rPr>
          <w:spacing w:val="-5"/>
        </w:rPr>
        <w:t> </w:t>
      </w:r>
      <w:r>
        <w:rPr/>
        <w:t>ja</w:t>
      </w:r>
      <w:r>
        <w:rPr>
          <w:spacing w:val="-5"/>
        </w:rPr>
        <w:t> </w:t>
      </w:r>
      <w:r>
        <w:rPr/>
        <w:t>no</w:t>
      </w:r>
      <w:r>
        <w:rPr>
          <w:spacing w:val="-3"/>
        </w:rPr>
        <w:t> </w:t>
      </w:r>
      <w:r>
        <w:rPr/>
        <w:t>šiem</w:t>
      </w:r>
      <w:r>
        <w:rPr>
          <w:spacing w:val="-5"/>
        </w:rPr>
        <w:t> </w:t>
      </w:r>
      <w:r>
        <w:rPr/>
        <w:t>ienākumiem</w:t>
      </w:r>
      <w:r>
        <w:rPr>
          <w:spacing w:val="-5"/>
        </w:rPr>
        <w:t> </w:t>
      </w:r>
      <w:r>
        <w:rPr/>
        <w:t>ir jāveic maksājumi kreditoriem. Vienlaikus norādāms arī tas, ka šāda likumdevēja izvēle nebūt</w:t>
      </w:r>
      <w:r>
        <w:rPr>
          <w:spacing w:val="-8"/>
        </w:rPr>
        <w:t> </w:t>
      </w:r>
      <w:r>
        <w:rPr/>
        <w:t>nav</w:t>
      </w:r>
      <w:r>
        <w:rPr>
          <w:spacing w:val="-10"/>
        </w:rPr>
        <w:t> </w:t>
      </w:r>
      <w:r>
        <w:rPr/>
        <w:t>izpelnījusies</w:t>
      </w:r>
      <w:r>
        <w:rPr>
          <w:spacing w:val="-8"/>
        </w:rPr>
        <w:t> </w:t>
      </w:r>
      <w:r>
        <w:rPr/>
        <w:t>viennozīmīgu</w:t>
      </w:r>
      <w:r>
        <w:rPr>
          <w:spacing w:val="-8"/>
        </w:rPr>
        <w:t> </w:t>
      </w:r>
      <w:r>
        <w:rPr/>
        <w:t>atbalstu</w:t>
      </w:r>
      <w:r>
        <w:rPr>
          <w:spacing w:val="-8"/>
        </w:rPr>
        <w:t> </w:t>
      </w:r>
      <w:r>
        <w:rPr/>
        <w:t>un</w:t>
      </w:r>
      <w:r>
        <w:rPr>
          <w:spacing w:val="-7"/>
        </w:rPr>
        <w:t> </w:t>
      </w:r>
      <w:r>
        <w:rPr/>
        <w:t>pēc</w:t>
      </w:r>
      <w:r>
        <w:rPr>
          <w:spacing w:val="-8"/>
        </w:rPr>
        <w:t> </w:t>
      </w:r>
      <w:r>
        <w:rPr/>
        <w:t>jaunā</w:t>
      </w:r>
      <w:r>
        <w:rPr>
          <w:spacing w:val="-10"/>
        </w:rPr>
        <w:t> </w:t>
      </w:r>
      <w:r>
        <w:rPr/>
        <w:t>Japānas</w:t>
      </w:r>
      <w:r>
        <w:rPr>
          <w:spacing w:val="-8"/>
        </w:rPr>
        <w:t> </w:t>
      </w:r>
      <w:r>
        <w:rPr/>
        <w:t>Bankrota</w:t>
      </w:r>
      <w:r>
        <w:rPr>
          <w:spacing w:val="-10"/>
        </w:rPr>
        <w:t> </w:t>
      </w:r>
      <w:r>
        <w:rPr/>
        <w:t>likuma</w:t>
      </w:r>
      <w:r>
        <w:rPr>
          <w:spacing w:val="-10"/>
        </w:rPr>
        <w:t> </w:t>
      </w:r>
      <w:r>
        <w:rPr/>
        <w:t>spēkā stāšanās ik pa laikam tomēr tiek izteikti priekšlikumi noteikt parādniekiem pienākumu veikt maksājumus kreditoriem arī no darba algas/nodarbinātības</w:t>
      </w:r>
      <w:r>
        <w:rPr>
          <w:spacing w:val="-6"/>
        </w:rPr>
        <w:t> </w:t>
      </w:r>
      <w:r>
        <w:rPr/>
        <w:t>ienākumiem.</w:t>
      </w:r>
      <w:r>
        <w:rPr>
          <w:position w:val="9"/>
          <w:sz w:val="16"/>
        </w:rPr>
        <w:t>477</w:t>
      </w:r>
    </w:p>
    <w:p>
      <w:pPr>
        <w:pStyle w:val="BodyText"/>
        <w:jc w:val="left"/>
        <w:rPr>
          <w:sz w:val="28"/>
        </w:rPr>
      </w:pPr>
    </w:p>
    <w:p>
      <w:pPr>
        <w:pStyle w:val="BodyText"/>
        <w:spacing w:before="2"/>
        <w:jc w:val="left"/>
        <w:rPr>
          <w:sz w:val="25"/>
        </w:rPr>
      </w:pPr>
    </w:p>
    <w:p>
      <w:pPr>
        <w:pStyle w:val="Heading2"/>
        <w:numPr>
          <w:ilvl w:val="0"/>
          <w:numId w:val="113"/>
        </w:numPr>
        <w:tabs>
          <w:tab w:pos="1405" w:val="left" w:leader="none"/>
        </w:tabs>
        <w:spacing w:line="322" w:lineRule="exact" w:before="1" w:after="0"/>
        <w:ind w:left="1404" w:right="0" w:hanging="361"/>
        <w:jc w:val="left"/>
      </w:pPr>
      <w:r>
        <w:rPr/>
        <w:t>Saistību dzēšanas procedūras termiņi un kreditoriem</w:t>
      </w:r>
      <w:r>
        <w:rPr>
          <w:spacing w:val="-4"/>
        </w:rPr>
        <w:t> </w:t>
      </w:r>
      <w:r>
        <w:rPr/>
        <w:t>maksājamā</w:t>
      </w:r>
    </w:p>
    <w:p>
      <w:pPr>
        <w:spacing w:before="0"/>
        <w:ind w:left="4872" w:right="0" w:firstLine="0"/>
        <w:jc w:val="left"/>
        <w:rPr>
          <w:b/>
          <w:sz w:val="28"/>
        </w:rPr>
      </w:pPr>
      <w:r>
        <w:rPr>
          <w:b/>
          <w:sz w:val="28"/>
        </w:rPr>
        <w:t>summa</w:t>
      </w:r>
    </w:p>
    <w:p>
      <w:pPr>
        <w:pStyle w:val="BodyText"/>
        <w:spacing w:before="6"/>
        <w:jc w:val="left"/>
        <w:rPr>
          <w:b/>
          <w:sz w:val="27"/>
        </w:rPr>
      </w:pPr>
    </w:p>
    <w:p>
      <w:pPr>
        <w:pStyle w:val="BodyText"/>
        <w:spacing w:line="237" w:lineRule="auto"/>
        <w:ind w:left="620" w:right="401" w:firstLine="360"/>
        <w:rPr>
          <w:sz w:val="16"/>
        </w:rPr>
      </w:pPr>
      <w:r>
        <w:rPr/>
        <w:t>Izstrādājot fiziskās personas maksātnespējas procesa tiesisko regulējumu, viens no lielākajiem</w:t>
      </w:r>
      <w:r>
        <w:rPr>
          <w:spacing w:val="-7"/>
        </w:rPr>
        <w:t> </w:t>
      </w:r>
      <w:r>
        <w:rPr/>
        <w:t>izaicinājumiem</w:t>
      </w:r>
      <w:r>
        <w:rPr>
          <w:spacing w:val="-8"/>
        </w:rPr>
        <w:t> </w:t>
      </w:r>
      <w:r>
        <w:rPr/>
        <w:t>ir</w:t>
      </w:r>
      <w:r>
        <w:rPr>
          <w:spacing w:val="-6"/>
        </w:rPr>
        <w:t> </w:t>
      </w:r>
      <w:r>
        <w:rPr/>
        <w:t>atrast</w:t>
      </w:r>
      <w:r>
        <w:rPr>
          <w:spacing w:val="-5"/>
        </w:rPr>
        <w:t> </w:t>
      </w:r>
      <w:r>
        <w:rPr/>
        <w:t>harmonisku</w:t>
      </w:r>
      <w:r>
        <w:rPr>
          <w:spacing w:val="-6"/>
        </w:rPr>
        <w:t> </w:t>
      </w:r>
      <w:r>
        <w:rPr/>
        <w:t>balansu</w:t>
      </w:r>
      <w:r>
        <w:rPr>
          <w:spacing w:val="-6"/>
        </w:rPr>
        <w:t> </w:t>
      </w:r>
      <w:r>
        <w:rPr/>
        <w:t>starp</w:t>
      </w:r>
      <w:r>
        <w:rPr>
          <w:spacing w:val="-9"/>
        </w:rPr>
        <w:t> </w:t>
      </w:r>
      <w:r>
        <w:rPr/>
        <w:t>parādnieka</w:t>
      </w:r>
      <w:r>
        <w:rPr>
          <w:spacing w:val="-10"/>
        </w:rPr>
        <w:t> </w:t>
      </w:r>
      <w:r>
        <w:rPr/>
        <w:t>pienākumu</w:t>
      </w:r>
      <w:r>
        <w:rPr>
          <w:spacing w:val="-4"/>
        </w:rPr>
        <w:t> </w:t>
      </w:r>
      <w:r>
        <w:rPr/>
        <w:t>pildīt uzņemtās saistības un fiziskās personas maksātnespējas procesa uzdevumiem (mazināt parādnieka finansiālo un sociālo atstumtību, atbrīvot no pārmērīgām saistībām, atjaunot parādnieka ekonomisko aktivitāti un paaugstināt produktivitāti). Būtiska loma šī balansa meklējumos ir saistību dzēšanas procedūras noteikumiem – maksājumu apmēram un procedūras ilgumam. Vienlaikus jāteic, ka pagaidām vēl nav veikti detalizēti pētījumi jautājumā par to, vai saistību dzēšanas procedūrai ir ekonomiska atdeve jeb drīzāk tai ir parādnieku audzinoša un simboliska</w:t>
      </w:r>
      <w:r>
        <w:rPr>
          <w:spacing w:val="1"/>
        </w:rPr>
        <w:t> </w:t>
      </w:r>
      <w:r>
        <w:rPr/>
        <w:t>nozīme.</w:t>
      </w:r>
      <w:r>
        <w:rPr>
          <w:position w:val="9"/>
          <w:sz w:val="16"/>
        </w:rPr>
        <w:t>478</w:t>
      </w:r>
    </w:p>
    <w:p>
      <w:pPr>
        <w:pStyle w:val="BodyText"/>
        <w:jc w:val="left"/>
        <w:rPr>
          <w:sz w:val="20"/>
        </w:rPr>
      </w:pPr>
    </w:p>
    <w:p>
      <w:pPr>
        <w:pStyle w:val="BodyText"/>
        <w:spacing w:before="10"/>
        <w:jc w:val="left"/>
        <w:rPr>
          <w:sz w:val="22"/>
        </w:rPr>
      </w:pPr>
      <w:r>
        <w:rPr/>
        <w:pict>
          <v:shape style="position:absolute;margin-left:90pt;margin-top:15.418391pt;width:144pt;height:.1pt;mso-position-horizontal-relative:page;mso-position-vertical-relative:paragraph;z-index:-251452416;mso-wrap-distance-left:0;mso-wrap-distance-right:0" coordorigin="1800,308" coordsize="2880,0" path="m1800,308l4680,308e" filled="false" stroked="true" strokeweight=".599991pt" strokecolor="#000000">
            <v:path arrowok="t"/>
            <v:stroke dashstyle="solid"/>
            <w10:wrap type="topAndBottom"/>
          </v:shape>
        </w:pict>
      </w:r>
    </w:p>
    <w:p>
      <w:pPr>
        <w:spacing w:line="242" w:lineRule="auto" w:before="58"/>
        <w:ind w:left="620" w:right="390" w:firstLine="0"/>
        <w:jc w:val="left"/>
        <w:rPr>
          <w:sz w:val="20"/>
        </w:rPr>
      </w:pPr>
      <w:r>
        <w:rPr>
          <w:position w:val="9"/>
          <w:sz w:val="16"/>
        </w:rPr>
        <w:t>475 </w:t>
      </w:r>
      <w:r>
        <w:rPr>
          <w:sz w:val="20"/>
        </w:rPr>
        <w:t>Sk. arī: The World Bank. Report on the Treatment of the Insolvency of Natural Persons. 2013, p. 88-89, para 276-278. Pieejams:</w:t>
      </w:r>
      <w:hyperlink r:id="rId98">
        <w:r>
          <w:rPr>
            <w:color w:val="0562C1"/>
            <w:sz w:val="20"/>
            <w:u w:val="single" w:color="0562C1"/>
          </w:rPr>
          <w:t> http://siteresources.worldbank.org/INTGILD/Resources/WBInsolvencyOfNaturalPersonsReport_01_11_13.</w:t>
        </w:r>
      </w:hyperlink>
      <w:r>
        <w:rPr>
          <w:color w:val="0562C1"/>
          <w:sz w:val="20"/>
          <w:u w:val="single" w:color="0562C1"/>
        </w:rPr>
        <w:t> pdf</w:t>
      </w:r>
      <w:r>
        <w:rPr>
          <w:color w:val="0562C1"/>
          <w:sz w:val="20"/>
        </w:rPr>
        <w:t> </w:t>
      </w:r>
      <w:r>
        <w:rPr>
          <w:sz w:val="20"/>
        </w:rPr>
        <w:t>[aplūkots 2018.gada 20.septembrī].</w:t>
      </w:r>
    </w:p>
    <w:p>
      <w:pPr>
        <w:spacing w:line="266" w:lineRule="exact" w:before="0"/>
        <w:ind w:left="620" w:right="0" w:firstLine="0"/>
        <w:jc w:val="left"/>
        <w:rPr>
          <w:sz w:val="20"/>
        </w:rPr>
      </w:pPr>
      <w:r>
        <w:rPr>
          <w:position w:val="9"/>
          <w:sz w:val="16"/>
        </w:rPr>
        <w:t>476 </w:t>
      </w:r>
      <w:r>
        <w:rPr>
          <w:sz w:val="20"/>
        </w:rPr>
        <w:t>Atbilstoši </w:t>
      </w:r>
      <w:r>
        <w:rPr>
          <w:i/>
          <w:sz w:val="20"/>
        </w:rPr>
        <w:t>Doing Business 2018 </w:t>
      </w:r>
      <w:r>
        <w:rPr>
          <w:sz w:val="20"/>
        </w:rPr>
        <w:t>ziņojumam Japāna ir ierindota 1. vietā pēc juridisko personu</w:t>
      </w:r>
    </w:p>
    <w:p>
      <w:pPr>
        <w:spacing w:line="240" w:lineRule="auto" w:before="10"/>
        <w:ind w:left="620" w:right="403" w:firstLine="0"/>
        <w:jc w:val="both"/>
        <w:rPr>
          <w:sz w:val="20"/>
        </w:rPr>
      </w:pPr>
      <w:r>
        <w:rPr>
          <w:sz w:val="20"/>
        </w:rPr>
        <w:t>maksātnespējas tiesiskā regulējuma efektivitātes kritērija. Sk.: Doing Business 2018. 15th Edition. Washington: International Bank for Reconstruction and Development / The World Bank, 2018, p.169. Pieejams: </w:t>
      </w:r>
      <w:hyperlink r:id="rId99">
        <w:r>
          <w:rPr>
            <w:color w:val="0562C1"/>
            <w:sz w:val="20"/>
            <w:u w:val="single" w:color="0562C1"/>
          </w:rPr>
          <w:t>http://www.doingbusiness.org/reports/global-reports/doing-business-2018</w:t>
        </w:r>
        <w:r>
          <w:rPr>
            <w:sz w:val="20"/>
          </w:rPr>
          <w:t>.</w:t>
        </w:r>
      </w:hyperlink>
      <w:r>
        <w:rPr>
          <w:sz w:val="20"/>
        </w:rPr>
        <w:t> </w:t>
      </w:r>
      <w:r>
        <w:rPr>
          <w:rFonts w:ascii="Symbol" w:hAnsi="Symbol"/>
          <w:sz w:val="20"/>
        </w:rPr>
        <w:t></w:t>
      </w:r>
      <w:r>
        <w:rPr>
          <w:sz w:val="20"/>
        </w:rPr>
        <w:t>aplūkots 2018.gada 20.septembrī</w:t>
      </w:r>
      <w:r>
        <w:rPr>
          <w:rFonts w:ascii="Symbol" w:hAnsi="Symbol"/>
          <w:sz w:val="20"/>
        </w:rPr>
        <w:t></w:t>
      </w:r>
      <w:r>
        <w:rPr>
          <w:sz w:val="20"/>
        </w:rPr>
        <w:t>.</w:t>
      </w:r>
    </w:p>
    <w:p>
      <w:pPr>
        <w:spacing w:line="240" w:lineRule="exact" w:before="31"/>
        <w:ind w:left="620" w:right="402" w:firstLine="0"/>
        <w:jc w:val="both"/>
        <w:rPr>
          <w:sz w:val="20"/>
        </w:rPr>
      </w:pPr>
      <w:r>
        <w:rPr>
          <w:position w:val="9"/>
          <w:sz w:val="16"/>
        </w:rPr>
        <w:t>477</w:t>
      </w:r>
      <w:r>
        <w:rPr>
          <w:spacing w:val="7"/>
          <w:position w:val="9"/>
          <w:sz w:val="16"/>
        </w:rPr>
        <w:t> </w:t>
      </w:r>
      <w:r>
        <w:rPr>
          <w:sz w:val="20"/>
        </w:rPr>
        <w:t>Sk.:</w:t>
      </w:r>
      <w:r>
        <w:rPr>
          <w:spacing w:val="-10"/>
          <w:sz w:val="20"/>
        </w:rPr>
        <w:t> </w:t>
      </w:r>
      <w:r>
        <w:rPr>
          <w:sz w:val="20"/>
        </w:rPr>
        <w:t>Steele</w:t>
      </w:r>
      <w:r>
        <w:rPr>
          <w:spacing w:val="-10"/>
          <w:sz w:val="20"/>
        </w:rPr>
        <w:t> </w:t>
      </w:r>
      <w:r>
        <w:rPr>
          <w:sz w:val="20"/>
        </w:rPr>
        <w:t>S.,</w:t>
      </w:r>
      <w:r>
        <w:rPr>
          <w:spacing w:val="-10"/>
          <w:sz w:val="20"/>
        </w:rPr>
        <w:t> </w:t>
      </w:r>
      <w:r>
        <w:rPr>
          <w:sz w:val="20"/>
        </w:rPr>
        <w:t>Jin</w:t>
      </w:r>
      <w:r>
        <w:rPr>
          <w:spacing w:val="-12"/>
          <w:sz w:val="20"/>
        </w:rPr>
        <w:t> </w:t>
      </w:r>
      <w:r>
        <w:rPr>
          <w:sz w:val="20"/>
        </w:rPr>
        <w:t>Ch.</w:t>
      </w:r>
      <w:r>
        <w:rPr>
          <w:spacing w:val="-10"/>
          <w:sz w:val="20"/>
        </w:rPr>
        <w:t> </w:t>
      </w:r>
      <w:r>
        <w:rPr>
          <w:sz w:val="20"/>
        </w:rPr>
        <w:t>Some</w:t>
      </w:r>
      <w:r>
        <w:rPr>
          <w:spacing w:val="-8"/>
          <w:sz w:val="20"/>
        </w:rPr>
        <w:t> </w:t>
      </w:r>
      <w:r>
        <w:rPr>
          <w:sz w:val="20"/>
        </w:rPr>
        <w:t>Suggestions</w:t>
      </w:r>
      <w:r>
        <w:rPr>
          <w:spacing w:val="-12"/>
          <w:sz w:val="20"/>
        </w:rPr>
        <w:t> </w:t>
      </w:r>
      <w:r>
        <w:rPr>
          <w:sz w:val="20"/>
        </w:rPr>
        <w:t>from</w:t>
      </w:r>
      <w:r>
        <w:rPr>
          <w:spacing w:val="-15"/>
          <w:sz w:val="20"/>
        </w:rPr>
        <w:t> </w:t>
      </w:r>
      <w:r>
        <w:rPr>
          <w:sz w:val="20"/>
        </w:rPr>
        <w:t>Japan</w:t>
      </w:r>
      <w:r>
        <w:rPr>
          <w:spacing w:val="-10"/>
          <w:sz w:val="20"/>
        </w:rPr>
        <w:t> </w:t>
      </w:r>
      <w:r>
        <w:rPr>
          <w:sz w:val="20"/>
        </w:rPr>
        <w:t>for</w:t>
      </w:r>
      <w:r>
        <w:rPr>
          <w:spacing w:val="-10"/>
          <w:sz w:val="20"/>
        </w:rPr>
        <w:t> </w:t>
      </w:r>
      <w:r>
        <w:rPr>
          <w:sz w:val="20"/>
        </w:rPr>
        <w:t>Reforming</w:t>
      </w:r>
      <w:r>
        <w:rPr>
          <w:spacing w:val="-10"/>
          <w:sz w:val="20"/>
        </w:rPr>
        <w:t> </w:t>
      </w:r>
      <w:r>
        <w:rPr>
          <w:sz w:val="20"/>
        </w:rPr>
        <w:t>Australia’s</w:t>
      </w:r>
      <w:r>
        <w:rPr>
          <w:spacing w:val="-13"/>
          <w:sz w:val="20"/>
        </w:rPr>
        <w:t> </w:t>
      </w:r>
      <w:r>
        <w:rPr>
          <w:sz w:val="20"/>
        </w:rPr>
        <w:t>Personal</w:t>
      </w:r>
      <w:r>
        <w:rPr>
          <w:spacing w:val="-12"/>
          <w:sz w:val="20"/>
        </w:rPr>
        <w:t> </w:t>
      </w:r>
      <w:r>
        <w:rPr>
          <w:sz w:val="20"/>
        </w:rPr>
        <w:t>Bankruptcy</w:t>
      </w:r>
      <w:r>
        <w:rPr>
          <w:spacing w:val="-12"/>
          <w:sz w:val="20"/>
        </w:rPr>
        <w:t> </w:t>
      </w:r>
      <w:r>
        <w:rPr>
          <w:sz w:val="20"/>
        </w:rPr>
        <w:t>Law. QUT Law Review, October 2017, Volume 17, Issue 1,</w:t>
      </w:r>
      <w:r>
        <w:rPr>
          <w:spacing w:val="-1"/>
          <w:sz w:val="20"/>
        </w:rPr>
        <w:t> </w:t>
      </w:r>
      <w:r>
        <w:rPr>
          <w:sz w:val="20"/>
        </w:rPr>
        <w:t>p.88-89.</w:t>
      </w:r>
    </w:p>
    <w:p>
      <w:pPr>
        <w:spacing w:line="240" w:lineRule="exact" w:before="26"/>
        <w:ind w:left="620" w:right="402" w:firstLine="0"/>
        <w:jc w:val="both"/>
        <w:rPr>
          <w:sz w:val="20"/>
        </w:rPr>
      </w:pPr>
      <w:r>
        <w:rPr>
          <w:position w:val="9"/>
          <w:sz w:val="16"/>
        </w:rPr>
        <w:t>478 </w:t>
      </w:r>
      <w:r>
        <w:rPr>
          <w:sz w:val="20"/>
        </w:rPr>
        <w:t>Sk.: Study on a new approach to business failure and insolvency: Comparative legal analysis of the Member States’ relevant provisions and practices. January 2016, p.380. Pieejams:</w:t>
      </w:r>
    </w:p>
    <w:p>
      <w:pPr>
        <w:spacing w:after="0" w:line="240" w:lineRule="exact"/>
        <w:jc w:val="both"/>
        <w:rPr>
          <w:sz w:val="20"/>
        </w:rPr>
        <w:sectPr>
          <w:pgSz w:w="11910" w:h="16840"/>
          <w:pgMar w:header="0" w:footer="1055" w:top="1340" w:bottom="1240" w:left="1180" w:right="1040"/>
        </w:sectPr>
      </w:pPr>
    </w:p>
    <w:p>
      <w:pPr>
        <w:pStyle w:val="BodyText"/>
        <w:spacing w:line="237" w:lineRule="auto" w:before="75"/>
        <w:ind w:left="260" w:right="762" w:firstLine="360"/>
        <w:rPr>
          <w:sz w:val="16"/>
        </w:rPr>
      </w:pPr>
      <w:r>
        <w:rPr/>
        <w:t>Saistību dzēšanas procedūra kā fiziskās personas maksātnespējas procesa instruments ir ieviests, ņemot vērā to, ka fiziskām personām lielākoties nepieder vērtīgi aktīvi, no kuriem segt savas saistības. Attiecīgi saistību dzēšanas procedūras pamatdoma ir tāda, ka parādnieks, zināmā laika periodā veicot maksājumus kreditoriem no saviem ienākumiem, “nopelna” saistību dzēšanu. Taču sarežģītākais jautājums šajā sakarā ir attiecībā uz to, cik ilgi šādi maksājumi ir jāveic un – kādā apmērā.</w:t>
      </w:r>
      <w:r>
        <w:rPr>
          <w:position w:val="9"/>
          <w:sz w:val="16"/>
        </w:rPr>
        <w:t>479</w:t>
      </w:r>
    </w:p>
    <w:p>
      <w:pPr>
        <w:pStyle w:val="BodyText"/>
        <w:spacing w:before="4"/>
        <w:jc w:val="left"/>
      </w:pPr>
    </w:p>
    <w:p>
      <w:pPr>
        <w:pStyle w:val="Heading4"/>
        <w:numPr>
          <w:ilvl w:val="1"/>
          <w:numId w:val="115"/>
        </w:numPr>
        <w:tabs>
          <w:tab w:pos="1041" w:val="left" w:leader="none"/>
        </w:tabs>
        <w:spacing w:line="240" w:lineRule="auto" w:before="0" w:after="0"/>
        <w:ind w:left="1040" w:right="0" w:hanging="421"/>
        <w:jc w:val="left"/>
        <w:rPr>
          <w:i/>
        </w:rPr>
      </w:pPr>
      <w:bookmarkStart w:name="_TOC_250022" w:id="56"/>
      <w:r>
        <w:rPr>
          <w:i/>
        </w:rPr>
        <w:t>Saistību dzēšanas procedūras</w:t>
      </w:r>
      <w:r>
        <w:rPr>
          <w:i/>
          <w:spacing w:val="-1"/>
        </w:rPr>
        <w:t> </w:t>
      </w:r>
      <w:bookmarkEnd w:id="56"/>
      <w:r>
        <w:rPr>
          <w:i/>
        </w:rPr>
        <w:t>termiņš</w:t>
      </w:r>
    </w:p>
    <w:p>
      <w:pPr>
        <w:pStyle w:val="BodyText"/>
        <w:spacing w:before="2"/>
        <w:jc w:val="left"/>
        <w:rPr>
          <w:b/>
          <w:i/>
        </w:rPr>
      </w:pPr>
    </w:p>
    <w:p>
      <w:pPr>
        <w:pStyle w:val="BodyText"/>
        <w:spacing w:line="232" w:lineRule="auto"/>
        <w:ind w:left="260" w:right="764" w:firstLine="360"/>
        <w:rPr>
          <w:sz w:val="16"/>
        </w:rPr>
      </w:pPr>
      <w:r>
        <w:rPr/>
        <w:t>Kā rāda citu valstu pieredze, ja saistību dzēšanas procedūras termiņš ir pārlieku garš, tas demotivē parādnieku un attiecīgi samazina saistību dzēšanas procedūras efektivitāti.</w:t>
      </w:r>
      <w:r>
        <w:rPr>
          <w:position w:val="9"/>
          <w:sz w:val="16"/>
        </w:rPr>
        <w:t>480 </w:t>
      </w:r>
      <w:r>
        <w:rPr/>
        <w:t>Turklāt pieredze rāda arī to, ka pārlieku gari saistību dzēšanas procedūras termiņi nav arī kreditoru interesēs, jo parāda administrēšanas izmaksas “noēd” potenciālo ieguvumu, kas rodas, ja parādnieks maksājumus veic ilgākā laika periodā.</w:t>
      </w:r>
      <w:r>
        <w:rPr>
          <w:position w:val="9"/>
          <w:sz w:val="16"/>
        </w:rPr>
        <w:t>481</w:t>
      </w:r>
    </w:p>
    <w:p>
      <w:pPr>
        <w:pStyle w:val="BodyText"/>
        <w:spacing w:line="237" w:lineRule="auto" w:before="7"/>
        <w:ind w:left="260" w:right="761" w:firstLine="360"/>
        <w:rPr>
          <w:sz w:val="16"/>
        </w:rPr>
      </w:pPr>
      <w:r>
        <w:rPr/>
        <w:t>Kā liecina Pasaules Bankas ekspertu pētījums, lielākoties saistību dzēšanas</w:t>
      </w:r>
      <w:r>
        <w:rPr>
          <w:spacing w:val="-29"/>
        </w:rPr>
        <w:t> </w:t>
      </w:r>
      <w:r>
        <w:rPr/>
        <w:t>procedūras termiņš nacionālajos likumos tiek noteikts 3 līdz 5 gadu robežās, par paraugu šādam termiņam izmantojot citu valstu tiesisko regulējumu. Vienlaikus Pasaules Bankas eksperti ir secinājuši, ka šādam termiņam trūkst racionāla izskaidrojuma un tas faktiski sakņojas pieņēmumā par to, ka 3-5 gadu termiņš ir pietiekams, lai “audzinātu” parādnieku un atturētu no neapdomīgas saistību uzņemšanās nākotnē. Taču, tā kā tas, ciktāl parādnieks tiek vai netiek “audzināts” ar noteiktu saistību dzēšanas procedūras ilgumu, ir faktiski neizmērāms kritērijs, jāsecina, ka nav arī viennozīmīgas atbildes par optimālo saistību dzēšanas plāna</w:t>
      </w:r>
      <w:r>
        <w:rPr>
          <w:spacing w:val="-3"/>
        </w:rPr>
        <w:t> </w:t>
      </w:r>
      <w:r>
        <w:rPr/>
        <w:t>termiņu.</w:t>
      </w:r>
      <w:r>
        <w:rPr>
          <w:position w:val="9"/>
          <w:sz w:val="16"/>
        </w:rPr>
        <w:t>482</w:t>
      </w:r>
    </w:p>
    <w:p>
      <w:pPr>
        <w:pStyle w:val="BodyText"/>
        <w:spacing w:before="7"/>
        <w:ind w:left="260" w:right="762" w:firstLine="360"/>
      </w:pPr>
      <w:r>
        <w:rPr/>
        <w:t>Salīdzinot ar citām Eiropas Savienības valstīm, Latvijā ir salīdzinoši īsi saistību dzēšanas procedūras termiņi – amplitūdā no 6 mēnešiem līdz 3 gadiem atkarībā no parādnieka</w:t>
      </w:r>
      <w:r>
        <w:rPr>
          <w:spacing w:val="-11"/>
        </w:rPr>
        <w:t> </w:t>
      </w:r>
      <w:r>
        <w:rPr/>
        <w:t>ienākumu</w:t>
      </w:r>
      <w:r>
        <w:rPr>
          <w:spacing w:val="-10"/>
        </w:rPr>
        <w:t> </w:t>
      </w:r>
      <w:r>
        <w:rPr/>
        <w:t>un</w:t>
      </w:r>
      <w:r>
        <w:rPr>
          <w:spacing w:val="-6"/>
        </w:rPr>
        <w:t> </w:t>
      </w:r>
      <w:r>
        <w:rPr/>
        <w:t>saistību</w:t>
      </w:r>
      <w:r>
        <w:rPr>
          <w:spacing w:val="-9"/>
        </w:rPr>
        <w:t> </w:t>
      </w:r>
      <w:r>
        <w:rPr/>
        <w:t>apmēra.</w:t>
      </w:r>
      <w:r>
        <w:rPr>
          <w:spacing w:val="-6"/>
        </w:rPr>
        <w:t> </w:t>
      </w:r>
      <w:r>
        <w:rPr/>
        <w:t>Turklāt,</w:t>
      </w:r>
      <w:r>
        <w:rPr>
          <w:spacing w:val="-6"/>
        </w:rPr>
        <w:t> </w:t>
      </w:r>
      <w:r>
        <w:rPr/>
        <w:t>kā</w:t>
      </w:r>
      <w:r>
        <w:rPr>
          <w:spacing w:val="-9"/>
        </w:rPr>
        <w:t> </w:t>
      </w:r>
      <w:r>
        <w:rPr/>
        <w:t>liecina</w:t>
      </w:r>
      <w:r>
        <w:rPr>
          <w:spacing w:val="-7"/>
        </w:rPr>
        <w:t> </w:t>
      </w:r>
      <w:r>
        <w:rPr/>
        <w:t>respondentu</w:t>
      </w:r>
      <w:r>
        <w:rPr>
          <w:spacing w:val="-9"/>
        </w:rPr>
        <w:t> </w:t>
      </w:r>
      <w:r>
        <w:rPr/>
        <w:t>sniegtās</w:t>
      </w:r>
      <w:r>
        <w:rPr>
          <w:spacing w:val="-6"/>
        </w:rPr>
        <w:t> </w:t>
      </w:r>
      <w:r>
        <w:rPr/>
        <w:t>atbildes, vairums</w:t>
      </w:r>
      <w:r>
        <w:rPr>
          <w:spacing w:val="-5"/>
        </w:rPr>
        <w:t> </w:t>
      </w:r>
      <w:r>
        <w:rPr/>
        <w:t>respondentu</w:t>
      </w:r>
      <w:r>
        <w:rPr>
          <w:spacing w:val="-5"/>
        </w:rPr>
        <w:t> </w:t>
      </w:r>
      <w:r>
        <w:rPr/>
        <w:t>likumā</w:t>
      </w:r>
      <w:r>
        <w:rPr>
          <w:spacing w:val="-2"/>
        </w:rPr>
        <w:t> </w:t>
      </w:r>
      <w:r>
        <w:rPr/>
        <w:t>noteiktos</w:t>
      </w:r>
      <w:r>
        <w:rPr>
          <w:spacing w:val="-5"/>
        </w:rPr>
        <w:t> </w:t>
      </w:r>
      <w:r>
        <w:rPr/>
        <w:t>saistību</w:t>
      </w:r>
      <w:r>
        <w:rPr>
          <w:spacing w:val="-4"/>
        </w:rPr>
        <w:t> </w:t>
      </w:r>
      <w:r>
        <w:rPr/>
        <w:t>dzēšanas</w:t>
      </w:r>
      <w:r>
        <w:rPr>
          <w:spacing w:val="-5"/>
        </w:rPr>
        <w:t> </w:t>
      </w:r>
      <w:r>
        <w:rPr/>
        <w:t>plāna</w:t>
      </w:r>
      <w:r>
        <w:rPr>
          <w:spacing w:val="-4"/>
        </w:rPr>
        <w:t> </w:t>
      </w:r>
      <w:r>
        <w:rPr/>
        <w:t>termiņus</w:t>
      </w:r>
      <w:r>
        <w:rPr>
          <w:spacing w:val="-5"/>
        </w:rPr>
        <w:t> </w:t>
      </w:r>
      <w:r>
        <w:rPr/>
        <w:t>vērtē</w:t>
      </w:r>
      <w:r>
        <w:rPr>
          <w:spacing w:val="-4"/>
        </w:rPr>
        <w:t> </w:t>
      </w:r>
      <w:r>
        <w:rPr/>
        <w:t>kā</w:t>
      </w:r>
      <w:r>
        <w:rPr>
          <w:spacing w:val="-5"/>
        </w:rPr>
        <w:t> </w:t>
      </w:r>
      <w:r>
        <w:rPr/>
        <w:t>optimālus (55,4 %). Vienlaikus jāteic, ka samērā liels respondentu skaits (32,2 %) uzskata, ka Maksātnespējas</w:t>
      </w:r>
      <w:r>
        <w:rPr>
          <w:spacing w:val="-13"/>
        </w:rPr>
        <w:t> </w:t>
      </w:r>
      <w:r>
        <w:rPr/>
        <w:t>likumā</w:t>
      </w:r>
      <w:r>
        <w:rPr>
          <w:spacing w:val="-13"/>
        </w:rPr>
        <w:t> </w:t>
      </w:r>
      <w:r>
        <w:rPr/>
        <w:t>ir</w:t>
      </w:r>
      <w:r>
        <w:rPr>
          <w:spacing w:val="-11"/>
        </w:rPr>
        <w:t> </w:t>
      </w:r>
      <w:r>
        <w:rPr/>
        <w:t>noteikti</w:t>
      </w:r>
      <w:r>
        <w:rPr>
          <w:spacing w:val="-11"/>
        </w:rPr>
        <w:t> </w:t>
      </w:r>
      <w:r>
        <w:rPr/>
        <w:t>pārlieku</w:t>
      </w:r>
      <w:r>
        <w:rPr>
          <w:spacing w:val="-12"/>
        </w:rPr>
        <w:t> </w:t>
      </w:r>
      <w:r>
        <w:rPr/>
        <w:t>īsi</w:t>
      </w:r>
      <w:r>
        <w:rPr>
          <w:spacing w:val="-13"/>
        </w:rPr>
        <w:t> </w:t>
      </w:r>
      <w:r>
        <w:rPr/>
        <w:t>saistību</w:t>
      </w:r>
      <w:r>
        <w:rPr>
          <w:spacing w:val="-13"/>
        </w:rPr>
        <w:t> </w:t>
      </w:r>
      <w:r>
        <w:rPr/>
        <w:t>dzēšanas</w:t>
      </w:r>
      <w:r>
        <w:rPr>
          <w:spacing w:val="-15"/>
        </w:rPr>
        <w:t> </w:t>
      </w:r>
      <w:r>
        <w:rPr/>
        <w:t>termiņi,</w:t>
      </w:r>
      <w:r>
        <w:rPr>
          <w:spacing w:val="-13"/>
        </w:rPr>
        <w:t> </w:t>
      </w:r>
      <w:r>
        <w:rPr/>
        <w:t>tādējādi</w:t>
      </w:r>
      <w:r>
        <w:rPr>
          <w:spacing w:val="-10"/>
        </w:rPr>
        <w:t> </w:t>
      </w:r>
      <w:r>
        <w:rPr/>
        <w:t>pazeminot saistību izpildes kultūru, kas Latvijā jau tā ir kritiski zemā</w:t>
      </w:r>
      <w:r>
        <w:rPr>
          <w:spacing w:val="-4"/>
        </w:rPr>
        <w:t> </w:t>
      </w:r>
      <w:r>
        <w:rPr/>
        <w:t>līmenī.</w:t>
      </w:r>
    </w:p>
    <w:p>
      <w:pPr>
        <w:pStyle w:val="BodyText"/>
        <w:ind w:left="260" w:right="762" w:firstLine="360"/>
      </w:pPr>
      <w:r>
        <w:rPr/>
        <w:t>Lai arī jāpiekrīt, ka Latvijā saistību izpildes kultūra ir salīdzinoši zema, jāņem vērā, ka šo problēmu nevar atrisināt, nosakot garākus saistību dzēšanas procedūras termiņus. Proti, kā liecina dažādi starptautiski pētījumi, tieši gari saistību dzēšanas procedūras termiņi nesniedz ekonomisko atdevi un pat demotivē parādniekus. Līdz ar to saistību izpildes</w:t>
      </w:r>
    </w:p>
    <w:p>
      <w:pPr>
        <w:pStyle w:val="BodyText"/>
        <w:spacing w:before="6"/>
        <w:jc w:val="left"/>
        <w:rPr>
          <w:sz w:val="16"/>
        </w:rPr>
      </w:pPr>
      <w:r>
        <w:rPr/>
        <w:pict>
          <v:shape style="position:absolute;margin-left:72pt;margin-top:11.786965pt;width:144pt;height:.1pt;mso-position-horizontal-relative:page;mso-position-vertical-relative:paragraph;z-index:-251451392;mso-wrap-distance-left:0;mso-wrap-distance-right:0" coordorigin="1440,236" coordsize="2880,0" path="m1440,236l4320,236e" filled="false" stroked="true" strokeweight=".599991pt" strokecolor="#000000">
            <v:path arrowok="t"/>
            <v:stroke dashstyle="solid"/>
            <w10:wrap type="topAndBottom"/>
          </v:shape>
        </w:pict>
      </w:r>
    </w:p>
    <w:p>
      <w:pPr>
        <w:spacing w:before="74"/>
        <w:ind w:left="260" w:right="2047" w:firstLine="0"/>
        <w:jc w:val="left"/>
        <w:rPr>
          <w:sz w:val="20"/>
        </w:rPr>
      </w:pPr>
      <w:r>
        <w:rPr>
          <w:color w:val="0562C1"/>
          <w:sz w:val="20"/>
          <w:u w:val="single" w:color="0562C1"/>
        </w:rPr>
        <w:t>https://publications.europa.eu/en/publication-detail/-/publication/3eb2f832-47f3-11e6-9c64-</w:t>
      </w:r>
      <w:r>
        <w:rPr>
          <w:color w:val="0562C1"/>
          <w:sz w:val="20"/>
        </w:rPr>
        <w:t> </w:t>
      </w:r>
      <w:r>
        <w:rPr>
          <w:color w:val="0562C1"/>
          <w:sz w:val="20"/>
          <w:u w:val="single" w:color="0562C1"/>
        </w:rPr>
        <w:t>01aa75ed71a1/language-ne</w:t>
      </w:r>
      <w:r>
        <w:rPr>
          <w:color w:val="0562C1"/>
          <w:sz w:val="20"/>
        </w:rPr>
        <w:t> </w:t>
      </w:r>
      <w:r>
        <w:rPr>
          <w:sz w:val="20"/>
        </w:rPr>
        <w:t>[aplūkots 2018.gada 20.septembrī].</w:t>
      </w:r>
    </w:p>
    <w:p>
      <w:pPr>
        <w:spacing w:line="267" w:lineRule="exact" w:before="0"/>
        <w:ind w:left="260" w:right="0" w:firstLine="0"/>
        <w:jc w:val="left"/>
        <w:rPr>
          <w:sz w:val="20"/>
        </w:rPr>
      </w:pPr>
      <w:r>
        <w:rPr>
          <w:position w:val="9"/>
          <w:sz w:val="16"/>
        </w:rPr>
        <w:t>479 </w:t>
      </w:r>
      <w:r>
        <w:rPr>
          <w:sz w:val="20"/>
        </w:rPr>
        <w:t>Sk.: The World Bank. Report on the Treatment of the Insolvency of Natural Persons. 2013, p. 83,</w:t>
      </w:r>
    </w:p>
    <w:p>
      <w:pPr>
        <w:spacing w:before="10"/>
        <w:ind w:left="260" w:right="750" w:firstLine="0"/>
        <w:jc w:val="left"/>
        <w:rPr>
          <w:sz w:val="20"/>
        </w:rPr>
      </w:pPr>
      <w:r>
        <w:rPr>
          <w:sz w:val="20"/>
        </w:rPr>
        <w:t>para 261.Pieejams: </w:t>
      </w:r>
      <w:hyperlink r:id="rId98">
        <w:r>
          <w:rPr>
            <w:color w:val="0562C1"/>
            <w:sz w:val="20"/>
            <w:u w:val="single" w:color="0562C1"/>
          </w:rPr>
          <w:t>http://siteresources.worldbank.org/INTGILD/Resources/WBInsolvencyOfNaturalPersonsReport_01_11_13.</w:t>
        </w:r>
      </w:hyperlink>
      <w:r>
        <w:rPr>
          <w:color w:val="0562C1"/>
          <w:sz w:val="20"/>
        </w:rPr>
        <w:t> </w:t>
      </w:r>
      <w:r>
        <w:rPr>
          <w:color w:val="0562C1"/>
          <w:sz w:val="20"/>
          <w:u w:val="single" w:color="0562C1"/>
        </w:rPr>
        <w:t>pdf</w:t>
      </w:r>
      <w:r>
        <w:rPr>
          <w:color w:val="0562C1"/>
          <w:sz w:val="20"/>
        </w:rPr>
        <w:t> </w:t>
      </w:r>
      <w:r>
        <w:rPr>
          <w:sz w:val="20"/>
        </w:rPr>
        <w:t>[aplūkots 2018.gada 20.septembrī].</w:t>
      </w:r>
    </w:p>
    <w:p>
      <w:pPr>
        <w:spacing w:line="267" w:lineRule="exact" w:before="0"/>
        <w:ind w:left="260" w:right="0" w:firstLine="0"/>
        <w:jc w:val="left"/>
        <w:rPr>
          <w:sz w:val="20"/>
        </w:rPr>
      </w:pPr>
      <w:r>
        <w:rPr>
          <w:position w:val="9"/>
          <w:sz w:val="16"/>
        </w:rPr>
        <w:t>480 </w:t>
      </w:r>
      <w:r>
        <w:rPr>
          <w:sz w:val="20"/>
        </w:rPr>
        <w:t>Study on a new approach to business failure and insolvency: Comparative legal analysis of the Member</w:t>
      </w:r>
    </w:p>
    <w:p>
      <w:pPr>
        <w:spacing w:before="10"/>
        <w:ind w:left="260" w:right="2047" w:firstLine="0"/>
        <w:jc w:val="left"/>
        <w:rPr>
          <w:sz w:val="20"/>
        </w:rPr>
      </w:pPr>
      <w:r>
        <w:rPr>
          <w:sz w:val="20"/>
        </w:rPr>
        <w:t>States’ relevant provisions and practices. January 2016, p.285. Pieejams: </w:t>
      </w:r>
      <w:r>
        <w:rPr>
          <w:color w:val="0562C1"/>
          <w:sz w:val="20"/>
          <w:u w:val="single" w:color="0562C1"/>
        </w:rPr>
        <w:t>https://publications.europa.eu/en/publication-detail/-/publication/3eb2f832-47f3-11e6-9c64-</w:t>
      </w:r>
      <w:r>
        <w:rPr>
          <w:color w:val="0562C1"/>
          <w:sz w:val="20"/>
        </w:rPr>
        <w:t> </w:t>
      </w:r>
      <w:r>
        <w:rPr>
          <w:color w:val="0562C1"/>
          <w:sz w:val="20"/>
          <w:u w:val="single" w:color="0562C1"/>
        </w:rPr>
        <w:t>01aa75ed71a1/language-ne</w:t>
      </w:r>
      <w:r>
        <w:rPr>
          <w:color w:val="0562C1"/>
          <w:sz w:val="20"/>
        </w:rPr>
        <w:t> </w:t>
      </w:r>
      <w:r>
        <w:rPr>
          <w:sz w:val="20"/>
        </w:rPr>
        <w:t>[aplūkots 2018.gada 20.septembrī].</w:t>
      </w:r>
    </w:p>
    <w:p>
      <w:pPr>
        <w:spacing w:line="240" w:lineRule="auto" w:before="0"/>
        <w:ind w:left="260" w:right="750" w:firstLine="0"/>
        <w:jc w:val="left"/>
        <w:rPr>
          <w:sz w:val="20"/>
        </w:rPr>
      </w:pPr>
      <w:r>
        <w:rPr>
          <w:position w:val="7"/>
          <w:sz w:val="13"/>
        </w:rPr>
        <w:t>481 </w:t>
      </w:r>
      <w:r>
        <w:rPr>
          <w:sz w:val="20"/>
        </w:rPr>
        <w:t>Sk.: The World Bank. Report on the Treatment of the Insolvency of Natural Persons. 2013, p. 84, para 263.Pieejams: </w:t>
      </w:r>
      <w:hyperlink r:id="rId98">
        <w:r>
          <w:rPr>
            <w:color w:val="0562C1"/>
            <w:sz w:val="20"/>
            <w:u w:val="single" w:color="0562C1"/>
          </w:rPr>
          <w:t>http://siteresources.worldbank.org/INTGILD/Resources/WBInsolvencyOfNaturalPersonsReport_01_11_13.</w:t>
        </w:r>
      </w:hyperlink>
      <w:r>
        <w:rPr>
          <w:color w:val="0562C1"/>
          <w:sz w:val="20"/>
        </w:rPr>
        <w:t> </w:t>
      </w:r>
      <w:r>
        <w:rPr>
          <w:color w:val="0562C1"/>
          <w:sz w:val="20"/>
          <w:u w:val="single" w:color="0562C1"/>
        </w:rPr>
        <w:t>pdf</w:t>
      </w:r>
      <w:r>
        <w:rPr>
          <w:color w:val="0562C1"/>
          <w:sz w:val="20"/>
        </w:rPr>
        <w:t> </w:t>
      </w:r>
      <w:r>
        <w:rPr>
          <w:sz w:val="20"/>
        </w:rPr>
        <w:t>[aplūkots 2018.gada</w:t>
      </w:r>
      <w:r>
        <w:rPr>
          <w:spacing w:val="-3"/>
          <w:sz w:val="20"/>
        </w:rPr>
        <w:t> </w:t>
      </w:r>
      <w:r>
        <w:rPr>
          <w:sz w:val="20"/>
        </w:rPr>
        <w:t>20.septembrī].</w:t>
      </w:r>
    </w:p>
    <w:p>
      <w:pPr>
        <w:spacing w:line="240" w:lineRule="auto" w:before="0"/>
        <w:ind w:left="260" w:right="750" w:firstLine="0"/>
        <w:jc w:val="left"/>
        <w:rPr>
          <w:sz w:val="20"/>
        </w:rPr>
      </w:pPr>
      <w:r>
        <w:rPr>
          <w:position w:val="7"/>
          <w:sz w:val="13"/>
        </w:rPr>
        <w:t>482 </w:t>
      </w:r>
      <w:r>
        <w:rPr>
          <w:sz w:val="20"/>
        </w:rPr>
        <w:t>Sk. plašāk: The World Bank. Report on the Treatment of the Insolvency of Natural Persons. 2013, p. 84- 87, para 264-272. Pieejams: </w:t>
      </w:r>
      <w:hyperlink r:id="rId98">
        <w:r>
          <w:rPr>
            <w:color w:val="0562C1"/>
            <w:sz w:val="20"/>
            <w:u w:val="single" w:color="0562C1"/>
          </w:rPr>
          <w:t>http://siteresources.worldbank.org/INTGILD/Resources/WBInsolvencyOfNaturalPersonsReport_01_11_13.</w:t>
        </w:r>
      </w:hyperlink>
      <w:r>
        <w:rPr>
          <w:color w:val="0562C1"/>
          <w:sz w:val="20"/>
        </w:rPr>
        <w:t> </w:t>
      </w:r>
      <w:r>
        <w:rPr>
          <w:color w:val="0562C1"/>
          <w:sz w:val="20"/>
          <w:u w:val="single" w:color="0562C1"/>
        </w:rPr>
        <w:t>pdf</w:t>
      </w:r>
      <w:r>
        <w:rPr>
          <w:color w:val="0562C1"/>
          <w:sz w:val="20"/>
        </w:rPr>
        <w:t> </w:t>
      </w:r>
      <w:r>
        <w:rPr>
          <w:sz w:val="20"/>
        </w:rPr>
        <w:t>[aplūkots 2018.gada</w:t>
      </w:r>
      <w:r>
        <w:rPr>
          <w:spacing w:val="-3"/>
          <w:sz w:val="20"/>
        </w:rPr>
        <w:t> </w:t>
      </w:r>
      <w:r>
        <w:rPr>
          <w:sz w:val="20"/>
        </w:rPr>
        <w:t>20.septembrī].</w:t>
      </w:r>
    </w:p>
    <w:p>
      <w:pPr>
        <w:spacing w:after="0" w:line="240" w:lineRule="auto"/>
        <w:jc w:val="left"/>
        <w:rPr>
          <w:sz w:val="20"/>
        </w:rPr>
        <w:sectPr>
          <w:pgSz w:w="11910" w:h="16840"/>
          <w:pgMar w:header="0" w:footer="1055" w:top="1340" w:bottom="1240" w:left="1180" w:right="1040"/>
        </w:sectPr>
      </w:pPr>
    </w:p>
    <w:p>
      <w:pPr>
        <w:pStyle w:val="BodyText"/>
        <w:spacing w:line="237" w:lineRule="auto" w:before="75"/>
        <w:ind w:left="620" w:right="401"/>
      </w:pPr>
      <w:r>
        <w:rPr/>
        <w:t>kultūras problemātika ir risināma ar citiem instrumentiem, nevis saistību dzēšanas procedūras termiņa pagarināšanu. Piemēram, saistību izpildes kultūras problemātika ir risināma, nosakot striktākus ierobežojumus fiziskās personas maksātnespējas procesa uzsākšanai vai saistību dzēšanai.</w:t>
      </w:r>
      <w:r>
        <w:rPr>
          <w:position w:val="9"/>
          <w:sz w:val="16"/>
        </w:rPr>
        <w:t>483 </w:t>
      </w:r>
      <w:r>
        <w:rPr/>
        <w:t>Attiecīgi, apzinoties, ka parādnieka negodprātība ir šķērslis maksātnespējas procesa uzsākšanai vai saistību dzēšanai, parādnieki būs vairāk motivēti rīkoties atbildīgi un godprātīgi nekā tad, ja saistību dzēšanas procedūrai tiks noteikts garāks termiņš.</w:t>
      </w:r>
    </w:p>
    <w:p>
      <w:pPr>
        <w:pStyle w:val="BodyText"/>
        <w:spacing w:before="2"/>
        <w:ind w:left="620" w:right="401" w:firstLine="360"/>
      </w:pPr>
      <w:r>
        <w:rPr/>
        <w:t>Ņemot vērā minēto, secināms, ka ir saglabājama Maksātnespējas likumā noteiktā pamatnostādne par iespēju parādniekam dzēst saistības fiziskās personas maksātnespējas procesā,</w:t>
      </w:r>
      <w:r>
        <w:rPr>
          <w:spacing w:val="-6"/>
        </w:rPr>
        <w:t> </w:t>
      </w:r>
      <w:r>
        <w:rPr/>
        <w:t>saistību</w:t>
      </w:r>
      <w:r>
        <w:rPr>
          <w:spacing w:val="-8"/>
        </w:rPr>
        <w:t> </w:t>
      </w:r>
      <w:r>
        <w:rPr/>
        <w:t>dzēšanas</w:t>
      </w:r>
      <w:r>
        <w:rPr>
          <w:spacing w:val="-8"/>
        </w:rPr>
        <w:t> </w:t>
      </w:r>
      <w:r>
        <w:rPr/>
        <w:t>procedūras</w:t>
      </w:r>
      <w:r>
        <w:rPr>
          <w:spacing w:val="-10"/>
        </w:rPr>
        <w:t> </w:t>
      </w:r>
      <w:r>
        <w:rPr/>
        <w:t>laikā</w:t>
      </w:r>
      <w:r>
        <w:rPr>
          <w:spacing w:val="-8"/>
        </w:rPr>
        <w:t> </w:t>
      </w:r>
      <w:r>
        <w:rPr/>
        <w:t>veicot</w:t>
      </w:r>
      <w:r>
        <w:rPr>
          <w:spacing w:val="-6"/>
        </w:rPr>
        <w:t> </w:t>
      </w:r>
      <w:r>
        <w:rPr/>
        <w:t>kreditoriem</w:t>
      </w:r>
      <w:r>
        <w:rPr>
          <w:spacing w:val="-8"/>
        </w:rPr>
        <w:t> </w:t>
      </w:r>
      <w:r>
        <w:rPr/>
        <w:t>maksājumus</w:t>
      </w:r>
      <w:r>
        <w:rPr>
          <w:spacing w:val="-5"/>
        </w:rPr>
        <w:t> </w:t>
      </w:r>
      <w:r>
        <w:rPr/>
        <w:t>amplitūdā</w:t>
      </w:r>
      <w:r>
        <w:rPr>
          <w:spacing w:val="-10"/>
        </w:rPr>
        <w:t> </w:t>
      </w:r>
      <w:r>
        <w:rPr/>
        <w:t>no</w:t>
      </w:r>
      <w:r>
        <w:rPr>
          <w:spacing w:val="-8"/>
        </w:rPr>
        <w:t> </w:t>
      </w:r>
      <w:r>
        <w:rPr/>
        <w:t>6 mēnešiem līdz 3 gadiem. Tomēr, ņemot vērā Latvijai raksturīgo augsto “ēnu” ekonomikas īpatsvaru un lielo gadījumu skaitu, kuros parādnieki esošā regulējuma ietvaros saistību dzēšanas procedūras laikā veic kreditoriem maksājumus minimālā apmērā, būtu vēlams saistību dzēšanas procedūras termiņu izmantot kā vienu no instrumentiem, lai veicinātu parādnieku</w:t>
      </w:r>
      <w:r>
        <w:rPr>
          <w:spacing w:val="1"/>
        </w:rPr>
        <w:t> </w:t>
      </w:r>
      <w:r>
        <w:rPr/>
        <w:t>godprātību.</w:t>
      </w:r>
    </w:p>
    <w:p>
      <w:pPr>
        <w:pStyle w:val="BodyText"/>
        <w:spacing w:before="1"/>
        <w:ind w:left="620" w:right="402" w:firstLine="360"/>
      </w:pPr>
      <w:r>
        <w:rPr/>
        <w:t>Piemēram, likumā varētu saglabāt noteikumu, ka saistību dzēšanas procedūras termiņš ir seši mēneši, ja parādnieks tās laikā sedz vismaz 50 procentus no kopējām saistībām, kuras paliek pēc bankrota procedūras pabeigšanas. Ja parādnieks nespēj segt saistības</w:t>
      </w:r>
      <w:r>
        <w:rPr>
          <w:spacing w:val="-43"/>
        </w:rPr>
        <w:t> </w:t>
      </w:r>
      <w:r>
        <w:rPr/>
        <w:t>šādā apmērā,</w:t>
      </w:r>
      <w:r>
        <w:rPr>
          <w:spacing w:val="-9"/>
        </w:rPr>
        <w:t> </w:t>
      </w:r>
      <w:r>
        <w:rPr/>
        <w:t>saistību</w:t>
      </w:r>
      <w:r>
        <w:rPr>
          <w:spacing w:val="-9"/>
        </w:rPr>
        <w:t> </w:t>
      </w:r>
      <w:r>
        <w:rPr/>
        <w:t>dzēšanas</w:t>
      </w:r>
      <w:r>
        <w:rPr>
          <w:spacing w:val="-9"/>
        </w:rPr>
        <w:t> </w:t>
      </w:r>
      <w:r>
        <w:rPr/>
        <w:t>procedūras</w:t>
      </w:r>
      <w:r>
        <w:rPr>
          <w:spacing w:val="-9"/>
        </w:rPr>
        <w:t> </w:t>
      </w:r>
      <w:r>
        <w:rPr/>
        <w:t>termiņš</w:t>
      </w:r>
      <w:r>
        <w:rPr>
          <w:spacing w:val="-9"/>
        </w:rPr>
        <w:t> </w:t>
      </w:r>
      <w:r>
        <w:rPr/>
        <w:t>neatkarīgi</w:t>
      </w:r>
      <w:r>
        <w:rPr>
          <w:spacing w:val="-9"/>
        </w:rPr>
        <w:t> </w:t>
      </w:r>
      <w:r>
        <w:rPr/>
        <w:t>no</w:t>
      </w:r>
      <w:r>
        <w:rPr>
          <w:spacing w:val="-9"/>
        </w:rPr>
        <w:t> </w:t>
      </w:r>
      <w:r>
        <w:rPr/>
        <w:t>saistību</w:t>
      </w:r>
      <w:r>
        <w:rPr>
          <w:spacing w:val="-8"/>
        </w:rPr>
        <w:t> </w:t>
      </w:r>
      <w:r>
        <w:rPr/>
        <w:t>apmēra</w:t>
      </w:r>
      <w:r>
        <w:rPr>
          <w:spacing w:val="-9"/>
        </w:rPr>
        <w:t> </w:t>
      </w:r>
      <w:r>
        <w:rPr/>
        <w:t>un</w:t>
      </w:r>
      <w:r>
        <w:rPr>
          <w:spacing w:val="-9"/>
        </w:rPr>
        <w:t> </w:t>
      </w:r>
      <w:r>
        <w:rPr/>
        <w:t>plānotajiem parādnieka ienākumiem ir 3 gadi. Tomēr, ja parādnieks pienācīgi pilda Maksātnespējas likumā noteiktos pienākumus (strādā savai kvalifikācijai atbilstošu darbu un saņem atbilstošu atalgojumu, no kā godprātīgi veic noteikta apmēra maksājumus kreditoriem), tiesa termiņu var samazināt līdz vienam gadam, savukārt pretējā gadījumā – pagarināt </w:t>
      </w:r>
      <w:r>
        <w:rPr>
          <w:spacing w:val="-3"/>
        </w:rPr>
        <w:t>līdz </w:t>
      </w:r>
      <w:r>
        <w:rPr/>
        <w:t>5 gadu</w:t>
      </w:r>
      <w:r>
        <w:rPr>
          <w:spacing w:val="-1"/>
        </w:rPr>
        <w:t> </w:t>
      </w:r>
      <w:r>
        <w:rPr/>
        <w:t>termiņam.</w:t>
      </w:r>
    </w:p>
    <w:p>
      <w:pPr>
        <w:pStyle w:val="BodyText"/>
        <w:ind w:left="620" w:right="402" w:firstLine="360"/>
      </w:pPr>
      <w:r>
        <w:rPr/>
        <w:t>Šāds</w:t>
      </w:r>
      <w:r>
        <w:rPr>
          <w:spacing w:val="-11"/>
        </w:rPr>
        <w:t> </w:t>
      </w:r>
      <w:r>
        <w:rPr/>
        <w:t>regulējums</w:t>
      </w:r>
      <w:r>
        <w:rPr>
          <w:spacing w:val="-10"/>
        </w:rPr>
        <w:t> </w:t>
      </w:r>
      <w:r>
        <w:rPr/>
        <w:t>vairāk</w:t>
      </w:r>
      <w:r>
        <w:rPr>
          <w:spacing w:val="-8"/>
        </w:rPr>
        <w:t> </w:t>
      </w:r>
      <w:r>
        <w:rPr/>
        <w:t>motivētu</w:t>
      </w:r>
      <w:r>
        <w:rPr>
          <w:spacing w:val="-11"/>
        </w:rPr>
        <w:t> </w:t>
      </w:r>
      <w:r>
        <w:rPr/>
        <w:t>parādnieku</w:t>
      </w:r>
      <w:r>
        <w:rPr>
          <w:spacing w:val="-5"/>
        </w:rPr>
        <w:t> </w:t>
      </w:r>
      <w:r>
        <w:rPr/>
        <w:t>gūt</w:t>
      </w:r>
      <w:r>
        <w:rPr>
          <w:spacing w:val="-10"/>
        </w:rPr>
        <w:t> </w:t>
      </w:r>
      <w:r>
        <w:rPr/>
        <w:t>ienākumus</w:t>
      </w:r>
      <w:r>
        <w:rPr>
          <w:spacing w:val="-11"/>
        </w:rPr>
        <w:t> </w:t>
      </w:r>
      <w:r>
        <w:rPr/>
        <w:t>atbilstoši</w:t>
      </w:r>
      <w:r>
        <w:rPr>
          <w:spacing w:val="-10"/>
        </w:rPr>
        <w:t> </w:t>
      </w:r>
      <w:r>
        <w:rPr/>
        <w:t>savām</w:t>
      </w:r>
      <w:r>
        <w:rPr>
          <w:spacing w:val="-10"/>
        </w:rPr>
        <w:t> </w:t>
      </w:r>
      <w:r>
        <w:rPr/>
        <w:t>spējām</w:t>
      </w:r>
      <w:r>
        <w:rPr>
          <w:spacing w:val="-10"/>
        </w:rPr>
        <w:t> </w:t>
      </w:r>
      <w:r>
        <w:rPr/>
        <w:t>un godprātīgi veikt maksājumus kreditoriem, jo dotu iespēju saistības dzēst 1 gada laikā (neatkarīgi</w:t>
      </w:r>
      <w:r>
        <w:rPr>
          <w:spacing w:val="-16"/>
        </w:rPr>
        <w:t> </w:t>
      </w:r>
      <w:r>
        <w:rPr/>
        <w:t>no</w:t>
      </w:r>
      <w:r>
        <w:rPr>
          <w:spacing w:val="-16"/>
        </w:rPr>
        <w:t> </w:t>
      </w:r>
      <w:r>
        <w:rPr/>
        <w:t>to</w:t>
      </w:r>
      <w:r>
        <w:rPr>
          <w:spacing w:val="-13"/>
        </w:rPr>
        <w:t> </w:t>
      </w:r>
      <w:r>
        <w:rPr/>
        <w:t>apmēra),</w:t>
      </w:r>
      <w:r>
        <w:rPr>
          <w:spacing w:val="-16"/>
        </w:rPr>
        <w:t> </w:t>
      </w:r>
      <w:r>
        <w:rPr/>
        <w:t>kā</w:t>
      </w:r>
      <w:r>
        <w:rPr>
          <w:spacing w:val="-16"/>
        </w:rPr>
        <w:t> </w:t>
      </w:r>
      <w:r>
        <w:rPr/>
        <w:t>arī</w:t>
      </w:r>
      <w:r>
        <w:rPr>
          <w:spacing w:val="-18"/>
        </w:rPr>
        <w:t> </w:t>
      </w:r>
      <w:r>
        <w:rPr/>
        <w:t>vairāk</w:t>
      </w:r>
      <w:r>
        <w:rPr>
          <w:spacing w:val="-16"/>
        </w:rPr>
        <w:t> </w:t>
      </w:r>
      <w:r>
        <w:rPr/>
        <w:t>atturētu</w:t>
      </w:r>
      <w:r>
        <w:rPr>
          <w:spacing w:val="-16"/>
        </w:rPr>
        <w:t> </w:t>
      </w:r>
      <w:r>
        <w:rPr/>
        <w:t>parādniekus</w:t>
      </w:r>
      <w:r>
        <w:rPr>
          <w:spacing w:val="-15"/>
        </w:rPr>
        <w:t> </w:t>
      </w:r>
      <w:r>
        <w:rPr/>
        <w:t>no</w:t>
      </w:r>
      <w:r>
        <w:rPr>
          <w:spacing w:val="-16"/>
        </w:rPr>
        <w:t> </w:t>
      </w:r>
      <w:r>
        <w:rPr/>
        <w:t>patieso</w:t>
      </w:r>
      <w:r>
        <w:rPr>
          <w:spacing w:val="-16"/>
        </w:rPr>
        <w:t> </w:t>
      </w:r>
      <w:r>
        <w:rPr/>
        <w:t>ienākumu</w:t>
      </w:r>
      <w:r>
        <w:rPr>
          <w:spacing w:val="-16"/>
        </w:rPr>
        <w:t> </w:t>
      </w:r>
      <w:r>
        <w:rPr/>
        <w:t>slēpšanas, ja pastāvētu risks, ka tādā gadījumā tiesa var pagarināt saistību dzēšanas procedūru uz 5 gadiem.</w:t>
      </w:r>
      <w:r>
        <w:rPr>
          <w:spacing w:val="-8"/>
        </w:rPr>
        <w:t> </w:t>
      </w:r>
      <w:r>
        <w:rPr/>
        <w:t>Šāds</w:t>
      </w:r>
      <w:r>
        <w:rPr>
          <w:spacing w:val="-7"/>
        </w:rPr>
        <w:t> </w:t>
      </w:r>
      <w:r>
        <w:rPr/>
        <w:t>regulējums,</w:t>
      </w:r>
      <w:r>
        <w:rPr>
          <w:spacing w:val="-5"/>
        </w:rPr>
        <w:t> </w:t>
      </w:r>
      <w:r>
        <w:rPr/>
        <w:t>kas</w:t>
      </w:r>
      <w:r>
        <w:rPr>
          <w:spacing w:val="-7"/>
        </w:rPr>
        <w:t> </w:t>
      </w:r>
      <w:r>
        <w:rPr/>
        <w:t>paredz</w:t>
      </w:r>
      <w:r>
        <w:rPr>
          <w:spacing w:val="-6"/>
        </w:rPr>
        <w:t> </w:t>
      </w:r>
      <w:r>
        <w:rPr/>
        <w:t>iespēju</w:t>
      </w:r>
      <w:r>
        <w:rPr>
          <w:spacing w:val="-7"/>
        </w:rPr>
        <w:t> </w:t>
      </w:r>
      <w:r>
        <w:rPr/>
        <w:t>parādnieku</w:t>
      </w:r>
      <w:r>
        <w:rPr>
          <w:spacing w:val="-7"/>
        </w:rPr>
        <w:t> </w:t>
      </w:r>
      <w:r>
        <w:rPr/>
        <w:t>motivēt</w:t>
      </w:r>
      <w:r>
        <w:rPr>
          <w:spacing w:val="-7"/>
        </w:rPr>
        <w:t> </w:t>
      </w:r>
      <w:r>
        <w:rPr/>
        <w:t>ar</w:t>
      </w:r>
      <w:r>
        <w:rPr>
          <w:spacing w:val="-8"/>
        </w:rPr>
        <w:t> </w:t>
      </w:r>
      <w:r>
        <w:rPr/>
        <w:t>īsāku</w:t>
      </w:r>
      <w:r>
        <w:rPr>
          <w:spacing w:val="-7"/>
        </w:rPr>
        <w:t> </w:t>
      </w:r>
      <w:r>
        <w:rPr/>
        <w:t>saistību</w:t>
      </w:r>
      <w:r>
        <w:rPr>
          <w:spacing w:val="-7"/>
        </w:rPr>
        <w:t> </w:t>
      </w:r>
      <w:r>
        <w:rPr/>
        <w:t>dzēšanas procedūras termiņu vai sodīt ar papildus termiņu, ir noteikts visās Pētāmajās valstīs, un idejiski to būtu vēlams iestrādāt arī Maksātnespējas likumā, lai samazinātu to gadījumu skaitu, kad parādnieki maksājumus kreditoriem veic, par atskaites punktu izmantojot minimālo mēnešalgu, jo apzinās, ka tas faktiski neietekmē saistību dzēšanas procedūras ilgumu.</w:t>
      </w:r>
    </w:p>
    <w:p>
      <w:pPr>
        <w:pStyle w:val="BodyText"/>
        <w:ind w:left="1040"/>
      </w:pPr>
      <w:r>
        <w:rPr/>
        <w:t>Piemēram, šāds regulējums motivētu parādniekus ar liela apmēra saistībām (virs EUR</w:t>
      </w:r>
    </w:p>
    <w:p>
      <w:pPr>
        <w:pStyle w:val="BodyText"/>
        <w:ind w:left="620" w:right="401"/>
      </w:pPr>
      <w:r>
        <w:rPr/>
        <w:t>150 000,00) atklāt patiesos ienākumus, jo, godprātīgi pildot savus likumā noteiktos pienākumus, parādnieks iegūtu iespēju dzēst saistības 1 gada laikā (atbilstoši esošajam regulējumam saistību dzēšanas plāna termiņš būtu 3 gadi). Tāpat šāds regulējums atturētu parādniekus no patieso ienākumu slēpšanas, ja parādniekam ir neliela apmēra (līdz EUR 30</w:t>
      </w:r>
      <w:r>
        <w:rPr>
          <w:spacing w:val="-5"/>
        </w:rPr>
        <w:t> </w:t>
      </w:r>
      <w:r>
        <w:rPr/>
        <w:t>000,00)</w:t>
      </w:r>
      <w:r>
        <w:rPr>
          <w:spacing w:val="-5"/>
        </w:rPr>
        <w:t> </w:t>
      </w:r>
      <w:r>
        <w:rPr/>
        <w:t>vai</w:t>
      </w:r>
      <w:r>
        <w:rPr>
          <w:spacing w:val="-7"/>
        </w:rPr>
        <w:t> </w:t>
      </w:r>
      <w:r>
        <w:rPr/>
        <w:t>vidēja</w:t>
      </w:r>
      <w:r>
        <w:rPr>
          <w:spacing w:val="-5"/>
        </w:rPr>
        <w:t> </w:t>
      </w:r>
      <w:r>
        <w:rPr/>
        <w:t>apmēra</w:t>
      </w:r>
      <w:r>
        <w:rPr>
          <w:spacing w:val="-9"/>
        </w:rPr>
        <w:t> </w:t>
      </w:r>
      <w:r>
        <w:rPr/>
        <w:t>saistības</w:t>
      </w:r>
      <w:r>
        <w:rPr>
          <w:spacing w:val="-7"/>
        </w:rPr>
        <w:t> </w:t>
      </w:r>
      <w:r>
        <w:rPr/>
        <w:t>(no</w:t>
      </w:r>
      <w:r>
        <w:rPr>
          <w:spacing w:val="-5"/>
        </w:rPr>
        <w:t> </w:t>
      </w:r>
      <w:r>
        <w:rPr/>
        <w:t>EUR</w:t>
      </w:r>
      <w:r>
        <w:rPr>
          <w:spacing w:val="-4"/>
        </w:rPr>
        <w:t> </w:t>
      </w:r>
      <w:r>
        <w:rPr/>
        <w:t>30</w:t>
      </w:r>
      <w:r>
        <w:rPr>
          <w:spacing w:val="-5"/>
        </w:rPr>
        <w:t> </w:t>
      </w:r>
      <w:r>
        <w:rPr/>
        <w:t>001,00</w:t>
      </w:r>
      <w:r>
        <w:rPr>
          <w:spacing w:val="-5"/>
        </w:rPr>
        <w:t> </w:t>
      </w:r>
      <w:r>
        <w:rPr/>
        <w:t>līdz</w:t>
      </w:r>
      <w:r>
        <w:rPr>
          <w:spacing w:val="-4"/>
        </w:rPr>
        <w:t> </w:t>
      </w:r>
      <w:r>
        <w:rPr/>
        <w:t>EUR</w:t>
      </w:r>
      <w:r>
        <w:rPr>
          <w:spacing w:val="-7"/>
        </w:rPr>
        <w:t> </w:t>
      </w:r>
      <w:r>
        <w:rPr/>
        <w:t>150</w:t>
      </w:r>
      <w:r>
        <w:rPr>
          <w:spacing w:val="-5"/>
        </w:rPr>
        <w:t> </w:t>
      </w:r>
      <w:r>
        <w:rPr/>
        <w:t>000,00)</w:t>
      </w:r>
      <w:r>
        <w:rPr>
          <w:spacing w:val="-5"/>
        </w:rPr>
        <w:t> </w:t>
      </w:r>
      <w:r>
        <w:rPr/>
        <w:t>saistības, jo pastāvētu ievērojams risks, ka tiesa, konstatējot parādnieka ienākumu neatbilstību viņa spējām</w:t>
      </w:r>
      <w:r>
        <w:rPr>
          <w:spacing w:val="-11"/>
        </w:rPr>
        <w:t> </w:t>
      </w:r>
      <w:r>
        <w:rPr/>
        <w:t>un</w:t>
      </w:r>
      <w:r>
        <w:rPr>
          <w:spacing w:val="-11"/>
        </w:rPr>
        <w:t> </w:t>
      </w:r>
      <w:r>
        <w:rPr/>
        <w:t>kvalifikācijai,</w:t>
      </w:r>
      <w:r>
        <w:rPr>
          <w:spacing w:val="-11"/>
        </w:rPr>
        <w:t> </w:t>
      </w:r>
      <w:r>
        <w:rPr/>
        <w:t>pagarinātu</w:t>
      </w:r>
      <w:r>
        <w:rPr>
          <w:spacing w:val="-11"/>
        </w:rPr>
        <w:t> </w:t>
      </w:r>
      <w:r>
        <w:rPr/>
        <w:t>saistību</w:t>
      </w:r>
      <w:r>
        <w:rPr>
          <w:spacing w:val="-11"/>
        </w:rPr>
        <w:t> </w:t>
      </w:r>
      <w:r>
        <w:rPr/>
        <w:t>dzēšanas</w:t>
      </w:r>
      <w:r>
        <w:rPr>
          <w:spacing w:val="-13"/>
        </w:rPr>
        <w:t> </w:t>
      </w:r>
      <w:r>
        <w:rPr/>
        <w:t>plāna</w:t>
      </w:r>
      <w:r>
        <w:rPr>
          <w:spacing w:val="-13"/>
        </w:rPr>
        <w:t> </w:t>
      </w:r>
      <w:r>
        <w:rPr/>
        <w:t>termiņu</w:t>
      </w:r>
      <w:r>
        <w:rPr>
          <w:spacing w:val="-10"/>
        </w:rPr>
        <w:t> </w:t>
      </w:r>
      <w:r>
        <w:rPr/>
        <w:t>uz</w:t>
      </w:r>
      <w:r>
        <w:rPr>
          <w:spacing w:val="-10"/>
        </w:rPr>
        <w:t> </w:t>
      </w:r>
      <w:r>
        <w:rPr/>
        <w:t>5</w:t>
      </w:r>
      <w:r>
        <w:rPr>
          <w:spacing w:val="-11"/>
        </w:rPr>
        <w:t> </w:t>
      </w:r>
      <w:r>
        <w:rPr/>
        <w:t>gadiem</w:t>
      </w:r>
      <w:r>
        <w:rPr>
          <w:spacing w:val="-11"/>
        </w:rPr>
        <w:t> </w:t>
      </w:r>
      <w:r>
        <w:rPr/>
        <w:t>(atbilstoši esošajam regulējumam, saistības tiktu dzēstas 1 vai 2 gadu</w:t>
      </w:r>
      <w:r>
        <w:rPr>
          <w:spacing w:val="-3"/>
        </w:rPr>
        <w:t> </w:t>
      </w:r>
      <w:r>
        <w:rPr/>
        <w:t>laikā).</w:t>
      </w:r>
    </w:p>
    <w:p>
      <w:pPr>
        <w:pStyle w:val="BodyText"/>
        <w:ind w:left="620" w:right="402" w:firstLine="360"/>
      </w:pPr>
      <w:r>
        <w:rPr/>
        <w:t>Jāatzīmē,</w:t>
      </w:r>
      <w:r>
        <w:rPr>
          <w:spacing w:val="-11"/>
        </w:rPr>
        <w:t> </w:t>
      </w:r>
      <w:r>
        <w:rPr/>
        <w:t>ka</w:t>
      </w:r>
      <w:r>
        <w:rPr>
          <w:spacing w:val="-11"/>
        </w:rPr>
        <w:t> </w:t>
      </w:r>
      <w:r>
        <w:rPr/>
        <w:t>šāds</w:t>
      </w:r>
      <w:r>
        <w:rPr>
          <w:spacing w:val="-11"/>
        </w:rPr>
        <w:t> </w:t>
      </w:r>
      <w:r>
        <w:rPr/>
        <w:t>regulējums</w:t>
      </w:r>
      <w:r>
        <w:rPr>
          <w:spacing w:val="-11"/>
        </w:rPr>
        <w:t> </w:t>
      </w:r>
      <w:r>
        <w:rPr/>
        <w:t>par</w:t>
      </w:r>
      <w:r>
        <w:rPr>
          <w:spacing w:val="-12"/>
        </w:rPr>
        <w:t> </w:t>
      </w:r>
      <w:r>
        <w:rPr/>
        <w:t>iespēju</w:t>
      </w:r>
      <w:r>
        <w:rPr>
          <w:spacing w:val="-11"/>
        </w:rPr>
        <w:t> </w:t>
      </w:r>
      <w:r>
        <w:rPr/>
        <w:t>koriģēt</w:t>
      </w:r>
      <w:r>
        <w:rPr>
          <w:spacing w:val="-11"/>
        </w:rPr>
        <w:t> </w:t>
      </w:r>
      <w:r>
        <w:rPr/>
        <w:t>vispārējo</w:t>
      </w:r>
      <w:r>
        <w:rPr>
          <w:spacing w:val="-9"/>
        </w:rPr>
        <w:t> </w:t>
      </w:r>
      <w:r>
        <w:rPr/>
        <w:t>saistību</w:t>
      </w:r>
      <w:r>
        <w:rPr>
          <w:spacing w:val="-10"/>
        </w:rPr>
        <w:t> </w:t>
      </w:r>
      <w:r>
        <w:rPr/>
        <w:t>dzēšanas</w:t>
      </w:r>
      <w:r>
        <w:rPr>
          <w:spacing w:val="-9"/>
        </w:rPr>
        <w:t> </w:t>
      </w:r>
      <w:r>
        <w:rPr/>
        <w:t>procedūras termiņu</w:t>
      </w:r>
      <w:r>
        <w:rPr>
          <w:spacing w:val="25"/>
        </w:rPr>
        <w:t> </w:t>
      </w:r>
      <w:r>
        <w:rPr/>
        <w:t>atkarībā</w:t>
      </w:r>
      <w:r>
        <w:rPr>
          <w:spacing w:val="27"/>
        </w:rPr>
        <w:t> </w:t>
      </w:r>
      <w:r>
        <w:rPr/>
        <w:t>no</w:t>
      </w:r>
      <w:r>
        <w:rPr>
          <w:spacing w:val="27"/>
        </w:rPr>
        <w:t> </w:t>
      </w:r>
      <w:r>
        <w:rPr/>
        <w:t>parādnieka</w:t>
      </w:r>
      <w:r>
        <w:rPr>
          <w:spacing w:val="26"/>
        </w:rPr>
        <w:t> </w:t>
      </w:r>
      <w:r>
        <w:rPr/>
        <w:t>godprātības</w:t>
      </w:r>
      <w:r>
        <w:rPr>
          <w:spacing w:val="25"/>
        </w:rPr>
        <w:t> </w:t>
      </w:r>
      <w:r>
        <w:rPr/>
        <w:t>vai</w:t>
      </w:r>
      <w:r>
        <w:rPr>
          <w:spacing w:val="26"/>
        </w:rPr>
        <w:t> </w:t>
      </w:r>
      <w:r>
        <w:rPr/>
        <w:t>negodprātības,</w:t>
      </w:r>
      <w:r>
        <w:rPr>
          <w:spacing w:val="25"/>
        </w:rPr>
        <w:t> </w:t>
      </w:r>
      <w:r>
        <w:rPr/>
        <w:t>pilnībā</w:t>
      </w:r>
      <w:r>
        <w:rPr>
          <w:spacing w:val="24"/>
        </w:rPr>
        <w:t> </w:t>
      </w:r>
      <w:r>
        <w:rPr/>
        <w:t>atbilstu</w:t>
      </w:r>
    </w:p>
    <w:p>
      <w:pPr>
        <w:pStyle w:val="BodyText"/>
        <w:spacing w:before="8"/>
        <w:jc w:val="left"/>
        <w:rPr>
          <w:sz w:val="20"/>
        </w:rPr>
      </w:pPr>
      <w:r>
        <w:rPr/>
        <w:pict>
          <v:shape style="position:absolute;margin-left:90pt;margin-top:14.172987pt;width:144pt;height:.1pt;mso-position-horizontal-relative:page;mso-position-vertical-relative:paragraph;z-index:-251450368;mso-wrap-distance-left:0;mso-wrap-distance-right:0" coordorigin="1800,283" coordsize="2880,0" path="m1800,283l4680,283e" filled="false" stroked="true" strokeweight=".599991pt" strokecolor="#000000">
            <v:path arrowok="t"/>
            <v:stroke dashstyle="solid"/>
            <w10:wrap type="topAndBottom"/>
          </v:shape>
        </w:pict>
      </w:r>
    </w:p>
    <w:p>
      <w:pPr>
        <w:spacing w:line="234" w:lineRule="exact" w:before="70"/>
        <w:ind w:left="620" w:right="0" w:firstLine="0"/>
        <w:jc w:val="left"/>
        <w:rPr>
          <w:sz w:val="20"/>
        </w:rPr>
      </w:pPr>
      <w:r>
        <w:rPr>
          <w:position w:val="7"/>
          <w:sz w:val="13"/>
        </w:rPr>
        <w:t>483 </w:t>
      </w:r>
      <w:r>
        <w:rPr>
          <w:sz w:val="20"/>
        </w:rPr>
        <w:t>Sal.: The World Bank. Report on the Treatment of the Insolvency of Natural Persons. 2013, p. 41, para</w:t>
      </w:r>
    </w:p>
    <w:p>
      <w:pPr>
        <w:spacing w:before="0"/>
        <w:ind w:left="620" w:right="390" w:firstLine="0"/>
        <w:jc w:val="left"/>
        <w:rPr>
          <w:sz w:val="20"/>
        </w:rPr>
      </w:pPr>
      <w:r>
        <w:rPr>
          <w:sz w:val="20"/>
        </w:rPr>
        <w:t>114. Pieejams:</w:t>
      </w:r>
      <w:hyperlink r:id="rId98">
        <w:r>
          <w:rPr>
            <w:color w:val="0562C1"/>
            <w:sz w:val="20"/>
            <w:u w:val="single" w:color="0562C1"/>
          </w:rPr>
          <w:t> http://siteresources.worldbank.org/INTGILD/Resources/WBInsolvencyOfNaturalPersonsReport_01_11_13.</w:t>
        </w:r>
      </w:hyperlink>
      <w:r>
        <w:rPr>
          <w:color w:val="0562C1"/>
          <w:sz w:val="20"/>
          <w:u w:val="single" w:color="0562C1"/>
        </w:rPr>
        <w:t> pdf</w:t>
      </w:r>
      <w:r>
        <w:rPr>
          <w:color w:val="0562C1"/>
          <w:sz w:val="20"/>
        </w:rPr>
        <w:t> </w:t>
      </w:r>
      <w:r>
        <w:rPr>
          <w:sz w:val="20"/>
        </w:rPr>
        <w:t>[aplūkots 2018.gada 20.septembrī].</w:t>
      </w:r>
    </w:p>
    <w:p>
      <w:pPr>
        <w:spacing w:after="0"/>
        <w:jc w:val="left"/>
        <w:rPr>
          <w:sz w:val="20"/>
        </w:rPr>
        <w:sectPr>
          <w:pgSz w:w="11910" w:h="16840"/>
          <w:pgMar w:header="0" w:footer="1055" w:top="1340" w:bottom="1240" w:left="1180" w:right="1040"/>
        </w:sectPr>
      </w:pPr>
    </w:p>
    <w:p>
      <w:pPr>
        <w:pStyle w:val="BodyText"/>
        <w:spacing w:before="73"/>
        <w:ind w:left="260" w:right="761"/>
      </w:pPr>
      <w:r>
        <w:rPr/>
        <w:t>2016. gada 22. novembra Eiropas Komisijas Priekšlikumam direktīvai par preventīvās pārstrukturēšanas regulējumu, otro iespēju un pārstrukturēšanas, maksātnespējas un saistību dzēšanas procedūru efektivitātes palielināšanas pasākumiem un ar ko groza Direktīvu 2012/30/ES.</w:t>
      </w:r>
      <w:r>
        <w:rPr>
          <w:position w:val="9"/>
          <w:sz w:val="16"/>
        </w:rPr>
        <w:t>484 </w:t>
      </w:r>
      <w:r>
        <w:rPr/>
        <w:t>Proti, minētā priekšlikuma 22.pants paredz dalībvalstīm tiesības noteikt saistību dzēšanas procedūrai termiņu, kas ir garāks par 3 gadiem, ja tas atbilst vispārējām sabiedrības interesēm, un jo īpaši – ja parādnieks saistību dzēšanas procedūras laikā ir rīkojies negodprātīgi. Ņemot vērā to, ka parādnieka produktivitātes celšana atbilst vispārējām sabiedrības interesēm, savukārt patieso ienākumu slēpšana liecina ne vien par parādnieka negodprātību, bet arī atstāj negatīvas sekas uz ekonomiku kopumā un saistību izpildes kultūru, secināms, ka ienākumu negūšanas atbilstoši savām spējām un kvalifikācijai vai patieso ienākumu slēpšana ir tie aspekti, kas atbilstoši direktīvas priekšlikumam ļauj dalībvalstīm paredzēt garākus saistību dzēšanas procedūras termiņus nekā 3 gadi.</w:t>
      </w:r>
    </w:p>
    <w:p>
      <w:pPr>
        <w:pStyle w:val="BodyText"/>
        <w:spacing w:before="1"/>
        <w:jc w:val="left"/>
        <w:rPr>
          <w:sz w:val="23"/>
        </w:rPr>
      </w:pPr>
    </w:p>
    <w:p>
      <w:pPr>
        <w:pStyle w:val="Heading4"/>
        <w:numPr>
          <w:ilvl w:val="1"/>
          <w:numId w:val="115"/>
        </w:numPr>
        <w:tabs>
          <w:tab w:pos="982" w:val="left" w:leader="none"/>
        </w:tabs>
        <w:spacing w:line="240" w:lineRule="auto" w:before="1" w:after="0"/>
        <w:ind w:left="981" w:right="0" w:hanging="362"/>
        <w:jc w:val="left"/>
        <w:rPr>
          <w:i/>
        </w:rPr>
      </w:pPr>
      <w:bookmarkStart w:name="_TOC_250021" w:id="57"/>
      <w:r>
        <w:rPr>
          <w:i/>
        </w:rPr>
        <w:t>Maksājumi kreditoriem saistību dzēšanas procedūras</w:t>
      </w:r>
      <w:r>
        <w:rPr>
          <w:i/>
          <w:spacing w:val="3"/>
        </w:rPr>
        <w:t> </w:t>
      </w:r>
      <w:bookmarkEnd w:id="57"/>
      <w:r>
        <w:rPr>
          <w:i/>
        </w:rPr>
        <w:t>laikā</w:t>
      </w:r>
    </w:p>
    <w:p>
      <w:pPr>
        <w:pStyle w:val="BodyText"/>
        <w:spacing w:before="6"/>
        <w:jc w:val="left"/>
        <w:rPr>
          <w:b/>
          <w:i/>
          <w:sz w:val="27"/>
        </w:rPr>
      </w:pPr>
    </w:p>
    <w:p>
      <w:pPr>
        <w:pStyle w:val="BodyText"/>
        <w:ind w:left="260" w:right="761" w:firstLine="360"/>
      </w:pPr>
      <w:r>
        <w:rPr/>
        <w:t>Maksātnespējas likuma regulējumā trūkst konsekvences jautājumā par to, </w:t>
      </w:r>
      <w:r>
        <w:rPr>
          <w:spacing w:val="-3"/>
        </w:rPr>
        <w:t>kādi </w:t>
      </w:r>
      <w:r>
        <w:rPr/>
        <w:t>maksājumi parādniekam jāveic kreditoriem saistību dzēšanas procedūras laikā. Piemēram, Maksātnespējas likuma 161.panta 1.punkts noteic, ka parādniekam ir tiesības paturēt vismaz divas trešdaļas no saviem ienākumiem, lai segtu savas uzturēšanas izmaksas, un 160.panta 1.punkts paredz parādniekam pildīt fiziskās personas saistību dzēšanas plānu. Savukārt Maksātnespējas likuma 154.panta 6.punkts paredz to, ka saistību dzēšanas plānā ir jānorāda parādnieka </w:t>
      </w:r>
      <w:r>
        <w:rPr>
          <w:u w:val="single"/>
        </w:rPr>
        <w:t>paredzamais</w:t>
      </w:r>
      <w:r>
        <w:rPr/>
        <w:t> mēneša ienākumu apmērs, kas tiks novirzīts saistību dzēšanas plāna izpildei. Sistēmiski iztulkojot šīs tiesību normas, pirmkārt, secināms, ka Maksātnespējas likumā nebūt nav noteikts nepārprotams pienākums parādniekam saistību dzēšanas procedūras laikā kreditoru prasījumu segšanai novirzīt vienu trešdaļu no saviem ienākumiem – gluži pretēji, Maksātnespējas likuma 161.panta 1.punkts, atbilstoši kuram parādniekam ir tiesības paturēt </w:t>
      </w:r>
      <w:r>
        <w:rPr>
          <w:u w:val="single"/>
        </w:rPr>
        <w:t>vismaz</w:t>
      </w:r>
      <w:r>
        <w:rPr/>
        <w:t> 2/3 no saviem ienākumiem, faktiski pieļauj iespēju veikt kreditoriem maksājumus mazākā apmērā. Un, otrkārt, Maksātnespējas likuma 160.panta 1.punkts paredz parādniekam pildīt fiziskās personas saistību dzēšanas plānu, savukārt plānā atbilstoši 154.panta 6.punktam ir jānorāda paredzamais ienākumu apmērs, no kura tiks veikti maksājumi kreditoriem. Attiecīgi, ja parādnieka prognoze, sastādot saistību</w:t>
      </w:r>
      <w:r>
        <w:rPr>
          <w:spacing w:val="-9"/>
        </w:rPr>
        <w:t> </w:t>
      </w:r>
      <w:r>
        <w:rPr/>
        <w:t>dzēšanas</w:t>
      </w:r>
      <w:r>
        <w:rPr>
          <w:spacing w:val="-10"/>
        </w:rPr>
        <w:t> </w:t>
      </w:r>
      <w:r>
        <w:rPr/>
        <w:t>plānu,</w:t>
      </w:r>
      <w:r>
        <w:rPr>
          <w:spacing w:val="-9"/>
        </w:rPr>
        <w:t> </w:t>
      </w:r>
      <w:r>
        <w:rPr/>
        <w:t>ir</w:t>
      </w:r>
      <w:r>
        <w:rPr>
          <w:spacing w:val="-10"/>
        </w:rPr>
        <w:t> </w:t>
      </w:r>
      <w:r>
        <w:rPr/>
        <w:t>bijusi</w:t>
      </w:r>
      <w:r>
        <w:rPr>
          <w:spacing w:val="-9"/>
        </w:rPr>
        <w:t> </w:t>
      </w:r>
      <w:r>
        <w:rPr/>
        <w:t>pārlieku</w:t>
      </w:r>
      <w:r>
        <w:rPr>
          <w:spacing w:val="-8"/>
        </w:rPr>
        <w:t> </w:t>
      </w:r>
      <w:r>
        <w:rPr/>
        <w:t>piesardzīga</w:t>
      </w:r>
      <w:r>
        <w:rPr>
          <w:spacing w:val="-9"/>
        </w:rPr>
        <w:t> </w:t>
      </w:r>
      <w:r>
        <w:rPr/>
        <w:t>un</w:t>
      </w:r>
      <w:r>
        <w:rPr>
          <w:spacing w:val="-8"/>
        </w:rPr>
        <w:t> </w:t>
      </w:r>
      <w:r>
        <w:rPr/>
        <w:t>saistību</w:t>
      </w:r>
      <w:r>
        <w:rPr>
          <w:spacing w:val="-8"/>
        </w:rPr>
        <w:t> </w:t>
      </w:r>
      <w:r>
        <w:rPr/>
        <w:t>dzēšanas</w:t>
      </w:r>
      <w:r>
        <w:rPr>
          <w:spacing w:val="-11"/>
        </w:rPr>
        <w:t> </w:t>
      </w:r>
      <w:r>
        <w:rPr/>
        <w:t>procedūras</w:t>
      </w:r>
      <w:r>
        <w:rPr>
          <w:spacing w:val="-8"/>
        </w:rPr>
        <w:t> </w:t>
      </w:r>
      <w:r>
        <w:rPr/>
        <w:t>laikā gūti lielāki ienākumi, nav tiesiska pamata parādniekam pārmest to, ka viņš nav pildījis plānu.</w:t>
      </w:r>
    </w:p>
    <w:p>
      <w:pPr>
        <w:spacing w:before="0"/>
        <w:ind w:left="260" w:right="761" w:firstLine="360"/>
        <w:jc w:val="both"/>
        <w:rPr>
          <w:sz w:val="24"/>
        </w:rPr>
      </w:pPr>
      <w:r>
        <w:rPr>
          <w:sz w:val="24"/>
        </w:rPr>
        <w:t>Tiesu</w:t>
      </w:r>
      <w:r>
        <w:rPr>
          <w:spacing w:val="-9"/>
          <w:sz w:val="24"/>
        </w:rPr>
        <w:t> </w:t>
      </w:r>
      <w:r>
        <w:rPr>
          <w:sz w:val="24"/>
        </w:rPr>
        <w:t>prakse</w:t>
      </w:r>
      <w:r>
        <w:rPr>
          <w:spacing w:val="-9"/>
          <w:sz w:val="24"/>
        </w:rPr>
        <w:t> </w:t>
      </w:r>
      <w:r>
        <w:rPr>
          <w:sz w:val="24"/>
        </w:rPr>
        <w:t>šajā</w:t>
      </w:r>
      <w:r>
        <w:rPr>
          <w:spacing w:val="-11"/>
          <w:sz w:val="24"/>
        </w:rPr>
        <w:t> </w:t>
      </w:r>
      <w:r>
        <w:rPr>
          <w:sz w:val="24"/>
        </w:rPr>
        <w:t>jautājumā</w:t>
      </w:r>
      <w:r>
        <w:rPr>
          <w:spacing w:val="-7"/>
          <w:sz w:val="24"/>
        </w:rPr>
        <w:t> </w:t>
      </w:r>
      <w:r>
        <w:rPr>
          <w:sz w:val="24"/>
        </w:rPr>
        <w:t>ir</w:t>
      </w:r>
      <w:r>
        <w:rPr>
          <w:spacing w:val="-9"/>
          <w:sz w:val="24"/>
        </w:rPr>
        <w:t> </w:t>
      </w:r>
      <w:r>
        <w:rPr>
          <w:sz w:val="24"/>
        </w:rPr>
        <w:t>duāla.</w:t>
      </w:r>
      <w:r>
        <w:rPr>
          <w:spacing w:val="-9"/>
          <w:sz w:val="24"/>
        </w:rPr>
        <w:t> </w:t>
      </w:r>
      <w:r>
        <w:rPr>
          <w:sz w:val="24"/>
        </w:rPr>
        <w:t>Vairumā</w:t>
      </w:r>
      <w:r>
        <w:rPr>
          <w:spacing w:val="-6"/>
          <w:sz w:val="24"/>
        </w:rPr>
        <w:t> </w:t>
      </w:r>
      <w:r>
        <w:rPr>
          <w:sz w:val="24"/>
        </w:rPr>
        <w:t>gadījumu</w:t>
      </w:r>
      <w:r>
        <w:rPr>
          <w:spacing w:val="-9"/>
          <w:sz w:val="24"/>
        </w:rPr>
        <w:t> </w:t>
      </w:r>
      <w:r>
        <w:rPr>
          <w:sz w:val="24"/>
        </w:rPr>
        <w:t>parādnieka</w:t>
      </w:r>
      <w:r>
        <w:rPr>
          <w:spacing w:val="-11"/>
          <w:sz w:val="24"/>
        </w:rPr>
        <w:t> </w:t>
      </w:r>
      <w:r>
        <w:rPr>
          <w:sz w:val="24"/>
        </w:rPr>
        <w:t>pienākums</w:t>
      </w:r>
      <w:r>
        <w:rPr>
          <w:spacing w:val="-6"/>
          <w:sz w:val="24"/>
        </w:rPr>
        <w:t> </w:t>
      </w:r>
      <w:r>
        <w:rPr>
          <w:sz w:val="24"/>
        </w:rPr>
        <w:t>saistību dzēšanas procedūras laikā kreditoru prasījumu segšanai novirzīt vismaz 1/3 daļu no ienākumiem tiek pamatots ar Maksātnespējas likuma 155.panta ceturto daļu, kura nosaka: “</w:t>
      </w:r>
      <w:r>
        <w:rPr>
          <w:i/>
          <w:sz w:val="24"/>
        </w:rPr>
        <w:t>ja</w:t>
      </w:r>
      <w:r>
        <w:rPr>
          <w:i/>
          <w:spacing w:val="-9"/>
          <w:sz w:val="24"/>
        </w:rPr>
        <w:t> </w:t>
      </w:r>
      <w:r>
        <w:rPr>
          <w:i/>
          <w:sz w:val="24"/>
        </w:rPr>
        <w:t>parādnieks</w:t>
      </w:r>
      <w:r>
        <w:rPr>
          <w:i/>
          <w:spacing w:val="-11"/>
          <w:sz w:val="24"/>
        </w:rPr>
        <w:t> </w:t>
      </w:r>
      <w:r>
        <w:rPr>
          <w:i/>
          <w:sz w:val="24"/>
        </w:rPr>
        <w:t>saistību</w:t>
      </w:r>
      <w:r>
        <w:rPr>
          <w:i/>
          <w:spacing w:val="-8"/>
          <w:sz w:val="24"/>
        </w:rPr>
        <w:t> </w:t>
      </w:r>
      <w:r>
        <w:rPr>
          <w:i/>
          <w:sz w:val="24"/>
        </w:rPr>
        <w:t>dzēšanas</w:t>
      </w:r>
      <w:r>
        <w:rPr>
          <w:i/>
          <w:spacing w:val="-6"/>
          <w:sz w:val="24"/>
        </w:rPr>
        <w:t> </w:t>
      </w:r>
      <w:r>
        <w:rPr>
          <w:i/>
          <w:sz w:val="24"/>
        </w:rPr>
        <w:t>procedūras</w:t>
      </w:r>
      <w:r>
        <w:rPr>
          <w:i/>
          <w:spacing w:val="-8"/>
          <w:sz w:val="24"/>
        </w:rPr>
        <w:t> </w:t>
      </w:r>
      <w:r>
        <w:rPr>
          <w:i/>
          <w:sz w:val="24"/>
        </w:rPr>
        <w:t>laikā</w:t>
      </w:r>
      <w:r>
        <w:rPr>
          <w:i/>
          <w:spacing w:val="-9"/>
          <w:sz w:val="24"/>
        </w:rPr>
        <w:t> </w:t>
      </w:r>
      <w:r>
        <w:rPr>
          <w:i/>
          <w:sz w:val="24"/>
        </w:rPr>
        <w:t>no</w:t>
      </w:r>
      <w:r>
        <w:rPr>
          <w:i/>
          <w:spacing w:val="-8"/>
          <w:sz w:val="24"/>
        </w:rPr>
        <w:t> </w:t>
      </w:r>
      <w:r>
        <w:rPr>
          <w:i/>
          <w:sz w:val="24"/>
        </w:rPr>
        <w:t>savas</w:t>
      </w:r>
      <w:r>
        <w:rPr>
          <w:i/>
          <w:spacing w:val="-6"/>
          <w:sz w:val="24"/>
        </w:rPr>
        <w:t> </w:t>
      </w:r>
      <w:r>
        <w:rPr>
          <w:i/>
          <w:sz w:val="24"/>
        </w:rPr>
        <w:t>gribas</w:t>
      </w:r>
      <w:r>
        <w:rPr>
          <w:i/>
          <w:spacing w:val="-8"/>
          <w:sz w:val="24"/>
        </w:rPr>
        <w:t> </w:t>
      </w:r>
      <w:r>
        <w:rPr>
          <w:i/>
          <w:sz w:val="24"/>
        </w:rPr>
        <w:t>neatkarīgu</w:t>
      </w:r>
      <w:r>
        <w:rPr>
          <w:i/>
          <w:spacing w:val="-9"/>
          <w:sz w:val="24"/>
        </w:rPr>
        <w:t> </w:t>
      </w:r>
      <w:r>
        <w:rPr>
          <w:i/>
          <w:sz w:val="24"/>
        </w:rPr>
        <w:t>apstākļu</w:t>
      </w:r>
      <w:r>
        <w:rPr>
          <w:i/>
          <w:spacing w:val="-8"/>
          <w:sz w:val="24"/>
        </w:rPr>
        <w:t> </w:t>
      </w:r>
      <w:r>
        <w:rPr>
          <w:i/>
          <w:sz w:val="24"/>
        </w:rPr>
        <w:t>dēļ </w:t>
      </w:r>
      <w:r>
        <w:rPr>
          <w:i/>
          <w:sz w:val="24"/>
        </w:rPr>
        <w:t>nav</w:t>
      </w:r>
      <w:r>
        <w:rPr>
          <w:i/>
          <w:spacing w:val="-9"/>
          <w:sz w:val="24"/>
        </w:rPr>
        <w:t> </w:t>
      </w:r>
      <w:r>
        <w:rPr>
          <w:i/>
          <w:sz w:val="24"/>
        </w:rPr>
        <w:t>spējīgs</w:t>
      </w:r>
      <w:r>
        <w:rPr>
          <w:i/>
          <w:spacing w:val="-9"/>
          <w:sz w:val="24"/>
        </w:rPr>
        <w:t> </w:t>
      </w:r>
      <w:r>
        <w:rPr>
          <w:i/>
          <w:sz w:val="24"/>
        </w:rPr>
        <w:t>segt</w:t>
      </w:r>
      <w:r>
        <w:rPr>
          <w:i/>
          <w:spacing w:val="-5"/>
          <w:sz w:val="24"/>
        </w:rPr>
        <w:t> </w:t>
      </w:r>
      <w:r>
        <w:rPr>
          <w:i/>
          <w:sz w:val="24"/>
        </w:rPr>
        <w:t>šā</w:t>
      </w:r>
      <w:r>
        <w:rPr>
          <w:i/>
          <w:spacing w:val="-9"/>
          <w:sz w:val="24"/>
        </w:rPr>
        <w:t> </w:t>
      </w:r>
      <w:r>
        <w:rPr>
          <w:i/>
          <w:sz w:val="24"/>
        </w:rPr>
        <w:t>panta</w:t>
      </w:r>
      <w:r>
        <w:rPr>
          <w:i/>
          <w:spacing w:val="-5"/>
          <w:sz w:val="24"/>
        </w:rPr>
        <w:t> </w:t>
      </w:r>
      <w:r>
        <w:rPr>
          <w:i/>
          <w:sz w:val="24"/>
        </w:rPr>
        <w:t>otrajā</w:t>
      </w:r>
      <w:r>
        <w:rPr>
          <w:i/>
          <w:spacing w:val="-9"/>
          <w:sz w:val="24"/>
        </w:rPr>
        <w:t> </w:t>
      </w:r>
      <w:r>
        <w:rPr>
          <w:i/>
          <w:sz w:val="24"/>
        </w:rPr>
        <w:t>un</w:t>
      </w:r>
      <w:r>
        <w:rPr>
          <w:i/>
          <w:spacing w:val="-9"/>
          <w:sz w:val="24"/>
        </w:rPr>
        <w:t> </w:t>
      </w:r>
      <w:r>
        <w:rPr>
          <w:i/>
          <w:sz w:val="24"/>
        </w:rPr>
        <w:t>trešajā</w:t>
      </w:r>
      <w:r>
        <w:rPr>
          <w:i/>
          <w:spacing w:val="-8"/>
          <w:sz w:val="24"/>
        </w:rPr>
        <w:t> </w:t>
      </w:r>
      <w:r>
        <w:rPr>
          <w:i/>
          <w:sz w:val="24"/>
        </w:rPr>
        <w:t>daļā</w:t>
      </w:r>
      <w:r>
        <w:rPr>
          <w:i/>
          <w:spacing w:val="-6"/>
          <w:sz w:val="24"/>
        </w:rPr>
        <w:t> </w:t>
      </w:r>
      <w:r>
        <w:rPr>
          <w:i/>
          <w:sz w:val="24"/>
        </w:rPr>
        <w:t>noteikto</w:t>
      </w:r>
      <w:r>
        <w:rPr>
          <w:i/>
          <w:spacing w:val="-8"/>
          <w:sz w:val="24"/>
        </w:rPr>
        <w:t> </w:t>
      </w:r>
      <w:r>
        <w:rPr>
          <w:i/>
          <w:sz w:val="24"/>
        </w:rPr>
        <w:t>saistību</w:t>
      </w:r>
      <w:r>
        <w:rPr>
          <w:i/>
          <w:spacing w:val="-9"/>
          <w:sz w:val="24"/>
        </w:rPr>
        <w:t> </w:t>
      </w:r>
      <w:r>
        <w:rPr>
          <w:i/>
          <w:sz w:val="24"/>
        </w:rPr>
        <w:t>apmēru,</w:t>
      </w:r>
      <w:r>
        <w:rPr>
          <w:i/>
          <w:spacing w:val="-9"/>
          <w:sz w:val="24"/>
        </w:rPr>
        <w:t> </w:t>
      </w:r>
      <w:r>
        <w:rPr>
          <w:i/>
          <w:sz w:val="24"/>
        </w:rPr>
        <w:t>fiziskās</w:t>
      </w:r>
      <w:r>
        <w:rPr>
          <w:i/>
          <w:spacing w:val="-8"/>
          <w:sz w:val="24"/>
        </w:rPr>
        <w:t> </w:t>
      </w:r>
      <w:r>
        <w:rPr>
          <w:i/>
          <w:sz w:val="24"/>
        </w:rPr>
        <w:t>personas saistību dzēšanas plānā paredz, ka kreditoru prasījumu segšanai tiks novirzīti līdzekļi vienas trešdaļas apmērā no parādnieka ienākumiem pēc nodokļu samaksas, bet ne mazāk kā vienas trešdaļas apmērā no vienas minimālās mēnešalgas mēnesī pirms nodokļu samaksas</w:t>
      </w:r>
      <w:r>
        <w:rPr>
          <w:sz w:val="24"/>
        </w:rPr>
        <w:t>.” Tomēr nereti visnotaļ pamatoti tiek norādīts uz to, ka, sistēmiski iztulkojot Maksātnespējas</w:t>
      </w:r>
      <w:r>
        <w:rPr>
          <w:spacing w:val="-11"/>
          <w:sz w:val="24"/>
        </w:rPr>
        <w:t> </w:t>
      </w:r>
      <w:r>
        <w:rPr>
          <w:sz w:val="24"/>
        </w:rPr>
        <w:t>likuma</w:t>
      </w:r>
      <w:r>
        <w:rPr>
          <w:spacing w:val="-10"/>
          <w:sz w:val="24"/>
        </w:rPr>
        <w:t> </w:t>
      </w:r>
      <w:r>
        <w:rPr>
          <w:sz w:val="24"/>
        </w:rPr>
        <w:t>160.panta</w:t>
      </w:r>
      <w:r>
        <w:rPr>
          <w:spacing w:val="-12"/>
          <w:sz w:val="24"/>
        </w:rPr>
        <w:t> </w:t>
      </w:r>
      <w:r>
        <w:rPr>
          <w:sz w:val="24"/>
        </w:rPr>
        <w:t>1.punktu,</w:t>
      </w:r>
      <w:r>
        <w:rPr>
          <w:spacing w:val="-10"/>
          <w:sz w:val="24"/>
        </w:rPr>
        <w:t> </w:t>
      </w:r>
      <w:r>
        <w:rPr>
          <w:sz w:val="24"/>
        </w:rPr>
        <w:t>161.panta</w:t>
      </w:r>
      <w:r>
        <w:rPr>
          <w:spacing w:val="-10"/>
          <w:sz w:val="24"/>
        </w:rPr>
        <w:t> </w:t>
      </w:r>
      <w:r>
        <w:rPr>
          <w:sz w:val="24"/>
        </w:rPr>
        <w:t>1.punktu</w:t>
      </w:r>
      <w:r>
        <w:rPr>
          <w:spacing w:val="-10"/>
          <w:sz w:val="24"/>
        </w:rPr>
        <w:t> </w:t>
      </w:r>
      <w:r>
        <w:rPr>
          <w:sz w:val="24"/>
        </w:rPr>
        <w:t>un</w:t>
      </w:r>
      <w:r>
        <w:rPr>
          <w:spacing w:val="-10"/>
          <w:sz w:val="24"/>
        </w:rPr>
        <w:t> </w:t>
      </w:r>
      <w:r>
        <w:rPr>
          <w:sz w:val="24"/>
        </w:rPr>
        <w:t>155.panta</w:t>
      </w:r>
      <w:r>
        <w:rPr>
          <w:spacing w:val="-10"/>
          <w:sz w:val="24"/>
        </w:rPr>
        <w:t> </w:t>
      </w:r>
      <w:r>
        <w:rPr>
          <w:sz w:val="24"/>
        </w:rPr>
        <w:t>otro,</w:t>
      </w:r>
      <w:r>
        <w:rPr>
          <w:spacing w:val="-10"/>
          <w:sz w:val="24"/>
        </w:rPr>
        <w:t> </w:t>
      </w:r>
      <w:r>
        <w:rPr>
          <w:sz w:val="24"/>
        </w:rPr>
        <w:t>trešo</w:t>
      </w:r>
      <w:r>
        <w:rPr>
          <w:spacing w:val="-8"/>
          <w:sz w:val="24"/>
        </w:rPr>
        <w:t> </w:t>
      </w:r>
      <w:r>
        <w:rPr>
          <w:sz w:val="24"/>
        </w:rPr>
        <w:t>un</w:t>
      </w:r>
    </w:p>
    <w:p>
      <w:pPr>
        <w:pStyle w:val="BodyText"/>
        <w:spacing w:before="7"/>
        <w:jc w:val="left"/>
        <w:rPr>
          <w:sz w:val="12"/>
        </w:rPr>
      </w:pPr>
      <w:r>
        <w:rPr/>
        <w:pict>
          <v:shape style="position:absolute;margin-left:72pt;margin-top:9.50718pt;width:144pt;height:.1pt;mso-position-horizontal-relative:page;mso-position-vertical-relative:paragraph;z-index:-251449344;mso-wrap-distance-left:0;mso-wrap-distance-right:0" coordorigin="1440,190" coordsize="2880,0" path="m1440,190l4320,190e" filled="false" stroked="true" strokeweight=".600037pt" strokecolor="#000000">
            <v:path arrowok="t"/>
            <v:stroke dashstyle="solid"/>
            <w10:wrap type="topAndBottom"/>
          </v:shape>
        </w:pict>
      </w:r>
    </w:p>
    <w:p>
      <w:pPr>
        <w:spacing w:line="242" w:lineRule="auto" w:before="58"/>
        <w:ind w:left="260" w:right="761" w:firstLine="0"/>
        <w:jc w:val="both"/>
        <w:rPr>
          <w:sz w:val="20"/>
        </w:rPr>
      </w:pPr>
      <w:r>
        <w:rPr>
          <w:position w:val="9"/>
          <w:sz w:val="16"/>
        </w:rPr>
        <w:t>484 </w:t>
      </w:r>
      <w:r>
        <w:rPr>
          <w:sz w:val="20"/>
        </w:rPr>
        <w:t>Proposal for a Directive of the European Parliament and of the Council on preventive restructuring frameworks,</w:t>
      </w:r>
      <w:r>
        <w:rPr>
          <w:spacing w:val="-15"/>
          <w:sz w:val="20"/>
        </w:rPr>
        <w:t> </w:t>
      </w:r>
      <w:r>
        <w:rPr>
          <w:sz w:val="20"/>
        </w:rPr>
        <w:t>second</w:t>
      </w:r>
      <w:r>
        <w:rPr>
          <w:spacing w:val="-12"/>
          <w:sz w:val="20"/>
        </w:rPr>
        <w:t> </w:t>
      </w:r>
      <w:r>
        <w:rPr>
          <w:sz w:val="20"/>
        </w:rPr>
        <w:t>chance</w:t>
      </w:r>
      <w:r>
        <w:rPr>
          <w:spacing w:val="-12"/>
          <w:sz w:val="20"/>
        </w:rPr>
        <w:t> </w:t>
      </w:r>
      <w:r>
        <w:rPr>
          <w:sz w:val="20"/>
        </w:rPr>
        <w:t>and</w:t>
      </w:r>
      <w:r>
        <w:rPr>
          <w:spacing w:val="-12"/>
          <w:sz w:val="20"/>
        </w:rPr>
        <w:t> </w:t>
      </w:r>
      <w:r>
        <w:rPr>
          <w:sz w:val="20"/>
        </w:rPr>
        <w:t>measures</w:t>
      </w:r>
      <w:r>
        <w:rPr>
          <w:spacing w:val="-15"/>
          <w:sz w:val="20"/>
        </w:rPr>
        <w:t> </w:t>
      </w:r>
      <w:r>
        <w:rPr>
          <w:sz w:val="20"/>
        </w:rPr>
        <w:t>to</w:t>
      </w:r>
      <w:r>
        <w:rPr>
          <w:spacing w:val="-12"/>
          <w:sz w:val="20"/>
        </w:rPr>
        <w:t> </w:t>
      </w:r>
      <w:r>
        <w:rPr>
          <w:sz w:val="20"/>
        </w:rPr>
        <w:t>increase</w:t>
      </w:r>
      <w:r>
        <w:rPr>
          <w:spacing w:val="-12"/>
          <w:sz w:val="20"/>
        </w:rPr>
        <w:t> </w:t>
      </w:r>
      <w:r>
        <w:rPr>
          <w:sz w:val="20"/>
        </w:rPr>
        <w:t>the</w:t>
      </w:r>
      <w:r>
        <w:rPr>
          <w:spacing w:val="-12"/>
          <w:sz w:val="20"/>
        </w:rPr>
        <w:t> </w:t>
      </w:r>
      <w:r>
        <w:rPr>
          <w:sz w:val="20"/>
        </w:rPr>
        <w:t>efficiency</w:t>
      </w:r>
      <w:r>
        <w:rPr>
          <w:spacing w:val="-16"/>
          <w:sz w:val="20"/>
        </w:rPr>
        <w:t> </w:t>
      </w:r>
      <w:r>
        <w:rPr>
          <w:sz w:val="20"/>
        </w:rPr>
        <w:t>of</w:t>
      </w:r>
      <w:r>
        <w:rPr>
          <w:spacing w:val="-14"/>
          <w:sz w:val="20"/>
        </w:rPr>
        <w:t> </w:t>
      </w:r>
      <w:r>
        <w:rPr>
          <w:sz w:val="20"/>
        </w:rPr>
        <w:t>restructuring,</w:t>
      </w:r>
      <w:r>
        <w:rPr>
          <w:spacing w:val="-14"/>
          <w:sz w:val="20"/>
        </w:rPr>
        <w:t> </w:t>
      </w:r>
      <w:r>
        <w:rPr>
          <w:sz w:val="20"/>
        </w:rPr>
        <w:t>insolvency</w:t>
      </w:r>
      <w:r>
        <w:rPr>
          <w:spacing w:val="-16"/>
          <w:sz w:val="20"/>
        </w:rPr>
        <w:t> </w:t>
      </w:r>
      <w:r>
        <w:rPr>
          <w:sz w:val="20"/>
        </w:rPr>
        <w:t>and</w:t>
      </w:r>
      <w:r>
        <w:rPr>
          <w:spacing w:val="-12"/>
          <w:sz w:val="20"/>
        </w:rPr>
        <w:t> </w:t>
      </w:r>
      <w:r>
        <w:rPr>
          <w:sz w:val="20"/>
        </w:rPr>
        <w:t>discharge procedures and amending Directive 2012/30/EU. COM (2016) 723, 2016/0359(COD), latviešu valodā pieejams:</w:t>
      </w:r>
      <w:r>
        <w:rPr>
          <w:color w:val="0562C1"/>
          <w:sz w:val="20"/>
        </w:rPr>
        <w:t> </w:t>
      </w:r>
      <w:hyperlink r:id="rId100">
        <w:r>
          <w:rPr>
            <w:color w:val="0562C1"/>
            <w:sz w:val="20"/>
            <w:u w:val="single" w:color="0562C1"/>
          </w:rPr>
          <w:t>http://eur-lex.europa.eu/legal-content/LV/TXT/PDF/?uri=CELEX:52016PC0723&amp;from=EN</w:t>
        </w:r>
      </w:hyperlink>
      <w:r>
        <w:rPr>
          <w:sz w:val="20"/>
        </w:rPr>
        <w:t> [aplūkots 2018.gada</w:t>
      </w:r>
      <w:r>
        <w:rPr>
          <w:spacing w:val="-3"/>
          <w:sz w:val="20"/>
        </w:rPr>
        <w:t> </w:t>
      </w:r>
      <w:r>
        <w:rPr>
          <w:sz w:val="20"/>
        </w:rPr>
        <w:t>20.septembrī].</w:t>
      </w:r>
    </w:p>
    <w:p>
      <w:pPr>
        <w:spacing w:after="0" w:line="242" w:lineRule="auto"/>
        <w:jc w:val="both"/>
        <w:rPr>
          <w:sz w:val="20"/>
        </w:rPr>
        <w:sectPr>
          <w:pgSz w:w="11910" w:h="16840"/>
          <w:pgMar w:header="0" w:footer="1055" w:top="1340" w:bottom="1240" w:left="1180" w:right="1040"/>
        </w:sectPr>
      </w:pPr>
    </w:p>
    <w:p>
      <w:pPr>
        <w:pStyle w:val="BodyText"/>
        <w:spacing w:before="73"/>
        <w:ind w:left="620" w:right="403"/>
      </w:pPr>
      <w:r>
        <w:rPr/>
        <w:t>ceturto</w:t>
      </w:r>
      <w:r>
        <w:rPr>
          <w:spacing w:val="35"/>
        </w:rPr>
        <w:t> </w:t>
      </w:r>
      <w:r>
        <w:rPr/>
        <w:t>daļu,</w:t>
      </w:r>
      <w:r>
        <w:rPr>
          <w:spacing w:val="-12"/>
        </w:rPr>
        <w:t> </w:t>
      </w:r>
      <w:r>
        <w:rPr/>
        <w:t>secināms,</w:t>
      </w:r>
      <w:r>
        <w:rPr>
          <w:spacing w:val="-13"/>
        </w:rPr>
        <w:t> </w:t>
      </w:r>
      <w:r>
        <w:rPr/>
        <w:t>ka</w:t>
      </w:r>
      <w:r>
        <w:rPr>
          <w:spacing w:val="-15"/>
        </w:rPr>
        <w:t> </w:t>
      </w:r>
      <w:r>
        <w:rPr/>
        <w:t>parādniekam</w:t>
      </w:r>
      <w:r>
        <w:rPr>
          <w:spacing w:val="-12"/>
        </w:rPr>
        <w:t> </w:t>
      </w:r>
      <w:r>
        <w:rPr/>
        <w:t>ir</w:t>
      </w:r>
      <w:r>
        <w:rPr>
          <w:spacing w:val="-11"/>
        </w:rPr>
        <w:t> </w:t>
      </w:r>
      <w:r>
        <w:rPr/>
        <w:t>pienākums</w:t>
      </w:r>
      <w:r>
        <w:rPr>
          <w:spacing w:val="-13"/>
        </w:rPr>
        <w:t> </w:t>
      </w:r>
      <w:r>
        <w:rPr/>
        <w:t>novirzīt</w:t>
      </w:r>
      <w:r>
        <w:rPr>
          <w:spacing w:val="-10"/>
        </w:rPr>
        <w:t> </w:t>
      </w:r>
      <w:r>
        <w:rPr/>
        <w:t>kreditoru</w:t>
      </w:r>
      <w:r>
        <w:rPr>
          <w:spacing w:val="-15"/>
        </w:rPr>
        <w:t> </w:t>
      </w:r>
      <w:r>
        <w:rPr/>
        <w:t>prasījumu</w:t>
      </w:r>
      <w:r>
        <w:rPr>
          <w:spacing w:val="-12"/>
        </w:rPr>
        <w:t> </w:t>
      </w:r>
      <w:r>
        <w:rPr/>
        <w:t>segšanai līdzekļus 1/3 apmērā no parādnieka ienākumiem pēc nodokļu samaksas tikai tad, ja parādnieks nespēj segt vismaz 50 %, 35 % vai 20 % no saistību</w:t>
      </w:r>
      <w:r>
        <w:rPr>
          <w:spacing w:val="-4"/>
        </w:rPr>
        <w:t> </w:t>
      </w:r>
      <w:r>
        <w:rPr/>
        <w:t>apmēra.</w:t>
      </w:r>
    </w:p>
    <w:p>
      <w:pPr>
        <w:pStyle w:val="BodyText"/>
        <w:ind w:left="620" w:right="403" w:firstLine="420"/>
      </w:pPr>
      <w:r>
        <w:rPr/>
        <w:t>Tādējādi secināms, ka Maksātnespējas likuma 155.panta ceturtā daļa, kas, lai gan regulē</w:t>
      </w:r>
      <w:r>
        <w:rPr>
          <w:spacing w:val="-5"/>
        </w:rPr>
        <w:t> </w:t>
      </w:r>
      <w:r>
        <w:rPr/>
        <w:t>jautājumu</w:t>
      </w:r>
      <w:r>
        <w:rPr>
          <w:spacing w:val="-5"/>
        </w:rPr>
        <w:t> </w:t>
      </w:r>
      <w:r>
        <w:rPr/>
        <w:t>par</w:t>
      </w:r>
      <w:r>
        <w:rPr>
          <w:spacing w:val="-3"/>
        </w:rPr>
        <w:t> </w:t>
      </w:r>
      <w:r>
        <w:rPr/>
        <w:t>saistību</w:t>
      </w:r>
      <w:r>
        <w:rPr>
          <w:spacing w:val="-5"/>
        </w:rPr>
        <w:t> </w:t>
      </w:r>
      <w:r>
        <w:rPr/>
        <w:t>dzēšanas</w:t>
      </w:r>
      <w:r>
        <w:rPr>
          <w:spacing w:val="-6"/>
        </w:rPr>
        <w:t> </w:t>
      </w:r>
      <w:r>
        <w:rPr/>
        <w:t>plāna</w:t>
      </w:r>
      <w:r>
        <w:rPr>
          <w:spacing w:val="-4"/>
        </w:rPr>
        <w:t> </w:t>
      </w:r>
      <w:r>
        <w:rPr/>
        <w:t>termiņu,</w:t>
      </w:r>
      <w:r>
        <w:rPr>
          <w:spacing w:val="-4"/>
        </w:rPr>
        <w:t> </w:t>
      </w:r>
      <w:r>
        <w:rPr/>
        <w:t>faktiski</w:t>
      </w:r>
      <w:r>
        <w:rPr>
          <w:spacing w:val="-5"/>
        </w:rPr>
        <w:t> </w:t>
      </w:r>
      <w:r>
        <w:rPr/>
        <w:t>ir</w:t>
      </w:r>
      <w:r>
        <w:rPr>
          <w:spacing w:val="-4"/>
        </w:rPr>
        <w:t> </w:t>
      </w:r>
      <w:r>
        <w:rPr/>
        <w:t>vienīgā</w:t>
      </w:r>
      <w:r>
        <w:rPr>
          <w:spacing w:val="-8"/>
        </w:rPr>
        <w:t> </w:t>
      </w:r>
      <w:r>
        <w:rPr/>
        <w:t>tiesību</w:t>
      </w:r>
      <w:r>
        <w:rPr>
          <w:spacing w:val="-4"/>
        </w:rPr>
        <w:t> </w:t>
      </w:r>
      <w:r>
        <w:rPr/>
        <w:t>norma,</w:t>
      </w:r>
      <w:r>
        <w:rPr>
          <w:spacing w:val="-8"/>
        </w:rPr>
        <w:t> </w:t>
      </w:r>
      <w:r>
        <w:rPr/>
        <w:t>kas parādniekam noteic pienākumu novirzīt kreditoru prasījumu segšanai 1/3 daļu no saviem ienākumiem.</w:t>
      </w:r>
      <w:r>
        <w:rPr>
          <w:spacing w:val="-11"/>
        </w:rPr>
        <w:t> </w:t>
      </w:r>
      <w:r>
        <w:rPr/>
        <w:t>Turklāt</w:t>
      </w:r>
      <w:r>
        <w:rPr>
          <w:spacing w:val="-10"/>
        </w:rPr>
        <w:t> </w:t>
      </w:r>
      <w:r>
        <w:rPr/>
        <w:t>šajā</w:t>
      </w:r>
      <w:r>
        <w:rPr>
          <w:spacing w:val="-9"/>
        </w:rPr>
        <w:t> </w:t>
      </w:r>
      <w:r>
        <w:rPr/>
        <w:t>ziņā</w:t>
      </w:r>
      <w:r>
        <w:rPr>
          <w:spacing w:val="-12"/>
        </w:rPr>
        <w:t> </w:t>
      </w:r>
      <w:r>
        <w:rPr/>
        <w:t>atzīmējams</w:t>
      </w:r>
      <w:r>
        <w:rPr>
          <w:spacing w:val="-10"/>
        </w:rPr>
        <w:t> </w:t>
      </w:r>
      <w:r>
        <w:rPr/>
        <w:t>tas,</w:t>
      </w:r>
      <w:r>
        <w:rPr>
          <w:spacing w:val="-10"/>
        </w:rPr>
        <w:t> </w:t>
      </w:r>
      <w:r>
        <w:rPr/>
        <w:t>ka</w:t>
      </w:r>
      <w:r>
        <w:rPr>
          <w:spacing w:val="-8"/>
        </w:rPr>
        <w:t> </w:t>
      </w:r>
      <w:r>
        <w:rPr/>
        <w:t>Maksātnespējas</w:t>
      </w:r>
      <w:r>
        <w:rPr>
          <w:spacing w:val="-10"/>
        </w:rPr>
        <w:t> </w:t>
      </w:r>
      <w:r>
        <w:rPr/>
        <w:t>likuma</w:t>
      </w:r>
      <w:r>
        <w:rPr>
          <w:spacing w:val="-12"/>
        </w:rPr>
        <w:t> </w:t>
      </w:r>
      <w:r>
        <w:rPr/>
        <w:t>155.panta</w:t>
      </w:r>
      <w:r>
        <w:rPr>
          <w:spacing w:val="-10"/>
        </w:rPr>
        <w:t> </w:t>
      </w:r>
      <w:r>
        <w:rPr/>
        <w:t>ceturtā daļa ir zināmā pretrunā ar Maksātnespējas likuma 154.panta 6.punktu un Maksātnespējas likuma 160.panta 1.punktu, jo atbilstoši minētajām tiesību normām parādnieks būs izpildījis likuma prasības, novirzot kreditoru prasījumu segšanai saistību dzēšanas plānā norādītos</w:t>
      </w:r>
      <w:r>
        <w:rPr>
          <w:spacing w:val="-1"/>
        </w:rPr>
        <w:t> </w:t>
      </w:r>
      <w:r>
        <w:rPr/>
        <w:t>maksājumus.</w:t>
      </w:r>
    </w:p>
    <w:p>
      <w:pPr>
        <w:pStyle w:val="BodyText"/>
        <w:spacing w:line="237" w:lineRule="auto" w:before="3"/>
        <w:ind w:left="620" w:right="401" w:firstLine="360"/>
      </w:pPr>
      <w:r>
        <w:rPr/>
        <w:t>Līdz ar to secināms, ka ir nepieciešams noteikt precīzāku regulējumu attiecībā uz to, kādu apmēru no saviem ienākumiem parādniekam ir jānovirza kreditoru prasījumu segšanai.   Turklāt,   ņemot   vērā   Civilprocesa   594.panta   regulējumu,   kā    arī    2016. gada 22. novembra Eiropas Komisijas Priekšlikuma direktīvai par preventīvās pārstrukturēšanas regulējumu, otro iespēju un pārstrukturēšanas, maksātnespējas un saistību dzēšanas procedūru efektivitātes palielināšanas pasākumiem un ar ko groza Direktīvu 2012/30/ES</w:t>
      </w:r>
      <w:r>
        <w:rPr>
          <w:position w:val="9"/>
          <w:sz w:val="16"/>
        </w:rPr>
        <w:t>485 </w:t>
      </w:r>
      <w:r>
        <w:rPr/>
        <w:t>19.panta otro daļu, nepieciešams kreditoru prasījumu segšanai novirzāmo</w:t>
      </w:r>
      <w:r>
        <w:rPr>
          <w:spacing w:val="-14"/>
        </w:rPr>
        <w:t> </w:t>
      </w:r>
      <w:r>
        <w:rPr/>
        <w:t>summu</w:t>
      </w:r>
      <w:r>
        <w:rPr>
          <w:spacing w:val="-13"/>
        </w:rPr>
        <w:t> </w:t>
      </w:r>
      <w:r>
        <w:rPr/>
        <w:t>samērot</w:t>
      </w:r>
      <w:r>
        <w:rPr>
          <w:spacing w:val="-12"/>
        </w:rPr>
        <w:t> </w:t>
      </w:r>
      <w:r>
        <w:rPr/>
        <w:t>ar</w:t>
      </w:r>
      <w:r>
        <w:rPr>
          <w:spacing w:val="-17"/>
        </w:rPr>
        <w:t> </w:t>
      </w:r>
      <w:r>
        <w:rPr/>
        <w:t>parādnieka</w:t>
      </w:r>
      <w:r>
        <w:rPr>
          <w:spacing w:val="-12"/>
        </w:rPr>
        <w:t> </w:t>
      </w:r>
      <w:r>
        <w:rPr/>
        <w:t>ģimenes</w:t>
      </w:r>
      <w:r>
        <w:rPr>
          <w:spacing w:val="-13"/>
        </w:rPr>
        <w:t> </w:t>
      </w:r>
      <w:r>
        <w:rPr/>
        <w:t>stāvokli</w:t>
      </w:r>
      <w:r>
        <w:rPr>
          <w:spacing w:val="-14"/>
        </w:rPr>
        <w:t> </w:t>
      </w:r>
      <w:r>
        <w:rPr/>
        <w:t>(apgādībā</w:t>
      </w:r>
      <w:r>
        <w:rPr>
          <w:spacing w:val="-13"/>
        </w:rPr>
        <w:t> </w:t>
      </w:r>
      <w:r>
        <w:rPr/>
        <w:t>esošo</w:t>
      </w:r>
      <w:r>
        <w:rPr>
          <w:spacing w:val="-10"/>
        </w:rPr>
        <w:t> </w:t>
      </w:r>
      <w:r>
        <w:rPr/>
        <w:t>personu</w:t>
      </w:r>
      <w:r>
        <w:rPr>
          <w:spacing w:val="-13"/>
        </w:rPr>
        <w:t> </w:t>
      </w:r>
      <w:r>
        <w:rPr/>
        <w:t>skaitu) un ienākumu</w:t>
      </w:r>
      <w:r>
        <w:rPr>
          <w:spacing w:val="1"/>
        </w:rPr>
        <w:t> </w:t>
      </w:r>
      <w:r>
        <w:rPr/>
        <w:t>apmēru.</w:t>
      </w:r>
    </w:p>
    <w:p>
      <w:pPr>
        <w:pStyle w:val="BodyText"/>
        <w:spacing w:before="7"/>
        <w:ind w:left="620" w:right="401" w:firstLine="360"/>
      </w:pPr>
      <w:r>
        <w:rPr/>
        <w:t>Tā, pirmkārt, Maksātnespējas likuma prasība kreditoru prasījumu segšanai novirzīt līdzekļus vienas trešdaļas apmērā no parādnieka ienākumiem pēc nodokļu samaksas, bet ne mazāk kā vienas trešdaļas apmērā no vienas minimālās mēnešalgas mēnesī pirms nodokļu samaksas, nostāda parādnieku ar ienākumiem minimālās mēnešalgas apmērā vai nedaudz</w:t>
      </w:r>
      <w:r>
        <w:rPr>
          <w:spacing w:val="-10"/>
        </w:rPr>
        <w:t> </w:t>
      </w:r>
      <w:r>
        <w:rPr/>
        <w:t>virs</w:t>
      </w:r>
      <w:r>
        <w:rPr>
          <w:spacing w:val="-11"/>
        </w:rPr>
        <w:t> </w:t>
      </w:r>
      <w:r>
        <w:rPr/>
        <w:t>tā</w:t>
      </w:r>
      <w:r>
        <w:rPr>
          <w:spacing w:val="-11"/>
        </w:rPr>
        <w:t> </w:t>
      </w:r>
      <w:r>
        <w:rPr/>
        <w:t>salīdzinoši</w:t>
      </w:r>
      <w:r>
        <w:rPr>
          <w:spacing w:val="-9"/>
        </w:rPr>
        <w:t> </w:t>
      </w:r>
      <w:r>
        <w:rPr/>
        <w:t>neizdevīgākā</w:t>
      </w:r>
      <w:r>
        <w:rPr>
          <w:spacing w:val="-13"/>
        </w:rPr>
        <w:t> </w:t>
      </w:r>
      <w:r>
        <w:rPr/>
        <w:t>situācijā</w:t>
      </w:r>
      <w:r>
        <w:rPr>
          <w:spacing w:val="-10"/>
        </w:rPr>
        <w:t> </w:t>
      </w:r>
      <w:r>
        <w:rPr/>
        <w:t>nekā</w:t>
      </w:r>
      <w:r>
        <w:rPr>
          <w:spacing w:val="-11"/>
        </w:rPr>
        <w:t> </w:t>
      </w:r>
      <w:r>
        <w:rPr/>
        <w:t>tad,</w:t>
      </w:r>
      <w:r>
        <w:rPr>
          <w:spacing w:val="-11"/>
        </w:rPr>
        <w:t> </w:t>
      </w:r>
      <w:r>
        <w:rPr/>
        <w:t>ja</w:t>
      </w:r>
      <w:r>
        <w:rPr>
          <w:spacing w:val="-10"/>
        </w:rPr>
        <w:t> </w:t>
      </w:r>
      <w:r>
        <w:rPr/>
        <w:t>parāds</w:t>
      </w:r>
      <w:r>
        <w:rPr>
          <w:spacing w:val="-11"/>
        </w:rPr>
        <w:t> </w:t>
      </w:r>
      <w:r>
        <w:rPr/>
        <w:t>tiek</w:t>
      </w:r>
      <w:r>
        <w:rPr>
          <w:spacing w:val="-13"/>
        </w:rPr>
        <w:t> </w:t>
      </w:r>
      <w:r>
        <w:rPr/>
        <w:t>piedzīts</w:t>
      </w:r>
      <w:r>
        <w:rPr>
          <w:spacing w:val="-11"/>
        </w:rPr>
        <w:t> </w:t>
      </w:r>
      <w:r>
        <w:rPr/>
        <w:t>piespiedu piedziņas procesā. Proti, atbilstoši Civilprocesa likuma 594.panta pirmās daļas</w:t>
      </w:r>
      <w:r>
        <w:rPr>
          <w:spacing w:val="-28"/>
        </w:rPr>
        <w:t> </w:t>
      </w:r>
      <w:r>
        <w:rPr/>
        <w:t>3.punktam, izdarot</w:t>
      </w:r>
      <w:r>
        <w:rPr>
          <w:spacing w:val="-15"/>
        </w:rPr>
        <w:t> </w:t>
      </w:r>
      <w:r>
        <w:rPr/>
        <w:t>piedziņu</w:t>
      </w:r>
      <w:r>
        <w:rPr>
          <w:spacing w:val="-15"/>
        </w:rPr>
        <w:t> </w:t>
      </w:r>
      <w:r>
        <w:rPr/>
        <w:t>no</w:t>
      </w:r>
      <w:r>
        <w:rPr>
          <w:spacing w:val="-15"/>
        </w:rPr>
        <w:t> </w:t>
      </w:r>
      <w:r>
        <w:rPr/>
        <w:t>parādnieka</w:t>
      </w:r>
      <w:r>
        <w:rPr>
          <w:spacing w:val="-17"/>
        </w:rPr>
        <w:t> </w:t>
      </w:r>
      <w:r>
        <w:rPr/>
        <w:t>darba</w:t>
      </w:r>
      <w:r>
        <w:rPr>
          <w:spacing w:val="-17"/>
        </w:rPr>
        <w:t> </w:t>
      </w:r>
      <w:r>
        <w:rPr/>
        <w:t>samaksas,</w:t>
      </w:r>
      <w:r>
        <w:rPr>
          <w:spacing w:val="-15"/>
        </w:rPr>
        <w:t> </w:t>
      </w:r>
      <w:r>
        <w:rPr/>
        <w:t>parādniekam</w:t>
      </w:r>
      <w:r>
        <w:rPr>
          <w:spacing w:val="-17"/>
        </w:rPr>
        <w:t> </w:t>
      </w:r>
      <w:r>
        <w:rPr/>
        <w:t>ir</w:t>
      </w:r>
      <w:r>
        <w:rPr>
          <w:spacing w:val="-15"/>
        </w:rPr>
        <w:t> </w:t>
      </w:r>
      <w:r>
        <w:rPr/>
        <w:t>saglabājama</w:t>
      </w:r>
      <w:r>
        <w:rPr>
          <w:spacing w:val="-13"/>
        </w:rPr>
        <w:t> </w:t>
      </w:r>
      <w:r>
        <w:rPr/>
        <w:t>darba</w:t>
      </w:r>
      <w:r>
        <w:rPr>
          <w:spacing w:val="-17"/>
        </w:rPr>
        <w:t> </w:t>
      </w:r>
      <w:r>
        <w:rPr/>
        <w:t>samaksa un tai pielīdzinātie maksājumi minimālās mēneša darba algas apmērā, kā arī uz katru apgādībā esošo nepilngadīgo bērnu papildus ir saglabājami līdzekļi valsts sociālā nodrošinājuma pabalsta apmērā. Attiecīgi parādnieki ar zemiem ienākumiem ir faktiski demotivēti uzsākt maksātnespējas procesu, jo tieši maksātnespējas procesa uzsākšana pasliktina viņu finansiālo stāvokli, nevis sniedz iespēju risināt savas finansiālās</w:t>
      </w:r>
      <w:r>
        <w:rPr>
          <w:spacing w:val="-7"/>
        </w:rPr>
        <w:t> </w:t>
      </w:r>
      <w:r>
        <w:rPr/>
        <w:t>grūtības.</w:t>
      </w:r>
    </w:p>
    <w:p>
      <w:pPr>
        <w:pStyle w:val="BodyText"/>
        <w:spacing w:before="1"/>
        <w:ind w:left="620" w:right="401" w:firstLine="720"/>
      </w:pPr>
      <w:r>
        <w:rPr/>
        <w:t>Otrkārt, Eiropas Komisijas Priekšlikuma direktīvai par preventīvās pārstrukturēšanas regulējumu, otro iespēju un pārstrukturēšanas, maksātnespējas un saistību dzēšanas procedūru efektivitātes palielināšanas pasākumiem un ar ko groza Direktīvu</w:t>
      </w:r>
      <w:r>
        <w:rPr>
          <w:spacing w:val="-14"/>
        </w:rPr>
        <w:t> </w:t>
      </w:r>
      <w:r>
        <w:rPr/>
        <w:t>2012/30/ES</w:t>
      </w:r>
      <w:r>
        <w:rPr>
          <w:spacing w:val="-13"/>
        </w:rPr>
        <w:t> </w:t>
      </w:r>
      <w:r>
        <w:rPr/>
        <w:t>19.panta</w:t>
      </w:r>
      <w:r>
        <w:rPr>
          <w:spacing w:val="-13"/>
        </w:rPr>
        <w:t> </w:t>
      </w:r>
      <w:r>
        <w:rPr/>
        <w:t>otrā</w:t>
      </w:r>
      <w:r>
        <w:rPr>
          <w:spacing w:val="-12"/>
        </w:rPr>
        <w:t> </w:t>
      </w:r>
      <w:r>
        <w:rPr/>
        <w:t>daļa</w:t>
      </w:r>
      <w:r>
        <w:rPr>
          <w:spacing w:val="-13"/>
        </w:rPr>
        <w:t> </w:t>
      </w:r>
      <w:r>
        <w:rPr/>
        <w:t>noteic,</w:t>
      </w:r>
      <w:r>
        <w:rPr>
          <w:spacing w:val="-13"/>
        </w:rPr>
        <w:t> </w:t>
      </w:r>
      <w:r>
        <w:rPr/>
        <w:t>ka</w:t>
      </w:r>
      <w:r>
        <w:rPr>
          <w:spacing w:val="-11"/>
        </w:rPr>
        <w:t> </w:t>
      </w:r>
      <w:r>
        <w:rPr/>
        <w:t>dalībvalstīm</w:t>
      </w:r>
      <w:r>
        <w:rPr>
          <w:spacing w:val="-11"/>
        </w:rPr>
        <w:t> </w:t>
      </w:r>
      <w:r>
        <w:rPr/>
        <w:t>jānodrošina</w:t>
      </w:r>
      <w:r>
        <w:rPr>
          <w:spacing w:val="-13"/>
        </w:rPr>
        <w:t> </w:t>
      </w:r>
      <w:r>
        <w:rPr/>
        <w:t>tas,</w:t>
      </w:r>
      <w:r>
        <w:rPr>
          <w:spacing w:val="-13"/>
        </w:rPr>
        <w:t> </w:t>
      </w:r>
      <w:r>
        <w:rPr/>
        <w:t>lai</w:t>
      </w:r>
      <w:r>
        <w:rPr>
          <w:spacing w:val="-13"/>
        </w:rPr>
        <w:t> </w:t>
      </w:r>
      <w:r>
        <w:rPr/>
        <w:t>saistību dzēšanas</w:t>
      </w:r>
      <w:r>
        <w:rPr>
          <w:spacing w:val="-11"/>
        </w:rPr>
        <w:t> </w:t>
      </w:r>
      <w:r>
        <w:rPr/>
        <w:t>procedūras</w:t>
      </w:r>
      <w:r>
        <w:rPr>
          <w:spacing w:val="-11"/>
        </w:rPr>
        <w:t> </w:t>
      </w:r>
      <w:r>
        <w:rPr/>
        <w:t>laikā</w:t>
      </w:r>
      <w:r>
        <w:rPr>
          <w:spacing w:val="-12"/>
        </w:rPr>
        <w:t> </w:t>
      </w:r>
      <w:r>
        <w:rPr/>
        <w:t>parādu</w:t>
      </w:r>
      <w:r>
        <w:rPr>
          <w:spacing w:val="-11"/>
        </w:rPr>
        <w:t> </w:t>
      </w:r>
      <w:r>
        <w:rPr/>
        <w:t>maksāšanas</w:t>
      </w:r>
      <w:r>
        <w:rPr>
          <w:spacing w:val="-10"/>
        </w:rPr>
        <w:t> </w:t>
      </w:r>
      <w:r>
        <w:rPr/>
        <w:t>pienākums</w:t>
      </w:r>
      <w:r>
        <w:rPr>
          <w:spacing w:val="-11"/>
        </w:rPr>
        <w:t> </w:t>
      </w:r>
      <w:r>
        <w:rPr/>
        <w:t>ir</w:t>
      </w:r>
      <w:r>
        <w:rPr>
          <w:spacing w:val="-11"/>
        </w:rPr>
        <w:t> </w:t>
      </w:r>
      <w:r>
        <w:rPr/>
        <w:t>balstīts</w:t>
      </w:r>
      <w:r>
        <w:rPr>
          <w:spacing w:val="-7"/>
        </w:rPr>
        <w:t> </w:t>
      </w:r>
      <w:r>
        <w:rPr/>
        <w:t>uz</w:t>
      </w:r>
      <w:r>
        <w:rPr>
          <w:spacing w:val="-10"/>
        </w:rPr>
        <w:t> </w:t>
      </w:r>
      <w:r>
        <w:rPr/>
        <w:t>parādnieka</w:t>
      </w:r>
      <w:r>
        <w:rPr>
          <w:spacing w:val="-12"/>
        </w:rPr>
        <w:t> </w:t>
      </w:r>
      <w:r>
        <w:rPr/>
        <w:t>konkrēto stāvokli un ir samērīgs ar viņa rīcībā esošajiem ienākumiem visā saistību dzēšanas laikposmā. Šobrīd spēkā esošais Maksātnespējas likuma tiesiskais regulējums, kas neparedz</w:t>
      </w:r>
      <w:r>
        <w:rPr>
          <w:spacing w:val="-7"/>
        </w:rPr>
        <w:t> </w:t>
      </w:r>
      <w:r>
        <w:rPr/>
        <w:t>iespēju</w:t>
      </w:r>
      <w:r>
        <w:rPr>
          <w:spacing w:val="-9"/>
        </w:rPr>
        <w:t> </w:t>
      </w:r>
      <w:r>
        <w:rPr/>
        <w:t>samazināt</w:t>
      </w:r>
      <w:r>
        <w:rPr>
          <w:spacing w:val="-9"/>
        </w:rPr>
        <w:t> </w:t>
      </w:r>
      <w:r>
        <w:rPr/>
        <w:t>kreditoru</w:t>
      </w:r>
      <w:r>
        <w:rPr>
          <w:spacing w:val="-11"/>
        </w:rPr>
        <w:t> </w:t>
      </w:r>
      <w:r>
        <w:rPr/>
        <w:t>prasījumu</w:t>
      </w:r>
      <w:r>
        <w:rPr>
          <w:spacing w:val="-9"/>
        </w:rPr>
        <w:t> </w:t>
      </w:r>
      <w:r>
        <w:rPr/>
        <w:t>segšanai</w:t>
      </w:r>
      <w:r>
        <w:rPr>
          <w:spacing w:val="-9"/>
        </w:rPr>
        <w:t> </w:t>
      </w:r>
      <w:r>
        <w:rPr/>
        <w:t>novirzāmo</w:t>
      </w:r>
      <w:r>
        <w:rPr>
          <w:spacing w:val="-9"/>
        </w:rPr>
        <w:t> </w:t>
      </w:r>
      <w:r>
        <w:rPr/>
        <w:t>summu</w:t>
      </w:r>
      <w:r>
        <w:rPr>
          <w:spacing w:val="-10"/>
        </w:rPr>
        <w:t> </w:t>
      </w:r>
      <w:r>
        <w:rPr/>
        <w:t>atkarībā</w:t>
      </w:r>
      <w:r>
        <w:rPr>
          <w:spacing w:val="-9"/>
        </w:rPr>
        <w:t> </w:t>
      </w:r>
      <w:r>
        <w:rPr/>
        <w:t>no</w:t>
      </w:r>
      <w:r>
        <w:rPr>
          <w:spacing w:val="-9"/>
        </w:rPr>
        <w:t> </w:t>
      </w:r>
      <w:r>
        <w:rPr/>
        <w:t>tā, cik personas ir parādnieka apgādībā, kā arī neatkarīgi no parādnieka ienākumu apmēra paredz pienākumu kreditoru prasījumu segšanai novirzīt vismaz vienu trešdaļu no vienas minimālās mēnešalgas mēnesī pirms nodokļu samaksas, neatbilst Eiropas Komisijas priekšlikuma 19.panta otrajai daļai.</w:t>
      </w:r>
    </w:p>
    <w:p>
      <w:pPr>
        <w:pStyle w:val="BodyText"/>
        <w:jc w:val="left"/>
        <w:rPr>
          <w:sz w:val="20"/>
        </w:rPr>
      </w:pPr>
    </w:p>
    <w:p>
      <w:pPr>
        <w:pStyle w:val="BodyText"/>
        <w:spacing w:before="6"/>
        <w:jc w:val="left"/>
        <w:rPr>
          <w:sz w:val="20"/>
        </w:rPr>
      </w:pPr>
      <w:r>
        <w:rPr/>
        <w:pict>
          <v:shape style="position:absolute;margin-left:90pt;margin-top:14.048782pt;width:144pt;height:.1pt;mso-position-horizontal-relative:page;mso-position-vertical-relative:paragraph;z-index:-251448320;mso-wrap-distance-left:0;mso-wrap-distance-right:0" coordorigin="1800,281" coordsize="2880,0" path="m1800,281l4680,281e" filled="false" stroked="true" strokeweight=".600037pt" strokecolor="#000000">
            <v:path arrowok="t"/>
            <v:stroke dashstyle="solid"/>
            <w10:wrap type="topAndBottom"/>
          </v:shape>
        </w:pict>
      </w:r>
    </w:p>
    <w:p>
      <w:pPr>
        <w:spacing w:line="242" w:lineRule="auto" w:before="58"/>
        <w:ind w:left="620" w:right="401" w:firstLine="0"/>
        <w:jc w:val="both"/>
        <w:rPr>
          <w:sz w:val="20"/>
        </w:rPr>
      </w:pPr>
      <w:r>
        <w:rPr>
          <w:position w:val="9"/>
          <w:sz w:val="16"/>
        </w:rPr>
        <w:t>485 </w:t>
      </w:r>
      <w:r>
        <w:rPr>
          <w:sz w:val="20"/>
        </w:rPr>
        <w:t>Proposal for a Directive of the European Parliament and of the Council on preventive restructuring frameworks,</w:t>
      </w:r>
      <w:r>
        <w:rPr>
          <w:spacing w:val="-15"/>
          <w:sz w:val="20"/>
        </w:rPr>
        <w:t> </w:t>
      </w:r>
      <w:r>
        <w:rPr>
          <w:sz w:val="20"/>
        </w:rPr>
        <w:t>second</w:t>
      </w:r>
      <w:r>
        <w:rPr>
          <w:spacing w:val="-12"/>
          <w:sz w:val="20"/>
        </w:rPr>
        <w:t> </w:t>
      </w:r>
      <w:r>
        <w:rPr>
          <w:sz w:val="20"/>
        </w:rPr>
        <w:t>chance</w:t>
      </w:r>
      <w:r>
        <w:rPr>
          <w:spacing w:val="-12"/>
          <w:sz w:val="20"/>
        </w:rPr>
        <w:t> </w:t>
      </w:r>
      <w:r>
        <w:rPr>
          <w:sz w:val="20"/>
        </w:rPr>
        <w:t>and</w:t>
      </w:r>
      <w:r>
        <w:rPr>
          <w:spacing w:val="-12"/>
          <w:sz w:val="20"/>
        </w:rPr>
        <w:t> </w:t>
      </w:r>
      <w:r>
        <w:rPr>
          <w:sz w:val="20"/>
        </w:rPr>
        <w:t>measures</w:t>
      </w:r>
      <w:r>
        <w:rPr>
          <w:spacing w:val="-15"/>
          <w:sz w:val="20"/>
        </w:rPr>
        <w:t> </w:t>
      </w:r>
      <w:r>
        <w:rPr>
          <w:sz w:val="20"/>
        </w:rPr>
        <w:t>to</w:t>
      </w:r>
      <w:r>
        <w:rPr>
          <w:spacing w:val="-12"/>
          <w:sz w:val="20"/>
        </w:rPr>
        <w:t> </w:t>
      </w:r>
      <w:r>
        <w:rPr>
          <w:sz w:val="20"/>
        </w:rPr>
        <w:t>increase</w:t>
      </w:r>
      <w:r>
        <w:rPr>
          <w:spacing w:val="-12"/>
          <w:sz w:val="20"/>
        </w:rPr>
        <w:t> </w:t>
      </w:r>
      <w:r>
        <w:rPr>
          <w:sz w:val="20"/>
        </w:rPr>
        <w:t>the</w:t>
      </w:r>
      <w:r>
        <w:rPr>
          <w:spacing w:val="-12"/>
          <w:sz w:val="20"/>
        </w:rPr>
        <w:t> </w:t>
      </w:r>
      <w:r>
        <w:rPr>
          <w:sz w:val="20"/>
        </w:rPr>
        <w:t>efficiency</w:t>
      </w:r>
      <w:r>
        <w:rPr>
          <w:spacing w:val="-16"/>
          <w:sz w:val="20"/>
        </w:rPr>
        <w:t> </w:t>
      </w:r>
      <w:r>
        <w:rPr>
          <w:sz w:val="20"/>
        </w:rPr>
        <w:t>of</w:t>
      </w:r>
      <w:r>
        <w:rPr>
          <w:spacing w:val="-14"/>
          <w:sz w:val="20"/>
        </w:rPr>
        <w:t> </w:t>
      </w:r>
      <w:r>
        <w:rPr>
          <w:sz w:val="20"/>
        </w:rPr>
        <w:t>restructuring,</w:t>
      </w:r>
      <w:r>
        <w:rPr>
          <w:spacing w:val="-14"/>
          <w:sz w:val="20"/>
        </w:rPr>
        <w:t> </w:t>
      </w:r>
      <w:r>
        <w:rPr>
          <w:sz w:val="20"/>
        </w:rPr>
        <w:t>insolvency</w:t>
      </w:r>
      <w:r>
        <w:rPr>
          <w:spacing w:val="-16"/>
          <w:sz w:val="20"/>
        </w:rPr>
        <w:t> </w:t>
      </w:r>
      <w:r>
        <w:rPr>
          <w:sz w:val="20"/>
        </w:rPr>
        <w:t>and</w:t>
      </w:r>
      <w:r>
        <w:rPr>
          <w:spacing w:val="-12"/>
          <w:sz w:val="20"/>
        </w:rPr>
        <w:t> </w:t>
      </w:r>
      <w:r>
        <w:rPr>
          <w:sz w:val="20"/>
        </w:rPr>
        <w:t>discharge procedures and amending Directive 2012/30/EU. COM (2016) 723, 2016/0359(COD), latviešu valodā pieejams:</w:t>
      </w:r>
      <w:r>
        <w:rPr>
          <w:color w:val="0562C1"/>
          <w:sz w:val="20"/>
        </w:rPr>
        <w:t> </w:t>
      </w:r>
      <w:hyperlink r:id="rId100">
        <w:r>
          <w:rPr>
            <w:color w:val="0562C1"/>
            <w:sz w:val="20"/>
            <w:u w:val="single" w:color="0562C1"/>
          </w:rPr>
          <w:t>http://eur-lex.europa.eu/legal-content/LV/TXT/PDF/?uri=CELEX:52016PC0723&amp;from=EN</w:t>
        </w:r>
      </w:hyperlink>
      <w:r>
        <w:rPr>
          <w:sz w:val="20"/>
        </w:rPr>
        <w:t> [aplūkots 2018.gada</w:t>
      </w:r>
      <w:r>
        <w:rPr>
          <w:spacing w:val="-3"/>
          <w:sz w:val="20"/>
        </w:rPr>
        <w:t> </w:t>
      </w:r>
      <w:r>
        <w:rPr>
          <w:sz w:val="20"/>
        </w:rPr>
        <w:t>20.septembrī].</w:t>
      </w:r>
    </w:p>
    <w:p>
      <w:pPr>
        <w:spacing w:after="0" w:line="242" w:lineRule="auto"/>
        <w:jc w:val="both"/>
        <w:rPr>
          <w:sz w:val="20"/>
        </w:rPr>
        <w:sectPr>
          <w:footerReference w:type="default" r:id="rId101"/>
          <w:footerReference w:type="even" r:id="rId102"/>
          <w:pgSz w:w="11910" w:h="16840"/>
          <w:pgMar w:footer="1055" w:header="0" w:top="1340" w:bottom="1240" w:left="1180" w:right="1040"/>
          <w:pgNumType w:start="185"/>
        </w:sectPr>
      </w:pPr>
    </w:p>
    <w:p>
      <w:pPr>
        <w:pStyle w:val="BodyText"/>
        <w:spacing w:line="237" w:lineRule="auto" w:before="75"/>
        <w:ind w:left="260" w:right="761" w:firstLine="720"/>
      </w:pPr>
      <w:r>
        <w:rPr/>
        <w:t>Treškārt, arī dažādi starptautiskie eksperti ir norādījuši, ka par efektīvu fiziskās personas maksātnespējas procesu ir pamats runāt tikai tādā gadījumā, ja kreditoru prasījumu segšanas noteikumi katrā konkrētā gadījumā tiek saskaņoti ar parādnieka maksāšanas spēju.</w:t>
      </w:r>
      <w:r>
        <w:rPr>
          <w:position w:val="9"/>
          <w:sz w:val="16"/>
        </w:rPr>
        <w:t>486 </w:t>
      </w:r>
      <w:r>
        <w:rPr/>
        <w:t>Un jāatzīmē, ka, piemēram, nevienā no Pētāmajām valstīm likumā nav noteikts minimālais maksājumu slieksnis, kuru parādniekam ir pienākums novirzīt kreditoru prasījumu segšanai, bet visās Pētāmajās valstīs parādniekam tiek dotas iespējas saglabāt tā saucamo neaizskaramo minimumu, kas tostarp ir atkarīgs no apgādājamo personu skaita.</w:t>
      </w:r>
    </w:p>
    <w:p>
      <w:pPr>
        <w:pStyle w:val="BodyText"/>
        <w:spacing w:before="5"/>
        <w:ind w:left="260" w:right="761" w:firstLine="720"/>
      </w:pPr>
      <w:r>
        <w:rPr/>
        <w:t>Ņemot vērā minēto, būtu lietderīgi atteikties no minimālā maksājumu sliekšņa saistību dzēšanas procedūras laikā (tā vietā paredzot stingrākus parādnieka kontroles mehānismus un nelabvēlīgas sekas patieso ienākumu slēpšanas gadījumā), kā arī, nosakot kreditoru prasījumu segšanai novirzāmo summu, nepieciešams ņemt vērā vismaz to, cik nepilngadīgo bērnu ir parādnieka apgādībā.</w:t>
      </w:r>
    </w:p>
    <w:p>
      <w:pPr>
        <w:pStyle w:val="BodyText"/>
        <w:jc w:val="left"/>
        <w:rPr>
          <w:sz w:val="26"/>
        </w:rPr>
      </w:pPr>
    </w:p>
    <w:p>
      <w:pPr>
        <w:pStyle w:val="BodyText"/>
        <w:spacing w:before="6"/>
        <w:jc w:val="left"/>
        <w:rPr>
          <w:sz w:val="26"/>
        </w:rPr>
      </w:pPr>
    </w:p>
    <w:p>
      <w:pPr>
        <w:pStyle w:val="Heading2"/>
        <w:numPr>
          <w:ilvl w:val="0"/>
          <w:numId w:val="116"/>
        </w:numPr>
        <w:tabs>
          <w:tab w:pos="1900" w:val="left" w:leader="none"/>
        </w:tabs>
        <w:spacing w:line="240" w:lineRule="auto" w:before="0" w:after="0"/>
        <w:ind w:left="1899" w:right="0" w:hanging="361"/>
        <w:jc w:val="left"/>
      </w:pPr>
      <w:bookmarkStart w:name="_TOC_250020" w:id="58"/>
      <w:r>
        <w:rPr/>
        <w:t>Neapdomīga vai negodprātīga saistību</w:t>
      </w:r>
      <w:r>
        <w:rPr>
          <w:spacing w:val="-1"/>
        </w:rPr>
        <w:t> </w:t>
      </w:r>
      <w:bookmarkEnd w:id="58"/>
      <w:r>
        <w:rPr/>
        <w:t>uzņemšanās</w:t>
      </w:r>
    </w:p>
    <w:p>
      <w:pPr>
        <w:pStyle w:val="BodyText"/>
        <w:spacing w:before="5"/>
        <w:jc w:val="left"/>
        <w:rPr>
          <w:b/>
          <w:sz w:val="27"/>
        </w:rPr>
      </w:pPr>
    </w:p>
    <w:p>
      <w:pPr>
        <w:pStyle w:val="BodyText"/>
        <w:ind w:left="260" w:right="761" w:firstLine="720"/>
      </w:pPr>
      <w:r>
        <w:rPr/>
        <w:t>Fiziskās</w:t>
      </w:r>
      <w:r>
        <w:rPr>
          <w:spacing w:val="-11"/>
        </w:rPr>
        <w:t> </w:t>
      </w:r>
      <w:r>
        <w:rPr/>
        <w:t>personas</w:t>
      </w:r>
      <w:r>
        <w:rPr>
          <w:spacing w:val="-5"/>
        </w:rPr>
        <w:t> </w:t>
      </w:r>
      <w:r>
        <w:rPr/>
        <w:t>maksātnespējas</w:t>
      </w:r>
      <w:r>
        <w:rPr>
          <w:spacing w:val="-9"/>
        </w:rPr>
        <w:t> </w:t>
      </w:r>
      <w:r>
        <w:rPr/>
        <w:t>procesa</w:t>
      </w:r>
      <w:r>
        <w:rPr>
          <w:spacing w:val="-8"/>
        </w:rPr>
        <w:t> </w:t>
      </w:r>
      <w:r>
        <w:rPr/>
        <w:t>liberalizācija</w:t>
      </w:r>
      <w:r>
        <w:rPr>
          <w:spacing w:val="-8"/>
        </w:rPr>
        <w:t> </w:t>
      </w:r>
      <w:r>
        <w:rPr/>
        <w:t>ir</w:t>
      </w:r>
      <w:r>
        <w:rPr>
          <w:spacing w:val="-7"/>
        </w:rPr>
        <w:t> </w:t>
      </w:r>
      <w:r>
        <w:rPr/>
        <w:t>vispārēja</w:t>
      </w:r>
      <w:r>
        <w:rPr>
          <w:spacing w:val="-10"/>
        </w:rPr>
        <w:t> </w:t>
      </w:r>
      <w:r>
        <w:rPr/>
        <w:t>tendence,</w:t>
      </w:r>
      <w:r>
        <w:rPr>
          <w:spacing w:val="-8"/>
        </w:rPr>
        <w:t> </w:t>
      </w:r>
      <w:r>
        <w:rPr/>
        <w:t>kurai pēdējo gadu laikā ir sekojušas daudzas valstis, tostarp Latvija. Tā, piemēram, ar 2014.gada 25.septembra un 2015.gada 19.februāra Maksātnespējas likuma grozījumiem tika</w:t>
      </w:r>
      <w:r>
        <w:rPr>
          <w:spacing w:val="-13"/>
        </w:rPr>
        <w:t> </w:t>
      </w:r>
      <w:r>
        <w:rPr/>
        <w:t>būtiski</w:t>
      </w:r>
      <w:r>
        <w:rPr>
          <w:spacing w:val="-13"/>
        </w:rPr>
        <w:t> </w:t>
      </w:r>
      <w:r>
        <w:rPr/>
        <w:t>mainīts</w:t>
      </w:r>
      <w:r>
        <w:rPr>
          <w:spacing w:val="-13"/>
        </w:rPr>
        <w:t> </w:t>
      </w:r>
      <w:r>
        <w:rPr/>
        <w:t>tiesiskais</w:t>
      </w:r>
      <w:r>
        <w:rPr>
          <w:spacing w:val="-11"/>
        </w:rPr>
        <w:t> </w:t>
      </w:r>
      <w:r>
        <w:rPr/>
        <w:t>regulējums</w:t>
      </w:r>
      <w:r>
        <w:rPr>
          <w:spacing w:val="-13"/>
        </w:rPr>
        <w:t> </w:t>
      </w:r>
      <w:r>
        <w:rPr/>
        <w:t>par</w:t>
      </w:r>
      <w:r>
        <w:rPr>
          <w:spacing w:val="-13"/>
        </w:rPr>
        <w:t> </w:t>
      </w:r>
      <w:r>
        <w:rPr/>
        <w:t>saistību</w:t>
      </w:r>
      <w:r>
        <w:rPr>
          <w:spacing w:val="-13"/>
        </w:rPr>
        <w:t> </w:t>
      </w:r>
      <w:r>
        <w:rPr/>
        <w:t>dzēšanas</w:t>
      </w:r>
      <w:r>
        <w:rPr>
          <w:spacing w:val="-16"/>
        </w:rPr>
        <w:t> </w:t>
      </w:r>
      <w:r>
        <w:rPr/>
        <w:t>plāna</w:t>
      </w:r>
      <w:r>
        <w:rPr>
          <w:spacing w:val="-16"/>
        </w:rPr>
        <w:t> </w:t>
      </w:r>
      <w:r>
        <w:rPr/>
        <w:t>termiņiem,</w:t>
      </w:r>
      <w:r>
        <w:rPr>
          <w:spacing w:val="-13"/>
        </w:rPr>
        <w:t> </w:t>
      </w:r>
      <w:r>
        <w:rPr/>
        <w:t>tos</w:t>
      </w:r>
      <w:r>
        <w:rPr>
          <w:spacing w:val="-11"/>
        </w:rPr>
        <w:t> </w:t>
      </w:r>
      <w:r>
        <w:rPr/>
        <w:t>saīsinot (paredzot iespēju saistības līdz EUR 30 000 dzēst viena gada laikā, kā arī noteikt 3 gadus kā maksimālo saistību dzēšanas procedūras</w:t>
      </w:r>
      <w:r>
        <w:rPr>
          <w:spacing w:val="-4"/>
        </w:rPr>
        <w:t> </w:t>
      </w:r>
      <w:r>
        <w:rPr/>
        <w:t>termiņu).</w:t>
      </w:r>
    </w:p>
    <w:p>
      <w:pPr>
        <w:pStyle w:val="BodyText"/>
        <w:spacing w:line="237" w:lineRule="auto" w:before="2"/>
        <w:ind w:left="260" w:right="760" w:firstLine="720"/>
        <w:rPr>
          <w:sz w:val="16"/>
        </w:rPr>
      </w:pPr>
      <w:r>
        <w:rPr/>
        <w:t>Šajā ziņā jāatzīmē, ka atbilstoši vairāku pētījumu rezultātiem salīdzinoši liberāls fiziskās personas maksātnespējas procesa regulējums uz patērētāju psiholoģiju var iedarboties kā tā dēvētā patēriņa apdrošināšana. Respektīvi, pastāvot liberālam regulējumam attiecībā uz fiziskās personas maksātnespējas procesu, fiziskās personas iespējams uzņemas vairāk kredītsaistības, turklāt nereti izvēlas tieši maksātnespējas procedūras piemērošanu, nevis adekvātu patēriņu atbilstoši savām finansiālajām spējām. Vienlaikus tiek atzīmēts tas, ka ir ļoti sarežģīti novērtēt to, cik lielā mērā liberāls fiziskās personas maksātnespējas procesa regulējums negatīvi ietekmē saistību uzņemšanās un izpildes kultūru, jo vēlmi aizņemties būtiski ietekmē arīdzan citi faktori, piemēram, kredītproduktu reklamēšana un patērētāju filozofija.</w:t>
      </w:r>
      <w:r>
        <w:rPr>
          <w:position w:val="9"/>
          <w:sz w:val="16"/>
        </w:rPr>
        <w:t>487</w:t>
      </w:r>
    </w:p>
    <w:p>
      <w:pPr>
        <w:pStyle w:val="BodyText"/>
        <w:spacing w:before="10"/>
        <w:ind w:left="260" w:right="763" w:firstLine="720"/>
      </w:pPr>
      <w:r>
        <w:rPr/>
        <w:t>Kā liecina aptaujas anketas, maksātnespējas procesu un tiesu prakses analīze, arī Latvijā pēdējo gadu laikā ir pieaudzis to maksātnespējas procesu skaits, kuros ir novērojama neapdomīga vai negodprātīga saistību uzņemšanās. Piemēram, periodā kopš 2015.gada</w:t>
      </w:r>
      <w:r>
        <w:rPr>
          <w:spacing w:val="-16"/>
        </w:rPr>
        <w:t> </w:t>
      </w:r>
      <w:r>
        <w:rPr/>
        <w:t>1.marta</w:t>
      </w:r>
      <w:r>
        <w:rPr>
          <w:spacing w:val="-12"/>
        </w:rPr>
        <w:t> </w:t>
      </w:r>
      <w:r>
        <w:rPr/>
        <w:t>ir</w:t>
      </w:r>
      <w:r>
        <w:rPr>
          <w:spacing w:val="-12"/>
        </w:rPr>
        <w:t> </w:t>
      </w:r>
      <w:r>
        <w:rPr/>
        <w:t>pieaudzis</w:t>
      </w:r>
      <w:r>
        <w:rPr>
          <w:spacing w:val="-13"/>
        </w:rPr>
        <w:t> </w:t>
      </w:r>
      <w:r>
        <w:rPr/>
        <w:t>to</w:t>
      </w:r>
      <w:r>
        <w:rPr>
          <w:spacing w:val="-15"/>
        </w:rPr>
        <w:t> </w:t>
      </w:r>
      <w:r>
        <w:rPr/>
        <w:t>gadījumu</w:t>
      </w:r>
      <w:r>
        <w:rPr>
          <w:spacing w:val="-12"/>
        </w:rPr>
        <w:t> </w:t>
      </w:r>
      <w:r>
        <w:rPr/>
        <w:t>skaits,</w:t>
      </w:r>
      <w:r>
        <w:rPr>
          <w:spacing w:val="-12"/>
        </w:rPr>
        <w:t> </w:t>
      </w:r>
      <w:r>
        <w:rPr/>
        <w:t>kad</w:t>
      </w:r>
      <w:r>
        <w:rPr>
          <w:spacing w:val="-16"/>
        </w:rPr>
        <w:t> </w:t>
      </w:r>
      <w:r>
        <w:rPr/>
        <w:t>maksātnespējas</w:t>
      </w:r>
      <w:r>
        <w:rPr>
          <w:spacing w:val="-12"/>
        </w:rPr>
        <w:t> </w:t>
      </w:r>
      <w:r>
        <w:rPr/>
        <w:t>process</w:t>
      </w:r>
      <w:r>
        <w:rPr>
          <w:spacing w:val="-12"/>
        </w:rPr>
        <w:t> </w:t>
      </w:r>
      <w:r>
        <w:rPr/>
        <w:t>tiek</w:t>
      </w:r>
      <w:r>
        <w:rPr>
          <w:spacing w:val="-15"/>
        </w:rPr>
        <w:t> </w:t>
      </w:r>
      <w:r>
        <w:rPr/>
        <w:t>izbeigts pēc bankrota procedūras pabeigšanas, nepiemērojot saistību dzēšanas procedūru, kā arī to gadījumu</w:t>
      </w:r>
      <w:r>
        <w:rPr>
          <w:spacing w:val="-11"/>
        </w:rPr>
        <w:t> </w:t>
      </w:r>
      <w:r>
        <w:rPr/>
        <w:t>skaits,</w:t>
      </w:r>
      <w:r>
        <w:rPr>
          <w:spacing w:val="-11"/>
        </w:rPr>
        <w:t> </w:t>
      </w:r>
      <w:r>
        <w:rPr/>
        <w:t>kad</w:t>
      </w:r>
      <w:r>
        <w:rPr>
          <w:spacing w:val="-11"/>
        </w:rPr>
        <w:t> </w:t>
      </w:r>
      <w:r>
        <w:rPr/>
        <w:t>maksātnespējas</w:t>
      </w:r>
      <w:r>
        <w:rPr>
          <w:spacing w:val="-11"/>
        </w:rPr>
        <w:t> </w:t>
      </w:r>
      <w:r>
        <w:rPr/>
        <w:t>process</w:t>
      </w:r>
      <w:r>
        <w:rPr>
          <w:spacing w:val="-8"/>
        </w:rPr>
        <w:t> </w:t>
      </w:r>
      <w:r>
        <w:rPr/>
        <w:t>izbeigts,</w:t>
      </w:r>
      <w:r>
        <w:rPr>
          <w:spacing w:val="-9"/>
        </w:rPr>
        <w:t> </w:t>
      </w:r>
      <w:r>
        <w:rPr/>
        <w:t>nedzēšot</w:t>
      </w:r>
      <w:r>
        <w:rPr>
          <w:spacing w:val="-8"/>
        </w:rPr>
        <w:t> </w:t>
      </w:r>
      <w:r>
        <w:rPr/>
        <w:t>atlikušās</w:t>
      </w:r>
      <w:r>
        <w:rPr>
          <w:spacing w:val="-11"/>
        </w:rPr>
        <w:t> </w:t>
      </w:r>
      <w:r>
        <w:rPr/>
        <w:t>saistības.</w:t>
      </w:r>
      <w:r>
        <w:rPr>
          <w:spacing w:val="-11"/>
        </w:rPr>
        <w:t> </w:t>
      </w:r>
      <w:r>
        <w:rPr/>
        <w:t>Turklāt, kā rāda tiesu prakses analīze, tas tostarp ir skaidrojams ar neapdomīgu vai negodprātīgu saistību uzņemšanos.</w:t>
      </w:r>
    </w:p>
    <w:p>
      <w:pPr>
        <w:pStyle w:val="BodyText"/>
        <w:spacing w:line="232" w:lineRule="auto" w:before="7"/>
        <w:ind w:left="260" w:right="762" w:firstLine="720"/>
      </w:pPr>
      <w:r>
        <w:rPr/>
        <w:t>Proti, laika periodā pēc 2015.gada marta (un jo īpaši daudz 2018.gadā) tiesas samērā bieži ir lēmušas izbeigt parādniekam bankrota procedūru, nepiemērojot saistību dzēšanu, jo parādnieks īsā laika periodā uzņēmies daudz jaunu saistību,</w:t>
      </w:r>
      <w:r>
        <w:rPr>
          <w:position w:val="9"/>
          <w:sz w:val="16"/>
        </w:rPr>
        <w:t>488 </w:t>
      </w:r>
      <w:r>
        <w:rPr/>
        <w:t>sistemātiski</w:t>
      </w:r>
    </w:p>
    <w:p>
      <w:pPr>
        <w:pStyle w:val="BodyText"/>
        <w:jc w:val="left"/>
        <w:rPr>
          <w:sz w:val="20"/>
        </w:rPr>
      </w:pPr>
    </w:p>
    <w:p>
      <w:pPr>
        <w:pStyle w:val="BodyText"/>
        <w:spacing w:before="10"/>
        <w:jc w:val="left"/>
        <w:rPr>
          <w:sz w:val="28"/>
        </w:rPr>
      </w:pPr>
      <w:r>
        <w:rPr/>
        <w:pict>
          <v:shape style="position:absolute;margin-left:72pt;margin-top:18.89687pt;width:144pt;height:.1pt;mso-position-horizontal-relative:page;mso-position-vertical-relative:paragraph;z-index:-251447296;mso-wrap-distance-left:0;mso-wrap-distance-right:0" coordorigin="1440,378" coordsize="2880,0" path="m1440,378l4320,378e" filled="false" stroked="true" strokeweight=".599991pt" strokecolor="#000000">
            <v:path arrowok="t"/>
            <v:stroke dashstyle="solid"/>
            <w10:wrap type="topAndBottom"/>
          </v:shape>
        </w:pict>
      </w:r>
    </w:p>
    <w:p>
      <w:pPr>
        <w:spacing w:before="70"/>
        <w:ind w:left="260" w:right="398" w:firstLine="0"/>
        <w:jc w:val="left"/>
        <w:rPr>
          <w:sz w:val="20"/>
        </w:rPr>
      </w:pPr>
      <w:r>
        <w:rPr>
          <w:position w:val="7"/>
          <w:sz w:val="13"/>
        </w:rPr>
        <w:t>486 </w:t>
      </w:r>
      <w:r>
        <w:rPr>
          <w:sz w:val="20"/>
        </w:rPr>
        <w:t>Sk.: Ramsay I. Personal Insolvency in the 21</w:t>
      </w:r>
      <w:r>
        <w:rPr>
          <w:position w:val="7"/>
          <w:sz w:val="13"/>
        </w:rPr>
        <w:t>st </w:t>
      </w:r>
      <w:r>
        <w:rPr>
          <w:sz w:val="20"/>
        </w:rPr>
        <w:t>Century. A Comparative Analysis of the US and Europe. Oxford and Portland, Oregon: Hart Publishing, 2017, p.162.</w:t>
      </w:r>
    </w:p>
    <w:p>
      <w:pPr>
        <w:spacing w:line="267" w:lineRule="exact" w:before="0"/>
        <w:ind w:left="260" w:right="0" w:firstLine="0"/>
        <w:jc w:val="left"/>
        <w:rPr>
          <w:sz w:val="20"/>
        </w:rPr>
      </w:pPr>
      <w:r>
        <w:rPr>
          <w:position w:val="9"/>
          <w:sz w:val="16"/>
        </w:rPr>
        <w:t>487 </w:t>
      </w:r>
      <w:r>
        <w:rPr>
          <w:sz w:val="20"/>
        </w:rPr>
        <w:t>Ibid, p.24.</w:t>
      </w:r>
    </w:p>
    <w:p>
      <w:pPr>
        <w:spacing w:before="5"/>
        <w:ind w:left="260" w:right="0" w:firstLine="0"/>
        <w:jc w:val="left"/>
        <w:rPr>
          <w:sz w:val="20"/>
        </w:rPr>
      </w:pPr>
      <w:r>
        <w:rPr>
          <w:position w:val="7"/>
          <w:sz w:val="13"/>
        </w:rPr>
        <w:t>488 </w:t>
      </w:r>
      <w:r>
        <w:rPr>
          <w:sz w:val="20"/>
        </w:rPr>
        <w:t>Zemgales rajona tiesas 2018.gada 5.septembra nolēmums lietā Nr.C07063317</w:t>
      </w:r>
    </w:p>
    <w:p>
      <w:pPr>
        <w:spacing w:after="0"/>
        <w:jc w:val="left"/>
        <w:rPr>
          <w:sz w:val="20"/>
        </w:rPr>
        <w:sectPr>
          <w:pgSz w:w="11910" w:h="16840"/>
          <w:pgMar w:header="0" w:footer="1055" w:top="1340" w:bottom="1240" w:left="1180" w:right="1040"/>
        </w:sectPr>
      </w:pPr>
    </w:p>
    <w:p>
      <w:pPr>
        <w:pStyle w:val="BodyText"/>
        <w:spacing w:line="230" w:lineRule="auto" w:before="87"/>
        <w:ind w:left="620" w:right="402"/>
      </w:pPr>
      <w:r>
        <w:rPr/>
        <w:t>uzņēmies jaunas saistības, nenokārtojot iepriekš nodibinātās,</w:t>
      </w:r>
      <w:r>
        <w:rPr>
          <w:position w:val="9"/>
          <w:sz w:val="16"/>
        </w:rPr>
        <w:t>489 </w:t>
      </w:r>
      <w:r>
        <w:rPr/>
        <w:t>uzņēmies saistības, neievērojot atbildīgas aizņemšanās principu,</w:t>
      </w:r>
      <w:r>
        <w:rPr>
          <w:position w:val="9"/>
          <w:sz w:val="16"/>
        </w:rPr>
        <w:t>490 </w:t>
      </w:r>
      <w:r>
        <w:rPr/>
        <w:t>neskatoties uz jau nenokārtotām parādsaistībām, uzņēmies arvien jaunas saistības pret kreditoriem,</w:t>
      </w:r>
      <w:r>
        <w:rPr>
          <w:position w:val="9"/>
          <w:sz w:val="16"/>
        </w:rPr>
        <w:t>491 </w:t>
      </w:r>
      <w:r>
        <w:rPr/>
        <w:t>nav adekvāti izvērtējis saistību izpildes spējas,</w:t>
      </w:r>
      <w:r>
        <w:rPr>
          <w:position w:val="9"/>
          <w:sz w:val="16"/>
        </w:rPr>
        <w:t>492 </w:t>
      </w:r>
      <w:r>
        <w:rPr/>
        <w:t>uzņēmies saistības, apzinoties, ka tās objektīvi nevar tikt izpildītas vai arī vispār bez nolūka tās pildīt,</w:t>
      </w:r>
      <w:r>
        <w:rPr>
          <w:position w:val="9"/>
          <w:sz w:val="16"/>
        </w:rPr>
        <w:t>493 </w:t>
      </w:r>
      <w:r>
        <w:rPr/>
        <w:t>parādnieks ir dzīvojis pāri saviem līdzekļiem.</w:t>
      </w:r>
      <w:r>
        <w:rPr>
          <w:position w:val="9"/>
          <w:sz w:val="16"/>
        </w:rPr>
        <w:t>494 </w:t>
      </w:r>
      <w:r>
        <w:rPr/>
        <w:t>Līdz ar to ir novērojama skaidri saskatāma tendence, ka saistību dzēšanu vēlas iegūt tādi parādnieki, kas saistības nodibinājuši neapdomīgi vai negodprātīgi.</w:t>
      </w:r>
    </w:p>
    <w:p>
      <w:pPr>
        <w:spacing w:line="240" w:lineRule="auto" w:before="0"/>
        <w:ind w:left="620" w:right="401" w:firstLine="720"/>
        <w:jc w:val="both"/>
        <w:rPr>
          <w:sz w:val="24"/>
        </w:rPr>
      </w:pPr>
      <w:r>
        <w:rPr>
          <w:sz w:val="24"/>
        </w:rPr>
        <w:t>Gadījumos, kad tiesas pieņēmušas parādniekam nelabvēlīgu nolēmumu saistībā ar neapdomīgu vai negodprātīgu saistību uzņemšanos, nolēmums lielākoties ir ticis pamatots ar Maksātnespējas likuma 153.panta 1.punktu, kurš noteic, ka saistību dzēšanas procedūru nepiemēro vai to pārtrauc, ja “</w:t>
      </w:r>
      <w:r>
        <w:rPr>
          <w:i/>
          <w:sz w:val="24"/>
        </w:rPr>
        <w:t>parādnieks pēdējo triju gadu laikā pirms fiziskās personas </w:t>
      </w:r>
      <w:r>
        <w:rPr>
          <w:i/>
          <w:sz w:val="24"/>
        </w:rPr>
        <w:t>maksātnespējas procesa pasludināšanas vai maksātnespējas procesa laikā ir slēdzis darījumus, kuru rezultātā kļuvis maksātnespējīgs vai radījis zaudējumus kreditoriem, turklāt</w:t>
      </w:r>
      <w:r>
        <w:rPr>
          <w:i/>
          <w:spacing w:val="-16"/>
          <w:sz w:val="24"/>
        </w:rPr>
        <w:t> </w:t>
      </w:r>
      <w:r>
        <w:rPr>
          <w:i/>
          <w:sz w:val="24"/>
        </w:rPr>
        <w:t>viņš</w:t>
      </w:r>
      <w:r>
        <w:rPr>
          <w:i/>
          <w:spacing w:val="-15"/>
          <w:sz w:val="24"/>
        </w:rPr>
        <w:t> </w:t>
      </w:r>
      <w:r>
        <w:rPr>
          <w:i/>
          <w:sz w:val="24"/>
        </w:rPr>
        <w:t>apzinājās</w:t>
      </w:r>
      <w:r>
        <w:rPr>
          <w:i/>
          <w:spacing w:val="-15"/>
          <w:sz w:val="24"/>
        </w:rPr>
        <w:t> </w:t>
      </w:r>
      <w:r>
        <w:rPr>
          <w:i/>
          <w:sz w:val="24"/>
        </w:rPr>
        <w:t>vai</w:t>
      </w:r>
      <w:r>
        <w:rPr>
          <w:i/>
          <w:spacing w:val="-16"/>
          <w:sz w:val="24"/>
        </w:rPr>
        <w:t> </w:t>
      </w:r>
      <w:r>
        <w:rPr>
          <w:i/>
          <w:sz w:val="24"/>
        </w:rPr>
        <w:t>viņam</w:t>
      </w:r>
      <w:r>
        <w:rPr>
          <w:i/>
          <w:spacing w:val="-15"/>
          <w:sz w:val="24"/>
        </w:rPr>
        <w:t> </w:t>
      </w:r>
      <w:r>
        <w:rPr>
          <w:i/>
          <w:sz w:val="24"/>
        </w:rPr>
        <w:t>vajadzēja</w:t>
      </w:r>
      <w:r>
        <w:rPr>
          <w:i/>
          <w:spacing w:val="-15"/>
          <w:sz w:val="24"/>
        </w:rPr>
        <w:t> </w:t>
      </w:r>
      <w:r>
        <w:rPr>
          <w:i/>
          <w:sz w:val="24"/>
        </w:rPr>
        <w:t>apzināties,</w:t>
      </w:r>
      <w:r>
        <w:rPr>
          <w:i/>
          <w:spacing w:val="-16"/>
          <w:sz w:val="24"/>
        </w:rPr>
        <w:t> </w:t>
      </w:r>
      <w:r>
        <w:rPr>
          <w:i/>
          <w:sz w:val="24"/>
        </w:rPr>
        <w:t>ka</w:t>
      </w:r>
      <w:r>
        <w:rPr>
          <w:i/>
          <w:spacing w:val="-17"/>
          <w:sz w:val="24"/>
        </w:rPr>
        <w:t> </w:t>
      </w:r>
      <w:r>
        <w:rPr>
          <w:i/>
          <w:sz w:val="24"/>
        </w:rPr>
        <w:t>šādu</w:t>
      </w:r>
      <w:r>
        <w:rPr>
          <w:i/>
          <w:spacing w:val="-15"/>
          <w:sz w:val="24"/>
        </w:rPr>
        <w:t> </w:t>
      </w:r>
      <w:r>
        <w:rPr>
          <w:i/>
          <w:sz w:val="24"/>
        </w:rPr>
        <w:t>darījumu</w:t>
      </w:r>
      <w:r>
        <w:rPr>
          <w:i/>
          <w:spacing w:val="-18"/>
          <w:sz w:val="24"/>
        </w:rPr>
        <w:t> </w:t>
      </w:r>
      <w:r>
        <w:rPr>
          <w:i/>
          <w:sz w:val="24"/>
        </w:rPr>
        <w:t>slēgšana</w:t>
      </w:r>
      <w:r>
        <w:rPr>
          <w:i/>
          <w:spacing w:val="-15"/>
          <w:sz w:val="24"/>
        </w:rPr>
        <w:t> </w:t>
      </w:r>
      <w:r>
        <w:rPr>
          <w:i/>
          <w:sz w:val="24"/>
        </w:rPr>
        <w:t>var</w:t>
      </w:r>
      <w:r>
        <w:rPr>
          <w:i/>
          <w:spacing w:val="-15"/>
          <w:sz w:val="24"/>
        </w:rPr>
        <w:t> </w:t>
      </w:r>
      <w:r>
        <w:rPr>
          <w:i/>
          <w:sz w:val="24"/>
        </w:rPr>
        <w:t>novest līdz maksātnespējai vai zaudējumu radīšanai kreditoriem</w:t>
      </w:r>
      <w:r>
        <w:rPr>
          <w:sz w:val="24"/>
        </w:rPr>
        <w:t>.” Minētā tiesību norma pieļauj plašas interpretācijas iespējas (kas nebūt nav pozitīvi vērtējams aspekts, jo rada lielu tiesisko nenoteiktību), tostarp arī iespēju to piemērot tad, ja parādnieks saistības uzņēmies neapdomīgi vai vieglprātīgi. Vienlaikus, kā liecina tiesu prakses analīze, tiesu prakse šajā jautājumā nebūt nav vienprātīga, respektīvi, neapdomīga/negodprātīga saistību uzņemšanās</w:t>
      </w:r>
      <w:r>
        <w:rPr>
          <w:spacing w:val="-17"/>
          <w:sz w:val="24"/>
        </w:rPr>
        <w:t> </w:t>
      </w:r>
      <w:r>
        <w:rPr>
          <w:sz w:val="24"/>
        </w:rPr>
        <w:t>ne</w:t>
      </w:r>
      <w:r>
        <w:rPr>
          <w:spacing w:val="-15"/>
          <w:sz w:val="24"/>
        </w:rPr>
        <w:t> </w:t>
      </w:r>
      <w:r>
        <w:rPr>
          <w:sz w:val="24"/>
        </w:rPr>
        <w:t>vienmēr</w:t>
      </w:r>
      <w:r>
        <w:rPr>
          <w:spacing w:val="-16"/>
          <w:sz w:val="24"/>
        </w:rPr>
        <w:t> </w:t>
      </w:r>
      <w:r>
        <w:rPr>
          <w:sz w:val="24"/>
        </w:rPr>
        <w:t>(drīzāk</w:t>
      </w:r>
      <w:r>
        <w:rPr>
          <w:spacing w:val="-14"/>
          <w:sz w:val="24"/>
        </w:rPr>
        <w:t> </w:t>
      </w:r>
      <w:r>
        <w:rPr>
          <w:sz w:val="24"/>
        </w:rPr>
        <w:t>pat</w:t>
      </w:r>
      <w:r>
        <w:rPr>
          <w:spacing w:val="-17"/>
          <w:sz w:val="24"/>
        </w:rPr>
        <w:t> </w:t>
      </w:r>
      <w:r>
        <w:rPr>
          <w:sz w:val="24"/>
        </w:rPr>
        <w:t>–</w:t>
      </w:r>
      <w:r>
        <w:rPr>
          <w:spacing w:val="-15"/>
          <w:sz w:val="24"/>
        </w:rPr>
        <w:t> </w:t>
      </w:r>
      <w:r>
        <w:rPr>
          <w:sz w:val="24"/>
        </w:rPr>
        <w:t>tikai</w:t>
      </w:r>
      <w:r>
        <w:rPr>
          <w:spacing w:val="-16"/>
          <w:sz w:val="24"/>
        </w:rPr>
        <w:t> </w:t>
      </w:r>
      <w:r>
        <w:rPr>
          <w:sz w:val="24"/>
        </w:rPr>
        <w:t>izņēmuma</w:t>
      </w:r>
      <w:r>
        <w:rPr>
          <w:spacing w:val="-15"/>
          <w:sz w:val="24"/>
        </w:rPr>
        <w:t> </w:t>
      </w:r>
      <w:r>
        <w:rPr>
          <w:sz w:val="24"/>
        </w:rPr>
        <w:t>kārtā)</w:t>
      </w:r>
      <w:r>
        <w:rPr>
          <w:spacing w:val="-15"/>
          <w:sz w:val="24"/>
        </w:rPr>
        <w:t> </w:t>
      </w:r>
      <w:r>
        <w:rPr>
          <w:sz w:val="24"/>
        </w:rPr>
        <w:t>tiek</w:t>
      </w:r>
      <w:r>
        <w:rPr>
          <w:spacing w:val="-11"/>
          <w:sz w:val="24"/>
        </w:rPr>
        <w:t> </w:t>
      </w:r>
      <w:r>
        <w:rPr>
          <w:sz w:val="24"/>
        </w:rPr>
        <w:t>“sodīta”</w:t>
      </w:r>
      <w:r>
        <w:rPr>
          <w:spacing w:val="-15"/>
          <w:sz w:val="24"/>
        </w:rPr>
        <w:t> </w:t>
      </w:r>
      <w:r>
        <w:rPr>
          <w:sz w:val="24"/>
        </w:rPr>
        <w:t>ar</w:t>
      </w:r>
      <w:r>
        <w:rPr>
          <w:spacing w:val="-12"/>
          <w:sz w:val="24"/>
        </w:rPr>
        <w:t> </w:t>
      </w:r>
      <w:r>
        <w:rPr>
          <w:sz w:val="24"/>
        </w:rPr>
        <w:t>Maksātnespējas likuma 153.panta 1.punkta piemērošanu.</w:t>
      </w:r>
    </w:p>
    <w:p>
      <w:pPr>
        <w:pStyle w:val="BodyText"/>
        <w:ind w:left="620" w:right="399" w:firstLine="720"/>
      </w:pPr>
      <w:r>
        <w:rPr/>
        <w:t>Lai arī neapdomīga un pārmērīga saistību uzņemšanās nenoliedzami ir</w:t>
      </w:r>
      <w:r>
        <w:rPr>
          <w:spacing w:val="-21"/>
        </w:rPr>
        <w:t> </w:t>
      </w:r>
      <w:r>
        <w:rPr/>
        <w:t>ekonomiski un</w:t>
      </w:r>
      <w:r>
        <w:rPr>
          <w:spacing w:val="-12"/>
        </w:rPr>
        <w:t> </w:t>
      </w:r>
      <w:r>
        <w:rPr/>
        <w:t>sociāli</w:t>
      </w:r>
      <w:r>
        <w:rPr>
          <w:spacing w:val="-11"/>
        </w:rPr>
        <w:t> </w:t>
      </w:r>
      <w:r>
        <w:rPr/>
        <w:t>nevēlama</w:t>
      </w:r>
      <w:r>
        <w:rPr>
          <w:spacing w:val="-15"/>
        </w:rPr>
        <w:t> </w:t>
      </w:r>
      <w:r>
        <w:rPr/>
        <w:t>parādība,</w:t>
      </w:r>
      <w:r>
        <w:rPr>
          <w:spacing w:val="-11"/>
        </w:rPr>
        <w:t> </w:t>
      </w:r>
      <w:r>
        <w:rPr/>
        <w:t>vienlaikus</w:t>
      </w:r>
      <w:r>
        <w:rPr>
          <w:spacing w:val="-12"/>
        </w:rPr>
        <w:t> </w:t>
      </w:r>
      <w:r>
        <w:rPr/>
        <w:t>jārēķinās,</w:t>
      </w:r>
      <w:r>
        <w:rPr>
          <w:spacing w:val="-11"/>
        </w:rPr>
        <w:t> </w:t>
      </w:r>
      <w:r>
        <w:rPr/>
        <w:t>ka</w:t>
      </w:r>
      <w:r>
        <w:rPr>
          <w:spacing w:val="-12"/>
        </w:rPr>
        <w:t> </w:t>
      </w:r>
      <w:r>
        <w:rPr/>
        <w:t>tā</w:t>
      </w:r>
      <w:r>
        <w:rPr>
          <w:spacing w:val="-11"/>
        </w:rPr>
        <w:t> </w:t>
      </w:r>
      <w:r>
        <w:rPr/>
        <w:t>ir</w:t>
      </w:r>
      <w:r>
        <w:rPr>
          <w:spacing w:val="-15"/>
        </w:rPr>
        <w:t> </w:t>
      </w:r>
      <w:r>
        <w:rPr/>
        <w:t>mūsdienu</w:t>
      </w:r>
      <w:r>
        <w:rPr>
          <w:spacing w:val="-9"/>
        </w:rPr>
        <w:t> </w:t>
      </w:r>
      <w:r>
        <w:rPr/>
        <w:t>realitāte,</w:t>
      </w:r>
      <w:r>
        <w:rPr>
          <w:spacing w:val="-12"/>
        </w:rPr>
        <w:t> </w:t>
      </w:r>
      <w:r>
        <w:rPr/>
        <w:t>ko</w:t>
      </w:r>
      <w:r>
        <w:rPr>
          <w:spacing w:val="-11"/>
        </w:rPr>
        <w:t> </w:t>
      </w:r>
      <w:r>
        <w:rPr/>
        <w:t>lielā</w:t>
      </w:r>
      <w:r>
        <w:rPr>
          <w:spacing w:val="-15"/>
        </w:rPr>
        <w:t> </w:t>
      </w:r>
      <w:r>
        <w:rPr/>
        <w:t>mērā veicina vieglā kredītlīdzekļu pieejamība un patērētāju filozofijas paradigma. Tādējādi rodas jautājums, vai pilnīgi visās situācijās neapdomīga un pārmērīga saistību</w:t>
      </w:r>
      <w:r>
        <w:rPr>
          <w:spacing w:val="-37"/>
        </w:rPr>
        <w:t> </w:t>
      </w:r>
      <w:r>
        <w:rPr/>
        <w:t>uzņemšanās ir tik smags pārkāpums, lai liegtu parādniekam iespēju saistības dzēst fiziskās personas maksātnespējas</w:t>
      </w:r>
      <w:r>
        <w:rPr>
          <w:spacing w:val="-6"/>
        </w:rPr>
        <w:t> </w:t>
      </w:r>
      <w:r>
        <w:rPr/>
        <w:t>procesā.</w:t>
      </w:r>
      <w:r>
        <w:rPr>
          <w:spacing w:val="-4"/>
        </w:rPr>
        <w:t> </w:t>
      </w:r>
      <w:r>
        <w:rPr/>
        <w:t>Proti,</w:t>
      </w:r>
      <w:r>
        <w:rPr>
          <w:spacing w:val="-6"/>
        </w:rPr>
        <w:t> </w:t>
      </w:r>
      <w:r>
        <w:rPr/>
        <w:t>jāņem</w:t>
      </w:r>
      <w:r>
        <w:rPr>
          <w:spacing w:val="-8"/>
        </w:rPr>
        <w:t> </w:t>
      </w:r>
      <w:r>
        <w:rPr/>
        <w:t>vērā,</w:t>
      </w:r>
      <w:r>
        <w:rPr>
          <w:spacing w:val="-6"/>
        </w:rPr>
        <w:t> </w:t>
      </w:r>
      <w:r>
        <w:rPr/>
        <w:t>ka</w:t>
      </w:r>
      <w:r>
        <w:rPr>
          <w:spacing w:val="-6"/>
        </w:rPr>
        <w:t> </w:t>
      </w:r>
      <w:r>
        <w:rPr/>
        <w:t>liedzot</w:t>
      </w:r>
      <w:r>
        <w:rPr>
          <w:spacing w:val="-6"/>
        </w:rPr>
        <w:t> </w:t>
      </w:r>
      <w:r>
        <w:rPr/>
        <w:t>parādniekam</w:t>
      </w:r>
      <w:r>
        <w:rPr>
          <w:spacing w:val="-8"/>
        </w:rPr>
        <w:t> </w:t>
      </w:r>
      <w:r>
        <w:rPr/>
        <w:t>šādu</w:t>
      </w:r>
      <w:r>
        <w:rPr>
          <w:spacing w:val="-5"/>
        </w:rPr>
        <w:t> </w:t>
      </w:r>
      <w:r>
        <w:rPr/>
        <w:t>iespēju,</w:t>
      </w:r>
      <w:r>
        <w:rPr>
          <w:spacing w:val="-6"/>
        </w:rPr>
        <w:t> </w:t>
      </w:r>
      <w:r>
        <w:rPr/>
        <w:t>lielā</w:t>
      </w:r>
      <w:r>
        <w:rPr>
          <w:spacing w:val="-6"/>
        </w:rPr>
        <w:t> </w:t>
      </w:r>
      <w:r>
        <w:rPr/>
        <w:t>mērā tiek veicināta šāda parādnieka nonākšana “pelēkajā zonā” vai arī tiek ievērojami apgrūtināta iespēja atjaunot parādnieka</w:t>
      </w:r>
      <w:r>
        <w:rPr>
          <w:spacing w:val="-3"/>
        </w:rPr>
        <w:t> </w:t>
      </w:r>
      <w:r>
        <w:rPr/>
        <w:t>produktivitāti.</w:t>
      </w:r>
    </w:p>
    <w:p>
      <w:pPr>
        <w:pStyle w:val="BodyText"/>
        <w:ind w:left="620" w:right="402" w:firstLine="720"/>
      </w:pPr>
      <w:r>
        <w:rPr/>
        <w:t>Tādējādi, ir būtiski nošķirt gadījumus, kuros neapdomīga/pārmērīga saistību uzņemšanās ir vērtējama kā parādnieka kļūda (piemēram, vieglprātība, zināšanu trūkums finanšu pārvaldības jautājumos), bet kuros – apzināta rīcība (saistību uzņemšanās bez nolūka</w:t>
      </w:r>
      <w:r>
        <w:rPr>
          <w:spacing w:val="-16"/>
        </w:rPr>
        <w:t> </w:t>
      </w:r>
      <w:r>
        <w:rPr/>
        <w:t>tās</w:t>
      </w:r>
      <w:r>
        <w:rPr>
          <w:spacing w:val="-16"/>
        </w:rPr>
        <w:t> </w:t>
      </w:r>
      <w:r>
        <w:rPr/>
        <w:t>pildīt</w:t>
      </w:r>
      <w:r>
        <w:rPr>
          <w:spacing w:val="-13"/>
        </w:rPr>
        <w:t> </w:t>
      </w:r>
      <w:r>
        <w:rPr/>
        <w:t>u.tml.).</w:t>
      </w:r>
      <w:r>
        <w:rPr>
          <w:spacing w:val="-15"/>
        </w:rPr>
        <w:t> </w:t>
      </w:r>
      <w:r>
        <w:rPr/>
        <w:t>Pirmajā</w:t>
      </w:r>
      <w:r>
        <w:rPr>
          <w:spacing w:val="-16"/>
        </w:rPr>
        <w:t> </w:t>
      </w:r>
      <w:r>
        <w:rPr/>
        <w:t>gadījumā</w:t>
      </w:r>
      <w:r>
        <w:rPr>
          <w:spacing w:val="-16"/>
        </w:rPr>
        <w:t> </w:t>
      </w:r>
      <w:r>
        <w:rPr/>
        <w:t>parādniekam</w:t>
      </w:r>
      <w:r>
        <w:rPr>
          <w:spacing w:val="-17"/>
        </w:rPr>
        <w:t> </w:t>
      </w:r>
      <w:r>
        <w:rPr/>
        <w:t>būtu</w:t>
      </w:r>
      <w:r>
        <w:rPr>
          <w:spacing w:val="-16"/>
        </w:rPr>
        <w:t> </w:t>
      </w:r>
      <w:r>
        <w:rPr/>
        <w:t>dodama</w:t>
      </w:r>
      <w:r>
        <w:rPr>
          <w:spacing w:val="-16"/>
        </w:rPr>
        <w:t> </w:t>
      </w:r>
      <w:r>
        <w:rPr/>
        <w:t>iespēja</w:t>
      </w:r>
      <w:r>
        <w:rPr>
          <w:spacing w:val="-16"/>
        </w:rPr>
        <w:t> </w:t>
      </w:r>
      <w:r>
        <w:rPr/>
        <w:t>dzēst</w:t>
      </w:r>
      <w:r>
        <w:rPr>
          <w:spacing w:val="-15"/>
        </w:rPr>
        <w:t> </w:t>
      </w:r>
      <w:r>
        <w:rPr/>
        <w:t>saistības fiziskās personas maksātnespējas procesā, taču piemērojot nelabvēlīgākus maksātnespējas procesa noteikumus (garāks saistību dzēšanas procedūras termiņš, papildus ierobežojumi maksātnespējas</w:t>
      </w:r>
      <w:r>
        <w:rPr>
          <w:spacing w:val="-13"/>
        </w:rPr>
        <w:t> </w:t>
      </w:r>
      <w:r>
        <w:rPr/>
        <w:t>procesa</w:t>
      </w:r>
      <w:r>
        <w:rPr>
          <w:spacing w:val="-12"/>
        </w:rPr>
        <w:t> </w:t>
      </w:r>
      <w:r>
        <w:rPr/>
        <w:t>laikā</w:t>
      </w:r>
      <w:r>
        <w:rPr>
          <w:spacing w:val="-16"/>
        </w:rPr>
        <w:t> </w:t>
      </w:r>
      <w:r>
        <w:rPr/>
        <w:t>un</w:t>
      </w:r>
      <w:r>
        <w:rPr>
          <w:spacing w:val="-12"/>
        </w:rPr>
        <w:t> </w:t>
      </w:r>
      <w:r>
        <w:rPr/>
        <w:t>arī</w:t>
      </w:r>
      <w:r>
        <w:rPr>
          <w:spacing w:val="-12"/>
        </w:rPr>
        <w:t> </w:t>
      </w:r>
      <w:r>
        <w:rPr/>
        <w:t>pēc</w:t>
      </w:r>
      <w:r>
        <w:rPr>
          <w:spacing w:val="-16"/>
        </w:rPr>
        <w:t> </w:t>
      </w:r>
      <w:r>
        <w:rPr/>
        <w:t>saistību</w:t>
      </w:r>
      <w:r>
        <w:rPr>
          <w:spacing w:val="-12"/>
        </w:rPr>
        <w:t> </w:t>
      </w:r>
      <w:r>
        <w:rPr/>
        <w:t>dzēšanas).</w:t>
      </w:r>
      <w:r>
        <w:rPr>
          <w:spacing w:val="-15"/>
        </w:rPr>
        <w:t> </w:t>
      </w:r>
      <w:r>
        <w:rPr/>
        <w:t>Savukārt,</w:t>
      </w:r>
      <w:r>
        <w:rPr>
          <w:spacing w:val="-11"/>
        </w:rPr>
        <w:t> </w:t>
      </w:r>
      <w:r>
        <w:rPr/>
        <w:t>ja</w:t>
      </w:r>
      <w:r>
        <w:rPr>
          <w:spacing w:val="-15"/>
        </w:rPr>
        <w:t> </w:t>
      </w:r>
      <w:r>
        <w:rPr/>
        <w:t>parādnieks</w:t>
      </w:r>
      <w:r>
        <w:rPr>
          <w:spacing w:val="-10"/>
        </w:rPr>
        <w:t> </w:t>
      </w:r>
      <w:r>
        <w:rPr/>
        <w:t>apzināti uzņēmies</w:t>
      </w:r>
      <w:r>
        <w:rPr>
          <w:spacing w:val="-9"/>
        </w:rPr>
        <w:t> </w:t>
      </w:r>
      <w:r>
        <w:rPr/>
        <w:t>pārmērīgas</w:t>
      </w:r>
      <w:r>
        <w:rPr>
          <w:spacing w:val="-9"/>
        </w:rPr>
        <w:t> </w:t>
      </w:r>
      <w:r>
        <w:rPr/>
        <w:t>saistības</w:t>
      </w:r>
      <w:r>
        <w:rPr>
          <w:spacing w:val="-9"/>
        </w:rPr>
        <w:t> </w:t>
      </w:r>
      <w:r>
        <w:rPr/>
        <w:t>(piemēram,</w:t>
      </w:r>
      <w:r>
        <w:rPr>
          <w:spacing w:val="-9"/>
        </w:rPr>
        <w:t> </w:t>
      </w:r>
      <w:r>
        <w:rPr/>
        <w:t>bez</w:t>
      </w:r>
      <w:r>
        <w:rPr>
          <w:spacing w:val="-7"/>
        </w:rPr>
        <w:t> </w:t>
      </w:r>
      <w:r>
        <w:rPr/>
        <w:t>nolūka</w:t>
      </w:r>
      <w:r>
        <w:rPr>
          <w:spacing w:val="-9"/>
        </w:rPr>
        <w:t> </w:t>
      </w:r>
      <w:r>
        <w:rPr/>
        <w:t>tās</w:t>
      </w:r>
      <w:r>
        <w:rPr>
          <w:spacing w:val="-11"/>
        </w:rPr>
        <w:t> </w:t>
      </w:r>
      <w:r>
        <w:rPr/>
        <w:t>pildīt),</w:t>
      </w:r>
      <w:r>
        <w:rPr>
          <w:spacing w:val="-9"/>
        </w:rPr>
        <w:t> </w:t>
      </w:r>
      <w:r>
        <w:rPr/>
        <w:t>tas</w:t>
      </w:r>
      <w:r>
        <w:rPr>
          <w:spacing w:val="-11"/>
        </w:rPr>
        <w:t> </w:t>
      </w:r>
      <w:r>
        <w:rPr/>
        <w:t>būtu</w:t>
      </w:r>
      <w:r>
        <w:rPr>
          <w:spacing w:val="-9"/>
        </w:rPr>
        <w:t> </w:t>
      </w:r>
      <w:r>
        <w:rPr/>
        <w:t>uzskatāms</w:t>
      </w:r>
      <w:r>
        <w:rPr>
          <w:spacing w:val="-9"/>
        </w:rPr>
        <w:t> </w:t>
      </w:r>
      <w:r>
        <w:rPr/>
        <w:t>par</w:t>
      </w:r>
      <w:r>
        <w:rPr>
          <w:spacing w:val="-11"/>
        </w:rPr>
        <w:t> </w:t>
      </w:r>
      <w:r>
        <w:rPr/>
        <w:t>tik būtisku pārkāpumu, lai ar speciālu tiesību normu Maksātnespējas likuma 153.pantā noteiktu to kā vienu no saistību dzēšanas procedūras</w:t>
      </w:r>
      <w:r>
        <w:rPr>
          <w:spacing w:val="-4"/>
        </w:rPr>
        <w:t> </w:t>
      </w:r>
      <w:r>
        <w:rPr/>
        <w:t>ierobežojumiem.</w:t>
      </w:r>
    </w:p>
    <w:p>
      <w:pPr>
        <w:pStyle w:val="BodyText"/>
        <w:ind w:left="620" w:right="401" w:firstLine="720"/>
      </w:pPr>
      <w:r>
        <w:rPr/>
        <w:t>Piemēram, Vācijas Maksātnespējas likuma § 290 pirmās daļas 4.punkts noteic, ka parādniekam nevar piemērot saistību dzēšanas procedūru un atbrīvot no neizpildītajām parādsaistībām, ja parādnieks pēdējo trīs gadu laikā pirms maksātnespējas procesa</w:t>
      </w:r>
    </w:p>
    <w:p>
      <w:pPr>
        <w:pStyle w:val="BodyText"/>
        <w:spacing w:before="10"/>
        <w:jc w:val="left"/>
        <w:rPr>
          <w:sz w:val="11"/>
        </w:rPr>
      </w:pPr>
      <w:r>
        <w:rPr/>
        <w:pict>
          <v:shape style="position:absolute;margin-left:90pt;margin-top:9.109119pt;width:144pt;height:.1pt;mso-position-horizontal-relative:page;mso-position-vertical-relative:paragraph;z-index:-251446272;mso-wrap-distance-left:0;mso-wrap-distance-right:0" coordorigin="1800,182" coordsize="2880,0" path="m1800,182l4680,182e" filled="false" stroked="true" strokeweight=".600037pt" strokecolor="#000000">
            <v:path arrowok="t"/>
            <v:stroke dashstyle="solid"/>
            <w10:wrap type="topAndBottom"/>
          </v:shape>
        </w:pict>
      </w:r>
    </w:p>
    <w:p>
      <w:pPr>
        <w:spacing w:line="233" w:lineRule="exact" w:before="70"/>
        <w:ind w:left="620" w:right="0" w:firstLine="0"/>
        <w:jc w:val="both"/>
        <w:rPr>
          <w:sz w:val="20"/>
        </w:rPr>
      </w:pPr>
      <w:r>
        <w:rPr>
          <w:position w:val="7"/>
          <w:sz w:val="13"/>
        </w:rPr>
        <w:t>489 </w:t>
      </w:r>
      <w:r>
        <w:rPr>
          <w:sz w:val="20"/>
        </w:rPr>
        <w:t>Rīgas pilsētas Pārdaugavas tiesas 2018.gada 22.jūnija nolēmums lietā Nr.C-2709-18</w:t>
      </w:r>
    </w:p>
    <w:p>
      <w:pPr>
        <w:spacing w:line="230" w:lineRule="exact" w:before="0"/>
        <w:ind w:left="620" w:right="0" w:firstLine="0"/>
        <w:jc w:val="both"/>
        <w:rPr>
          <w:sz w:val="20"/>
        </w:rPr>
      </w:pPr>
      <w:r>
        <w:rPr>
          <w:position w:val="7"/>
          <w:sz w:val="13"/>
        </w:rPr>
        <w:t>490 </w:t>
      </w:r>
      <w:r>
        <w:rPr>
          <w:sz w:val="20"/>
        </w:rPr>
        <w:t>Vidzemes rajona tiesas 2018.gada 3.augusta nolēmums lietā Nr.C71156718</w:t>
      </w:r>
    </w:p>
    <w:p>
      <w:pPr>
        <w:spacing w:line="240" w:lineRule="auto" w:before="0"/>
        <w:ind w:left="620" w:right="404" w:firstLine="0"/>
        <w:jc w:val="both"/>
        <w:rPr>
          <w:sz w:val="20"/>
        </w:rPr>
      </w:pPr>
      <w:r>
        <w:rPr>
          <w:position w:val="7"/>
          <w:sz w:val="13"/>
        </w:rPr>
        <w:t>491 </w:t>
      </w:r>
      <w:r>
        <w:rPr>
          <w:sz w:val="20"/>
        </w:rPr>
        <w:t>Rīgas pilsētas Pārdaugavas tiesas 2018.gada 19.septembra nolēmums lietā Nr. C68244118, Rīgas pilsētas Vidzemes priekšpilsētas tiesas 2018.gada 17.jūlija nolēmums lietā Nr.C30502018, Rīgas pilsētas Vidzemes priekšpilsētas tiesas 2017.gada 24.novembra nolēmums lietā Nr. C30549717</w:t>
      </w:r>
    </w:p>
    <w:p>
      <w:pPr>
        <w:spacing w:line="240" w:lineRule="auto" w:before="0"/>
        <w:ind w:left="620" w:right="404" w:firstLine="0"/>
        <w:jc w:val="both"/>
        <w:rPr>
          <w:sz w:val="20"/>
        </w:rPr>
      </w:pPr>
      <w:r>
        <w:rPr>
          <w:position w:val="7"/>
          <w:sz w:val="13"/>
        </w:rPr>
        <w:t>492 </w:t>
      </w:r>
      <w:r>
        <w:rPr>
          <w:sz w:val="20"/>
        </w:rPr>
        <w:t>Rīgas pilsētas Pārdaugavas tiesas 2018.gada 19.septembra nolēmums lietā Nr. C68244118, Rīgas rajona tiesas 2018.gada 10.jūlija nolēmums lietā Nr.C3336818</w:t>
      </w:r>
    </w:p>
    <w:p>
      <w:pPr>
        <w:spacing w:line="229" w:lineRule="exact" w:before="0"/>
        <w:ind w:left="620" w:right="0" w:firstLine="0"/>
        <w:jc w:val="both"/>
        <w:rPr>
          <w:sz w:val="20"/>
        </w:rPr>
      </w:pPr>
      <w:r>
        <w:rPr>
          <w:position w:val="7"/>
          <w:sz w:val="13"/>
        </w:rPr>
        <w:t>493 </w:t>
      </w:r>
      <w:r>
        <w:rPr>
          <w:sz w:val="20"/>
        </w:rPr>
        <w:t>Rīgas pilsētas Pārdaugavas tiesas 2018.gada 19.septembra nolēmums lietā Nr.C68244118</w:t>
      </w:r>
    </w:p>
    <w:p>
      <w:pPr>
        <w:spacing w:line="233" w:lineRule="exact" w:before="0"/>
        <w:ind w:left="620" w:right="0" w:firstLine="0"/>
        <w:jc w:val="both"/>
        <w:rPr>
          <w:sz w:val="20"/>
        </w:rPr>
      </w:pPr>
      <w:r>
        <w:rPr>
          <w:position w:val="7"/>
          <w:sz w:val="13"/>
        </w:rPr>
        <w:t>494 </w:t>
      </w:r>
      <w:r>
        <w:rPr>
          <w:sz w:val="20"/>
        </w:rPr>
        <w:t>Rīgas pilsētas Vidzemes priekšpilsētas tiesas 2018.gada 17.jūlija nolēmums lietā Nr.C30502018</w:t>
      </w:r>
    </w:p>
    <w:p>
      <w:pPr>
        <w:spacing w:after="0" w:line="233" w:lineRule="exact"/>
        <w:jc w:val="both"/>
        <w:rPr>
          <w:sz w:val="20"/>
        </w:rPr>
        <w:sectPr>
          <w:pgSz w:w="11910" w:h="16840"/>
          <w:pgMar w:header="0" w:footer="1055" w:top="1320" w:bottom="1240" w:left="1180" w:right="1040"/>
        </w:sectPr>
      </w:pPr>
    </w:p>
    <w:p>
      <w:pPr>
        <w:pStyle w:val="BodyText"/>
        <w:spacing w:line="237" w:lineRule="auto" w:before="75"/>
        <w:ind w:left="260" w:right="761"/>
        <w:rPr>
          <w:sz w:val="16"/>
        </w:rPr>
      </w:pPr>
      <w:r>
        <w:rPr/>
        <w:t>pieteikuma iesniegšanas tiesā vai pēc tā iesniegšanas tiesā ir ar nodomu vai aiz rupjas neuzmanības aizskāris kreditora tiesības saņemt sava prasījuma apmierinājumu, kas izpaudās kā pārmērīgu saistību uzņemšanās vai mantas izsaimniekošana. Tādējādi Vācijā pārmērīgu saistību uzņemšanās ir noteikta kā viens no saistību dzēšanas procedūras ierobežojumiem. Tomēr jāņem vērā, ka šādas nelabvēlīgas sekas likums paredz tikai tad, ja</w:t>
      </w:r>
      <w:r>
        <w:rPr>
          <w:spacing w:val="-15"/>
        </w:rPr>
        <w:t> </w:t>
      </w:r>
      <w:r>
        <w:rPr/>
        <w:t>parādnieks</w:t>
      </w:r>
      <w:r>
        <w:rPr>
          <w:spacing w:val="-15"/>
        </w:rPr>
        <w:t> </w:t>
      </w:r>
      <w:r>
        <w:rPr/>
        <w:t>pārmērīgas</w:t>
      </w:r>
      <w:r>
        <w:rPr>
          <w:spacing w:val="-12"/>
        </w:rPr>
        <w:t> </w:t>
      </w:r>
      <w:r>
        <w:rPr/>
        <w:t>saistības</w:t>
      </w:r>
      <w:r>
        <w:rPr>
          <w:spacing w:val="-17"/>
        </w:rPr>
        <w:t> </w:t>
      </w:r>
      <w:r>
        <w:rPr/>
        <w:t>uzņēmies</w:t>
      </w:r>
      <w:r>
        <w:rPr>
          <w:spacing w:val="-15"/>
        </w:rPr>
        <w:t> </w:t>
      </w:r>
      <w:r>
        <w:rPr/>
        <w:t>ar</w:t>
      </w:r>
      <w:r>
        <w:rPr>
          <w:spacing w:val="-17"/>
        </w:rPr>
        <w:t> </w:t>
      </w:r>
      <w:r>
        <w:rPr/>
        <w:t>nodomu</w:t>
      </w:r>
      <w:r>
        <w:rPr>
          <w:spacing w:val="-15"/>
        </w:rPr>
        <w:t> </w:t>
      </w:r>
      <w:r>
        <w:rPr/>
        <w:t>vai</w:t>
      </w:r>
      <w:r>
        <w:rPr>
          <w:spacing w:val="-15"/>
        </w:rPr>
        <w:t> </w:t>
      </w:r>
      <w:r>
        <w:rPr/>
        <w:t>aiz</w:t>
      </w:r>
      <w:r>
        <w:rPr>
          <w:spacing w:val="-13"/>
        </w:rPr>
        <w:t> </w:t>
      </w:r>
      <w:r>
        <w:rPr/>
        <w:t>rupjas</w:t>
      </w:r>
      <w:r>
        <w:rPr>
          <w:spacing w:val="-15"/>
        </w:rPr>
        <w:t> </w:t>
      </w:r>
      <w:r>
        <w:rPr/>
        <w:t>neuzmanības.</w:t>
      </w:r>
      <w:r>
        <w:rPr>
          <w:spacing w:val="-15"/>
        </w:rPr>
        <w:t> </w:t>
      </w:r>
      <w:r>
        <w:rPr/>
        <w:t>Turklāt tiesu</w:t>
      </w:r>
      <w:r>
        <w:rPr>
          <w:spacing w:val="-4"/>
        </w:rPr>
        <w:t> </w:t>
      </w:r>
      <w:r>
        <w:rPr/>
        <w:t>praksē</w:t>
      </w:r>
      <w:r>
        <w:rPr>
          <w:spacing w:val="-2"/>
        </w:rPr>
        <w:t> </w:t>
      </w:r>
      <w:r>
        <w:rPr/>
        <w:t>šī</w:t>
      </w:r>
      <w:r>
        <w:rPr>
          <w:spacing w:val="-3"/>
        </w:rPr>
        <w:t> </w:t>
      </w:r>
      <w:r>
        <w:rPr/>
        <w:t>tiesību</w:t>
      </w:r>
      <w:r>
        <w:rPr>
          <w:spacing w:val="-4"/>
        </w:rPr>
        <w:t> </w:t>
      </w:r>
      <w:r>
        <w:rPr/>
        <w:t>norma</w:t>
      </w:r>
      <w:r>
        <w:rPr>
          <w:spacing w:val="-4"/>
        </w:rPr>
        <w:t> </w:t>
      </w:r>
      <w:r>
        <w:rPr/>
        <w:t>tiek</w:t>
      </w:r>
      <w:r>
        <w:rPr>
          <w:spacing w:val="-3"/>
        </w:rPr>
        <w:t> </w:t>
      </w:r>
      <w:r>
        <w:rPr/>
        <w:t>tulkota</w:t>
      </w:r>
      <w:r>
        <w:rPr>
          <w:spacing w:val="-5"/>
        </w:rPr>
        <w:t> </w:t>
      </w:r>
      <w:r>
        <w:rPr/>
        <w:t>ļoti</w:t>
      </w:r>
      <w:r>
        <w:rPr>
          <w:spacing w:val="-6"/>
        </w:rPr>
        <w:t> </w:t>
      </w:r>
      <w:r>
        <w:rPr/>
        <w:t>šauri,</w:t>
      </w:r>
      <w:r>
        <w:rPr>
          <w:spacing w:val="-3"/>
        </w:rPr>
        <w:t> </w:t>
      </w:r>
      <w:r>
        <w:rPr/>
        <w:t>atzīstot,</w:t>
      </w:r>
      <w:r>
        <w:rPr>
          <w:spacing w:val="-4"/>
        </w:rPr>
        <w:t> </w:t>
      </w:r>
      <w:r>
        <w:rPr/>
        <w:t>ka</w:t>
      </w:r>
      <w:r>
        <w:rPr>
          <w:spacing w:val="-6"/>
        </w:rPr>
        <w:t> </w:t>
      </w:r>
      <w:r>
        <w:rPr/>
        <w:t>tā</w:t>
      </w:r>
      <w:r>
        <w:rPr>
          <w:spacing w:val="-3"/>
        </w:rPr>
        <w:t> </w:t>
      </w:r>
      <w:r>
        <w:rPr/>
        <w:t>kalpo</w:t>
      </w:r>
      <w:r>
        <w:rPr>
          <w:spacing w:val="-4"/>
        </w:rPr>
        <w:t> </w:t>
      </w:r>
      <w:r>
        <w:rPr/>
        <w:t>tam,</w:t>
      </w:r>
      <w:r>
        <w:rPr>
          <w:spacing w:val="-6"/>
        </w:rPr>
        <w:t> </w:t>
      </w:r>
      <w:r>
        <w:rPr/>
        <w:t>lai</w:t>
      </w:r>
      <w:r>
        <w:rPr>
          <w:spacing w:val="-5"/>
        </w:rPr>
        <w:t> </w:t>
      </w:r>
      <w:r>
        <w:rPr/>
        <w:t>parādnieks, paredzot tuvākā laikā iespējamo maksātnespēju vai pat atbrīvošanu no parādsaistībām, nesāktu izšķērdīgi dzīvot un neradītu izdevumus par luksusa precēm/pakalpojumiem.</w:t>
      </w:r>
      <w:r>
        <w:rPr>
          <w:position w:val="9"/>
          <w:sz w:val="16"/>
        </w:rPr>
        <w:t>495 </w:t>
      </w:r>
      <w:r>
        <w:rPr/>
        <w:t>Tādējādi ar negodprātīgu parādnieka rīcību minētās tiesību normas izpratnē Vācijā saprot rīcību, kas no saimnieciskā viedokļa nav izprotama, sevišķi izdevumu radīšana, kas, salīdzinot ar parādnieka kopējo mantas apmēru un ienākumiem, ir nesamērīgi</w:t>
      </w:r>
      <w:r>
        <w:rPr>
          <w:spacing w:val="-7"/>
        </w:rPr>
        <w:t> </w:t>
      </w:r>
      <w:r>
        <w:rPr/>
        <w:t>lieli.</w:t>
      </w:r>
      <w:r>
        <w:rPr>
          <w:position w:val="9"/>
          <w:sz w:val="16"/>
        </w:rPr>
        <w:t>496</w:t>
      </w:r>
    </w:p>
    <w:p>
      <w:pPr>
        <w:pStyle w:val="BodyText"/>
        <w:spacing w:before="1"/>
        <w:ind w:left="260" w:right="760" w:firstLine="720"/>
      </w:pPr>
      <w:r>
        <w:rPr/>
        <w:t>Pie</w:t>
      </w:r>
      <w:r>
        <w:rPr>
          <w:spacing w:val="-10"/>
        </w:rPr>
        <w:t> </w:t>
      </w:r>
      <w:r>
        <w:rPr/>
        <w:t>tam</w:t>
      </w:r>
      <w:r>
        <w:rPr>
          <w:spacing w:val="-13"/>
        </w:rPr>
        <w:t> </w:t>
      </w:r>
      <w:r>
        <w:rPr/>
        <w:t>jāņem</w:t>
      </w:r>
      <w:r>
        <w:rPr>
          <w:spacing w:val="-13"/>
        </w:rPr>
        <w:t> </w:t>
      </w:r>
      <w:r>
        <w:rPr/>
        <w:t>vērā,</w:t>
      </w:r>
      <w:r>
        <w:rPr>
          <w:spacing w:val="-13"/>
        </w:rPr>
        <w:t> </w:t>
      </w:r>
      <w:r>
        <w:rPr/>
        <w:t>ka</w:t>
      </w:r>
      <w:r>
        <w:rPr>
          <w:spacing w:val="-10"/>
        </w:rPr>
        <w:t> </w:t>
      </w:r>
      <w:r>
        <w:rPr/>
        <w:t>atbilstoši</w:t>
      </w:r>
      <w:r>
        <w:rPr>
          <w:spacing w:val="-11"/>
        </w:rPr>
        <w:t> </w:t>
      </w:r>
      <w:r>
        <w:rPr/>
        <w:t>Vācijas</w:t>
      </w:r>
      <w:r>
        <w:rPr>
          <w:spacing w:val="-13"/>
        </w:rPr>
        <w:t> </w:t>
      </w:r>
      <w:r>
        <w:rPr/>
        <w:t>Maksātnespējas</w:t>
      </w:r>
      <w:r>
        <w:rPr>
          <w:spacing w:val="-14"/>
        </w:rPr>
        <w:t> </w:t>
      </w:r>
      <w:r>
        <w:rPr/>
        <w:t>likuma</w:t>
      </w:r>
      <w:r>
        <w:rPr>
          <w:spacing w:val="-14"/>
        </w:rPr>
        <w:t> </w:t>
      </w:r>
      <w:r>
        <w:rPr/>
        <w:t>§</w:t>
      </w:r>
      <w:r>
        <w:rPr>
          <w:spacing w:val="-11"/>
        </w:rPr>
        <w:t> </w:t>
      </w:r>
      <w:r>
        <w:rPr/>
        <w:t>290</w:t>
      </w:r>
      <w:r>
        <w:rPr>
          <w:spacing w:val="-10"/>
        </w:rPr>
        <w:t> </w:t>
      </w:r>
      <w:r>
        <w:rPr/>
        <w:t>pirmās</w:t>
      </w:r>
      <w:r>
        <w:rPr>
          <w:spacing w:val="-14"/>
        </w:rPr>
        <w:t> </w:t>
      </w:r>
      <w:r>
        <w:rPr/>
        <w:t>daļas 4.punktam parādniekam pārmērīgu saistību uzņemšanās gadījumā atbrīvošana no parādsaistībām ir liedzama tikai tad, ja šāda parādnieka rīcība ir negatīvi ietekmējusi kreditoru prasījumu apmierināšanai novirzāmās naudas summas apmēru parādnieka maksātnespējas procesa ietvaros. Proti, tiesību norma ir piemērojama, ja, parādniekam neuzņemoties pārmērīgas saistības, maksātnespējas procesa ietvaros kreditoru prasījumu segšanai tiktu novirzīti naudas līdzekļi lielākā apmērā. Tādejādi jākonstatē cēloņsakarība starp pārmērīgu saistību uzņemšanos un kreditora tiesību aizskārumu gūt sava prasījuma pilnīgāku apmierinājumu.</w:t>
      </w:r>
      <w:r>
        <w:rPr>
          <w:position w:val="9"/>
          <w:sz w:val="16"/>
        </w:rPr>
        <w:t>497 </w:t>
      </w:r>
      <w:r>
        <w:rPr/>
        <w:t>Attiecīgi, lai arī Vācijā ar speciālu tiesību normu pārmērīga saistību uzņemšanās ir minēta kā viens no saistību dzēšanas ierobežojumiem, praksē šis ierobežojums</w:t>
      </w:r>
      <w:r>
        <w:rPr>
          <w:spacing w:val="-4"/>
        </w:rPr>
        <w:t> </w:t>
      </w:r>
      <w:r>
        <w:rPr/>
        <w:t>tiek</w:t>
      </w:r>
      <w:r>
        <w:rPr>
          <w:spacing w:val="-4"/>
        </w:rPr>
        <w:t> </w:t>
      </w:r>
      <w:r>
        <w:rPr/>
        <w:t>tulkots</w:t>
      </w:r>
      <w:r>
        <w:rPr>
          <w:spacing w:val="-6"/>
        </w:rPr>
        <w:t> </w:t>
      </w:r>
      <w:r>
        <w:rPr/>
        <w:t>ļoti</w:t>
      </w:r>
      <w:r>
        <w:rPr>
          <w:spacing w:val="-3"/>
        </w:rPr>
        <w:t> </w:t>
      </w:r>
      <w:r>
        <w:rPr/>
        <w:t>šauri,</w:t>
      </w:r>
      <w:r>
        <w:rPr>
          <w:spacing w:val="-4"/>
        </w:rPr>
        <w:t> </w:t>
      </w:r>
      <w:r>
        <w:rPr/>
        <w:t>turklāt</w:t>
      </w:r>
      <w:r>
        <w:rPr>
          <w:spacing w:val="-6"/>
        </w:rPr>
        <w:t> </w:t>
      </w:r>
      <w:r>
        <w:rPr/>
        <w:t>tas</w:t>
      </w:r>
      <w:r>
        <w:rPr>
          <w:spacing w:val="-3"/>
        </w:rPr>
        <w:t> </w:t>
      </w:r>
      <w:r>
        <w:rPr/>
        <w:t>tiek</w:t>
      </w:r>
      <w:r>
        <w:rPr>
          <w:spacing w:val="-6"/>
        </w:rPr>
        <w:t> </w:t>
      </w:r>
      <w:r>
        <w:rPr/>
        <w:t>piemērots</w:t>
      </w:r>
      <w:r>
        <w:rPr>
          <w:spacing w:val="-1"/>
        </w:rPr>
        <w:t> </w:t>
      </w:r>
      <w:r>
        <w:rPr/>
        <w:t>tikai</w:t>
      </w:r>
      <w:r>
        <w:rPr>
          <w:spacing w:val="-3"/>
        </w:rPr>
        <w:t> </w:t>
      </w:r>
      <w:r>
        <w:rPr/>
        <w:t>tad,</w:t>
      </w:r>
      <w:r>
        <w:rPr>
          <w:spacing w:val="-4"/>
        </w:rPr>
        <w:t> </w:t>
      </w:r>
      <w:r>
        <w:rPr/>
        <w:t>ja</w:t>
      </w:r>
      <w:r>
        <w:rPr>
          <w:spacing w:val="-4"/>
        </w:rPr>
        <w:t> </w:t>
      </w:r>
      <w:r>
        <w:rPr/>
        <w:t>tiek</w:t>
      </w:r>
      <w:r>
        <w:rPr>
          <w:spacing w:val="-4"/>
        </w:rPr>
        <w:t> </w:t>
      </w:r>
      <w:r>
        <w:rPr/>
        <w:t>konstatēta</w:t>
      </w:r>
      <w:r>
        <w:rPr>
          <w:spacing w:val="-3"/>
        </w:rPr>
        <w:t> </w:t>
      </w:r>
      <w:r>
        <w:rPr/>
        <w:t>ne vien parādnieka vaina vismaz rupjas neuzmanības formā, bet arī cēloņsakarība</w:t>
      </w:r>
      <w:r>
        <w:rPr>
          <w:spacing w:val="44"/>
        </w:rPr>
        <w:t> </w:t>
      </w:r>
      <w:r>
        <w:rPr/>
        <w:t>starp pārmērīgu saistību uzņemšanos un kreditora tiesību aizskārumu maksātnespējas procesa ietvaros. Savukārt Latvijā, kā rāda tiesu prakses analīze, saistībā ar pārmērīgu vai neapdomīgu saistību uzņemšanos Maksātnespējas likuma 153.panta 1.punkts nereti tiek piemērots bez padziļinātas parādnieka rīcības pārbaudes, piemēram, nevērtējot, ciktāl</w:t>
      </w:r>
      <w:r>
        <w:rPr>
          <w:spacing w:val="-38"/>
        </w:rPr>
        <w:t> </w:t>
      </w:r>
      <w:r>
        <w:rPr/>
        <w:t>runa varētu būt par parādnieka vieglprātību, bet ciktāl – apzinātu</w:t>
      </w:r>
      <w:r>
        <w:rPr>
          <w:spacing w:val="-1"/>
        </w:rPr>
        <w:t> </w:t>
      </w:r>
      <w:r>
        <w:rPr/>
        <w:t>rīcību.</w:t>
      </w:r>
    </w:p>
    <w:p>
      <w:pPr>
        <w:pStyle w:val="BodyText"/>
        <w:spacing w:line="261" w:lineRule="exact"/>
        <w:ind w:left="980"/>
      </w:pPr>
      <w:r>
        <w:rPr/>
        <w:t>Papildus</w:t>
      </w:r>
      <w:r>
        <w:rPr>
          <w:spacing w:val="52"/>
        </w:rPr>
        <w:t> </w:t>
      </w:r>
      <w:r>
        <w:rPr/>
        <w:t>minams vēl kāds</w:t>
      </w:r>
      <w:r>
        <w:rPr>
          <w:spacing w:val="52"/>
        </w:rPr>
        <w:t> </w:t>
      </w:r>
      <w:r>
        <w:rPr/>
        <w:t>aspekts. Praksē nereti ir novērojamas situācijas, ka</w:t>
      </w:r>
    </w:p>
    <w:p>
      <w:pPr>
        <w:pStyle w:val="BodyText"/>
        <w:spacing w:line="237" w:lineRule="auto" w:before="2"/>
        <w:ind w:left="260" w:right="761"/>
        <w:rPr>
          <w:sz w:val="16"/>
        </w:rPr>
      </w:pPr>
      <w:r>
        <w:rPr/>
        <w:t>parādnieks</w:t>
      </w:r>
      <w:r>
        <w:rPr>
          <w:spacing w:val="-6"/>
        </w:rPr>
        <w:t> </w:t>
      </w:r>
      <w:r>
        <w:rPr/>
        <w:t>sākotnēji</w:t>
      </w:r>
      <w:r>
        <w:rPr>
          <w:spacing w:val="-5"/>
        </w:rPr>
        <w:t> </w:t>
      </w:r>
      <w:r>
        <w:rPr/>
        <w:t>ir</w:t>
      </w:r>
      <w:r>
        <w:rPr>
          <w:spacing w:val="-5"/>
        </w:rPr>
        <w:t> </w:t>
      </w:r>
      <w:r>
        <w:rPr/>
        <w:t>uzņēmies</w:t>
      </w:r>
      <w:r>
        <w:rPr>
          <w:spacing w:val="-5"/>
        </w:rPr>
        <w:t> </w:t>
      </w:r>
      <w:r>
        <w:rPr/>
        <w:t>saistības</w:t>
      </w:r>
      <w:r>
        <w:rPr>
          <w:spacing w:val="-8"/>
        </w:rPr>
        <w:t> </w:t>
      </w:r>
      <w:r>
        <w:rPr/>
        <w:t>labā</w:t>
      </w:r>
      <w:r>
        <w:rPr>
          <w:spacing w:val="-5"/>
        </w:rPr>
        <w:t> </w:t>
      </w:r>
      <w:r>
        <w:rPr/>
        <w:t>ticībā,</w:t>
      </w:r>
      <w:r>
        <w:rPr>
          <w:spacing w:val="-9"/>
        </w:rPr>
        <w:t> </w:t>
      </w:r>
      <w:r>
        <w:rPr/>
        <w:t>taču,</w:t>
      </w:r>
      <w:r>
        <w:rPr>
          <w:spacing w:val="-5"/>
        </w:rPr>
        <w:t> </w:t>
      </w:r>
      <w:r>
        <w:rPr/>
        <w:t>iestājoties</w:t>
      </w:r>
      <w:r>
        <w:rPr>
          <w:spacing w:val="-6"/>
        </w:rPr>
        <w:t> </w:t>
      </w:r>
      <w:r>
        <w:rPr/>
        <w:t>nelabvēlīgu</w:t>
      </w:r>
      <w:r>
        <w:rPr>
          <w:spacing w:val="-3"/>
        </w:rPr>
        <w:t> </w:t>
      </w:r>
      <w:r>
        <w:rPr/>
        <w:t>apstākļu kopumam un apjaušot savu nespēju izpildīt saistības, sācis dzīvot izšķērdīgi, tostarp arī šāda dzīves veida nodrošināšanai izmantojot, piemēram, patēriņa kredītlīdzekļus.</w:t>
      </w:r>
      <w:r>
        <w:rPr>
          <w:spacing w:val="-39"/>
        </w:rPr>
        <w:t> </w:t>
      </w:r>
      <w:r>
        <w:rPr/>
        <w:t>Attiecīgi rodas jautājums, vai šādā gadījumā ir samērīgi liegt parādniekam godprātīgi nodibinātu saistību dzēšanu fiziskās personas maksātnespējas procesā, apzinoties, ka tādā gadījumā parādnieks</w:t>
      </w:r>
      <w:r>
        <w:rPr>
          <w:spacing w:val="-15"/>
        </w:rPr>
        <w:t> </w:t>
      </w:r>
      <w:r>
        <w:rPr/>
        <w:t>visdrīzāk</w:t>
      </w:r>
      <w:r>
        <w:rPr>
          <w:spacing w:val="-17"/>
        </w:rPr>
        <w:t> </w:t>
      </w:r>
      <w:r>
        <w:rPr/>
        <w:t>nonāk</w:t>
      </w:r>
      <w:r>
        <w:rPr>
          <w:spacing w:val="-15"/>
        </w:rPr>
        <w:t> </w:t>
      </w:r>
      <w:r>
        <w:rPr/>
        <w:t>“pelēkajā</w:t>
      </w:r>
      <w:r>
        <w:rPr>
          <w:spacing w:val="-17"/>
        </w:rPr>
        <w:t> </w:t>
      </w:r>
      <w:r>
        <w:rPr/>
        <w:t>zonā”</w:t>
      </w:r>
      <w:r>
        <w:rPr>
          <w:spacing w:val="-15"/>
        </w:rPr>
        <w:t> </w:t>
      </w:r>
      <w:r>
        <w:rPr/>
        <w:t>un</w:t>
      </w:r>
      <w:r>
        <w:rPr>
          <w:spacing w:val="-15"/>
        </w:rPr>
        <w:t> </w:t>
      </w:r>
      <w:r>
        <w:rPr/>
        <w:t>piedzīvo</w:t>
      </w:r>
      <w:r>
        <w:rPr>
          <w:spacing w:val="-15"/>
        </w:rPr>
        <w:t> </w:t>
      </w:r>
      <w:r>
        <w:rPr/>
        <w:t>sociālo</w:t>
      </w:r>
      <w:r>
        <w:rPr>
          <w:spacing w:val="-15"/>
        </w:rPr>
        <w:t> </w:t>
      </w:r>
      <w:r>
        <w:rPr/>
        <w:t>un</w:t>
      </w:r>
      <w:r>
        <w:rPr>
          <w:spacing w:val="-15"/>
        </w:rPr>
        <w:t> </w:t>
      </w:r>
      <w:r>
        <w:rPr/>
        <w:t>ekonomisko</w:t>
      </w:r>
      <w:r>
        <w:rPr>
          <w:spacing w:val="-15"/>
        </w:rPr>
        <w:t> </w:t>
      </w:r>
      <w:r>
        <w:rPr/>
        <w:t>atstumtību. Domājams,</w:t>
      </w:r>
      <w:r>
        <w:rPr>
          <w:spacing w:val="-12"/>
        </w:rPr>
        <w:t> </w:t>
      </w:r>
      <w:r>
        <w:rPr/>
        <w:t>daudz</w:t>
      </w:r>
      <w:r>
        <w:rPr>
          <w:spacing w:val="-12"/>
        </w:rPr>
        <w:t> </w:t>
      </w:r>
      <w:r>
        <w:rPr/>
        <w:t>pragmatiskāks</w:t>
      </w:r>
      <w:r>
        <w:rPr>
          <w:spacing w:val="-13"/>
        </w:rPr>
        <w:t> </w:t>
      </w:r>
      <w:r>
        <w:rPr/>
        <w:t>šādas</w:t>
      </w:r>
      <w:r>
        <w:rPr>
          <w:spacing w:val="-13"/>
        </w:rPr>
        <w:t> </w:t>
      </w:r>
      <w:r>
        <w:rPr/>
        <w:t>situācijas</w:t>
      </w:r>
      <w:r>
        <w:rPr>
          <w:spacing w:val="-11"/>
        </w:rPr>
        <w:t> </w:t>
      </w:r>
      <w:r>
        <w:rPr/>
        <w:t>risinājums</w:t>
      </w:r>
      <w:r>
        <w:rPr>
          <w:spacing w:val="-14"/>
        </w:rPr>
        <w:t> </w:t>
      </w:r>
      <w:r>
        <w:rPr/>
        <w:t>būtu</w:t>
      </w:r>
      <w:r>
        <w:rPr>
          <w:spacing w:val="-13"/>
        </w:rPr>
        <w:t> </w:t>
      </w:r>
      <w:r>
        <w:rPr/>
        <w:t>tiesiskais</w:t>
      </w:r>
      <w:r>
        <w:rPr>
          <w:spacing w:val="-13"/>
        </w:rPr>
        <w:t> </w:t>
      </w:r>
      <w:r>
        <w:rPr/>
        <w:t>regulējums,</w:t>
      </w:r>
      <w:r>
        <w:rPr>
          <w:spacing w:val="-13"/>
        </w:rPr>
        <w:t> </w:t>
      </w:r>
      <w:r>
        <w:rPr/>
        <w:t>kas paredzētu parādniekam tiesības fiziskās personas maksātnespējas procesā dzēst labā ticībā nodibinātās saistības, savukārt apzināti negodprātīgi nodibinātās saistības atstātu ārpus fiziskās personas maksātnespējas procesa</w:t>
      </w:r>
      <w:r>
        <w:rPr>
          <w:spacing w:val="-1"/>
        </w:rPr>
        <w:t> </w:t>
      </w:r>
      <w:r>
        <w:rPr/>
        <w:t>tvēruma.</w:t>
      </w:r>
      <w:r>
        <w:rPr>
          <w:position w:val="9"/>
          <w:sz w:val="16"/>
        </w:rPr>
        <w:t>498</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6"/>
        <w:jc w:val="left"/>
        <w:rPr>
          <w:sz w:val="17"/>
        </w:rPr>
      </w:pPr>
      <w:r>
        <w:rPr/>
        <w:pict>
          <v:shape style="position:absolute;margin-left:72pt;margin-top:12.369725pt;width:144pt;height:.1pt;mso-position-horizontal-relative:page;mso-position-vertical-relative:paragraph;z-index:-251445248;mso-wrap-distance-left:0;mso-wrap-distance-right:0" coordorigin="1440,247" coordsize="2880,0" path="m1440,247l4320,247e" filled="false" stroked="true" strokeweight=".600037pt" strokecolor="#000000">
            <v:path arrowok="t"/>
            <v:stroke dashstyle="solid"/>
            <w10:wrap type="topAndBottom"/>
          </v:shape>
        </w:pict>
      </w:r>
    </w:p>
    <w:p>
      <w:pPr>
        <w:spacing w:before="70"/>
        <w:ind w:left="260" w:right="635" w:firstLine="0"/>
        <w:jc w:val="left"/>
        <w:rPr>
          <w:sz w:val="20"/>
        </w:rPr>
      </w:pPr>
      <w:r>
        <w:rPr>
          <w:position w:val="7"/>
          <w:sz w:val="13"/>
        </w:rPr>
        <w:t>495 </w:t>
      </w:r>
      <w:r>
        <w:rPr>
          <w:sz w:val="20"/>
        </w:rPr>
        <w:t>Sk.: BGH ZVI 2005; Kayser/Thole “Insolvenzordnung” Heidelberger Kommentar, 9. neu bearbeitete Auflage, C.F.Mueller, 2018, Waltenberger Kommentare § 290, S.2201.</w:t>
      </w:r>
    </w:p>
    <w:p>
      <w:pPr>
        <w:spacing w:line="240" w:lineRule="auto" w:before="0"/>
        <w:ind w:left="260" w:right="398" w:firstLine="0"/>
        <w:jc w:val="left"/>
        <w:rPr>
          <w:sz w:val="20"/>
        </w:rPr>
      </w:pPr>
      <w:r>
        <w:rPr>
          <w:position w:val="7"/>
          <w:sz w:val="13"/>
        </w:rPr>
        <w:t>496 </w:t>
      </w:r>
      <w:r>
        <w:rPr>
          <w:sz w:val="20"/>
        </w:rPr>
        <w:t>BGH ZInsO 2006, 1103; Kayser/Thole “Insolvenzordnung” Heidelberger Kommentar, 9. neu bearbeitete Auflage, C.F.Mueller, 2018, Waltenberger Kommentare § 290, S.2201-2202.</w:t>
      </w:r>
    </w:p>
    <w:p>
      <w:pPr>
        <w:spacing w:line="223" w:lineRule="exact" w:before="0"/>
        <w:ind w:left="260" w:right="0" w:firstLine="0"/>
        <w:jc w:val="left"/>
        <w:rPr>
          <w:sz w:val="20"/>
        </w:rPr>
      </w:pPr>
      <w:r>
        <w:rPr>
          <w:position w:val="7"/>
          <w:sz w:val="13"/>
        </w:rPr>
        <w:t>497 </w:t>
      </w:r>
      <w:r>
        <w:rPr>
          <w:sz w:val="20"/>
        </w:rPr>
        <w:t>Sk.: Kayser/Thole “Insolvenzordnung”, Waltenberger § 290, S.2203.</w:t>
      </w:r>
    </w:p>
    <w:p>
      <w:pPr>
        <w:spacing w:line="249" w:lineRule="auto" w:before="0"/>
        <w:ind w:left="260" w:right="635" w:firstLine="0"/>
        <w:jc w:val="left"/>
        <w:rPr>
          <w:sz w:val="20"/>
        </w:rPr>
      </w:pPr>
      <w:r>
        <w:rPr>
          <w:position w:val="9"/>
          <w:sz w:val="16"/>
        </w:rPr>
        <w:t>498 </w:t>
      </w:r>
      <w:r>
        <w:rPr>
          <w:sz w:val="20"/>
        </w:rPr>
        <w:t>Līdzīgi: Tuula L. Consumer Insolvency: The Linkage Between the Fresh Start, Collective Proceedings, and</w:t>
      </w:r>
      <w:r>
        <w:rPr>
          <w:spacing w:val="-11"/>
          <w:sz w:val="20"/>
        </w:rPr>
        <w:t> </w:t>
      </w:r>
      <w:r>
        <w:rPr>
          <w:sz w:val="20"/>
        </w:rPr>
        <w:t>the</w:t>
      </w:r>
      <w:r>
        <w:rPr>
          <w:spacing w:val="-11"/>
          <w:sz w:val="20"/>
        </w:rPr>
        <w:t> </w:t>
      </w:r>
      <w:r>
        <w:rPr>
          <w:sz w:val="20"/>
        </w:rPr>
        <w:t>Access</w:t>
      </w:r>
      <w:r>
        <w:rPr>
          <w:spacing w:val="-13"/>
          <w:sz w:val="20"/>
        </w:rPr>
        <w:t> </w:t>
      </w:r>
      <w:r>
        <w:rPr>
          <w:sz w:val="20"/>
        </w:rPr>
        <w:t>to</w:t>
      </w:r>
      <w:r>
        <w:rPr>
          <w:spacing w:val="-10"/>
          <w:sz w:val="20"/>
        </w:rPr>
        <w:t> </w:t>
      </w:r>
      <w:r>
        <w:rPr>
          <w:sz w:val="20"/>
        </w:rPr>
        <w:t>Debt</w:t>
      </w:r>
      <w:r>
        <w:rPr>
          <w:spacing w:val="-11"/>
          <w:sz w:val="20"/>
        </w:rPr>
        <w:t> </w:t>
      </w:r>
      <w:r>
        <w:rPr>
          <w:sz w:val="20"/>
        </w:rPr>
        <w:t>Adjustment.</w:t>
      </w:r>
      <w:r>
        <w:rPr>
          <w:spacing w:val="-11"/>
          <w:sz w:val="20"/>
        </w:rPr>
        <w:t> </w:t>
      </w:r>
      <w:r>
        <w:rPr>
          <w:sz w:val="20"/>
        </w:rPr>
        <w:t>Journal</w:t>
      </w:r>
      <w:r>
        <w:rPr>
          <w:spacing w:val="-12"/>
          <w:sz w:val="20"/>
        </w:rPr>
        <w:t> </w:t>
      </w:r>
      <w:r>
        <w:rPr>
          <w:sz w:val="20"/>
        </w:rPr>
        <w:t>of</w:t>
      </w:r>
      <w:r>
        <w:rPr>
          <w:spacing w:val="-12"/>
          <w:sz w:val="20"/>
        </w:rPr>
        <w:t> </w:t>
      </w:r>
      <w:r>
        <w:rPr>
          <w:sz w:val="20"/>
        </w:rPr>
        <w:t>Consumer</w:t>
      </w:r>
      <w:r>
        <w:rPr>
          <w:spacing w:val="-11"/>
          <w:sz w:val="20"/>
        </w:rPr>
        <w:t> </w:t>
      </w:r>
      <w:r>
        <w:rPr>
          <w:sz w:val="20"/>
        </w:rPr>
        <w:t>Policy,</w:t>
      </w:r>
      <w:r>
        <w:rPr>
          <w:spacing w:val="-11"/>
          <w:sz w:val="20"/>
        </w:rPr>
        <w:t> </w:t>
      </w:r>
      <w:r>
        <w:rPr>
          <w:sz w:val="20"/>
        </w:rPr>
        <w:t>September</w:t>
      </w:r>
      <w:r>
        <w:rPr>
          <w:spacing w:val="-11"/>
          <w:sz w:val="20"/>
        </w:rPr>
        <w:t> </w:t>
      </w:r>
      <w:r>
        <w:rPr>
          <w:sz w:val="20"/>
        </w:rPr>
        <w:t>2015,</w:t>
      </w:r>
      <w:r>
        <w:rPr>
          <w:spacing w:val="-14"/>
          <w:sz w:val="20"/>
        </w:rPr>
        <w:t> </w:t>
      </w:r>
      <w:r>
        <w:rPr>
          <w:sz w:val="20"/>
        </w:rPr>
        <w:t>Volume</w:t>
      </w:r>
      <w:r>
        <w:rPr>
          <w:spacing w:val="-13"/>
          <w:sz w:val="20"/>
        </w:rPr>
        <w:t> </w:t>
      </w:r>
      <w:r>
        <w:rPr>
          <w:sz w:val="20"/>
        </w:rPr>
        <w:t>38,</w:t>
      </w:r>
      <w:r>
        <w:rPr>
          <w:spacing w:val="-13"/>
          <w:sz w:val="20"/>
        </w:rPr>
        <w:t> </w:t>
      </w:r>
      <w:r>
        <w:rPr>
          <w:sz w:val="20"/>
        </w:rPr>
        <w:t>Issue</w:t>
      </w:r>
      <w:r>
        <w:rPr>
          <w:spacing w:val="-10"/>
          <w:sz w:val="20"/>
        </w:rPr>
        <w:t> </w:t>
      </w:r>
      <w:r>
        <w:rPr>
          <w:sz w:val="20"/>
        </w:rPr>
        <w:t>3,</w:t>
      </w:r>
      <w:r>
        <w:rPr>
          <w:spacing w:val="-11"/>
          <w:sz w:val="20"/>
        </w:rPr>
        <w:t> </w:t>
      </w:r>
      <w:r>
        <w:rPr>
          <w:sz w:val="20"/>
        </w:rPr>
        <w:t>p.370.</w:t>
      </w:r>
    </w:p>
    <w:p>
      <w:pPr>
        <w:spacing w:after="0" w:line="249" w:lineRule="auto"/>
        <w:jc w:val="left"/>
        <w:rPr>
          <w:sz w:val="20"/>
        </w:rPr>
        <w:sectPr>
          <w:pgSz w:w="11910" w:h="16840"/>
          <w:pgMar w:header="0" w:footer="1055" w:top="1340" w:bottom="1240" w:left="1180" w:right="1040"/>
        </w:sectPr>
      </w:pPr>
    </w:p>
    <w:p>
      <w:pPr>
        <w:pStyle w:val="Heading2"/>
        <w:numPr>
          <w:ilvl w:val="0"/>
          <w:numId w:val="116"/>
        </w:numPr>
        <w:tabs>
          <w:tab w:pos="1552" w:val="left" w:leader="none"/>
        </w:tabs>
        <w:spacing w:line="240" w:lineRule="auto" w:before="59" w:after="0"/>
        <w:ind w:left="2045" w:right="616" w:hanging="855"/>
        <w:jc w:val="left"/>
      </w:pPr>
      <w:bookmarkStart w:name="_TOC_250019" w:id="59"/>
      <w:r>
        <w:rPr/>
        <w:t>Parādnieka negodprātība plašākā nozīmē (mantas slēpšana vai nobēdzināšana, nepatiesas informācijas sniegšana</w:t>
      </w:r>
      <w:r>
        <w:rPr>
          <w:spacing w:val="-8"/>
        </w:rPr>
        <w:t> </w:t>
      </w:r>
      <w:bookmarkEnd w:id="59"/>
      <w:r>
        <w:rPr/>
        <w:t>u.c.)</w:t>
      </w:r>
    </w:p>
    <w:p>
      <w:pPr>
        <w:pStyle w:val="BodyText"/>
        <w:spacing w:before="4"/>
        <w:jc w:val="left"/>
        <w:rPr>
          <w:b/>
          <w:sz w:val="27"/>
        </w:rPr>
      </w:pPr>
    </w:p>
    <w:p>
      <w:pPr>
        <w:pStyle w:val="BodyText"/>
        <w:spacing w:before="1"/>
        <w:ind w:left="620" w:right="401" w:firstLine="360"/>
      </w:pPr>
      <w:r>
        <w:rPr/>
        <w:t>Pētījuma laikā iegūtie dati un informācija apliecina, ka līdztekus patieso ienākumu slēpšanai vai nesamērīgi zemu ienākumu gūšanai ir novērojamas arī cita veida parādnieku negodprātības</w:t>
      </w:r>
      <w:r>
        <w:rPr>
          <w:spacing w:val="-13"/>
        </w:rPr>
        <w:t> </w:t>
      </w:r>
      <w:r>
        <w:rPr/>
        <w:t>izpausmes,</w:t>
      </w:r>
      <w:r>
        <w:rPr>
          <w:spacing w:val="-10"/>
        </w:rPr>
        <w:t> </w:t>
      </w:r>
      <w:r>
        <w:rPr/>
        <w:t>pamatā</w:t>
      </w:r>
      <w:r>
        <w:rPr>
          <w:spacing w:val="-10"/>
        </w:rPr>
        <w:t> </w:t>
      </w:r>
      <w:r>
        <w:rPr/>
        <w:t>–</w:t>
      </w:r>
      <w:r>
        <w:rPr>
          <w:spacing w:val="-10"/>
        </w:rPr>
        <w:t> </w:t>
      </w:r>
      <w:r>
        <w:rPr/>
        <w:t>nepatiesas</w:t>
      </w:r>
      <w:r>
        <w:rPr>
          <w:spacing w:val="-10"/>
        </w:rPr>
        <w:t> </w:t>
      </w:r>
      <w:r>
        <w:rPr/>
        <w:t>vai</w:t>
      </w:r>
      <w:r>
        <w:rPr>
          <w:spacing w:val="-10"/>
        </w:rPr>
        <w:t> </w:t>
      </w:r>
      <w:r>
        <w:rPr/>
        <w:t>nepilnīgas</w:t>
      </w:r>
      <w:r>
        <w:rPr>
          <w:spacing w:val="-12"/>
        </w:rPr>
        <w:t> </w:t>
      </w:r>
      <w:r>
        <w:rPr/>
        <w:t>informācijas</w:t>
      </w:r>
      <w:r>
        <w:rPr>
          <w:spacing w:val="-12"/>
        </w:rPr>
        <w:t> </w:t>
      </w:r>
      <w:r>
        <w:rPr/>
        <w:t>sniegšana,</w:t>
      </w:r>
      <w:r>
        <w:rPr>
          <w:spacing w:val="-12"/>
        </w:rPr>
        <w:t> </w:t>
      </w:r>
      <w:r>
        <w:rPr/>
        <w:t>kā</w:t>
      </w:r>
      <w:r>
        <w:rPr>
          <w:spacing w:val="-8"/>
        </w:rPr>
        <w:t> </w:t>
      </w:r>
      <w:r>
        <w:rPr/>
        <w:t>arī apšaubāma rīcība ar mantu (mantas slēpšana, nobēdzināšana, priekšrocību piešķiršana atsevišķiem</w:t>
      </w:r>
      <w:r>
        <w:rPr>
          <w:spacing w:val="-1"/>
        </w:rPr>
        <w:t> </w:t>
      </w:r>
      <w:r>
        <w:rPr/>
        <w:t>kreditoriem).</w:t>
      </w:r>
    </w:p>
    <w:p>
      <w:pPr>
        <w:pStyle w:val="BodyText"/>
        <w:ind w:left="620" w:right="404" w:firstLine="360"/>
      </w:pPr>
      <w:r>
        <w:rPr/>
        <w:t>Pētāmajās valstīs parādnieku negodprātības apkarošanai tiek izmantoti dažādi instrumenti – stingrāki ierobežojumi maksātnespējas procesa uzsākšanai (Dānija) vai saistību dzēšanai (Vācija, Lielbritānija), kā arī naudas sodi un kriminālatbildība (Vācija, Igaunija).</w:t>
      </w:r>
    </w:p>
    <w:p>
      <w:pPr>
        <w:pStyle w:val="BodyText"/>
        <w:ind w:left="620" w:right="402" w:firstLine="360"/>
      </w:pPr>
      <w:r>
        <w:rPr/>
        <w:t>Respondentu atbildēs vairākkārt norādīts uz nepieciešamību ieviest parādniekiem naudas sodu vai kriminālatbildību par pārkāpumiem fiziskās personas maksātnespējas procesā, piemēram, par nepatiesas vai nepilnīgas informācijas sniegšanu. Tas gan ir visnotaļ diskutabls priekšlikums, jo, ja reiz parādnieks jau nespēj izpildīt esošās saistības, domājams, viņu no pārkāpuma izdarīšanas neatturēs naudas soda piemērošanas iespējamība. Savukārt kriminālatbildības institūts, kā liecina Latvijas pieredze, faktiski nesniedz nekādu atdevi juridisko personu maksātnespējas procesos. Tādēļ nav pamata sagaidīt, ka parādnieku negodprātību varētu samazināt ar kriminālatbildības institūtu.</w:t>
      </w:r>
    </w:p>
    <w:p>
      <w:pPr>
        <w:pStyle w:val="BodyText"/>
        <w:ind w:left="620" w:right="401" w:firstLine="360"/>
      </w:pPr>
      <w:r>
        <w:rPr/>
        <w:t>Kā rāda citu valstu pieredze, visefektīvāk parādnieku negodprātības problemātika ir risināma caur saistību dzēšanas aspektu, jo tieši saistību dzēšana ir tas “produkts”, ko parādnieks vēlas saņemt, uzsākot fiziskās personas maksātnespējas procesu. Tādējādi ir būtiski,</w:t>
      </w:r>
      <w:r>
        <w:rPr>
          <w:spacing w:val="-14"/>
        </w:rPr>
        <w:t> </w:t>
      </w:r>
      <w:r>
        <w:rPr/>
        <w:t>lai</w:t>
      </w:r>
      <w:r>
        <w:rPr>
          <w:spacing w:val="-15"/>
        </w:rPr>
        <w:t> </w:t>
      </w:r>
      <w:r>
        <w:rPr/>
        <w:t>saistību</w:t>
      </w:r>
      <w:r>
        <w:rPr>
          <w:spacing w:val="-16"/>
        </w:rPr>
        <w:t> </w:t>
      </w:r>
      <w:r>
        <w:rPr/>
        <w:t>dzēšanas</w:t>
      </w:r>
      <w:r>
        <w:rPr>
          <w:spacing w:val="-16"/>
        </w:rPr>
        <w:t> </w:t>
      </w:r>
      <w:r>
        <w:rPr/>
        <w:t>ierobežojumi</w:t>
      </w:r>
      <w:r>
        <w:rPr>
          <w:spacing w:val="-11"/>
        </w:rPr>
        <w:t> </w:t>
      </w:r>
      <w:r>
        <w:rPr/>
        <w:t>būtu</w:t>
      </w:r>
      <w:r>
        <w:rPr>
          <w:spacing w:val="-16"/>
        </w:rPr>
        <w:t> </w:t>
      </w:r>
      <w:r>
        <w:rPr/>
        <w:t>salāgoti</w:t>
      </w:r>
      <w:r>
        <w:rPr>
          <w:spacing w:val="-12"/>
        </w:rPr>
        <w:t> </w:t>
      </w:r>
      <w:r>
        <w:rPr/>
        <w:t>ar</w:t>
      </w:r>
      <w:r>
        <w:rPr>
          <w:spacing w:val="-17"/>
        </w:rPr>
        <w:t> </w:t>
      </w:r>
      <w:r>
        <w:rPr/>
        <w:t>praksē</w:t>
      </w:r>
      <w:r>
        <w:rPr>
          <w:spacing w:val="-13"/>
        </w:rPr>
        <w:t> </w:t>
      </w:r>
      <w:r>
        <w:rPr/>
        <w:t>konstatētajām</w:t>
      </w:r>
      <w:r>
        <w:rPr>
          <w:spacing w:val="-13"/>
        </w:rPr>
        <w:t> </w:t>
      </w:r>
      <w:r>
        <w:rPr/>
        <w:t>parādnieku negodprātības izpausmēm, kuras ir vērtējamas kā tik būtiskas, lai liegtu parādniekam iespēju dzēst saistības. Vērtējot Maksātnespējas likuma 153.panta regulējumu, secināms, ka</w:t>
      </w:r>
      <w:r>
        <w:rPr>
          <w:spacing w:val="-13"/>
        </w:rPr>
        <w:t> </w:t>
      </w:r>
      <w:r>
        <w:rPr/>
        <w:t>likumdevējs</w:t>
      </w:r>
      <w:r>
        <w:rPr>
          <w:spacing w:val="-10"/>
        </w:rPr>
        <w:t> </w:t>
      </w:r>
      <w:r>
        <w:rPr/>
        <w:t>devis</w:t>
      </w:r>
      <w:r>
        <w:rPr>
          <w:spacing w:val="-13"/>
        </w:rPr>
        <w:t> </w:t>
      </w:r>
      <w:r>
        <w:rPr/>
        <w:t>priekšroku</w:t>
      </w:r>
      <w:r>
        <w:rPr>
          <w:spacing w:val="-12"/>
        </w:rPr>
        <w:t> </w:t>
      </w:r>
      <w:r>
        <w:rPr/>
        <w:t>visnotaļ</w:t>
      </w:r>
      <w:r>
        <w:rPr>
          <w:spacing w:val="-13"/>
        </w:rPr>
        <w:t> </w:t>
      </w:r>
      <w:r>
        <w:rPr/>
        <w:t>nenoteiktam</w:t>
      </w:r>
      <w:r>
        <w:rPr>
          <w:spacing w:val="-12"/>
        </w:rPr>
        <w:t> </w:t>
      </w:r>
      <w:r>
        <w:rPr/>
        <w:t>un</w:t>
      </w:r>
      <w:r>
        <w:rPr>
          <w:spacing w:val="-13"/>
        </w:rPr>
        <w:t> </w:t>
      </w:r>
      <w:r>
        <w:rPr/>
        <w:t>plaši</w:t>
      </w:r>
      <w:r>
        <w:rPr>
          <w:spacing w:val="-12"/>
        </w:rPr>
        <w:t> </w:t>
      </w:r>
      <w:r>
        <w:rPr/>
        <w:t>interpretējamam</w:t>
      </w:r>
      <w:r>
        <w:rPr>
          <w:spacing w:val="-14"/>
        </w:rPr>
        <w:t> </w:t>
      </w:r>
      <w:r>
        <w:rPr/>
        <w:t>tiesiskajam regulējumam.</w:t>
      </w:r>
      <w:r>
        <w:rPr>
          <w:spacing w:val="-6"/>
        </w:rPr>
        <w:t> </w:t>
      </w:r>
      <w:r>
        <w:rPr/>
        <w:t>Šāda</w:t>
      </w:r>
      <w:r>
        <w:rPr>
          <w:spacing w:val="-5"/>
        </w:rPr>
        <w:t> </w:t>
      </w:r>
      <w:r>
        <w:rPr/>
        <w:t>pieeja</w:t>
      </w:r>
      <w:r>
        <w:rPr>
          <w:spacing w:val="-6"/>
        </w:rPr>
        <w:t> </w:t>
      </w:r>
      <w:r>
        <w:rPr/>
        <w:t>nenoliedzami</w:t>
      </w:r>
      <w:r>
        <w:rPr>
          <w:spacing w:val="-4"/>
        </w:rPr>
        <w:t> </w:t>
      </w:r>
      <w:r>
        <w:rPr/>
        <w:t>rada</w:t>
      </w:r>
      <w:r>
        <w:rPr>
          <w:spacing w:val="-6"/>
        </w:rPr>
        <w:t> </w:t>
      </w:r>
      <w:r>
        <w:rPr/>
        <w:t>augsni</w:t>
      </w:r>
      <w:r>
        <w:rPr>
          <w:spacing w:val="-4"/>
        </w:rPr>
        <w:t> </w:t>
      </w:r>
      <w:r>
        <w:rPr/>
        <w:t>tiesiskajai</w:t>
      </w:r>
      <w:r>
        <w:rPr>
          <w:spacing w:val="-5"/>
        </w:rPr>
        <w:t> </w:t>
      </w:r>
      <w:r>
        <w:rPr/>
        <w:t>nenoteiktībai,</w:t>
      </w:r>
      <w:r>
        <w:rPr>
          <w:spacing w:val="-6"/>
        </w:rPr>
        <w:t> </w:t>
      </w:r>
      <w:r>
        <w:rPr/>
        <w:t>un</w:t>
      </w:r>
      <w:r>
        <w:rPr>
          <w:spacing w:val="-6"/>
        </w:rPr>
        <w:t> </w:t>
      </w:r>
      <w:r>
        <w:rPr/>
        <w:t>iespējams attur daudzus parādniekus no fiziskās personas maksātnespējas procesa uzsākšanas. Turklāt, kā secināms no tiesu prakses analīzes, nereti tiesas liedz parādniekam saistību dzēšanu visnotaļ formālu pārkāpumu</w:t>
      </w:r>
      <w:r>
        <w:rPr>
          <w:spacing w:val="-1"/>
        </w:rPr>
        <w:t> </w:t>
      </w:r>
      <w:r>
        <w:rPr/>
        <w:t>gadījumos.</w:t>
      </w:r>
    </w:p>
    <w:p>
      <w:pPr>
        <w:pStyle w:val="BodyText"/>
        <w:ind w:left="620" w:right="400" w:firstLine="360"/>
      </w:pPr>
      <w:r>
        <w:rPr/>
        <w:t>Vienlaikus</w:t>
      </w:r>
      <w:r>
        <w:rPr>
          <w:spacing w:val="-4"/>
        </w:rPr>
        <w:t> </w:t>
      </w:r>
      <w:r>
        <w:rPr/>
        <w:t>jāatzīst,</w:t>
      </w:r>
      <w:r>
        <w:rPr>
          <w:spacing w:val="-5"/>
        </w:rPr>
        <w:t> </w:t>
      </w:r>
      <w:r>
        <w:rPr/>
        <w:t>ka</w:t>
      </w:r>
      <w:r>
        <w:rPr>
          <w:spacing w:val="-6"/>
        </w:rPr>
        <w:t> </w:t>
      </w:r>
      <w:r>
        <w:rPr/>
        <w:t>tas</w:t>
      </w:r>
      <w:r>
        <w:rPr>
          <w:spacing w:val="-3"/>
        </w:rPr>
        <w:t> </w:t>
      </w:r>
      <w:r>
        <w:rPr/>
        <w:t>nenoliedzami</w:t>
      </w:r>
      <w:r>
        <w:rPr>
          <w:spacing w:val="-6"/>
        </w:rPr>
        <w:t> </w:t>
      </w:r>
      <w:r>
        <w:rPr/>
        <w:t>ir</w:t>
      </w:r>
      <w:r>
        <w:rPr>
          <w:spacing w:val="-4"/>
        </w:rPr>
        <w:t> </w:t>
      </w:r>
      <w:r>
        <w:rPr/>
        <w:t>liels</w:t>
      </w:r>
      <w:r>
        <w:rPr>
          <w:spacing w:val="-6"/>
        </w:rPr>
        <w:t> </w:t>
      </w:r>
      <w:r>
        <w:rPr/>
        <w:t>izaicinājums</w:t>
      </w:r>
      <w:r>
        <w:rPr>
          <w:spacing w:val="-3"/>
        </w:rPr>
        <w:t> </w:t>
      </w:r>
      <w:r>
        <w:rPr/>
        <w:t>saskaņot</w:t>
      </w:r>
      <w:r>
        <w:rPr>
          <w:spacing w:val="-6"/>
        </w:rPr>
        <w:t> </w:t>
      </w:r>
      <w:r>
        <w:rPr/>
        <w:t>saistību</w:t>
      </w:r>
      <w:r>
        <w:rPr>
          <w:spacing w:val="-5"/>
        </w:rPr>
        <w:t> </w:t>
      </w:r>
      <w:r>
        <w:rPr/>
        <w:t>dzēšanas procedūras ierobežojumus ar praksē konstatētajām parādnieku negodprātības izpausmēm, kuras ir vērtējamas kā tik būtiskas, lai liegtu parādniekam iespēju dzēst saistības. Turklāt jāņem</w:t>
      </w:r>
      <w:r>
        <w:rPr>
          <w:spacing w:val="-8"/>
        </w:rPr>
        <w:t> </w:t>
      </w:r>
      <w:r>
        <w:rPr/>
        <w:t>vērā,</w:t>
      </w:r>
      <w:r>
        <w:rPr>
          <w:spacing w:val="-5"/>
        </w:rPr>
        <w:t> </w:t>
      </w:r>
      <w:r>
        <w:rPr/>
        <w:t>ka</w:t>
      </w:r>
      <w:r>
        <w:rPr>
          <w:spacing w:val="-9"/>
        </w:rPr>
        <w:t> </w:t>
      </w:r>
      <w:r>
        <w:rPr/>
        <w:t>mūsdienās</w:t>
      </w:r>
      <w:r>
        <w:rPr>
          <w:spacing w:val="-5"/>
        </w:rPr>
        <w:t> </w:t>
      </w:r>
      <w:r>
        <w:rPr/>
        <w:t>ļoti</w:t>
      </w:r>
      <w:r>
        <w:rPr>
          <w:spacing w:val="-5"/>
        </w:rPr>
        <w:t> </w:t>
      </w:r>
      <w:r>
        <w:rPr/>
        <w:t>strauji</w:t>
      </w:r>
      <w:r>
        <w:rPr>
          <w:spacing w:val="-4"/>
        </w:rPr>
        <w:t> </w:t>
      </w:r>
      <w:r>
        <w:rPr/>
        <w:t>norisinās</w:t>
      </w:r>
      <w:r>
        <w:rPr>
          <w:spacing w:val="-7"/>
        </w:rPr>
        <w:t> </w:t>
      </w:r>
      <w:r>
        <w:rPr/>
        <w:t>dažādas</w:t>
      </w:r>
      <w:r>
        <w:rPr>
          <w:spacing w:val="-6"/>
        </w:rPr>
        <w:t> </w:t>
      </w:r>
      <w:r>
        <w:rPr/>
        <w:t>transformācijas,</w:t>
      </w:r>
      <w:r>
        <w:rPr>
          <w:spacing w:val="-3"/>
        </w:rPr>
        <w:t> </w:t>
      </w:r>
      <w:r>
        <w:rPr/>
        <w:t>tostarp</w:t>
      </w:r>
      <w:r>
        <w:rPr>
          <w:spacing w:val="-5"/>
        </w:rPr>
        <w:t> </w:t>
      </w:r>
      <w:r>
        <w:rPr/>
        <w:t>parādnieku tipiskie rīcības modeļi un izvēles. Tādējādi tā faktiski ir tiesību politikas veidotāja izšķiršanās, kam dot priekšroku – tiesiskajai noteiktībai (konkretizējot saistību dzēšanas procedūras ierobežojumus) vai tiesiskā regulējuma ilgtspējībai</w:t>
      </w:r>
      <w:r>
        <w:rPr>
          <w:spacing w:val="-44"/>
        </w:rPr>
        <w:t> </w:t>
      </w:r>
      <w:r>
        <w:rPr/>
        <w:t>(saglabājot Maksātnespējas likuma 153.pantā noteikto saistību dzēšanas ierobežojumu plašo formulējumu, atstājot to satura konkretizāciju tiesu prakses un tiesību zinātnes rokās). Tomēr, ņemot vērā to, ka, liedzot iespēju dzēst saistības fiziskās personas maksātnespējas procesa ietvaros, parādnieks</w:t>
      </w:r>
      <w:r>
        <w:rPr>
          <w:spacing w:val="-11"/>
        </w:rPr>
        <w:t> </w:t>
      </w:r>
      <w:r>
        <w:rPr/>
        <w:t>faktiski</w:t>
      </w:r>
      <w:r>
        <w:rPr>
          <w:spacing w:val="-12"/>
        </w:rPr>
        <w:t> </w:t>
      </w:r>
      <w:r>
        <w:rPr/>
        <w:t>tiek</w:t>
      </w:r>
      <w:r>
        <w:rPr>
          <w:spacing w:val="-12"/>
        </w:rPr>
        <w:t> </w:t>
      </w:r>
      <w:r>
        <w:rPr/>
        <w:t>virzīts</w:t>
      </w:r>
      <w:r>
        <w:rPr>
          <w:spacing w:val="-13"/>
        </w:rPr>
        <w:t> </w:t>
      </w:r>
      <w:r>
        <w:rPr/>
        <w:t>ēnu</w:t>
      </w:r>
      <w:r>
        <w:rPr>
          <w:spacing w:val="-12"/>
        </w:rPr>
        <w:t> </w:t>
      </w:r>
      <w:r>
        <w:rPr/>
        <w:t>ekonomikas</w:t>
      </w:r>
      <w:r>
        <w:rPr>
          <w:spacing w:val="-15"/>
        </w:rPr>
        <w:t> </w:t>
      </w:r>
      <w:r>
        <w:rPr/>
        <w:t>zonā,</w:t>
      </w:r>
      <w:r>
        <w:rPr>
          <w:spacing w:val="-12"/>
        </w:rPr>
        <w:t> </w:t>
      </w:r>
      <w:r>
        <w:rPr/>
        <w:t>vai</w:t>
      </w:r>
      <w:r>
        <w:rPr>
          <w:spacing w:val="-15"/>
        </w:rPr>
        <w:t> </w:t>
      </w:r>
      <w:r>
        <w:rPr/>
        <w:t>vismaz</w:t>
      </w:r>
      <w:r>
        <w:rPr>
          <w:spacing w:val="-12"/>
        </w:rPr>
        <w:t> </w:t>
      </w:r>
      <w:r>
        <w:rPr/>
        <w:t>sociālajā</w:t>
      </w:r>
      <w:r>
        <w:rPr>
          <w:spacing w:val="-11"/>
        </w:rPr>
        <w:t> </w:t>
      </w:r>
      <w:r>
        <w:rPr/>
        <w:t>un</w:t>
      </w:r>
      <w:r>
        <w:rPr>
          <w:spacing w:val="-10"/>
        </w:rPr>
        <w:t> </w:t>
      </w:r>
      <w:r>
        <w:rPr/>
        <w:t>ekonomiskajā atstumtībā, būtu vēlams paredzēt tiesām lielāku rīcības brīvību Maksātnespējas likuma 153.pantā noteikto ierobežojumu</w:t>
      </w:r>
      <w:r>
        <w:rPr>
          <w:spacing w:val="-3"/>
        </w:rPr>
        <w:t> </w:t>
      </w:r>
      <w:r>
        <w:rPr/>
        <w:t>piemērošanā.</w:t>
      </w:r>
    </w:p>
    <w:p>
      <w:pPr>
        <w:pStyle w:val="BodyText"/>
        <w:spacing w:before="1"/>
        <w:ind w:left="620" w:right="401" w:firstLine="360"/>
      </w:pPr>
      <w:r>
        <w:rPr/>
        <w:t>Šāda pieeja, piemēram, ir noteikta Japānā. Proti, atbilstoši Japānas Bankrota likuma 252.panta noteikumiem, tiesa var noraidīt parādnieka pieteikumu par saistību dzēšanu, ja parādnieks ir slēpis mantu, sniedzis nepatiesu informāciju kreditoriem, nav pildījis likumā noteiktos pienākumus maksātnespējas procesa laikā vai nav sadarbojies ar tiesu vai tiesas iecelto administratoru. Tomēr šī jautājuma izlemšanā tiesai ir plaša rīcības brīvība, tostarp dzēst saistības pat tad, ja pastāv kāds no minētajiem apstākļiem. Kā liecina Japānas</w:t>
      </w:r>
    </w:p>
    <w:p>
      <w:pPr>
        <w:spacing w:after="0"/>
        <w:sectPr>
          <w:pgSz w:w="11910" w:h="16840"/>
          <w:pgMar w:header="0" w:footer="1055" w:top="1360" w:bottom="1240" w:left="1180" w:right="1040"/>
        </w:sectPr>
      </w:pPr>
    </w:p>
    <w:p>
      <w:pPr>
        <w:pStyle w:val="BodyText"/>
        <w:spacing w:line="228" w:lineRule="auto" w:before="84"/>
        <w:ind w:left="260" w:right="761"/>
        <w:rPr>
          <w:sz w:val="16"/>
        </w:rPr>
      </w:pPr>
      <w:r>
        <w:rPr/>
        <w:t>statistikas dati, 96,44 % gadījumu tiesas apmierina parādnieka pieteikumu par saistību dzēšanu.</w:t>
      </w:r>
      <w:r>
        <w:rPr>
          <w:position w:val="9"/>
          <w:sz w:val="16"/>
        </w:rPr>
        <w:t>499</w:t>
      </w:r>
    </w:p>
    <w:p>
      <w:pPr>
        <w:pStyle w:val="BodyText"/>
        <w:spacing w:before="2"/>
        <w:ind w:left="260" w:right="761" w:firstLine="360"/>
      </w:pPr>
      <w:r>
        <w:rPr/>
        <w:t>Kā liecina pētījuma ietvaros īstenotā maksātnespējas procesu analīze, vidēji 92 % no analizētajiem maksātnespējas procesiem ir ticis apmierināts parādnieka pieteikums par saistību dzēšanu. Tomēr tiesu prakses analīze ir apliecinājusi arī to, ka nereti parādniekam tiek liegta saistību dzēšana salīdzinoši formālu vai maznozīmīgu pārkāpumu gadījumā. Tādējādi līdzīgi kā Japānā būtu vēlams arī Latvijas tiesām noteikt lielāku rīcības brīvību Maksātnespējas likuma 153.pantā noteikto ierobežojumu piemērošanā, paredzot, ka, pastāvot šiem ierobežojumiem, tiesa var nepiemērot vai pārtraukt saistību dzēšanas procedūru.</w:t>
      </w:r>
    </w:p>
    <w:p>
      <w:pPr>
        <w:pStyle w:val="BodyText"/>
        <w:ind w:left="260" w:right="762" w:firstLine="360"/>
      </w:pPr>
      <w:r>
        <w:rPr/>
        <w:t>Vienlaikus</w:t>
      </w:r>
      <w:r>
        <w:rPr>
          <w:spacing w:val="-4"/>
        </w:rPr>
        <w:t> </w:t>
      </w:r>
      <w:r>
        <w:rPr/>
        <w:t>atzīmējams</w:t>
      </w:r>
      <w:r>
        <w:rPr>
          <w:spacing w:val="-6"/>
        </w:rPr>
        <w:t> </w:t>
      </w:r>
      <w:r>
        <w:rPr/>
        <w:t>tas,</w:t>
      </w:r>
      <w:r>
        <w:rPr>
          <w:spacing w:val="-6"/>
        </w:rPr>
        <w:t> </w:t>
      </w:r>
      <w:r>
        <w:rPr/>
        <w:t>ka</w:t>
      </w:r>
      <w:r>
        <w:rPr>
          <w:spacing w:val="-8"/>
        </w:rPr>
        <w:t> </w:t>
      </w:r>
      <w:r>
        <w:rPr/>
        <w:t>nereti</w:t>
      </w:r>
      <w:r>
        <w:rPr>
          <w:spacing w:val="-4"/>
        </w:rPr>
        <w:t> </w:t>
      </w:r>
      <w:r>
        <w:rPr/>
        <w:t>praksē</w:t>
      </w:r>
      <w:r>
        <w:rPr>
          <w:spacing w:val="-6"/>
        </w:rPr>
        <w:t> </w:t>
      </w:r>
      <w:r>
        <w:rPr/>
        <w:t>ir</w:t>
      </w:r>
      <w:r>
        <w:rPr>
          <w:spacing w:val="-6"/>
        </w:rPr>
        <w:t> </w:t>
      </w:r>
      <w:r>
        <w:rPr/>
        <w:t>teju</w:t>
      </w:r>
      <w:r>
        <w:rPr>
          <w:spacing w:val="-3"/>
        </w:rPr>
        <w:t> </w:t>
      </w:r>
      <w:r>
        <w:rPr/>
        <w:t>neiespējami</w:t>
      </w:r>
      <w:r>
        <w:rPr>
          <w:spacing w:val="-6"/>
        </w:rPr>
        <w:t> </w:t>
      </w:r>
      <w:r>
        <w:rPr/>
        <w:t>pārliecināties</w:t>
      </w:r>
      <w:r>
        <w:rPr>
          <w:spacing w:val="-6"/>
        </w:rPr>
        <w:t> </w:t>
      </w:r>
      <w:r>
        <w:rPr/>
        <w:t>par</w:t>
      </w:r>
      <w:r>
        <w:rPr>
          <w:spacing w:val="-6"/>
        </w:rPr>
        <w:t> </w:t>
      </w:r>
      <w:r>
        <w:rPr/>
        <w:t>to,</w:t>
      </w:r>
      <w:r>
        <w:rPr>
          <w:spacing w:val="-5"/>
        </w:rPr>
        <w:t> </w:t>
      </w:r>
      <w:r>
        <w:rPr/>
        <w:t>vai parādnieks</w:t>
      </w:r>
      <w:r>
        <w:rPr>
          <w:spacing w:val="-7"/>
        </w:rPr>
        <w:t> </w:t>
      </w:r>
      <w:r>
        <w:rPr/>
        <w:t>ir</w:t>
      </w:r>
      <w:r>
        <w:rPr>
          <w:spacing w:val="-6"/>
        </w:rPr>
        <w:t> </w:t>
      </w:r>
      <w:r>
        <w:rPr/>
        <w:t>rīkojies</w:t>
      </w:r>
      <w:r>
        <w:rPr>
          <w:spacing w:val="-5"/>
        </w:rPr>
        <w:t> </w:t>
      </w:r>
      <w:r>
        <w:rPr/>
        <w:t>godprātīgi,</w:t>
      </w:r>
      <w:r>
        <w:rPr>
          <w:spacing w:val="-6"/>
        </w:rPr>
        <w:t> </w:t>
      </w:r>
      <w:r>
        <w:rPr/>
        <w:t>jo</w:t>
      </w:r>
      <w:r>
        <w:rPr>
          <w:spacing w:val="-7"/>
        </w:rPr>
        <w:t> </w:t>
      </w:r>
      <w:r>
        <w:rPr/>
        <w:t>ir</w:t>
      </w:r>
      <w:r>
        <w:rPr>
          <w:spacing w:val="-6"/>
        </w:rPr>
        <w:t> </w:t>
      </w:r>
      <w:r>
        <w:rPr/>
        <w:t>ļoti</w:t>
      </w:r>
      <w:r>
        <w:rPr>
          <w:spacing w:val="-5"/>
        </w:rPr>
        <w:t> </w:t>
      </w:r>
      <w:r>
        <w:rPr/>
        <w:t>ierobežota</w:t>
      </w:r>
      <w:r>
        <w:rPr>
          <w:spacing w:val="-7"/>
        </w:rPr>
        <w:t> </w:t>
      </w:r>
      <w:r>
        <w:rPr/>
        <w:t>informācijas</w:t>
      </w:r>
      <w:r>
        <w:rPr>
          <w:spacing w:val="-8"/>
        </w:rPr>
        <w:t> </w:t>
      </w:r>
      <w:r>
        <w:rPr/>
        <w:t>pieeajmība.</w:t>
      </w:r>
      <w:r>
        <w:rPr>
          <w:spacing w:val="-6"/>
        </w:rPr>
        <w:t> </w:t>
      </w:r>
      <w:r>
        <w:rPr/>
        <w:t>Tādējādi,</w:t>
      </w:r>
      <w:r>
        <w:rPr>
          <w:spacing w:val="-7"/>
        </w:rPr>
        <w:t> </w:t>
      </w:r>
      <w:r>
        <w:rPr/>
        <w:t>lai būtu iespēja kvalitatīvi izvērtēt parādnieka godprātību, ir nepieciešams paplašināt informācijas pieejamību fiziskās personas maksātnespējas procesu īstenošanai. Piemēram, atbilstoši</w:t>
      </w:r>
      <w:r>
        <w:rPr>
          <w:spacing w:val="-7"/>
        </w:rPr>
        <w:t> </w:t>
      </w:r>
      <w:r>
        <w:rPr/>
        <w:t>spēkā</w:t>
      </w:r>
      <w:r>
        <w:rPr>
          <w:spacing w:val="-9"/>
        </w:rPr>
        <w:t> </w:t>
      </w:r>
      <w:r>
        <w:rPr/>
        <w:t>esošajam</w:t>
      </w:r>
      <w:r>
        <w:rPr>
          <w:spacing w:val="-8"/>
        </w:rPr>
        <w:t> </w:t>
      </w:r>
      <w:r>
        <w:rPr/>
        <w:t>tiesiskajam</w:t>
      </w:r>
      <w:r>
        <w:rPr>
          <w:spacing w:val="-7"/>
        </w:rPr>
        <w:t> </w:t>
      </w:r>
      <w:r>
        <w:rPr/>
        <w:t>regulējumam</w:t>
      </w:r>
      <w:r>
        <w:rPr>
          <w:spacing w:val="-3"/>
        </w:rPr>
        <w:t> </w:t>
      </w:r>
      <w:r>
        <w:rPr/>
        <w:t>kredītiestādes</w:t>
      </w:r>
      <w:r>
        <w:rPr>
          <w:spacing w:val="-8"/>
        </w:rPr>
        <w:t> </w:t>
      </w:r>
      <w:r>
        <w:rPr/>
        <w:t>nesniedz</w:t>
      </w:r>
      <w:r>
        <w:rPr>
          <w:spacing w:val="-6"/>
        </w:rPr>
        <w:t> </w:t>
      </w:r>
      <w:r>
        <w:rPr/>
        <w:t>informāciju</w:t>
      </w:r>
      <w:r>
        <w:rPr>
          <w:spacing w:val="-4"/>
        </w:rPr>
        <w:t> </w:t>
      </w:r>
      <w:r>
        <w:rPr/>
        <w:t>par parādnieka norēķinu kontiem un kontu izrakstus, bet notāri nesniedz informāciju par mantojuma lietām. Tādējādi ir ļoti ierobežotas iespējas pārbaudīt, ciktāl parādnieks sniedz pilnīgu un patiesu</w:t>
      </w:r>
      <w:r>
        <w:rPr>
          <w:spacing w:val="-1"/>
        </w:rPr>
        <w:t> </w:t>
      </w:r>
      <w:r>
        <w:rPr/>
        <w:t>informāciju.</w:t>
      </w:r>
    </w:p>
    <w:p>
      <w:pPr>
        <w:pStyle w:val="BodyText"/>
        <w:ind w:left="260" w:right="761" w:firstLine="360"/>
      </w:pPr>
      <w:r>
        <w:rPr/>
        <w:t>Tāpat kā viens no esošā regulējuma trūkumiem norādāms tas, ka nav paredzēta</w:t>
      </w:r>
      <w:r>
        <w:rPr>
          <w:spacing w:val="-17"/>
        </w:rPr>
        <w:t> </w:t>
      </w:r>
      <w:r>
        <w:rPr/>
        <w:t>iespēja atcelt lēmumu par saistību dzēšanu. Piemēram, Vācijā kreditors viena gada laikā pēc saistību dzēšanas ir tiesības iesniegt tiesā pieteikumu par saistību dzēšanas lēmuma atcelšanu, ja parādnieks maksātnespējas procesa laikā ir slēpis mantu vai patiesos ienākumus, radot būtiski kreditora interešu aizskārumu. Līdzvērtīgus risinājumus būtu vēlams</w:t>
      </w:r>
      <w:r>
        <w:rPr>
          <w:spacing w:val="-10"/>
        </w:rPr>
        <w:t> </w:t>
      </w:r>
      <w:r>
        <w:rPr/>
        <w:t>ieviest</w:t>
      </w:r>
      <w:r>
        <w:rPr>
          <w:spacing w:val="-11"/>
        </w:rPr>
        <w:t> </w:t>
      </w:r>
      <w:r>
        <w:rPr/>
        <w:t>arī</w:t>
      </w:r>
      <w:r>
        <w:rPr>
          <w:spacing w:val="-4"/>
        </w:rPr>
        <w:t> </w:t>
      </w:r>
      <w:r>
        <w:rPr/>
        <w:t>Latvijas</w:t>
      </w:r>
      <w:r>
        <w:rPr>
          <w:spacing w:val="-12"/>
        </w:rPr>
        <w:t> </w:t>
      </w:r>
      <w:r>
        <w:rPr/>
        <w:t>tiesībās,</w:t>
      </w:r>
      <w:r>
        <w:rPr>
          <w:spacing w:val="-11"/>
        </w:rPr>
        <w:t> </w:t>
      </w:r>
      <w:r>
        <w:rPr/>
        <w:t>tādējādi</w:t>
      </w:r>
      <w:r>
        <w:rPr>
          <w:spacing w:val="-11"/>
        </w:rPr>
        <w:t> </w:t>
      </w:r>
      <w:r>
        <w:rPr/>
        <w:t>preventīvi</w:t>
      </w:r>
      <w:r>
        <w:rPr>
          <w:spacing w:val="-11"/>
        </w:rPr>
        <w:t> </w:t>
      </w:r>
      <w:r>
        <w:rPr/>
        <w:t>samazinot</w:t>
      </w:r>
      <w:r>
        <w:rPr>
          <w:spacing w:val="-11"/>
        </w:rPr>
        <w:t> </w:t>
      </w:r>
      <w:r>
        <w:rPr/>
        <w:t>parādnieku</w:t>
      </w:r>
      <w:r>
        <w:rPr>
          <w:spacing w:val="-12"/>
        </w:rPr>
        <w:t> </w:t>
      </w:r>
      <w:r>
        <w:rPr/>
        <w:t>vēlmi</w:t>
      </w:r>
      <w:r>
        <w:rPr>
          <w:spacing w:val="-9"/>
        </w:rPr>
        <w:t> </w:t>
      </w:r>
      <w:r>
        <w:rPr/>
        <w:t>rīkoties negodprātīgi.</w:t>
      </w:r>
    </w:p>
    <w:p>
      <w:pPr>
        <w:pStyle w:val="BodyText"/>
        <w:ind w:left="260" w:right="761" w:firstLine="360"/>
      </w:pPr>
      <w:r>
        <w:rPr/>
        <w:t>Nesamērīgi īss ir arī Maksātnespējas likuma 130.panta 5.punktā noteiktais termiņš (1 gads), kuram notekot, parādnieks var iesniegt atkārtotu maksātnespējas procesa pieteikumu, ja iepriekšējais maksātnespējas process izbeigts, nedzēšot saistības. Šāds regulējums zināmā mērā pat “mudina” parādniekus rīkoties negodprātīgi (piemēram, slēpt patiesos ienākumus) vai nepietiekami attur no negodprātīgas rīcības, apzinoties, ka sliktākajā gadījumā jau pēc gada atkārtoti varēs iesniegt tiesā fiziskās personas maksātnespējas procesa pieteikumu. Tādējādi ierobežojošais termiņš būtu nosakāms ne mazāks par 3 gadiem.</w:t>
      </w:r>
    </w:p>
    <w:p>
      <w:pPr>
        <w:pStyle w:val="BodyText"/>
        <w:ind w:left="260" w:right="762" w:firstLine="360"/>
      </w:pPr>
      <w:r>
        <w:rPr/>
        <w:t>Papildus minētajam veiksmīgākai parādnieku negodprātības apkarošanai </w:t>
      </w:r>
      <w:r>
        <w:rPr>
          <w:spacing w:val="-3"/>
        </w:rPr>
        <w:t>būtu </w:t>
      </w:r>
      <w:r>
        <w:rPr/>
        <w:t>nepieciešams pārskatīt darījumu apstrīdēšanas noteikumus, nevis piemērot to </w:t>
      </w:r>
      <w:r>
        <w:rPr>
          <w:spacing w:val="-4"/>
        </w:rPr>
        <w:t>pašu</w:t>
      </w:r>
      <w:r>
        <w:rPr>
          <w:spacing w:val="52"/>
        </w:rPr>
        <w:t> </w:t>
      </w:r>
      <w:r>
        <w:rPr/>
        <w:t>regulējumu, kas paredzēts juridisko personu maksātnespējas procesiem. Proti, jāņem vērā, ka juridiskās personas darījumus slēdz saimnieciskās darbības ietvaros, savukārt fiziskās personas – sadzīviskus darījumus. Tā rezultātā, fizisko personu maksātnespējas procesos aktuāli ir tādi problēmjautājumi kā mantojuma atraidīšana vai savlaicīga formalitāšu nekārtošana</w:t>
      </w:r>
      <w:r>
        <w:rPr>
          <w:spacing w:val="-9"/>
        </w:rPr>
        <w:t> </w:t>
      </w:r>
      <w:r>
        <w:rPr/>
        <w:t>pēc</w:t>
      </w:r>
      <w:r>
        <w:rPr>
          <w:spacing w:val="-8"/>
        </w:rPr>
        <w:t> </w:t>
      </w:r>
      <w:r>
        <w:rPr/>
        <w:t>mantojuma</w:t>
      </w:r>
      <w:r>
        <w:rPr>
          <w:spacing w:val="-4"/>
        </w:rPr>
        <w:t> </w:t>
      </w:r>
      <w:r>
        <w:rPr/>
        <w:t>pieņemšanas,</w:t>
      </w:r>
      <w:r>
        <w:rPr>
          <w:spacing w:val="-5"/>
        </w:rPr>
        <w:t> </w:t>
      </w:r>
      <w:r>
        <w:rPr/>
        <w:t>laulāto</w:t>
      </w:r>
      <w:r>
        <w:rPr>
          <w:spacing w:val="-4"/>
        </w:rPr>
        <w:t> </w:t>
      </w:r>
      <w:r>
        <w:rPr/>
        <w:t>mantas</w:t>
      </w:r>
      <w:r>
        <w:rPr>
          <w:spacing w:val="-5"/>
        </w:rPr>
        <w:t> </w:t>
      </w:r>
      <w:r>
        <w:rPr/>
        <w:t>sadale,</w:t>
      </w:r>
      <w:r>
        <w:rPr>
          <w:spacing w:val="-5"/>
        </w:rPr>
        <w:t> </w:t>
      </w:r>
      <w:r>
        <w:rPr/>
        <w:t>uzturlīdzekļu</w:t>
      </w:r>
      <w:r>
        <w:rPr>
          <w:spacing w:val="-5"/>
        </w:rPr>
        <w:t> </w:t>
      </w:r>
      <w:r>
        <w:rPr/>
        <w:t>maksājumi, dāvinājumi tuviem radiniekiem u.tml., ko nevar efektīvi risināt ar juridisko personu maksātnespējas procesam paredzēto darījumu apstrīdēšanas institūtu. Piemēram, būtu nepieciešams pagarināt “aizdomu periodu” līdz 5 gadiem darījumiem ar tuviem radiniekiem (ieinteresētajām</w:t>
      </w:r>
      <w:r>
        <w:rPr>
          <w:spacing w:val="-3"/>
        </w:rPr>
        <w:t> </w:t>
      </w:r>
      <w:r>
        <w:rPr/>
        <w:t>personām).</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7"/>
        <w:jc w:val="left"/>
      </w:pPr>
      <w:r>
        <w:rPr/>
        <w:pict>
          <v:shape style="position:absolute;margin-left:72pt;margin-top:16.42972pt;width:144pt;height:.1pt;mso-position-horizontal-relative:page;mso-position-vertical-relative:paragraph;z-index:-251444224;mso-wrap-distance-left:0;mso-wrap-distance-right:0" coordorigin="1440,329" coordsize="2880,0" path="m1440,329l4320,329e" filled="false" stroked="true" strokeweight=".599991pt" strokecolor="#000000">
            <v:path arrowok="t"/>
            <v:stroke dashstyle="solid"/>
            <w10:wrap type="topAndBottom"/>
          </v:shape>
        </w:pict>
      </w:r>
    </w:p>
    <w:p>
      <w:pPr>
        <w:spacing w:before="70"/>
        <w:ind w:left="260" w:right="678" w:firstLine="0"/>
        <w:jc w:val="left"/>
        <w:rPr>
          <w:sz w:val="20"/>
        </w:rPr>
      </w:pPr>
      <w:r>
        <w:rPr>
          <w:position w:val="7"/>
          <w:sz w:val="13"/>
        </w:rPr>
        <w:t>499 </w:t>
      </w:r>
      <w:r>
        <w:rPr>
          <w:sz w:val="20"/>
        </w:rPr>
        <w:t>Sk.: Steele S., Jin Ch. Some Suggestions from Japan for Reforming Australia’s Personal Bankruptcy Law. QUT Law Review, October 2017, Volume 17, Issue 1, p.84.</w:t>
      </w:r>
    </w:p>
    <w:p>
      <w:pPr>
        <w:spacing w:after="0"/>
        <w:jc w:val="left"/>
        <w:rPr>
          <w:sz w:val="20"/>
        </w:rPr>
        <w:sectPr>
          <w:pgSz w:w="11910" w:h="16840"/>
          <w:pgMar w:header="0" w:footer="1055" w:top="1340" w:bottom="1240" w:left="1180" w:right="1040"/>
        </w:sectPr>
      </w:pPr>
    </w:p>
    <w:p>
      <w:pPr>
        <w:pStyle w:val="Heading2"/>
        <w:numPr>
          <w:ilvl w:val="0"/>
          <w:numId w:val="116"/>
        </w:numPr>
        <w:tabs>
          <w:tab w:pos="1734" w:val="left" w:leader="none"/>
        </w:tabs>
        <w:spacing w:line="240" w:lineRule="auto" w:before="59" w:after="0"/>
        <w:ind w:left="1421" w:right="486" w:hanging="48"/>
        <w:jc w:val="left"/>
      </w:pPr>
      <w:r>
        <w:rPr/>
        <w:t>Būtiski samazinājies uzsākto maksātnespējas procesu skaits 2018.gadā un “tipiskā” fiziskās personas maksātnespējas</w:t>
      </w:r>
      <w:r>
        <w:rPr>
          <w:spacing w:val="-6"/>
        </w:rPr>
        <w:t> </w:t>
      </w:r>
      <w:r>
        <w:rPr/>
        <w:t>procesa</w:t>
      </w:r>
    </w:p>
    <w:p>
      <w:pPr>
        <w:spacing w:before="0"/>
        <w:ind w:left="4615" w:right="651" w:hanging="3024"/>
        <w:jc w:val="left"/>
        <w:rPr>
          <w:b/>
          <w:sz w:val="28"/>
        </w:rPr>
      </w:pPr>
      <w:r>
        <w:rPr>
          <w:b/>
          <w:sz w:val="28"/>
        </w:rPr>
        <w:t>subjekta maiņa – vai nepieciešama NINA (</w:t>
      </w:r>
      <w:r>
        <w:rPr>
          <w:b/>
          <w:i/>
          <w:sz w:val="28"/>
        </w:rPr>
        <w:t>no-income no-asset</w:t>
      </w:r>
      <w:r>
        <w:rPr>
          <w:b/>
          <w:sz w:val="28"/>
        </w:rPr>
        <w:t>) procedūra?</w:t>
      </w:r>
    </w:p>
    <w:p>
      <w:pPr>
        <w:pStyle w:val="BodyText"/>
        <w:spacing w:before="6"/>
        <w:jc w:val="left"/>
        <w:rPr>
          <w:b/>
          <w:sz w:val="27"/>
        </w:rPr>
      </w:pPr>
    </w:p>
    <w:p>
      <w:pPr>
        <w:pStyle w:val="BodyText"/>
        <w:ind w:left="620" w:right="401" w:firstLine="360"/>
      </w:pPr>
      <w:r>
        <w:rPr/>
        <w:t>Kā liecina Tiesu administrācijas sniegtā informācija, 2018.gadā pirmo reizi, kopš 2010.gada Maksātnespējas likuma spēkā stāšanās, ir būtiski sarucis tiesā iesniegto</w:t>
      </w:r>
      <w:r>
        <w:rPr>
          <w:spacing w:val="-29"/>
        </w:rPr>
        <w:t> </w:t>
      </w:r>
      <w:r>
        <w:rPr/>
        <w:t>fiziskās personas maksātnespējas procesa pieteikumu skaits. Proti, līdz ar jaunā Maksātnespējas likuma pieņemšanu, strauji pieauga interese par fiziskās personas maksātnespējas procesu (2010.gadā iesniegti 318 pieteikumi, 2011.gadā – 971 pieteikums, 2012.gadā - </w:t>
      </w:r>
      <w:r>
        <w:rPr>
          <w:spacing w:val="-3"/>
        </w:rPr>
        <w:t>1572 </w:t>
      </w:r>
      <w:r>
        <w:rPr/>
        <w:t>pieteikumi, 2013.gadā -1880 pieteikumi, 2014.gadā – 1648 pieteikumi). Turklāt iesniegto fiziskās personas maksātnespējas procesa pieteikumu skaita pieaugumu veicināja 2015.gada Maksātnespējas likuma grozījumi, un tieši – 2015.gadā tika iesniegti jau 2084 pieteikumi, 2016.gadā – 2035 pieteikumi, 2017.gadā – 2071 pieteikums. Savukārt 2018.gadā ir novērojams straujš iesniegto fiziskās personas maksātnespējas procesa pieteikumu kritums – pirmajos 10 mēnešos iesniegti tikai 985 pieteikumi. Tādējādi, ja salīdzina</w:t>
      </w:r>
      <w:r>
        <w:rPr>
          <w:spacing w:val="-10"/>
        </w:rPr>
        <w:t> </w:t>
      </w:r>
      <w:r>
        <w:rPr/>
        <w:t>iepriekšējo</w:t>
      </w:r>
      <w:r>
        <w:rPr>
          <w:spacing w:val="-9"/>
        </w:rPr>
        <w:t> </w:t>
      </w:r>
      <w:r>
        <w:rPr/>
        <w:t>3</w:t>
      </w:r>
      <w:r>
        <w:rPr>
          <w:spacing w:val="-10"/>
        </w:rPr>
        <w:t> </w:t>
      </w:r>
      <w:r>
        <w:rPr/>
        <w:t>gadu</w:t>
      </w:r>
      <w:r>
        <w:rPr>
          <w:spacing w:val="-9"/>
        </w:rPr>
        <w:t> </w:t>
      </w:r>
      <w:r>
        <w:rPr/>
        <w:t>rādītājus</w:t>
      </w:r>
      <w:r>
        <w:rPr>
          <w:spacing w:val="-9"/>
        </w:rPr>
        <w:t> </w:t>
      </w:r>
      <w:r>
        <w:rPr/>
        <w:t>(vidēji</w:t>
      </w:r>
      <w:r>
        <w:rPr>
          <w:spacing w:val="-10"/>
        </w:rPr>
        <w:t> </w:t>
      </w:r>
      <w:r>
        <w:rPr/>
        <w:t>171</w:t>
      </w:r>
      <w:r>
        <w:rPr>
          <w:spacing w:val="-9"/>
        </w:rPr>
        <w:t> </w:t>
      </w:r>
      <w:r>
        <w:rPr/>
        <w:t>pieteikums</w:t>
      </w:r>
      <w:r>
        <w:rPr>
          <w:spacing w:val="-10"/>
        </w:rPr>
        <w:t> </w:t>
      </w:r>
      <w:r>
        <w:rPr/>
        <w:t>mēnesī),</w:t>
      </w:r>
      <w:r>
        <w:rPr>
          <w:spacing w:val="-9"/>
        </w:rPr>
        <w:t> </w:t>
      </w:r>
      <w:r>
        <w:rPr/>
        <w:t>2018.gadā</w:t>
      </w:r>
      <w:r>
        <w:rPr>
          <w:spacing w:val="-10"/>
        </w:rPr>
        <w:t> </w:t>
      </w:r>
      <w:r>
        <w:rPr/>
        <w:t>teju</w:t>
      </w:r>
      <w:r>
        <w:rPr>
          <w:spacing w:val="-9"/>
        </w:rPr>
        <w:t> </w:t>
      </w:r>
      <w:r>
        <w:rPr/>
        <w:t>divtik samazinājies iesniegto fiziskās personas maksātnespējas procesa pieteikumu skaits (vidēji tikai 98 pieteikumi</w:t>
      </w:r>
      <w:r>
        <w:rPr>
          <w:spacing w:val="1"/>
        </w:rPr>
        <w:t> </w:t>
      </w:r>
      <w:r>
        <w:rPr/>
        <w:t>mēnesī).</w:t>
      </w:r>
    </w:p>
    <w:p>
      <w:pPr>
        <w:pStyle w:val="BodyText"/>
        <w:spacing w:before="1"/>
        <w:ind w:left="620" w:right="400" w:firstLine="360"/>
      </w:pPr>
      <w:r>
        <w:rPr/>
        <w:t>Turklāt secināms, ka kopš 2010.gada ir būtiski mainījusies arī “tipisko” fiziskās personas maksātnespējas procesa subjektu - parādnieku raksturojošie elementi. Proti, pirmajos jaunā Maksātnespējas likuma piemērošanos gados fiziskās personas maksātnespējas procesa pieteikumu galvenokārt iesniedza hipotekārie kredītņēmēji, kuri ienākumu krituma dēļ nespēja veikt hipotekārā kredīta maksājumus vai arī saistībā ar būtisku nekustamā īpašuma vērtības kritumu nebija motivēti turpināt veikt hipotekārā kredīta maksājumus. Samērā bieži fiziskās personas maksātnespējas procesa pieteikumus sniedza uzņēmumu īpašnieki vai vadītāji – galvojuma devēji, kuru bizness krīzes situācijā bija cietis neveiksmi, un tā rezultātā aktualizējās arī galvojuma saistību izpildes problemātika.</w:t>
      </w:r>
      <w:r>
        <w:rPr>
          <w:spacing w:val="-15"/>
        </w:rPr>
        <w:t> </w:t>
      </w:r>
      <w:r>
        <w:rPr/>
        <w:t>Attiecīgi</w:t>
      </w:r>
      <w:r>
        <w:rPr>
          <w:spacing w:val="-10"/>
        </w:rPr>
        <w:t> </w:t>
      </w:r>
      <w:r>
        <w:rPr/>
        <w:t>laika</w:t>
      </w:r>
      <w:r>
        <w:rPr>
          <w:spacing w:val="-15"/>
        </w:rPr>
        <w:t> </w:t>
      </w:r>
      <w:r>
        <w:rPr/>
        <w:t>periodā</w:t>
      </w:r>
      <w:r>
        <w:rPr>
          <w:spacing w:val="-12"/>
        </w:rPr>
        <w:t> </w:t>
      </w:r>
      <w:r>
        <w:rPr/>
        <w:t>no</w:t>
      </w:r>
      <w:r>
        <w:rPr>
          <w:spacing w:val="-9"/>
        </w:rPr>
        <w:t> </w:t>
      </w:r>
      <w:r>
        <w:rPr/>
        <w:t>2010.gada</w:t>
      </w:r>
      <w:r>
        <w:rPr>
          <w:spacing w:val="-9"/>
        </w:rPr>
        <w:t> </w:t>
      </w:r>
      <w:r>
        <w:rPr/>
        <w:t>1.novembra</w:t>
      </w:r>
      <w:r>
        <w:rPr>
          <w:spacing w:val="-15"/>
        </w:rPr>
        <w:t> </w:t>
      </w:r>
      <w:r>
        <w:rPr/>
        <w:t>līdz</w:t>
      </w:r>
      <w:r>
        <w:rPr>
          <w:spacing w:val="-11"/>
        </w:rPr>
        <w:t> </w:t>
      </w:r>
      <w:r>
        <w:rPr/>
        <w:t>2015.gda</w:t>
      </w:r>
      <w:r>
        <w:rPr>
          <w:spacing w:val="-15"/>
        </w:rPr>
        <w:t> </w:t>
      </w:r>
      <w:r>
        <w:rPr/>
        <w:t>28.februārim fiziskās</w:t>
      </w:r>
      <w:r>
        <w:rPr>
          <w:spacing w:val="-11"/>
        </w:rPr>
        <w:t> </w:t>
      </w:r>
      <w:r>
        <w:rPr/>
        <w:t>personas</w:t>
      </w:r>
      <w:r>
        <w:rPr>
          <w:spacing w:val="-11"/>
        </w:rPr>
        <w:t> </w:t>
      </w:r>
      <w:r>
        <w:rPr/>
        <w:t>maksātnespējas</w:t>
      </w:r>
      <w:r>
        <w:rPr>
          <w:spacing w:val="-10"/>
        </w:rPr>
        <w:t> </w:t>
      </w:r>
      <w:r>
        <w:rPr/>
        <w:t>procesā</w:t>
      </w:r>
      <w:r>
        <w:rPr>
          <w:spacing w:val="-11"/>
        </w:rPr>
        <w:t> </w:t>
      </w:r>
      <w:r>
        <w:rPr/>
        <w:t>vairumā</w:t>
      </w:r>
      <w:r>
        <w:rPr>
          <w:spacing w:val="-10"/>
        </w:rPr>
        <w:t> </w:t>
      </w:r>
      <w:r>
        <w:rPr/>
        <w:t>gadījumu</w:t>
      </w:r>
      <w:r>
        <w:rPr>
          <w:spacing w:val="-10"/>
        </w:rPr>
        <w:t> </w:t>
      </w:r>
      <w:r>
        <w:rPr/>
        <w:t>tika</w:t>
      </w:r>
      <w:r>
        <w:rPr>
          <w:spacing w:val="-13"/>
        </w:rPr>
        <w:t> </w:t>
      </w:r>
      <w:r>
        <w:rPr/>
        <w:t>pārdota</w:t>
      </w:r>
      <w:r>
        <w:rPr>
          <w:spacing w:val="-13"/>
        </w:rPr>
        <w:t> </w:t>
      </w:r>
      <w:r>
        <w:rPr/>
        <w:t>parādnieka</w:t>
      </w:r>
      <w:r>
        <w:rPr>
          <w:spacing w:val="-12"/>
        </w:rPr>
        <w:t> </w:t>
      </w:r>
      <w:r>
        <w:rPr/>
        <w:t>manta (kā liecina maksātnespējas procesu analīze, šajā periodā mantas pārdošanas plāns tika sastādīts 58,38 % fiziskās personas maksātnespējas</w:t>
      </w:r>
      <w:r>
        <w:rPr>
          <w:spacing w:val="-1"/>
        </w:rPr>
        <w:t> </w:t>
      </w:r>
      <w:r>
        <w:rPr/>
        <w:t>gadījumu).</w:t>
      </w:r>
    </w:p>
    <w:p>
      <w:pPr>
        <w:pStyle w:val="BodyText"/>
        <w:ind w:left="620" w:right="402" w:firstLine="360"/>
      </w:pPr>
      <w:r>
        <w:rPr/>
        <w:t>Pēdējo trīs gadu laikā šī situācija ir būtiski mainījusies – fiziskās personas maksātnespējas pieteikumu tikai retu reizi iesniedz hipotekārais kredītņēmējs (lielākoties tie ir gadījumi, kad jau ir noslēgusies zvērināta tiesu izpildītāja īstenota parāda piedziņa), samērā bieži maksātnespējas procesa pieteikumu iesniedz galvenā parādnieka ģimenes locekļi vai citas personas, kas bija galvojušas par hipotekāro kredītu (pieteikums tiek iesniegts pēc galvenā parādnieka maksātnespējas procesa noslēguma). Vienlaikus ir novērojams būtisks fiziskās personas maksātnespējas procesa pieteikumu pieaugums saistībā ar nespēju izpildīt patēriņa kredītsaistības. Attiecīgi pēc 2015.gada 1.marta ir būtiski pieaudzis to fiziskās personas maksātnespējas procesu skaits, kuros tiek sastādīts ziņojums par mantas neesamību (kā liecina maksātnespējas procesu analīze, šajā periodā ziņojums par mantas neesamību tika sastādīts 71 % fiziskās personas maksātnespējas gadījumu).</w:t>
      </w:r>
    </w:p>
    <w:p>
      <w:pPr>
        <w:pStyle w:val="BodyText"/>
        <w:ind w:left="620" w:right="403" w:firstLine="360"/>
      </w:pPr>
      <w:r>
        <w:rPr/>
        <w:t>Līdz ar to secināms, ka ir notikusi būtiska “tipiskā” fiziskās personas maksātnespējas procesa subjekta transformācija – no hipotekārā kredītņēmēja 2010.gadā uz patēriņa kredītņēmēju</w:t>
      </w:r>
      <w:r>
        <w:rPr>
          <w:spacing w:val="-12"/>
        </w:rPr>
        <w:t> </w:t>
      </w:r>
      <w:r>
        <w:rPr/>
        <w:t>2018.gadā.</w:t>
      </w:r>
      <w:r>
        <w:rPr>
          <w:spacing w:val="37"/>
        </w:rPr>
        <w:t> </w:t>
      </w:r>
      <w:r>
        <w:rPr/>
        <w:t>Šo</w:t>
      </w:r>
      <w:r>
        <w:rPr>
          <w:spacing w:val="-9"/>
        </w:rPr>
        <w:t> </w:t>
      </w:r>
      <w:r>
        <w:rPr/>
        <w:t>izmaiņu</w:t>
      </w:r>
      <w:r>
        <w:rPr>
          <w:spacing w:val="-11"/>
        </w:rPr>
        <w:t> </w:t>
      </w:r>
      <w:r>
        <w:rPr/>
        <w:t>rezultātā</w:t>
      </w:r>
      <w:r>
        <w:rPr>
          <w:spacing w:val="-12"/>
        </w:rPr>
        <w:t> </w:t>
      </w:r>
      <w:r>
        <w:rPr/>
        <w:t>faktiski</w:t>
      </w:r>
      <w:r>
        <w:rPr>
          <w:spacing w:val="-11"/>
        </w:rPr>
        <w:t> </w:t>
      </w:r>
      <w:r>
        <w:rPr/>
        <w:t>nu</w:t>
      </w:r>
      <w:r>
        <w:rPr>
          <w:spacing w:val="-12"/>
        </w:rPr>
        <w:t> </w:t>
      </w:r>
      <w:r>
        <w:rPr/>
        <w:t>jau</w:t>
      </w:r>
      <w:r>
        <w:rPr>
          <w:spacing w:val="-11"/>
        </w:rPr>
        <w:t> </w:t>
      </w:r>
      <w:r>
        <w:rPr/>
        <w:t>tikai</w:t>
      </w:r>
      <w:r>
        <w:rPr>
          <w:spacing w:val="-13"/>
        </w:rPr>
        <w:t> </w:t>
      </w:r>
      <w:r>
        <w:rPr/>
        <w:t>izņēmuma</w:t>
      </w:r>
      <w:r>
        <w:rPr>
          <w:spacing w:val="-12"/>
        </w:rPr>
        <w:t> </w:t>
      </w:r>
      <w:r>
        <w:rPr/>
        <w:t>kārtā</w:t>
      </w:r>
      <w:r>
        <w:rPr>
          <w:spacing w:val="-10"/>
        </w:rPr>
        <w:t> </w:t>
      </w:r>
      <w:r>
        <w:rPr/>
        <w:t>fiziskās personas maksātnespējas procesā tiek pārdota parādniekam piederošā</w:t>
      </w:r>
      <w:r>
        <w:rPr>
          <w:spacing w:val="-2"/>
        </w:rPr>
        <w:t> </w:t>
      </w:r>
      <w:r>
        <w:rPr/>
        <w:t>manta.</w:t>
      </w:r>
    </w:p>
    <w:p>
      <w:pPr>
        <w:spacing w:after="0"/>
        <w:sectPr>
          <w:pgSz w:w="11910" w:h="16840"/>
          <w:pgMar w:header="0" w:footer="1055" w:top="1360" w:bottom="1240" w:left="1180" w:right="1040"/>
        </w:sectPr>
      </w:pPr>
    </w:p>
    <w:p>
      <w:pPr>
        <w:pStyle w:val="BodyText"/>
        <w:spacing w:line="237" w:lineRule="auto" w:before="75"/>
        <w:ind w:left="260" w:right="760" w:firstLine="360"/>
        <w:jc w:val="right"/>
      </w:pPr>
      <w:r>
        <w:rPr/>
        <w:t>Minētās</w:t>
      </w:r>
      <w:r>
        <w:rPr>
          <w:spacing w:val="15"/>
        </w:rPr>
        <w:t> </w:t>
      </w:r>
      <w:r>
        <w:rPr/>
        <w:t>izmaiņas,</w:t>
      </w:r>
      <w:r>
        <w:rPr>
          <w:spacing w:val="15"/>
        </w:rPr>
        <w:t> </w:t>
      </w:r>
      <w:r>
        <w:rPr/>
        <w:t>kā</w:t>
      </w:r>
      <w:r>
        <w:rPr>
          <w:spacing w:val="14"/>
        </w:rPr>
        <w:t> </w:t>
      </w:r>
      <w:r>
        <w:rPr/>
        <w:t>arī</w:t>
      </w:r>
      <w:r>
        <w:rPr>
          <w:spacing w:val="13"/>
        </w:rPr>
        <w:t> </w:t>
      </w:r>
      <w:r>
        <w:rPr/>
        <w:t>būtiski</w:t>
      </w:r>
      <w:r>
        <w:rPr>
          <w:spacing w:val="14"/>
        </w:rPr>
        <w:t> </w:t>
      </w:r>
      <w:r>
        <w:rPr/>
        <w:t>sarukušais</w:t>
      </w:r>
      <w:r>
        <w:rPr>
          <w:spacing w:val="15"/>
        </w:rPr>
        <w:t> </w:t>
      </w:r>
      <w:r>
        <w:rPr/>
        <w:t>uzsākto</w:t>
      </w:r>
      <w:r>
        <w:rPr>
          <w:spacing w:val="16"/>
        </w:rPr>
        <w:t> </w:t>
      </w:r>
      <w:r>
        <w:rPr/>
        <w:t>fiziskās</w:t>
      </w:r>
      <w:r>
        <w:rPr>
          <w:spacing w:val="11"/>
        </w:rPr>
        <w:t> </w:t>
      </w:r>
      <w:r>
        <w:rPr/>
        <w:t>personas</w:t>
      </w:r>
      <w:r>
        <w:rPr>
          <w:spacing w:val="16"/>
        </w:rPr>
        <w:t> </w:t>
      </w:r>
      <w:r>
        <w:rPr/>
        <w:t>maksātnespējas procesa</w:t>
      </w:r>
      <w:r>
        <w:rPr>
          <w:spacing w:val="20"/>
        </w:rPr>
        <w:t> </w:t>
      </w:r>
      <w:r>
        <w:rPr/>
        <w:t>skaits</w:t>
      </w:r>
      <w:r>
        <w:rPr>
          <w:spacing w:val="20"/>
        </w:rPr>
        <w:t> </w:t>
      </w:r>
      <w:r>
        <w:rPr/>
        <w:t>liek</w:t>
      </w:r>
      <w:r>
        <w:rPr>
          <w:spacing w:val="20"/>
        </w:rPr>
        <w:t> </w:t>
      </w:r>
      <w:r>
        <w:rPr/>
        <w:t>uzdot</w:t>
      </w:r>
      <w:r>
        <w:rPr>
          <w:spacing w:val="20"/>
        </w:rPr>
        <w:t> </w:t>
      </w:r>
      <w:r>
        <w:rPr/>
        <w:t>jautājumu,</w:t>
      </w:r>
      <w:r>
        <w:rPr>
          <w:spacing w:val="20"/>
        </w:rPr>
        <w:t> </w:t>
      </w:r>
      <w:r>
        <w:rPr/>
        <w:t>ciktāl</w:t>
      </w:r>
      <w:r>
        <w:rPr>
          <w:spacing w:val="20"/>
        </w:rPr>
        <w:t> </w:t>
      </w:r>
      <w:r>
        <w:rPr/>
        <w:t>2010.gada</w:t>
      </w:r>
      <w:r>
        <w:rPr>
          <w:spacing w:val="20"/>
        </w:rPr>
        <w:t> </w:t>
      </w:r>
      <w:r>
        <w:rPr/>
        <w:t>Maksātnespējas</w:t>
      </w:r>
      <w:r>
        <w:rPr>
          <w:spacing w:val="23"/>
        </w:rPr>
        <w:t> </w:t>
      </w:r>
      <w:r>
        <w:rPr/>
        <w:t>likums</w:t>
      </w:r>
      <w:r>
        <w:rPr>
          <w:spacing w:val="20"/>
        </w:rPr>
        <w:t> </w:t>
      </w:r>
      <w:r>
        <w:rPr/>
        <w:t>ar</w:t>
      </w:r>
      <w:r>
        <w:rPr>
          <w:spacing w:val="20"/>
        </w:rPr>
        <w:t> </w:t>
      </w:r>
      <w:r>
        <w:rPr/>
        <w:t>tā pamatnostādnēm un tiesisko regulējumu ir</w:t>
      </w:r>
      <w:r>
        <w:rPr>
          <w:spacing w:val="23"/>
        </w:rPr>
        <w:t> </w:t>
      </w:r>
      <w:r>
        <w:rPr/>
        <w:t>atbilstošs šā brīža ekonomiskajai un</w:t>
      </w:r>
      <w:r>
        <w:rPr>
          <w:spacing w:val="10"/>
        </w:rPr>
        <w:t> </w:t>
      </w:r>
      <w:r>
        <w:rPr/>
        <w:t>sociālajai realitātei.</w:t>
      </w:r>
      <w:r>
        <w:rPr>
          <w:spacing w:val="31"/>
        </w:rPr>
        <w:t> </w:t>
      </w:r>
      <w:r>
        <w:rPr/>
        <w:t>Proti,</w:t>
      </w:r>
      <w:r>
        <w:rPr>
          <w:spacing w:val="31"/>
        </w:rPr>
        <w:t> </w:t>
      </w:r>
      <w:r>
        <w:rPr/>
        <w:t>ir</w:t>
      </w:r>
      <w:r>
        <w:rPr>
          <w:spacing w:val="32"/>
        </w:rPr>
        <w:t> </w:t>
      </w:r>
      <w:r>
        <w:rPr/>
        <w:t>acīmredzams,</w:t>
      </w:r>
      <w:r>
        <w:rPr>
          <w:spacing w:val="31"/>
        </w:rPr>
        <w:t> </w:t>
      </w:r>
      <w:r>
        <w:rPr/>
        <w:t>ka</w:t>
      </w:r>
      <w:r>
        <w:rPr>
          <w:spacing w:val="31"/>
        </w:rPr>
        <w:t> </w:t>
      </w:r>
      <w:r>
        <w:rPr/>
        <w:t>pieaug</w:t>
      </w:r>
      <w:r>
        <w:rPr>
          <w:spacing w:val="28"/>
        </w:rPr>
        <w:t> </w:t>
      </w:r>
      <w:r>
        <w:rPr/>
        <w:t>tā</w:t>
      </w:r>
      <w:r>
        <w:rPr>
          <w:spacing w:val="28"/>
        </w:rPr>
        <w:t> </w:t>
      </w:r>
      <w:r>
        <w:rPr/>
        <w:t>saukto</w:t>
      </w:r>
      <w:r>
        <w:rPr>
          <w:spacing w:val="33"/>
        </w:rPr>
        <w:t> </w:t>
      </w:r>
      <w:r>
        <w:rPr/>
        <w:t>NINA</w:t>
      </w:r>
      <w:r>
        <w:rPr>
          <w:spacing w:val="33"/>
        </w:rPr>
        <w:t> </w:t>
      </w:r>
      <w:r>
        <w:rPr/>
        <w:t>(</w:t>
      </w:r>
      <w:r>
        <w:rPr>
          <w:i/>
        </w:rPr>
        <w:t>no-income</w:t>
      </w:r>
      <w:r>
        <w:rPr>
          <w:i/>
          <w:spacing w:val="27"/>
        </w:rPr>
        <w:t> </w:t>
      </w:r>
      <w:r>
        <w:rPr>
          <w:i/>
        </w:rPr>
        <w:t>no-asset</w:t>
      </w:r>
      <w:r>
        <w:rPr/>
        <w:t>) maksātnespējas procesu skaits, attiecībā uz kuriem nav racionāli</w:t>
      </w:r>
      <w:r>
        <w:rPr>
          <w:spacing w:val="-14"/>
        </w:rPr>
        <w:t> </w:t>
      </w:r>
      <w:r>
        <w:rPr/>
        <w:t>piemērot</w:t>
      </w:r>
      <w:r>
        <w:rPr>
          <w:spacing w:val="3"/>
        </w:rPr>
        <w:t> </w:t>
      </w:r>
      <w:r>
        <w:rPr/>
        <w:t>Maksātnespējas likuma</w:t>
      </w:r>
      <w:r>
        <w:rPr>
          <w:spacing w:val="29"/>
        </w:rPr>
        <w:t> </w:t>
      </w:r>
      <w:r>
        <w:rPr/>
        <w:t>regulējumu,</w:t>
      </w:r>
      <w:r>
        <w:rPr>
          <w:spacing w:val="30"/>
        </w:rPr>
        <w:t> </w:t>
      </w:r>
      <w:r>
        <w:rPr/>
        <w:t>kas</w:t>
      </w:r>
      <w:r>
        <w:rPr>
          <w:spacing w:val="30"/>
        </w:rPr>
        <w:t> </w:t>
      </w:r>
      <w:r>
        <w:rPr/>
        <w:t>faktiski</w:t>
      </w:r>
      <w:r>
        <w:rPr>
          <w:spacing w:val="29"/>
        </w:rPr>
        <w:t> </w:t>
      </w:r>
      <w:r>
        <w:rPr/>
        <w:t>ir</w:t>
      </w:r>
      <w:r>
        <w:rPr>
          <w:spacing w:val="29"/>
        </w:rPr>
        <w:t> </w:t>
      </w:r>
      <w:r>
        <w:rPr/>
        <w:t>izstrādāts</w:t>
      </w:r>
      <w:r>
        <w:rPr>
          <w:spacing w:val="29"/>
        </w:rPr>
        <w:t> </w:t>
      </w:r>
      <w:r>
        <w:rPr/>
        <w:t>hipotekāro</w:t>
      </w:r>
      <w:r>
        <w:rPr>
          <w:spacing w:val="29"/>
        </w:rPr>
        <w:t> </w:t>
      </w:r>
      <w:r>
        <w:rPr/>
        <w:t>kredītņēmēju</w:t>
      </w:r>
      <w:r>
        <w:rPr>
          <w:spacing w:val="30"/>
        </w:rPr>
        <w:t> </w:t>
      </w:r>
      <w:r>
        <w:rPr/>
        <w:t>finansiālo</w:t>
      </w:r>
      <w:r>
        <w:rPr>
          <w:spacing w:val="29"/>
        </w:rPr>
        <w:t> </w:t>
      </w:r>
      <w:r>
        <w:rPr/>
        <w:t>grūtību risināšanai. Attiecīgi, aktualizējoties tā sauktajai NINA (</w:t>
      </w:r>
      <w:r>
        <w:rPr>
          <w:i/>
        </w:rPr>
        <w:t>no-income</w:t>
      </w:r>
      <w:r>
        <w:rPr>
          <w:i/>
          <w:spacing w:val="51"/>
        </w:rPr>
        <w:t> </w:t>
      </w:r>
      <w:r>
        <w:rPr>
          <w:i/>
        </w:rPr>
        <w:t>no-asset</w:t>
      </w:r>
      <w:r>
        <w:rPr/>
        <w:t>)</w:t>
      </w:r>
      <w:r>
        <w:rPr>
          <w:spacing w:val="15"/>
        </w:rPr>
        <w:t> </w:t>
      </w:r>
      <w:r>
        <w:rPr/>
        <w:t>parādnieku problemātikai, ir nepieciešams meklēt risinājumus tās pēc iespējas</w:t>
      </w:r>
      <w:r>
        <w:rPr>
          <w:spacing w:val="-9"/>
        </w:rPr>
        <w:t> </w:t>
      </w:r>
      <w:r>
        <w:rPr/>
        <w:t>efektīvākai</w:t>
      </w:r>
      <w:r>
        <w:rPr>
          <w:spacing w:val="-1"/>
        </w:rPr>
        <w:t> </w:t>
      </w:r>
      <w:r>
        <w:rPr/>
        <w:t>risināšanai. Jāatzīmē,</w:t>
      </w:r>
      <w:r>
        <w:rPr>
          <w:spacing w:val="11"/>
        </w:rPr>
        <w:t> </w:t>
      </w:r>
      <w:r>
        <w:rPr/>
        <w:t>ka</w:t>
      </w:r>
      <w:r>
        <w:rPr>
          <w:spacing w:val="12"/>
        </w:rPr>
        <w:t> </w:t>
      </w:r>
      <w:r>
        <w:rPr/>
        <w:t>tā</w:t>
      </w:r>
      <w:r>
        <w:rPr>
          <w:spacing w:val="12"/>
        </w:rPr>
        <w:t> </w:t>
      </w:r>
      <w:r>
        <w:rPr/>
        <w:t>saukto</w:t>
      </w:r>
      <w:r>
        <w:rPr>
          <w:spacing w:val="11"/>
        </w:rPr>
        <w:t> </w:t>
      </w:r>
      <w:r>
        <w:rPr/>
        <w:t>NINA</w:t>
      </w:r>
      <w:r>
        <w:rPr>
          <w:spacing w:val="12"/>
        </w:rPr>
        <w:t> </w:t>
      </w:r>
      <w:r>
        <w:rPr/>
        <w:t>(</w:t>
      </w:r>
      <w:r>
        <w:rPr>
          <w:i/>
        </w:rPr>
        <w:t>no-income</w:t>
      </w:r>
      <w:r>
        <w:rPr>
          <w:i/>
          <w:spacing w:val="8"/>
        </w:rPr>
        <w:t> </w:t>
      </w:r>
      <w:r>
        <w:rPr>
          <w:i/>
        </w:rPr>
        <w:t>no-asset</w:t>
      </w:r>
      <w:r>
        <w:rPr/>
        <w:t>)</w:t>
      </w:r>
      <w:r>
        <w:rPr>
          <w:spacing w:val="11"/>
        </w:rPr>
        <w:t> </w:t>
      </w:r>
      <w:r>
        <w:rPr/>
        <w:t>problemātiku</w:t>
      </w:r>
      <w:r>
        <w:rPr>
          <w:spacing w:val="12"/>
        </w:rPr>
        <w:t> </w:t>
      </w:r>
      <w:r>
        <w:rPr/>
        <w:t>jau</w:t>
      </w:r>
      <w:r>
        <w:rPr>
          <w:spacing w:val="9"/>
        </w:rPr>
        <w:t> </w:t>
      </w:r>
      <w:r>
        <w:rPr/>
        <w:t>pirms</w:t>
      </w:r>
      <w:r>
        <w:rPr>
          <w:spacing w:val="12"/>
        </w:rPr>
        <w:t> </w:t>
      </w:r>
      <w:r>
        <w:rPr/>
        <w:t>vairākiem gadiem</w:t>
      </w:r>
      <w:r>
        <w:rPr>
          <w:spacing w:val="6"/>
        </w:rPr>
        <w:t> </w:t>
      </w:r>
      <w:r>
        <w:rPr/>
        <w:t>aktualizēja</w:t>
      </w:r>
      <w:r>
        <w:rPr>
          <w:spacing w:val="8"/>
        </w:rPr>
        <w:t> </w:t>
      </w:r>
      <w:r>
        <w:rPr/>
        <w:t>arī</w:t>
      </w:r>
      <w:r>
        <w:rPr>
          <w:spacing w:val="8"/>
        </w:rPr>
        <w:t> </w:t>
      </w:r>
      <w:r>
        <w:rPr/>
        <w:t>Pasaules</w:t>
      </w:r>
      <w:r>
        <w:rPr>
          <w:spacing w:val="8"/>
        </w:rPr>
        <w:t> </w:t>
      </w:r>
      <w:r>
        <w:rPr/>
        <w:t>Banka</w:t>
      </w:r>
      <w:r>
        <w:rPr>
          <w:spacing w:val="7"/>
        </w:rPr>
        <w:t> </w:t>
      </w:r>
      <w:r>
        <w:rPr/>
        <w:t>savā</w:t>
      </w:r>
      <w:r>
        <w:rPr>
          <w:spacing w:val="7"/>
        </w:rPr>
        <w:t> </w:t>
      </w:r>
      <w:r>
        <w:rPr/>
        <w:t>pētījumā,</w:t>
      </w:r>
      <w:r>
        <w:rPr>
          <w:spacing w:val="6"/>
        </w:rPr>
        <w:t> </w:t>
      </w:r>
      <w:r>
        <w:rPr/>
        <w:t>norādot,</w:t>
      </w:r>
      <w:r>
        <w:rPr>
          <w:spacing w:val="8"/>
        </w:rPr>
        <w:t> </w:t>
      </w:r>
      <w:r>
        <w:rPr/>
        <w:t>ka</w:t>
      </w:r>
      <w:r>
        <w:rPr>
          <w:spacing w:val="8"/>
        </w:rPr>
        <w:t> </w:t>
      </w:r>
      <w:r>
        <w:rPr/>
        <w:t>mūsdienās</w:t>
      </w:r>
      <w:r>
        <w:rPr>
          <w:spacing w:val="6"/>
        </w:rPr>
        <w:t> </w:t>
      </w:r>
      <w:r>
        <w:rPr/>
        <w:t>ir</w:t>
      </w:r>
      <w:r>
        <w:rPr>
          <w:spacing w:val="8"/>
        </w:rPr>
        <w:t> </w:t>
      </w:r>
      <w:r>
        <w:rPr/>
        <w:t>ļoti</w:t>
      </w:r>
      <w:r>
        <w:rPr>
          <w:spacing w:val="8"/>
        </w:rPr>
        <w:t> </w:t>
      </w:r>
      <w:r>
        <w:rPr/>
        <w:t>daudz parādnieku, kuriem nepietiek ienākumu pat savu pamatvajadzību</w:t>
      </w:r>
      <w:r>
        <w:rPr>
          <w:spacing w:val="56"/>
        </w:rPr>
        <w:t> </w:t>
      </w:r>
      <w:r>
        <w:rPr/>
        <w:t>apmierināšanai,</w:t>
      </w:r>
      <w:r>
        <w:rPr>
          <w:spacing w:val="8"/>
        </w:rPr>
        <w:t> </w:t>
      </w:r>
      <w:r>
        <w:rPr/>
        <w:t>kā rezultātā viņi faktiski nav spējīgi veikt maksājumus kreditoriem, kā</w:t>
      </w:r>
      <w:r>
        <w:rPr>
          <w:spacing w:val="-2"/>
        </w:rPr>
        <w:t> </w:t>
      </w:r>
      <w:r>
        <w:rPr/>
        <w:t>arī</w:t>
      </w:r>
      <w:r>
        <w:rPr>
          <w:spacing w:val="37"/>
        </w:rPr>
        <w:t> </w:t>
      </w:r>
      <w:r>
        <w:rPr/>
        <w:t>“tradicionālā” maksātnespējas procesa izmaksas.</w:t>
      </w:r>
      <w:r>
        <w:rPr>
          <w:position w:val="9"/>
          <w:sz w:val="16"/>
        </w:rPr>
        <w:t>500 </w:t>
      </w:r>
      <w:r>
        <w:rPr/>
        <w:t>Arī Starptautiskais valūtas fonds vairākkārt</w:t>
      </w:r>
      <w:r>
        <w:rPr>
          <w:spacing w:val="-6"/>
        </w:rPr>
        <w:t> </w:t>
      </w:r>
      <w:r>
        <w:rPr/>
        <w:t>ir</w:t>
      </w:r>
      <w:r>
        <w:rPr>
          <w:spacing w:val="-5"/>
        </w:rPr>
        <w:t> </w:t>
      </w:r>
      <w:r>
        <w:rPr/>
        <w:t>paudis nostāju,</w:t>
      </w:r>
      <w:r>
        <w:rPr>
          <w:spacing w:val="-16"/>
        </w:rPr>
        <w:t> </w:t>
      </w:r>
      <w:r>
        <w:rPr/>
        <w:t>ka</w:t>
      </w:r>
      <w:r>
        <w:rPr>
          <w:spacing w:val="-16"/>
        </w:rPr>
        <w:t> </w:t>
      </w:r>
      <w:r>
        <w:rPr/>
        <w:t>personām</w:t>
      </w:r>
      <w:r>
        <w:rPr>
          <w:spacing w:val="-15"/>
        </w:rPr>
        <w:t> </w:t>
      </w:r>
      <w:r>
        <w:rPr/>
        <w:t>bez</w:t>
      </w:r>
      <w:r>
        <w:rPr>
          <w:spacing w:val="-14"/>
        </w:rPr>
        <w:t> </w:t>
      </w:r>
      <w:r>
        <w:rPr/>
        <w:t>mantas</w:t>
      </w:r>
      <w:r>
        <w:rPr>
          <w:spacing w:val="-16"/>
        </w:rPr>
        <w:t> </w:t>
      </w:r>
      <w:r>
        <w:rPr/>
        <w:t>un</w:t>
      </w:r>
      <w:r>
        <w:rPr>
          <w:spacing w:val="-16"/>
        </w:rPr>
        <w:t> </w:t>
      </w:r>
      <w:r>
        <w:rPr/>
        <w:t>bez</w:t>
      </w:r>
      <w:r>
        <w:rPr>
          <w:spacing w:val="-15"/>
        </w:rPr>
        <w:t> </w:t>
      </w:r>
      <w:r>
        <w:rPr/>
        <w:t>ienākumiem</w:t>
      </w:r>
      <w:r>
        <w:rPr>
          <w:spacing w:val="-16"/>
        </w:rPr>
        <w:t> </w:t>
      </w:r>
      <w:r>
        <w:rPr/>
        <w:t>būtu</w:t>
      </w:r>
      <w:r>
        <w:rPr>
          <w:spacing w:val="-15"/>
        </w:rPr>
        <w:t> </w:t>
      </w:r>
      <w:r>
        <w:rPr/>
        <w:t>nepieciešams</w:t>
      </w:r>
      <w:r>
        <w:rPr>
          <w:spacing w:val="-16"/>
        </w:rPr>
        <w:t> </w:t>
      </w:r>
      <w:r>
        <w:rPr/>
        <w:t>ieviest</w:t>
      </w:r>
      <w:r>
        <w:rPr>
          <w:spacing w:val="-16"/>
        </w:rPr>
        <w:t> </w:t>
      </w:r>
      <w:r>
        <w:rPr/>
        <w:t>pēc</w:t>
      </w:r>
      <w:r>
        <w:rPr>
          <w:spacing w:val="-15"/>
        </w:rPr>
        <w:t> </w:t>
      </w:r>
      <w:r>
        <w:rPr/>
        <w:t>iespējas vienkāršotas maksātnespējas procedūras pieejamību. Faktiski jāteic,</w:t>
      </w:r>
      <w:r>
        <w:rPr>
          <w:spacing w:val="58"/>
        </w:rPr>
        <w:t> </w:t>
      </w:r>
      <w:r>
        <w:rPr/>
        <w:t>ka</w:t>
      </w:r>
      <w:r>
        <w:rPr>
          <w:spacing w:val="50"/>
        </w:rPr>
        <w:t> </w:t>
      </w:r>
      <w:r>
        <w:rPr/>
        <w:t>mūsdienās specializēta maksātnespējas procedūra personām bez mantas un ienākumiem</w:t>
      </w:r>
      <w:r>
        <w:rPr>
          <w:spacing w:val="-40"/>
        </w:rPr>
        <w:t> </w:t>
      </w:r>
      <w:r>
        <w:rPr/>
        <w:t>tiek</w:t>
      </w:r>
      <w:r>
        <w:rPr>
          <w:spacing w:val="-4"/>
        </w:rPr>
        <w:t> </w:t>
      </w:r>
      <w:r>
        <w:rPr/>
        <w:t>uzskatīta par progresivitātes apliecinājumu un labāko praksi maksātnespējas</w:t>
      </w:r>
      <w:r>
        <w:rPr>
          <w:spacing w:val="29"/>
        </w:rPr>
        <w:t> </w:t>
      </w:r>
      <w:r>
        <w:rPr/>
        <w:t>jomā.</w:t>
      </w:r>
      <w:r>
        <w:rPr>
          <w:position w:val="9"/>
          <w:sz w:val="16"/>
        </w:rPr>
        <w:t>501</w:t>
      </w:r>
      <w:r>
        <w:rPr>
          <w:spacing w:val="21"/>
          <w:position w:val="9"/>
          <w:sz w:val="16"/>
        </w:rPr>
        <w:t> </w:t>
      </w:r>
      <w:r>
        <w:rPr/>
        <w:t>Vienlaikus jāteic, ka tikai nedaudzas valstis šādu regulējumu ir ieviesušas –</w:t>
      </w:r>
      <w:r>
        <w:rPr>
          <w:spacing w:val="2"/>
        </w:rPr>
        <w:t> </w:t>
      </w:r>
      <w:r>
        <w:rPr/>
        <w:t>Amerikas</w:t>
      </w:r>
      <w:r>
        <w:rPr>
          <w:spacing w:val="34"/>
        </w:rPr>
        <w:t> </w:t>
      </w:r>
      <w:r>
        <w:rPr/>
        <w:t>Savienotās Valstis, Lielbritānija, savukārt samērā daudzās valstīs pastāv tā sauktā</w:t>
      </w:r>
      <w:r>
        <w:rPr>
          <w:spacing w:val="35"/>
        </w:rPr>
        <w:t> </w:t>
      </w:r>
      <w:r>
        <w:rPr/>
        <w:t>0</w:t>
      </w:r>
      <w:r>
        <w:rPr>
          <w:spacing w:val="56"/>
        </w:rPr>
        <w:t> </w:t>
      </w:r>
      <w:r>
        <w:rPr/>
        <w:t>maksājumu saistību</w:t>
      </w:r>
      <w:r>
        <w:rPr>
          <w:spacing w:val="13"/>
        </w:rPr>
        <w:t> </w:t>
      </w:r>
      <w:r>
        <w:rPr/>
        <w:t>dzēšanas</w:t>
      </w:r>
      <w:r>
        <w:rPr>
          <w:spacing w:val="11"/>
        </w:rPr>
        <w:t> </w:t>
      </w:r>
      <w:r>
        <w:rPr/>
        <w:t>plāna</w:t>
      </w:r>
      <w:r>
        <w:rPr>
          <w:spacing w:val="11"/>
        </w:rPr>
        <w:t> </w:t>
      </w:r>
      <w:r>
        <w:rPr/>
        <w:t>iespējamība,</w:t>
      </w:r>
      <w:r>
        <w:rPr>
          <w:spacing w:val="11"/>
        </w:rPr>
        <w:t> </w:t>
      </w:r>
      <w:r>
        <w:rPr/>
        <w:t>kad</w:t>
      </w:r>
      <w:r>
        <w:rPr>
          <w:spacing w:val="13"/>
        </w:rPr>
        <w:t> </w:t>
      </w:r>
      <w:r>
        <w:rPr/>
        <w:t>parādnieks</w:t>
      </w:r>
      <w:r>
        <w:rPr>
          <w:spacing w:val="13"/>
        </w:rPr>
        <w:t> </w:t>
      </w:r>
      <w:r>
        <w:rPr/>
        <w:t>neveic</w:t>
      </w:r>
      <w:r>
        <w:rPr>
          <w:spacing w:val="13"/>
        </w:rPr>
        <w:t> </w:t>
      </w:r>
      <w:r>
        <w:rPr/>
        <w:t>maksājumus</w:t>
      </w:r>
      <w:r>
        <w:rPr>
          <w:spacing w:val="15"/>
        </w:rPr>
        <w:t> </w:t>
      </w:r>
      <w:r>
        <w:rPr/>
        <w:t>kreditoriem,</w:t>
      </w:r>
      <w:r>
        <w:rPr>
          <w:spacing w:val="13"/>
        </w:rPr>
        <w:t> </w:t>
      </w:r>
      <w:r>
        <w:rPr/>
        <w:t>bet pilnībā</w:t>
      </w:r>
      <w:r>
        <w:rPr>
          <w:spacing w:val="18"/>
        </w:rPr>
        <w:t> </w:t>
      </w:r>
      <w:r>
        <w:rPr/>
        <w:t>vai</w:t>
      </w:r>
      <w:r>
        <w:rPr>
          <w:spacing w:val="20"/>
        </w:rPr>
        <w:t> </w:t>
      </w:r>
      <w:r>
        <w:rPr/>
        <w:t>daļēji</w:t>
      </w:r>
      <w:r>
        <w:rPr>
          <w:spacing w:val="20"/>
        </w:rPr>
        <w:t> </w:t>
      </w:r>
      <w:r>
        <w:rPr/>
        <w:t>sedz</w:t>
      </w:r>
      <w:r>
        <w:rPr>
          <w:spacing w:val="22"/>
        </w:rPr>
        <w:t> </w:t>
      </w:r>
      <w:r>
        <w:rPr/>
        <w:t>maksātnespējas</w:t>
      </w:r>
      <w:r>
        <w:rPr>
          <w:spacing w:val="20"/>
        </w:rPr>
        <w:t> </w:t>
      </w:r>
      <w:r>
        <w:rPr/>
        <w:t>procesa</w:t>
      </w:r>
      <w:r>
        <w:rPr>
          <w:spacing w:val="20"/>
        </w:rPr>
        <w:t> </w:t>
      </w:r>
      <w:r>
        <w:rPr/>
        <w:t>izmaksas</w:t>
      </w:r>
      <w:r>
        <w:rPr>
          <w:spacing w:val="20"/>
        </w:rPr>
        <w:t> </w:t>
      </w:r>
      <w:r>
        <w:rPr/>
        <w:t>(Grieķija,</w:t>
      </w:r>
      <w:r>
        <w:rPr>
          <w:spacing w:val="23"/>
        </w:rPr>
        <w:t> </w:t>
      </w:r>
      <w:r>
        <w:rPr/>
        <w:t>Vācija,</w:t>
      </w:r>
      <w:r>
        <w:rPr>
          <w:spacing w:val="20"/>
        </w:rPr>
        <w:t> </w:t>
      </w:r>
      <w:r>
        <w:rPr/>
        <w:t>Francija).</w:t>
      </w:r>
      <w:r>
        <w:rPr>
          <w:spacing w:val="21"/>
        </w:rPr>
        <w:t> </w:t>
      </w:r>
      <w:r>
        <w:rPr/>
        <w:t>Kā norādīts</w:t>
      </w:r>
      <w:r>
        <w:rPr>
          <w:spacing w:val="13"/>
        </w:rPr>
        <w:t> </w:t>
      </w:r>
      <w:r>
        <w:rPr/>
        <w:t>Pasaules</w:t>
      </w:r>
      <w:r>
        <w:rPr>
          <w:spacing w:val="16"/>
        </w:rPr>
        <w:t> </w:t>
      </w:r>
      <w:r>
        <w:rPr/>
        <w:t>Bankas</w:t>
      </w:r>
      <w:r>
        <w:rPr>
          <w:spacing w:val="14"/>
        </w:rPr>
        <w:t> </w:t>
      </w:r>
      <w:r>
        <w:rPr/>
        <w:t>veiktajā</w:t>
      </w:r>
      <w:r>
        <w:rPr>
          <w:spacing w:val="13"/>
        </w:rPr>
        <w:t> </w:t>
      </w:r>
      <w:r>
        <w:rPr/>
        <w:t>pētījumā,</w:t>
      </w:r>
      <w:r>
        <w:rPr>
          <w:spacing w:val="12"/>
        </w:rPr>
        <w:t> </w:t>
      </w:r>
      <w:r>
        <w:rPr/>
        <w:t>šajās</w:t>
      </w:r>
      <w:r>
        <w:rPr>
          <w:spacing w:val="14"/>
        </w:rPr>
        <w:t> </w:t>
      </w:r>
      <w:r>
        <w:rPr/>
        <w:t>valstīs</w:t>
      </w:r>
      <w:r>
        <w:rPr>
          <w:spacing w:val="14"/>
        </w:rPr>
        <w:t> </w:t>
      </w:r>
      <w:r>
        <w:rPr/>
        <w:t>0</w:t>
      </w:r>
      <w:r>
        <w:rPr>
          <w:spacing w:val="13"/>
        </w:rPr>
        <w:t> </w:t>
      </w:r>
      <w:r>
        <w:rPr/>
        <w:t>maksājumu</w:t>
      </w:r>
      <w:r>
        <w:rPr>
          <w:spacing w:val="14"/>
        </w:rPr>
        <w:t> </w:t>
      </w:r>
      <w:r>
        <w:rPr/>
        <w:t>plāni</w:t>
      </w:r>
      <w:r>
        <w:rPr>
          <w:spacing w:val="14"/>
        </w:rPr>
        <w:t> </w:t>
      </w:r>
      <w:r>
        <w:rPr/>
        <w:t>nereti</w:t>
      </w:r>
      <w:r>
        <w:rPr>
          <w:spacing w:val="16"/>
        </w:rPr>
        <w:t> </w:t>
      </w:r>
      <w:r>
        <w:rPr/>
        <w:t>veido</w:t>
      </w:r>
    </w:p>
    <w:p>
      <w:pPr>
        <w:pStyle w:val="BodyText"/>
        <w:spacing w:before="14"/>
        <w:ind w:left="260"/>
        <w:rPr>
          <w:sz w:val="16"/>
        </w:rPr>
      </w:pPr>
      <w:r>
        <w:rPr/>
        <w:t>pat vairāk kā 2/3 no visiem saistību dzēšanas plāniem.</w:t>
      </w:r>
      <w:r>
        <w:rPr>
          <w:position w:val="9"/>
          <w:sz w:val="16"/>
        </w:rPr>
        <w:t>502</w:t>
      </w:r>
    </w:p>
    <w:p>
      <w:pPr>
        <w:pStyle w:val="BodyText"/>
        <w:ind w:left="260" w:right="761" w:firstLine="360"/>
      </w:pPr>
      <w:r>
        <w:rPr/>
        <w:t>Latvijā pagaidām ir ļoti neviennozīmīgs viedoklis par iespēju ieviest atviegloto procedūru fiziskās personas maksātnespējas procesam. Piemēram, Latvijas Finanšu nozares</w:t>
      </w:r>
      <w:r>
        <w:rPr>
          <w:spacing w:val="-14"/>
        </w:rPr>
        <w:t> </w:t>
      </w:r>
      <w:r>
        <w:rPr/>
        <w:t>asociācija</w:t>
      </w:r>
      <w:r>
        <w:rPr>
          <w:spacing w:val="-13"/>
        </w:rPr>
        <w:t> </w:t>
      </w:r>
      <w:r>
        <w:rPr/>
        <w:t>ir</w:t>
      </w:r>
      <w:r>
        <w:rPr>
          <w:spacing w:val="-14"/>
        </w:rPr>
        <w:t> </w:t>
      </w:r>
      <w:r>
        <w:rPr/>
        <w:t>norādījusi</w:t>
      </w:r>
      <w:r>
        <w:rPr>
          <w:spacing w:val="-13"/>
        </w:rPr>
        <w:t> </w:t>
      </w:r>
      <w:r>
        <w:rPr/>
        <w:t>uz</w:t>
      </w:r>
      <w:r>
        <w:rPr>
          <w:spacing w:val="-12"/>
        </w:rPr>
        <w:t> </w:t>
      </w:r>
      <w:r>
        <w:rPr/>
        <w:t>to,</w:t>
      </w:r>
      <w:r>
        <w:rPr>
          <w:spacing w:val="-17"/>
        </w:rPr>
        <w:t> </w:t>
      </w:r>
      <w:r>
        <w:rPr/>
        <w:t>ka</w:t>
      </w:r>
      <w:r>
        <w:rPr>
          <w:spacing w:val="-16"/>
        </w:rPr>
        <w:t> </w:t>
      </w:r>
      <w:r>
        <w:rPr/>
        <w:t>valsts</w:t>
      </w:r>
      <w:r>
        <w:rPr>
          <w:spacing w:val="-16"/>
        </w:rPr>
        <w:t> </w:t>
      </w:r>
      <w:r>
        <w:rPr/>
        <w:t>nodevas</w:t>
      </w:r>
      <w:r>
        <w:rPr>
          <w:spacing w:val="-14"/>
        </w:rPr>
        <w:t> </w:t>
      </w:r>
      <w:r>
        <w:rPr/>
        <w:t>un</w:t>
      </w:r>
      <w:r>
        <w:rPr>
          <w:spacing w:val="-13"/>
        </w:rPr>
        <w:t> </w:t>
      </w:r>
      <w:r>
        <w:rPr/>
        <w:t>maksātnespējas</w:t>
      </w:r>
      <w:r>
        <w:rPr>
          <w:spacing w:val="-13"/>
        </w:rPr>
        <w:t> </w:t>
      </w:r>
      <w:r>
        <w:rPr/>
        <w:t>procesa</w:t>
      </w:r>
      <w:r>
        <w:rPr>
          <w:spacing w:val="-14"/>
        </w:rPr>
        <w:t> </w:t>
      </w:r>
      <w:r>
        <w:rPr/>
        <w:t>depozīta dēļ maksātnespējas process šobrīd nav pieejams personām ar maziem ienākumiem vai saistībām, kas nedaudz pārsniedz šo izmaksu apmēru, un tādēļ būtu nepieciešams šo jautājumu risināt ar likuma izmaiņām (vienlaikus uzsverot, ka netiek atbalstīta šo izmaksu segšana no valsts</w:t>
      </w:r>
      <w:r>
        <w:rPr>
          <w:spacing w:val="-1"/>
        </w:rPr>
        <w:t> </w:t>
      </w:r>
      <w:r>
        <w:rPr/>
        <w:t>puses).</w:t>
      </w:r>
    </w:p>
    <w:p>
      <w:pPr>
        <w:pStyle w:val="BodyText"/>
        <w:ind w:left="260" w:right="761" w:firstLine="360"/>
      </w:pPr>
      <w:r>
        <w:rPr/>
        <w:t>Ļoti noraidoša attieksme pret atvieglotā maksātnespējas procesa ieviešanu tika pausta pētījuma ietvaros veiktajā aptaujā. Absolūts vairums respondentu esošo Maksātnespējas likuma</w:t>
      </w:r>
      <w:r>
        <w:rPr>
          <w:spacing w:val="-12"/>
        </w:rPr>
        <w:t> </w:t>
      </w:r>
      <w:r>
        <w:rPr/>
        <w:t>regulējumu</w:t>
      </w:r>
      <w:r>
        <w:rPr>
          <w:spacing w:val="-12"/>
        </w:rPr>
        <w:t> </w:t>
      </w:r>
      <w:r>
        <w:rPr/>
        <w:t>vērtē</w:t>
      </w:r>
      <w:r>
        <w:rPr>
          <w:spacing w:val="-11"/>
        </w:rPr>
        <w:t> </w:t>
      </w:r>
      <w:r>
        <w:rPr/>
        <w:t>kā</w:t>
      </w:r>
      <w:r>
        <w:rPr>
          <w:spacing w:val="-15"/>
        </w:rPr>
        <w:t> </w:t>
      </w:r>
      <w:r>
        <w:rPr/>
        <w:t>pārlieku</w:t>
      </w:r>
      <w:r>
        <w:rPr>
          <w:spacing w:val="-11"/>
        </w:rPr>
        <w:t> </w:t>
      </w:r>
      <w:r>
        <w:rPr/>
        <w:t>liberālu,</w:t>
      </w:r>
      <w:r>
        <w:rPr>
          <w:spacing w:val="-12"/>
        </w:rPr>
        <w:t> </w:t>
      </w:r>
      <w:r>
        <w:rPr/>
        <w:t>neatbalsta</w:t>
      </w:r>
      <w:r>
        <w:rPr>
          <w:spacing w:val="-13"/>
        </w:rPr>
        <w:t> </w:t>
      </w:r>
      <w:r>
        <w:rPr/>
        <w:t>0</w:t>
      </w:r>
      <w:r>
        <w:rPr>
          <w:spacing w:val="-12"/>
        </w:rPr>
        <w:t> </w:t>
      </w:r>
      <w:r>
        <w:rPr/>
        <w:t>maksājumu</w:t>
      </w:r>
      <w:r>
        <w:rPr>
          <w:spacing w:val="-12"/>
        </w:rPr>
        <w:t> </w:t>
      </w:r>
      <w:r>
        <w:rPr/>
        <w:t>plāna</w:t>
      </w:r>
      <w:r>
        <w:rPr>
          <w:spacing w:val="-12"/>
        </w:rPr>
        <w:t> </w:t>
      </w:r>
      <w:r>
        <w:rPr/>
        <w:t>ieviešanu</w:t>
      </w:r>
      <w:r>
        <w:rPr>
          <w:spacing w:val="-10"/>
        </w:rPr>
        <w:t> </w:t>
      </w:r>
      <w:r>
        <w:rPr/>
        <w:t>(tāds ir iespējams vairākās ES valstīs - Grieķijā, Vācijā, Zviedrijā u.c.), kā arī neatbalsta atvieglota maksātnespējas procesa ieviešanu noteiktām personu grupām, piemēram, personām ar neliela apmēra saistībām vai zemiem ienākumiem (tāds ir ieviests Lielbritānijā). Lielākoties šāda nostāja tiek pamatota ar augsto ēnu ekonomikas īpatsvaru, zemo saistību izpildes kultūru un bažām par negodprātīgu parādnieku skaita pieaugumu, kas jau pie esošā likuma ir ļoti augsts.</w:t>
      </w:r>
    </w:p>
    <w:p>
      <w:pPr>
        <w:pStyle w:val="BodyText"/>
        <w:jc w:val="left"/>
        <w:rPr>
          <w:sz w:val="20"/>
        </w:rPr>
      </w:pPr>
    </w:p>
    <w:p>
      <w:pPr>
        <w:pStyle w:val="BodyText"/>
        <w:jc w:val="left"/>
        <w:rPr>
          <w:sz w:val="20"/>
        </w:rPr>
      </w:pPr>
    </w:p>
    <w:p>
      <w:pPr>
        <w:pStyle w:val="BodyText"/>
        <w:spacing w:before="7"/>
        <w:jc w:val="left"/>
        <w:rPr>
          <w:sz w:val="12"/>
        </w:rPr>
      </w:pPr>
      <w:r>
        <w:rPr/>
        <w:pict>
          <v:shape style="position:absolute;margin-left:72pt;margin-top:9.516494pt;width:144pt;height:.1pt;mso-position-horizontal-relative:page;mso-position-vertical-relative:paragraph;z-index:-251443200;mso-wrap-distance-left:0;mso-wrap-distance-right:0" coordorigin="1440,190" coordsize="2880,0" path="m1440,190l4320,190e" filled="false" stroked="true" strokeweight=".599991pt" strokecolor="#000000">
            <v:path arrowok="t"/>
            <v:stroke dashstyle="solid"/>
            <w10:wrap type="topAndBottom"/>
          </v:shape>
        </w:pict>
      </w:r>
    </w:p>
    <w:p>
      <w:pPr>
        <w:spacing w:line="244" w:lineRule="auto" w:before="58"/>
        <w:ind w:left="260" w:right="750" w:firstLine="0"/>
        <w:jc w:val="left"/>
        <w:rPr>
          <w:sz w:val="20"/>
        </w:rPr>
      </w:pPr>
      <w:r>
        <w:rPr>
          <w:position w:val="9"/>
          <w:sz w:val="16"/>
        </w:rPr>
        <w:t>500 </w:t>
      </w:r>
      <w:r>
        <w:rPr>
          <w:sz w:val="20"/>
        </w:rPr>
        <w:t>Sk.: The World Bank. Report on the Treatment of the Insolvency of Natural Persons. 2013, p. 97-98, para 297-300. Pieejams:</w:t>
      </w:r>
      <w:hyperlink r:id="rId98">
        <w:r>
          <w:rPr>
            <w:color w:val="0562C1"/>
            <w:sz w:val="20"/>
            <w:u w:val="single" w:color="0562C1"/>
          </w:rPr>
          <w:t> http://siteresources.worldbank.org/INTGILD/Resources/WBInsolvencyOfNaturalPersonsReport_01_11_13.</w:t>
        </w:r>
      </w:hyperlink>
      <w:r>
        <w:rPr>
          <w:color w:val="0562C1"/>
          <w:sz w:val="20"/>
          <w:u w:val="single" w:color="0562C1"/>
        </w:rPr>
        <w:t> pdf</w:t>
      </w:r>
      <w:r>
        <w:rPr>
          <w:color w:val="0562C1"/>
          <w:sz w:val="20"/>
        </w:rPr>
        <w:t> </w:t>
      </w:r>
      <w:r>
        <w:rPr>
          <w:sz w:val="20"/>
        </w:rPr>
        <w:t>[aplūkots 2018.gada 20.septembrī].</w:t>
      </w:r>
    </w:p>
    <w:p>
      <w:pPr>
        <w:spacing w:line="240" w:lineRule="exact" w:before="21"/>
        <w:ind w:left="260" w:right="398" w:firstLine="0"/>
        <w:jc w:val="left"/>
        <w:rPr>
          <w:sz w:val="20"/>
        </w:rPr>
      </w:pPr>
      <w:r>
        <w:rPr>
          <w:position w:val="9"/>
          <w:sz w:val="16"/>
        </w:rPr>
        <w:t>501 </w:t>
      </w:r>
      <w:r>
        <w:rPr>
          <w:sz w:val="20"/>
        </w:rPr>
        <w:t>Sk.: Ramsay I. Personal Insolvency in the 21</w:t>
      </w:r>
      <w:r>
        <w:rPr>
          <w:position w:val="7"/>
          <w:sz w:val="13"/>
        </w:rPr>
        <w:t>st </w:t>
      </w:r>
      <w:r>
        <w:rPr>
          <w:sz w:val="20"/>
        </w:rPr>
        <w:t>Century. A Comparative Analysis of the US and Europe. Oxford and Portland, Oregon: Hart Publishing, 2017, p.168-169.</w:t>
      </w:r>
    </w:p>
    <w:p>
      <w:pPr>
        <w:spacing w:line="262" w:lineRule="exact" w:before="0"/>
        <w:ind w:left="260" w:right="0" w:firstLine="0"/>
        <w:jc w:val="left"/>
        <w:rPr>
          <w:sz w:val="20"/>
        </w:rPr>
      </w:pPr>
      <w:r>
        <w:rPr>
          <w:position w:val="9"/>
          <w:sz w:val="16"/>
        </w:rPr>
        <w:t>502 </w:t>
      </w:r>
      <w:r>
        <w:rPr>
          <w:sz w:val="20"/>
        </w:rPr>
        <w:t>The World Bank. Report on the Treatment of the Insolvency of Natural Persons. 2013, p. 98, para 299.</w:t>
      </w:r>
    </w:p>
    <w:p>
      <w:pPr>
        <w:spacing w:before="10"/>
        <w:ind w:left="260" w:right="750" w:firstLine="0"/>
        <w:jc w:val="left"/>
        <w:rPr>
          <w:sz w:val="20"/>
        </w:rPr>
      </w:pPr>
      <w:r>
        <w:rPr>
          <w:sz w:val="20"/>
        </w:rPr>
        <w:t>Pieejams: </w:t>
      </w:r>
      <w:hyperlink r:id="rId98">
        <w:r>
          <w:rPr>
            <w:color w:val="0562C1"/>
            <w:sz w:val="20"/>
            <w:u w:val="single" w:color="0562C1"/>
          </w:rPr>
          <w:t>http://siteresources.worldbank.org/INTGILD/Resources/WBInsolvencyOfNaturalPersonsReport_01_11_13.</w:t>
        </w:r>
      </w:hyperlink>
      <w:r>
        <w:rPr>
          <w:color w:val="0562C1"/>
          <w:sz w:val="20"/>
        </w:rPr>
        <w:t> </w:t>
      </w:r>
      <w:r>
        <w:rPr>
          <w:color w:val="0562C1"/>
          <w:sz w:val="20"/>
          <w:u w:val="single" w:color="0562C1"/>
        </w:rPr>
        <w:t>pdf</w:t>
      </w:r>
      <w:r>
        <w:rPr>
          <w:color w:val="0562C1"/>
          <w:sz w:val="20"/>
        </w:rPr>
        <w:t> </w:t>
      </w:r>
      <w:r>
        <w:rPr>
          <w:sz w:val="20"/>
        </w:rPr>
        <w:t>[aplūkots 2018.gada 20.septembrī].</w:t>
      </w:r>
    </w:p>
    <w:p>
      <w:pPr>
        <w:spacing w:after="0"/>
        <w:jc w:val="left"/>
        <w:rPr>
          <w:sz w:val="20"/>
        </w:rPr>
        <w:sectPr>
          <w:pgSz w:w="11910" w:h="16840"/>
          <w:pgMar w:header="0" w:footer="1055" w:top="1340" w:bottom="1240" w:left="1180" w:right="1040"/>
        </w:sectPr>
      </w:pPr>
    </w:p>
    <w:p>
      <w:pPr>
        <w:pStyle w:val="BodyText"/>
        <w:spacing w:line="237" w:lineRule="auto" w:before="75"/>
        <w:ind w:left="620" w:right="401" w:firstLine="360"/>
      </w:pPr>
      <w:r>
        <w:rPr/>
        <w:t>No vienas puses, kā tas ir secināts ECORYS īstenotajā pētījumā, Latvija pat pirms 2015.gada reformu īstenošanas tika atzīta par valsti ar salīdzinoši liberālu (parādniekam draudzīgu) “otrās iespējas” regulējumu fiziskām personām.</w:t>
      </w:r>
      <w:r>
        <w:rPr>
          <w:position w:val="9"/>
          <w:sz w:val="16"/>
        </w:rPr>
        <w:t>503 </w:t>
      </w:r>
      <w:r>
        <w:rPr/>
        <w:t>No otras puses, šā brīža ekonomiskā un sociālā realitāte ir tāda, ka ir samērā augsts personu skaits, kuras zemo ienākumu un mantas neesamības dēļ nespēj pildīt savas saistības, taču nevar atļauties arī uzsākt maksātnespējas procesu. Tādējādi šīs personas zaudē motivāciju paaugstināt savu produktivitāti, tā rezultātā nonākot vēl lielākā sociālā un ekonomiskā atstumtībā vai “ēnu ekonomikas” sektorā. Turklāt pamatoti rodas jautājums, vai šādām personām ir lietderīgi piemērot “standarta” maksātnespējas procedūru, jo finansiālā atdeve no šādas procedūras ir niecīga.</w:t>
      </w:r>
    </w:p>
    <w:p>
      <w:pPr>
        <w:pStyle w:val="BodyText"/>
        <w:spacing w:line="237" w:lineRule="auto" w:before="13"/>
        <w:ind w:left="620" w:right="401" w:firstLine="360"/>
      </w:pPr>
      <w:r>
        <w:rPr/>
        <w:t>Vienlaikus</w:t>
      </w:r>
      <w:r>
        <w:rPr>
          <w:spacing w:val="-3"/>
        </w:rPr>
        <w:t> </w:t>
      </w:r>
      <w:r>
        <w:rPr/>
        <w:t>jāņem</w:t>
      </w:r>
      <w:r>
        <w:rPr>
          <w:spacing w:val="-5"/>
        </w:rPr>
        <w:t> </w:t>
      </w:r>
      <w:r>
        <w:rPr/>
        <w:t>vērā</w:t>
      </w:r>
      <w:r>
        <w:rPr>
          <w:spacing w:val="-8"/>
        </w:rPr>
        <w:t> </w:t>
      </w:r>
      <w:r>
        <w:rPr/>
        <w:t>tas,</w:t>
      </w:r>
      <w:r>
        <w:rPr>
          <w:spacing w:val="-5"/>
        </w:rPr>
        <w:t> </w:t>
      </w:r>
      <w:r>
        <w:rPr/>
        <w:t>ka</w:t>
      </w:r>
      <w:r>
        <w:rPr>
          <w:spacing w:val="-5"/>
        </w:rPr>
        <w:t> </w:t>
      </w:r>
      <w:r>
        <w:rPr/>
        <w:t>pagaidām</w:t>
      </w:r>
      <w:r>
        <w:rPr>
          <w:spacing w:val="-5"/>
        </w:rPr>
        <w:t> </w:t>
      </w:r>
      <w:r>
        <w:rPr/>
        <w:t>ir</w:t>
      </w:r>
      <w:r>
        <w:rPr>
          <w:spacing w:val="-5"/>
        </w:rPr>
        <w:t> </w:t>
      </w:r>
      <w:r>
        <w:rPr/>
        <w:t>salīdzinoši</w:t>
      </w:r>
      <w:r>
        <w:rPr>
          <w:spacing w:val="-5"/>
        </w:rPr>
        <w:t> </w:t>
      </w:r>
      <w:r>
        <w:rPr/>
        <w:t>maz</w:t>
      </w:r>
      <w:r>
        <w:rPr>
          <w:spacing w:val="-4"/>
        </w:rPr>
        <w:t> </w:t>
      </w:r>
      <w:r>
        <w:rPr/>
        <w:t>empīrisku</w:t>
      </w:r>
      <w:r>
        <w:rPr>
          <w:spacing w:val="-5"/>
        </w:rPr>
        <w:t> </w:t>
      </w:r>
      <w:r>
        <w:rPr/>
        <w:t>pētījumu</w:t>
      </w:r>
      <w:r>
        <w:rPr>
          <w:spacing w:val="-5"/>
        </w:rPr>
        <w:t> </w:t>
      </w:r>
      <w:r>
        <w:rPr/>
        <w:t>datu</w:t>
      </w:r>
      <w:r>
        <w:rPr>
          <w:spacing w:val="-5"/>
        </w:rPr>
        <w:t> </w:t>
      </w:r>
      <w:r>
        <w:rPr/>
        <w:t>par atviegloto maksātnespējas procedūru efektivitāti un lietderību tajās valstīs, kurās tāda jau ir ieviesta. Tādēļ, piemēram, Lielbritānijas tiesību profesors </w:t>
      </w:r>
      <w:r>
        <w:rPr>
          <w:i/>
        </w:rPr>
        <w:t>Iain Ramsay </w:t>
      </w:r>
      <w:r>
        <w:rPr/>
        <w:t>pauž samērā piesardzīgu nostāju par jaunākajām maksātnespējas tiesiskā regulējuma vēsmām saistībā ar atviegloto maksātnespējas procedūru ieviešanu.</w:t>
      </w:r>
      <w:r>
        <w:rPr>
          <w:position w:val="9"/>
          <w:sz w:val="16"/>
        </w:rPr>
        <w:t>504 </w:t>
      </w:r>
      <w:r>
        <w:rPr/>
        <w:t>Jāņem vērā arī tas, ka līdzšinējā Maksātnespējas</w:t>
      </w:r>
      <w:r>
        <w:rPr>
          <w:spacing w:val="-14"/>
        </w:rPr>
        <w:t> </w:t>
      </w:r>
      <w:r>
        <w:rPr/>
        <w:t>likuma</w:t>
      </w:r>
      <w:r>
        <w:rPr>
          <w:spacing w:val="-13"/>
        </w:rPr>
        <w:t> </w:t>
      </w:r>
      <w:r>
        <w:rPr/>
        <w:t>piemērošana</w:t>
      </w:r>
      <w:r>
        <w:rPr>
          <w:spacing w:val="-13"/>
        </w:rPr>
        <w:t> </w:t>
      </w:r>
      <w:r>
        <w:rPr/>
        <w:t>ir</w:t>
      </w:r>
      <w:r>
        <w:rPr>
          <w:spacing w:val="-13"/>
        </w:rPr>
        <w:t> </w:t>
      </w:r>
      <w:r>
        <w:rPr/>
        <w:t>apliecinājusi</w:t>
      </w:r>
      <w:r>
        <w:rPr>
          <w:spacing w:val="-13"/>
        </w:rPr>
        <w:t> </w:t>
      </w:r>
      <w:r>
        <w:rPr/>
        <w:t>augsto</w:t>
      </w:r>
      <w:r>
        <w:rPr>
          <w:spacing w:val="-13"/>
        </w:rPr>
        <w:t> </w:t>
      </w:r>
      <w:r>
        <w:rPr/>
        <w:t>negodprātīgu</w:t>
      </w:r>
      <w:r>
        <w:rPr>
          <w:spacing w:val="-13"/>
        </w:rPr>
        <w:t> </w:t>
      </w:r>
      <w:r>
        <w:rPr/>
        <w:t>parādnieku</w:t>
      </w:r>
      <w:r>
        <w:rPr>
          <w:spacing w:val="-13"/>
        </w:rPr>
        <w:t> </w:t>
      </w:r>
      <w:r>
        <w:rPr/>
        <w:t>skaita īpatsvaru (un jo īpaši – patieso ienākumu</w:t>
      </w:r>
      <w:r>
        <w:rPr>
          <w:spacing w:val="-3"/>
        </w:rPr>
        <w:t> </w:t>
      </w:r>
      <w:r>
        <w:rPr/>
        <w:t>slēpšanu).</w:t>
      </w:r>
    </w:p>
    <w:p>
      <w:pPr>
        <w:pStyle w:val="BodyText"/>
        <w:spacing w:before="2"/>
        <w:ind w:left="620" w:right="401" w:firstLine="360"/>
      </w:pPr>
      <w:r>
        <w:rPr/>
        <w:t>Ņemot vērā minēto, no vienas puses, objektīvi ir saskatāma nepieciešamība ieviest atviegloto maksātnespējas procedūru tā dēvētajiem NINA parādniekiem. No otras puses, būtu vēlams vismaz sākotnēji to izstrādāt, ievērojot zināmu piesardzību. Piemēram, šādu procedūru varētu attiecināt uz parādniekiem, kuru saistības ir zem EUR 5 000,00. Procedūras</w:t>
      </w:r>
      <w:r>
        <w:rPr>
          <w:spacing w:val="-5"/>
        </w:rPr>
        <w:t> </w:t>
      </w:r>
      <w:r>
        <w:rPr/>
        <w:t>pamatdoma</w:t>
      </w:r>
      <w:r>
        <w:rPr>
          <w:spacing w:val="-5"/>
        </w:rPr>
        <w:t> </w:t>
      </w:r>
      <w:r>
        <w:rPr/>
        <w:t>varētu</w:t>
      </w:r>
      <w:r>
        <w:rPr>
          <w:spacing w:val="-2"/>
        </w:rPr>
        <w:t> </w:t>
      </w:r>
      <w:r>
        <w:rPr/>
        <w:t>būt</w:t>
      </w:r>
      <w:r>
        <w:rPr>
          <w:spacing w:val="-5"/>
        </w:rPr>
        <w:t> </w:t>
      </w:r>
      <w:r>
        <w:rPr/>
        <w:t>tāda,</w:t>
      </w:r>
      <w:r>
        <w:rPr>
          <w:spacing w:val="-6"/>
        </w:rPr>
        <w:t> </w:t>
      </w:r>
      <w:r>
        <w:rPr/>
        <w:t>ka</w:t>
      </w:r>
      <w:r>
        <w:rPr>
          <w:spacing w:val="-5"/>
        </w:rPr>
        <w:t> </w:t>
      </w:r>
      <w:r>
        <w:rPr/>
        <w:t>parādnieks</w:t>
      </w:r>
      <w:r>
        <w:rPr>
          <w:spacing w:val="-5"/>
        </w:rPr>
        <w:t> </w:t>
      </w:r>
      <w:r>
        <w:rPr/>
        <w:t>tiek</w:t>
      </w:r>
      <w:r>
        <w:rPr>
          <w:spacing w:val="-5"/>
        </w:rPr>
        <w:t> </w:t>
      </w:r>
      <w:r>
        <w:rPr/>
        <w:t>atbrīvots</w:t>
      </w:r>
      <w:r>
        <w:rPr>
          <w:spacing w:val="-1"/>
        </w:rPr>
        <w:t> </w:t>
      </w:r>
      <w:r>
        <w:rPr/>
        <w:t>no</w:t>
      </w:r>
      <w:r>
        <w:rPr>
          <w:spacing w:val="-5"/>
        </w:rPr>
        <w:t> </w:t>
      </w:r>
      <w:r>
        <w:rPr/>
        <w:t>saistībām,</w:t>
      </w:r>
      <w:r>
        <w:rPr>
          <w:spacing w:val="-5"/>
        </w:rPr>
        <w:t> </w:t>
      </w:r>
      <w:r>
        <w:rPr/>
        <w:t>neveicot maksājumus</w:t>
      </w:r>
      <w:r>
        <w:rPr>
          <w:spacing w:val="-11"/>
        </w:rPr>
        <w:t> </w:t>
      </w:r>
      <w:r>
        <w:rPr/>
        <w:t>kreditoriem,</w:t>
      </w:r>
      <w:r>
        <w:rPr>
          <w:spacing w:val="-11"/>
        </w:rPr>
        <w:t> </w:t>
      </w:r>
      <w:r>
        <w:rPr/>
        <w:t>taču</w:t>
      </w:r>
      <w:r>
        <w:rPr>
          <w:spacing w:val="-11"/>
        </w:rPr>
        <w:t> </w:t>
      </w:r>
      <w:r>
        <w:rPr/>
        <w:t>nebūtu</w:t>
      </w:r>
      <w:r>
        <w:rPr>
          <w:spacing w:val="-11"/>
        </w:rPr>
        <w:t> </w:t>
      </w:r>
      <w:r>
        <w:rPr/>
        <w:t>vēlams</w:t>
      </w:r>
      <w:r>
        <w:rPr>
          <w:spacing w:val="-11"/>
        </w:rPr>
        <w:t> </w:t>
      </w:r>
      <w:r>
        <w:rPr/>
        <w:t>noteikt</w:t>
      </w:r>
      <w:r>
        <w:rPr>
          <w:spacing w:val="-11"/>
        </w:rPr>
        <w:t> </w:t>
      </w:r>
      <w:r>
        <w:rPr/>
        <w:t>automātisku</w:t>
      </w:r>
      <w:r>
        <w:rPr>
          <w:spacing w:val="-11"/>
        </w:rPr>
        <w:t> </w:t>
      </w:r>
      <w:r>
        <w:rPr/>
        <w:t>saistību</w:t>
      </w:r>
      <w:r>
        <w:rPr>
          <w:spacing w:val="-10"/>
        </w:rPr>
        <w:t> </w:t>
      </w:r>
      <w:r>
        <w:rPr/>
        <w:t>dzēšanu,</w:t>
      </w:r>
      <w:r>
        <w:rPr>
          <w:spacing w:val="-11"/>
        </w:rPr>
        <w:t> </w:t>
      </w:r>
      <w:r>
        <w:rPr/>
        <w:t>tā</w:t>
      </w:r>
      <w:r>
        <w:rPr>
          <w:spacing w:val="-11"/>
        </w:rPr>
        <w:t> </w:t>
      </w:r>
      <w:r>
        <w:rPr/>
        <w:t>vietā dodot</w:t>
      </w:r>
      <w:r>
        <w:rPr>
          <w:spacing w:val="-9"/>
        </w:rPr>
        <w:t> </w:t>
      </w:r>
      <w:r>
        <w:rPr/>
        <w:t>priekšroku</w:t>
      </w:r>
      <w:r>
        <w:rPr>
          <w:spacing w:val="-8"/>
        </w:rPr>
        <w:t> </w:t>
      </w:r>
      <w:r>
        <w:rPr/>
        <w:t>tā</w:t>
      </w:r>
      <w:r>
        <w:rPr>
          <w:spacing w:val="-6"/>
        </w:rPr>
        <w:t> </w:t>
      </w:r>
      <w:r>
        <w:rPr/>
        <w:t>dēvētajam</w:t>
      </w:r>
      <w:r>
        <w:rPr>
          <w:spacing w:val="-10"/>
        </w:rPr>
        <w:t> </w:t>
      </w:r>
      <w:r>
        <w:rPr/>
        <w:t>moratorija</w:t>
      </w:r>
      <w:r>
        <w:rPr>
          <w:spacing w:val="-6"/>
        </w:rPr>
        <w:t> </w:t>
      </w:r>
      <w:r>
        <w:rPr/>
        <w:t>periodam,</w:t>
      </w:r>
      <w:r>
        <w:rPr>
          <w:spacing w:val="-9"/>
        </w:rPr>
        <w:t> </w:t>
      </w:r>
      <w:r>
        <w:rPr/>
        <w:t>kurā</w:t>
      </w:r>
      <w:r>
        <w:rPr>
          <w:spacing w:val="-8"/>
        </w:rPr>
        <w:t> </w:t>
      </w:r>
      <w:r>
        <w:rPr/>
        <w:t>parādniekam</w:t>
      </w:r>
      <w:r>
        <w:rPr>
          <w:spacing w:val="-10"/>
        </w:rPr>
        <w:t> </w:t>
      </w:r>
      <w:r>
        <w:rPr/>
        <w:t>ir</w:t>
      </w:r>
      <w:r>
        <w:rPr>
          <w:spacing w:val="-8"/>
        </w:rPr>
        <w:t> </w:t>
      </w:r>
      <w:r>
        <w:rPr/>
        <w:t>pienākums</w:t>
      </w:r>
      <w:r>
        <w:rPr>
          <w:spacing w:val="-8"/>
        </w:rPr>
        <w:t> </w:t>
      </w:r>
      <w:r>
        <w:rPr/>
        <w:t>sniegt informāciju,</w:t>
      </w:r>
      <w:r>
        <w:rPr>
          <w:spacing w:val="26"/>
        </w:rPr>
        <w:t> </w:t>
      </w:r>
      <w:r>
        <w:rPr/>
        <w:t>atturēties</w:t>
      </w:r>
      <w:r>
        <w:rPr>
          <w:spacing w:val="27"/>
        </w:rPr>
        <w:t> </w:t>
      </w:r>
      <w:r>
        <w:rPr/>
        <w:t>no</w:t>
      </w:r>
      <w:r>
        <w:rPr>
          <w:spacing w:val="27"/>
        </w:rPr>
        <w:t> </w:t>
      </w:r>
      <w:r>
        <w:rPr/>
        <w:t>jaunu</w:t>
      </w:r>
      <w:r>
        <w:rPr>
          <w:spacing w:val="27"/>
        </w:rPr>
        <w:t> </w:t>
      </w:r>
      <w:r>
        <w:rPr/>
        <w:t>saistību</w:t>
      </w:r>
      <w:r>
        <w:rPr>
          <w:spacing w:val="27"/>
        </w:rPr>
        <w:t> </w:t>
      </w:r>
      <w:r>
        <w:rPr/>
        <w:t>uzņemšanās,</w:t>
      </w:r>
      <w:r>
        <w:rPr>
          <w:spacing w:val="27"/>
        </w:rPr>
        <w:t> </w:t>
      </w:r>
      <w:r>
        <w:rPr/>
        <w:t>segt</w:t>
      </w:r>
      <w:r>
        <w:rPr>
          <w:spacing w:val="27"/>
        </w:rPr>
        <w:t> </w:t>
      </w:r>
      <w:r>
        <w:rPr/>
        <w:t>savus</w:t>
      </w:r>
      <w:r>
        <w:rPr>
          <w:spacing w:val="27"/>
        </w:rPr>
        <w:t> </w:t>
      </w:r>
      <w:r>
        <w:rPr/>
        <w:t>uzturēšanās</w:t>
      </w:r>
      <w:r>
        <w:rPr>
          <w:spacing w:val="27"/>
        </w:rPr>
        <w:t> </w:t>
      </w:r>
      <w:r>
        <w:rPr/>
        <w:t>izdevumus</w:t>
      </w:r>
    </w:p>
    <w:p>
      <w:pPr>
        <w:pStyle w:val="BodyText"/>
        <w:ind w:left="620" w:right="400"/>
      </w:pPr>
      <w:r>
        <w:rPr/>
        <w:t>u.c. Šādam moratorija termiņam ir divi centrālie uzdevumi: (1) atklāt un “atsijāt” negodprātīgos</w:t>
      </w:r>
      <w:r>
        <w:rPr>
          <w:spacing w:val="-7"/>
        </w:rPr>
        <w:t> </w:t>
      </w:r>
      <w:r>
        <w:rPr/>
        <w:t>parādniekus,</w:t>
      </w:r>
      <w:r>
        <w:rPr>
          <w:spacing w:val="-7"/>
        </w:rPr>
        <w:t> </w:t>
      </w:r>
      <w:r>
        <w:rPr/>
        <w:t>kuriem</w:t>
      </w:r>
      <w:r>
        <w:rPr>
          <w:spacing w:val="-6"/>
        </w:rPr>
        <w:t> </w:t>
      </w:r>
      <w:r>
        <w:rPr/>
        <w:t>saistības</w:t>
      </w:r>
      <w:r>
        <w:rPr>
          <w:spacing w:val="-9"/>
        </w:rPr>
        <w:t> </w:t>
      </w:r>
      <w:r>
        <w:rPr/>
        <w:t>netiek</w:t>
      </w:r>
      <w:r>
        <w:rPr>
          <w:spacing w:val="-7"/>
        </w:rPr>
        <w:t> </w:t>
      </w:r>
      <w:r>
        <w:rPr/>
        <w:t>dzēstas</w:t>
      </w:r>
      <w:r>
        <w:rPr>
          <w:spacing w:val="-6"/>
        </w:rPr>
        <w:t> </w:t>
      </w:r>
      <w:r>
        <w:rPr/>
        <w:t>(ņemot</w:t>
      </w:r>
      <w:r>
        <w:rPr>
          <w:spacing w:val="-5"/>
        </w:rPr>
        <w:t> </w:t>
      </w:r>
      <w:r>
        <w:rPr/>
        <w:t>vērā</w:t>
      </w:r>
      <w:r>
        <w:rPr>
          <w:spacing w:val="-7"/>
        </w:rPr>
        <w:t> </w:t>
      </w:r>
      <w:r>
        <w:rPr/>
        <w:t>to,</w:t>
      </w:r>
      <w:r>
        <w:rPr>
          <w:spacing w:val="-9"/>
        </w:rPr>
        <w:t> </w:t>
      </w:r>
      <w:r>
        <w:rPr/>
        <w:t>ka</w:t>
      </w:r>
      <w:r>
        <w:rPr>
          <w:spacing w:val="-7"/>
        </w:rPr>
        <w:t> </w:t>
      </w:r>
      <w:r>
        <w:rPr/>
        <w:t>informācijas iegūšanai un apstrādei ir nepieciešams zināms termiņš), un (2) motivēt parādnieku iemācīties pārvaldīt savus ienākumus, tas ir, samērot izdevumus ar ienākumiem (kas tiek panākts gan ar jaunu saistību uzņemšanās ierobežojumiem, gan arī ar saistību nedzēšanu, ja parādnieks nesedz kārtējos izdevumus).</w:t>
      </w:r>
    </w:p>
    <w:p>
      <w:pPr>
        <w:pStyle w:val="BodyText"/>
        <w:ind w:left="620" w:right="403" w:firstLine="360"/>
      </w:pPr>
      <w:r>
        <w:rPr/>
        <w:t>Lai mazinātu parādnieku negodprātības risku, salīdzinoši ar “tradicionālo” maksātnespējas procedūru būtu nepieciešams noteikt stingrākus procesa uzsākšanas noteikumus, kā arī iespējams - plašāku regulējumu attiecībā uz gadījumiem, kad saistības netiek dzēstas.</w:t>
      </w:r>
    </w:p>
    <w:p>
      <w:pPr>
        <w:pStyle w:val="BodyText"/>
        <w:spacing w:line="235" w:lineRule="auto" w:before="5"/>
        <w:ind w:left="620" w:right="402" w:firstLine="360"/>
      </w:pPr>
      <w:r>
        <w:rPr/>
        <w:t>Savukārt,</w:t>
      </w:r>
      <w:r>
        <w:rPr>
          <w:spacing w:val="-6"/>
        </w:rPr>
        <w:t> </w:t>
      </w:r>
      <w:r>
        <w:rPr/>
        <w:t>lai</w:t>
      </w:r>
      <w:r>
        <w:rPr>
          <w:spacing w:val="-5"/>
        </w:rPr>
        <w:t> </w:t>
      </w:r>
      <w:r>
        <w:rPr/>
        <w:t>samazinātu</w:t>
      </w:r>
      <w:r>
        <w:rPr>
          <w:spacing w:val="-3"/>
        </w:rPr>
        <w:t> </w:t>
      </w:r>
      <w:r>
        <w:rPr/>
        <w:t>šāda</w:t>
      </w:r>
      <w:r>
        <w:rPr>
          <w:spacing w:val="-8"/>
        </w:rPr>
        <w:t> </w:t>
      </w:r>
      <w:r>
        <w:rPr/>
        <w:t>maksātnespējas</w:t>
      </w:r>
      <w:r>
        <w:rPr>
          <w:spacing w:val="-7"/>
        </w:rPr>
        <w:t> </w:t>
      </w:r>
      <w:r>
        <w:rPr/>
        <w:t>procesa</w:t>
      </w:r>
      <w:r>
        <w:rPr>
          <w:spacing w:val="-5"/>
        </w:rPr>
        <w:t> </w:t>
      </w:r>
      <w:r>
        <w:rPr/>
        <w:t>izmaksas,</w:t>
      </w:r>
      <w:r>
        <w:rPr>
          <w:spacing w:val="-5"/>
        </w:rPr>
        <w:t> </w:t>
      </w:r>
      <w:r>
        <w:rPr/>
        <w:t>tas</w:t>
      </w:r>
      <w:r>
        <w:rPr>
          <w:spacing w:val="-5"/>
        </w:rPr>
        <w:t> </w:t>
      </w:r>
      <w:r>
        <w:rPr/>
        <w:t>varētu</w:t>
      </w:r>
      <w:r>
        <w:rPr>
          <w:spacing w:val="-3"/>
        </w:rPr>
        <w:t> </w:t>
      </w:r>
      <w:r>
        <w:rPr/>
        <w:t>tikt</w:t>
      </w:r>
      <w:r>
        <w:rPr>
          <w:spacing w:val="-5"/>
        </w:rPr>
        <w:t> </w:t>
      </w:r>
      <w:r>
        <w:rPr/>
        <w:t>īstenots bez maksātnespējas procesa administratora iecelšanas, veicot parādnieka pārbaudi, piemēram,</w:t>
      </w:r>
      <w:r>
        <w:rPr>
          <w:spacing w:val="-2"/>
        </w:rPr>
        <w:t> </w:t>
      </w:r>
      <w:r>
        <w:rPr/>
        <w:t>izlases</w:t>
      </w:r>
      <w:r>
        <w:rPr>
          <w:spacing w:val="-6"/>
        </w:rPr>
        <w:t> </w:t>
      </w:r>
      <w:r>
        <w:rPr/>
        <w:t>kārtībā.</w:t>
      </w:r>
      <w:r>
        <w:rPr>
          <w:spacing w:val="-4"/>
        </w:rPr>
        <w:t> </w:t>
      </w:r>
      <w:r>
        <w:rPr/>
        <w:t>Turklāt,</w:t>
      </w:r>
      <w:r>
        <w:rPr>
          <w:spacing w:val="-4"/>
        </w:rPr>
        <w:t> </w:t>
      </w:r>
      <w:r>
        <w:rPr/>
        <w:t>ņemot</w:t>
      </w:r>
      <w:r>
        <w:rPr>
          <w:spacing w:val="-1"/>
        </w:rPr>
        <w:t> </w:t>
      </w:r>
      <w:r>
        <w:rPr/>
        <w:t>vērā</w:t>
      </w:r>
      <w:r>
        <w:rPr>
          <w:spacing w:val="-4"/>
        </w:rPr>
        <w:t> </w:t>
      </w:r>
      <w:r>
        <w:rPr/>
        <w:t>to,</w:t>
      </w:r>
      <w:r>
        <w:rPr>
          <w:spacing w:val="-4"/>
        </w:rPr>
        <w:t> </w:t>
      </w:r>
      <w:r>
        <w:rPr/>
        <w:t>ka</w:t>
      </w:r>
      <w:r>
        <w:rPr>
          <w:spacing w:val="-4"/>
        </w:rPr>
        <w:t> </w:t>
      </w:r>
      <w:r>
        <w:rPr/>
        <w:t>tiesas</w:t>
      </w:r>
      <w:r>
        <w:rPr>
          <w:spacing w:val="-6"/>
        </w:rPr>
        <w:t> </w:t>
      </w:r>
      <w:r>
        <w:rPr/>
        <w:t>resurss</w:t>
      </w:r>
      <w:r>
        <w:rPr>
          <w:spacing w:val="-1"/>
        </w:rPr>
        <w:t> </w:t>
      </w:r>
      <w:r>
        <w:rPr/>
        <w:t>ir</w:t>
      </w:r>
      <w:r>
        <w:rPr>
          <w:spacing w:val="-6"/>
        </w:rPr>
        <w:t> </w:t>
      </w:r>
      <w:r>
        <w:rPr/>
        <w:t>viens</w:t>
      </w:r>
      <w:r>
        <w:rPr>
          <w:spacing w:val="-1"/>
        </w:rPr>
        <w:t> </w:t>
      </w:r>
      <w:r>
        <w:rPr/>
        <w:t>no</w:t>
      </w:r>
      <w:r>
        <w:rPr>
          <w:spacing w:val="-4"/>
        </w:rPr>
        <w:t> </w:t>
      </w:r>
      <w:r>
        <w:rPr/>
        <w:t>dārgākajiem maksātnespējas procesa institucionālā rāmja resursiem</w:t>
      </w:r>
      <w:r>
        <w:rPr>
          <w:position w:val="9"/>
          <w:sz w:val="16"/>
        </w:rPr>
        <w:t>505</w:t>
      </w:r>
      <w:r>
        <w:rPr/>
        <w:t>, līdzīgi kā Lielbritānijā</w:t>
      </w:r>
      <w:r>
        <w:rPr>
          <w:spacing w:val="11"/>
        </w:rPr>
        <w:t> </w:t>
      </w:r>
      <w:r>
        <w:rPr/>
        <w:t>vai</w:t>
      </w:r>
    </w:p>
    <w:p>
      <w:pPr>
        <w:pStyle w:val="BodyText"/>
        <w:jc w:val="left"/>
        <w:rPr>
          <w:sz w:val="20"/>
        </w:rPr>
      </w:pPr>
    </w:p>
    <w:p>
      <w:pPr>
        <w:pStyle w:val="BodyText"/>
        <w:spacing w:before="9"/>
        <w:jc w:val="left"/>
        <w:rPr>
          <w:sz w:val="12"/>
        </w:rPr>
      </w:pPr>
      <w:r>
        <w:rPr/>
        <w:pict>
          <v:shape style="position:absolute;margin-left:90pt;margin-top:9.609493pt;width:144pt;height:.1pt;mso-position-horizontal-relative:page;mso-position-vertical-relative:paragraph;z-index:-251442176;mso-wrap-distance-left:0;mso-wrap-distance-right:0" coordorigin="1800,192" coordsize="2880,0" path="m1800,192l4680,192e" filled="false" stroked="true" strokeweight=".59999pt" strokecolor="#000000">
            <v:path arrowok="t"/>
            <v:stroke dashstyle="solid"/>
            <w10:wrap type="topAndBottom"/>
          </v:shape>
        </w:pict>
      </w:r>
    </w:p>
    <w:p>
      <w:pPr>
        <w:spacing w:line="244" w:lineRule="auto" w:before="58"/>
        <w:ind w:left="620" w:right="0" w:firstLine="0"/>
        <w:jc w:val="left"/>
        <w:rPr>
          <w:sz w:val="20"/>
        </w:rPr>
      </w:pPr>
      <w:r>
        <w:rPr>
          <w:position w:val="9"/>
          <w:sz w:val="16"/>
        </w:rPr>
        <w:t>503 </w:t>
      </w:r>
      <w:r>
        <w:rPr>
          <w:sz w:val="20"/>
        </w:rPr>
        <w:t>ECORYS. Bankruptcy and second chance for honest bankrupt entrepreneurs. Final report, October 2014, p.11.Pieejams:</w:t>
      </w:r>
      <w:hyperlink r:id="rId105">
        <w:r>
          <w:rPr>
            <w:color w:val="0562C1"/>
            <w:sz w:val="20"/>
            <w:u w:val="single" w:color="0562C1"/>
          </w:rPr>
          <w:t> http://www.eea.gr/system/uploads/asset/data/9042/Bankruptcy_and_second_chance_for_honest_bankrupt_</w:t>
        </w:r>
      </w:hyperlink>
      <w:r>
        <w:rPr>
          <w:color w:val="0562C1"/>
          <w:sz w:val="20"/>
          <w:u w:val="single" w:color="0562C1"/>
        </w:rPr>
        <w:t> entrepreneurs_FINAL_REPORT.pdf</w:t>
      </w:r>
      <w:r>
        <w:rPr>
          <w:color w:val="0562C1"/>
          <w:sz w:val="20"/>
        </w:rPr>
        <w:t> </w:t>
      </w:r>
      <w:r>
        <w:rPr>
          <w:color w:val="003A62"/>
          <w:sz w:val="20"/>
        </w:rPr>
        <w:t>[aplūkots 05.10.2018.]</w:t>
      </w:r>
    </w:p>
    <w:p>
      <w:pPr>
        <w:spacing w:line="259" w:lineRule="exact" w:before="0"/>
        <w:ind w:left="620" w:right="0" w:firstLine="0"/>
        <w:jc w:val="left"/>
        <w:rPr>
          <w:sz w:val="20"/>
        </w:rPr>
      </w:pPr>
      <w:r>
        <w:rPr>
          <w:position w:val="9"/>
          <w:sz w:val="16"/>
        </w:rPr>
        <w:t>504 </w:t>
      </w:r>
      <w:r>
        <w:rPr>
          <w:sz w:val="20"/>
        </w:rPr>
        <w:t>Sk.: Ramsay I. Towards an International Paradigm of Personal Insolvency Law? A Critical View. QUT</w:t>
      </w:r>
    </w:p>
    <w:p>
      <w:pPr>
        <w:spacing w:before="10"/>
        <w:ind w:left="620" w:right="398" w:firstLine="0"/>
        <w:jc w:val="left"/>
        <w:rPr>
          <w:sz w:val="20"/>
        </w:rPr>
      </w:pPr>
      <w:r>
        <w:rPr>
          <w:sz w:val="20"/>
        </w:rPr>
        <w:t>Law Review, 2017, Volume 17, Issue 1, pp.32. Pieejams: </w:t>
      </w:r>
      <w:r>
        <w:rPr>
          <w:color w:val="0562C1"/>
          <w:sz w:val="20"/>
          <w:u w:val="single" w:color="0562C1"/>
        </w:rPr>
        <w:t>https://lr.law.qut.edu.au/article/view/713/630</w:t>
      </w:r>
      <w:r>
        <w:rPr>
          <w:color w:val="0562C1"/>
          <w:sz w:val="20"/>
        </w:rPr>
        <w:t> </w:t>
      </w:r>
      <w:r>
        <w:rPr>
          <w:sz w:val="20"/>
        </w:rPr>
        <w:t>[aplūkots 2018.gada 20.septembrī].</w:t>
      </w:r>
    </w:p>
    <w:p>
      <w:pPr>
        <w:spacing w:line="240" w:lineRule="exact" w:before="29"/>
        <w:ind w:left="620" w:right="0" w:firstLine="0"/>
        <w:jc w:val="left"/>
        <w:rPr>
          <w:sz w:val="20"/>
        </w:rPr>
      </w:pPr>
      <w:r>
        <w:rPr>
          <w:position w:val="9"/>
          <w:sz w:val="16"/>
        </w:rPr>
        <w:t>505 </w:t>
      </w:r>
      <w:r>
        <w:rPr>
          <w:sz w:val="20"/>
        </w:rPr>
        <w:t>The World Bank. Report on the Treatment of the Insolvency of Natural Persons. 2013, p. 56, para 163. Pieejams:</w:t>
      </w:r>
    </w:p>
    <w:p>
      <w:pPr>
        <w:spacing w:after="0" w:line="240" w:lineRule="exact"/>
        <w:jc w:val="left"/>
        <w:rPr>
          <w:sz w:val="20"/>
        </w:rPr>
        <w:sectPr>
          <w:footerReference w:type="default" r:id="rId103"/>
          <w:footerReference w:type="even" r:id="rId104"/>
          <w:pgSz w:w="11910" w:h="16840"/>
          <w:pgMar w:footer="1626" w:header="0" w:top="1340" w:bottom="1820" w:left="1180" w:right="1040"/>
          <w:pgNumType w:start="193"/>
        </w:sectPr>
      </w:pPr>
    </w:p>
    <w:p>
      <w:pPr>
        <w:pStyle w:val="BodyText"/>
        <w:spacing w:before="73"/>
        <w:ind w:left="260" w:right="763"/>
      </w:pPr>
      <w:r>
        <w:rPr/>
        <w:t>Francijā šāda procesa īstenošana būtu nododama administratīvās iestādes, Latvijas gadījumā – Maksātnespējas kontroles dienesta kompetencē.</w:t>
      </w:r>
    </w:p>
    <w:p>
      <w:pPr>
        <w:pStyle w:val="BodyText"/>
        <w:ind w:left="260" w:right="762" w:firstLine="360"/>
      </w:pPr>
      <w:r>
        <w:rPr/>
        <w:t>Vienlaikus šādu procedūru nebūtu vēlams īstenot faktiski bez jebkādām izmaksām no parādnieka puses, jo tādā gadījumā, neraugoties uz salīdzinoši stingrākiem procesa piemērošanas</w:t>
      </w:r>
      <w:r>
        <w:rPr>
          <w:spacing w:val="-14"/>
        </w:rPr>
        <w:t> </w:t>
      </w:r>
      <w:r>
        <w:rPr/>
        <w:t>kritērijiem,</w:t>
      </w:r>
      <w:r>
        <w:rPr>
          <w:spacing w:val="-12"/>
        </w:rPr>
        <w:t> </w:t>
      </w:r>
      <w:r>
        <w:rPr/>
        <w:t>parādnieki</w:t>
      </w:r>
      <w:r>
        <w:rPr>
          <w:spacing w:val="-14"/>
        </w:rPr>
        <w:t> </w:t>
      </w:r>
      <w:r>
        <w:rPr/>
        <w:t>varētu</w:t>
      </w:r>
      <w:r>
        <w:rPr>
          <w:spacing w:val="-12"/>
        </w:rPr>
        <w:t> </w:t>
      </w:r>
      <w:r>
        <w:rPr/>
        <w:t>vēlēties</w:t>
      </w:r>
      <w:r>
        <w:rPr>
          <w:spacing w:val="-14"/>
        </w:rPr>
        <w:t> </w:t>
      </w:r>
      <w:r>
        <w:rPr/>
        <w:t>to</w:t>
      </w:r>
      <w:r>
        <w:rPr>
          <w:spacing w:val="-12"/>
        </w:rPr>
        <w:t> </w:t>
      </w:r>
      <w:r>
        <w:rPr/>
        <w:t>izmantot</w:t>
      </w:r>
      <w:r>
        <w:rPr>
          <w:spacing w:val="-16"/>
        </w:rPr>
        <w:t> </w:t>
      </w:r>
      <w:r>
        <w:rPr/>
        <w:t>“uz</w:t>
      </w:r>
      <w:r>
        <w:rPr>
          <w:spacing w:val="-13"/>
        </w:rPr>
        <w:t> </w:t>
      </w:r>
      <w:r>
        <w:rPr/>
        <w:t>labu</w:t>
      </w:r>
      <w:r>
        <w:rPr>
          <w:spacing w:val="-17"/>
        </w:rPr>
        <w:t> </w:t>
      </w:r>
      <w:r>
        <w:rPr/>
        <w:t>laimi”,</w:t>
      </w:r>
      <w:r>
        <w:rPr>
          <w:spacing w:val="-17"/>
        </w:rPr>
        <w:t> </w:t>
      </w:r>
      <w:r>
        <w:rPr/>
        <w:t>apzinoties, ka neizdošanās gadījumā nekas netiek zaudēts. Tādējādi līdzīgi kā Lielbritānijā, būtu vēlams noteikt to, ka persona šo procesu var uzsākt, izmantojot speciālista pakalpojumu. Latvijas gadījumā tas varētu būt maksātnespējas procesa administratora sniegts pakalpojums (piemēram, tie maksātnespējas procesa administratori, kuri vēlētos šādu pakalpojumu sniegt, varētu izvietot par to informāciju Maksātnespējas kontroles dienesta tīmekļa</w:t>
      </w:r>
      <w:r>
        <w:rPr>
          <w:spacing w:val="-3"/>
        </w:rPr>
        <w:t> </w:t>
      </w:r>
      <w:r>
        <w:rPr/>
        <w:t>vietnē).</w:t>
      </w:r>
    </w:p>
    <w:p>
      <w:pPr>
        <w:pStyle w:val="BodyText"/>
        <w:ind w:left="260" w:right="761" w:firstLine="360"/>
      </w:pPr>
      <w:r>
        <w:rPr/>
        <w:t>Kopumā</w:t>
      </w:r>
      <w:r>
        <w:rPr>
          <w:spacing w:val="-17"/>
        </w:rPr>
        <w:t> </w:t>
      </w:r>
      <w:r>
        <w:rPr/>
        <w:t>jāteic,</w:t>
      </w:r>
      <w:r>
        <w:rPr>
          <w:spacing w:val="-16"/>
        </w:rPr>
        <w:t> </w:t>
      </w:r>
      <w:r>
        <w:rPr/>
        <w:t>ka</w:t>
      </w:r>
      <w:r>
        <w:rPr>
          <w:spacing w:val="-14"/>
        </w:rPr>
        <w:t> </w:t>
      </w:r>
      <w:r>
        <w:rPr/>
        <w:t>Lielbritānijas</w:t>
      </w:r>
      <w:r>
        <w:rPr>
          <w:spacing w:val="-16"/>
        </w:rPr>
        <w:t> </w:t>
      </w:r>
      <w:r>
        <w:rPr/>
        <w:t>regulējums</w:t>
      </w:r>
      <w:r>
        <w:rPr>
          <w:spacing w:val="-16"/>
        </w:rPr>
        <w:t> </w:t>
      </w:r>
      <w:r>
        <w:rPr/>
        <w:t>varētu</w:t>
      </w:r>
      <w:r>
        <w:rPr>
          <w:spacing w:val="-12"/>
        </w:rPr>
        <w:t> </w:t>
      </w:r>
      <w:r>
        <w:rPr/>
        <w:t>tikt</w:t>
      </w:r>
      <w:r>
        <w:rPr>
          <w:spacing w:val="-16"/>
        </w:rPr>
        <w:t> </w:t>
      </w:r>
      <w:r>
        <w:rPr/>
        <w:t>izmantots</w:t>
      </w:r>
      <w:r>
        <w:rPr>
          <w:spacing w:val="-14"/>
        </w:rPr>
        <w:t> </w:t>
      </w:r>
      <w:r>
        <w:rPr/>
        <w:t>kā</w:t>
      </w:r>
      <w:r>
        <w:rPr>
          <w:spacing w:val="-18"/>
        </w:rPr>
        <w:t> </w:t>
      </w:r>
      <w:r>
        <w:rPr/>
        <w:t>labs</w:t>
      </w:r>
      <w:r>
        <w:rPr>
          <w:spacing w:val="-17"/>
        </w:rPr>
        <w:t> </w:t>
      </w:r>
      <w:r>
        <w:rPr/>
        <w:t>paraugs</w:t>
      </w:r>
      <w:r>
        <w:rPr>
          <w:spacing w:val="-16"/>
        </w:rPr>
        <w:t> </w:t>
      </w:r>
      <w:r>
        <w:rPr/>
        <w:t>jaunas procedūras ieviešanai. Detalizētāki priekšlikumi par iespējamo atvieglotās</w:t>
      </w:r>
      <w:r>
        <w:rPr>
          <w:spacing w:val="-27"/>
        </w:rPr>
        <w:t> </w:t>
      </w:r>
      <w:r>
        <w:rPr/>
        <w:t>maksātnespējas procedūras regulējumu ir norādīti pētījuma VII. nodaļā</w:t>
      </w:r>
      <w:r>
        <w:rPr>
          <w:spacing w:val="-3"/>
        </w:rPr>
        <w:t> </w:t>
      </w:r>
      <w:r>
        <w:rPr/>
        <w:t>Priekšlikumi.</w:t>
      </w:r>
    </w:p>
    <w:p>
      <w:pPr>
        <w:pStyle w:val="BodyText"/>
        <w:spacing w:line="237" w:lineRule="auto" w:before="3"/>
        <w:ind w:left="260" w:right="761" w:firstLine="360"/>
      </w:pPr>
      <w:r>
        <w:rPr/>
        <w:t>Vienlaikus būtiski uzsvērt, ka, ieviešot atviegloto maksātnespējas procedūru, ir nepieciešams</w:t>
      </w:r>
      <w:r>
        <w:rPr>
          <w:spacing w:val="-6"/>
        </w:rPr>
        <w:t> </w:t>
      </w:r>
      <w:r>
        <w:rPr/>
        <w:t>ņemt</w:t>
      </w:r>
      <w:r>
        <w:rPr>
          <w:spacing w:val="-5"/>
        </w:rPr>
        <w:t> </w:t>
      </w:r>
      <w:r>
        <w:rPr/>
        <w:t>vērā</w:t>
      </w:r>
      <w:r>
        <w:rPr>
          <w:spacing w:val="-5"/>
        </w:rPr>
        <w:t> </w:t>
      </w:r>
      <w:r>
        <w:rPr/>
        <w:t>to,</w:t>
      </w:r>
      <w:r>
        <w:rPr>
          <w:spacing w:val="-6"/>
        </w:rPr>
        <w:t> </w:t>
      </w:r>
      <w:r>
        <w:rPr/>
        <w:t>ka</w:t>
      </w:r>
      <w:r>
        <w:rPr>
          <w:spacing w:val="-8"/>
        </w:rPr>
        <w:t> </w:t>
      </w:r>
      <w:r>
        <w:rPr/>
        <w:t>atbilstoši</w:t>
      </w:r>
      <w:r>
        <w:rPr>
          <w:spacing w:val="-5"/>
        </w:rPr>
        <w:t> </w:t>
      </w:r>
      <w:r>
        <w:rPr/>
        <w:t>līdzšinējiem</w:t>
      </w:r>
      <w:r>
        <w:rPr>
          <w:spacing w:val="-6"/>
        </w:rPr>
        <w:t> </w:t>
      </w:r>
      <w:r>
        <w:rPr/>
        <w:t>pētījumiem</w:t>
      </w:r>
      <w:r>
        <w:rPr>
          <w:spacing w:val="-7"/>
        </w:rPr>
        <w:t> </w:t>
      </w:r>
      <w:r>
        <w:rPr/>
        <w:t>šāda</w:t>
      </w:r>
      <w:r>
        <w:rPr>
          <w:spacing w:val="-5"/>
        </w:rPr>
        <w:t> </w:t>
      </w:r>
      <w:r>
        <w:rPr/>
        <w:t>procedūra</w:t>
      </w:r>
      <w:r>
        <w:rPr>
          <w:spacing w:val="-8"/>
        </w:rPr>
        <w:t> </w:t>
      </w:r>
      <w:r>
        <w:rPr/>
        <w:t>iespējams ir viens no efektīvākajiem veidiem, kā īstermiņā atrisināt finansiālās grūtības personām ar zemiem ienākumiem. Tomēr ir visnotaļ liels pamats bažām par to, ciktāl šāda procedūra ir efektīva ilgtermiņā. Piemēram, kāds Amerikas Savienotajās valstīs veikts pētījums</w:t>
      </w:r>
      <w:r>
        <w:rPr>
          <w:spacing w:val="-39"/>
        </w:rPr>
        <w:t> </w:t>
      </w:r>
      <w:r>
        <w:rPr/>
        <w:t>liecina, ka jau vienu gadu pēc saistību dzēšanas 25 % parādnieku bija grūtības veikt kārtējo</w:t>
      </w:r>
      <w:r>
        <w:rPr>
          <w:spacing w:val="-33"/>
        </w:rPr>
        <w:t> </w:t>
      </w:r>
      <w:r>
        <w:rPr/>
        <w:t>rēķinu apmaksu,</w:t>
      </w:r>
      <w:r>
        <w:rPr>
          <w:spacing w:val="-12"/>
        </w:rPr>
        <w:t> </w:t>
      </w:r>
      <w:r>
        <w:rPr/>
        <w:t>bet</w:t>
      </w:r>
      <w:r>
        <w:rPr>
          <w:spacing w:val="-12"/>
        </w:rPr>
        <w:t> </w:t>
      </w:r>
      <w:r>
        <w:rPr/>
        <w:t>33</w:t>
      </w:r>
      <w:r>
        <w:rPr>
          <w:spacing w:val="-11"/>
        </w:rPr>
        <w:t> </w:t>
      </w:r>
      <w:r>
        <w:rPr/>
        <w:t>%</w:t>
      </w:r>
      <w:r>
        <w:rPr>
          <w:spacing w:val="-11"/>
        </w:rPr>
        <w:t> </w:t>
      </w:r>
      <w:r>
        <w:rPr/>
        <w:t>parādnieku</w:t>
      </w:r>
      <w:r>
        <w:rPr>
          <w:spacing w:val="-11"/>
        </w:rPr>
        <w:t> </w:t>
      </w:r>
      <w:r>
        <w:rPr/>
        <w:t>bija</w:t>
      </w:r>
      <w:r>
        <w:rPr>
          <w:spacing w:val="-15"/>
        </w:rPr>
        <w:t> </w:t>
      </w:r>
      <w:r>
        <w:rPr/>
        <w:t>tādā</w:t>
      </w:r>
      <w:r>
        <w:rPr>
          <w:spacing w:val="-14"/>
        </w:rPr>
        <w:t> </w:t>
      </w:r>
      <w:r>
        <w:rPr/>
        <w:t>pašā</w:t>
      </w:r>
      <w:r>
        <w:rPr>
          <w:spacing w:val="-12"/>
        </w:rPr>
        <w:t> </w:t>
      </w:r>
      <w:r>
        <w:rPr/>
        <w:t>finansiālajā</w:t>
      </w:r>
      <w:r>
        <w:rPr>
          <w:spacing w:val="-11"/>
        </w:rPr>
        <w:t> </w:t>
      </w:r>
      <w:r>
        <w:rPr/>
        <w:t>situācijā</w:t>
      </w:r>
      <w:r>
        <w:rPr>
          <w:spacing w:val="-9"/>
        </w:rPr>
        <w:t> </w:t>
      </w:r>
      <w:r>
        <w:rPr/>
        <w:t>kā</w:t>
      </w:r>
      <w:r>
        <w:rPr>
          <w:spacing w:val="-14"/>
        </w:rPr>
        <w:t> </w:t>
      </w:r>
      <w:r>
        <w:rPr/>
        <w:t>pirms</w:t>
      </w:r>
      <w:r>
        <w:rPr>
          <w:spacing w:val="-10"/>
        </w:rPr>
        <w:t> </w:t>
      </w:r>
      <w:r>
        <w:rPr/>
        <w:t>maksātnespējas procedūras uzsākšanas.</w:t>
      </w:r>
      <w:r>
        <w:rPr>
          <w:position w:val="9"/>
          <w:sz w:val="16"/>
        </w:rPr>
        <w:t>506 </w:t>
      </w:r>
      <w:r>
        <w:rPr/>
        <w:t>Arī daži Zviedrijā un Somijā veiktie pētījumi liecina, ka ievērojams skaits personu saskaras ar finansiālām grūtībām pēc saistību dzēšanas.</w:t>
      </w:r>
      <w:r>
        <w:rPr>
          <w:position w:val="9"/>
          <w:sz w:val="16"/>
        </w:rPr>
        <w:t>507 </w:t>
      </w:r>
      <w:r>
        <w:rPr/>
        <w:t>Tādējādi secināms, ka atvieglotā maksātnespējas procedūra noteikti nav nekāds brīnumlīdzeklis ar ilgtermiņa</w:t>
      </w:r>
      <w:r>
        <w:rPr>
          <w:spacing w:val="-6"/>
        </w:rPr>
        <w:t> </w:t>
      </w:r>
      <w:r>
        <w:rPr/>
        <w:t>efektu.</w:t>
      </w:r>
    </w:p>
    <w:p>
      <w:pPr>
        <w:pStyle w:val="BodyText"/>
        <w:spacing w:line="237" w:lineRule="auto"/>
        <w:ind w:left="260" w:right="762" w:firstLine="360"/>
      </w:pPr>
      <w:r>
        <w:rPr/>
        <w:t>Līdz ar to ir būtiski ņemt vērā, ka tā dēvētā NINA parādnieku problemātika ir kompleksi risināms jautājums, kas skar ne vien bezdarba mazināšanas un darba produktivitātes paaugstināšanas aspektus, bet arī nepieciešamību pēc iedzīvotāju izglītošanas finanšu pratības jomā, patērētāju dzīves uztveres paradigmas maiņu. Turklāt, kā</w:t>
      </w:r>
      <w:r>
        <w:rPr>
          <w:spacing w:val="-5"/>
        </w:rPr>
        <w:t> </w:t>
      </w:r>
      <w:r>
        <w:rPr/>
        <w:t>liecina</w:t>
      </w:r>
      <w:r>
        <w:rPr>
          <w:spacing w:val="-4"/>
        </w:rPr>
        <w:t> </w:t>
      </w:r>
      <w:r>
        <w:rPr/>
        <w:t>citu</w:t>
      </w:r>
      <w:r>
        <w:rPr>
          <w:spacing w:val="-5"/>
        </w:rPr>
        <w:t> </w:t>
      </w:r>
      <w:r>
        <w:rPr/>
        <w:t>valstu</w:t>
      </w:r>
      <w:r>
        <w:rPr>
          <w:spacing w:val="-4"/>
        </w:rPr>
        <w:t> </w:t>
      </w:r>
      <w:r>
        <w:rPr/>
        <w:t>apkopotie</w:t>
      </w:r>
      <w:r>
        <w:rPr>
          <w:spacing w:val="-5"/>
        </w:rPr>
        <w:t> </w:t>
      </w:r>
      <w:r>
        <w:rPr/>
        <w:t>statistikas</w:t>
      </w:r>
      <w:r>
        <w:rPr>
          <w:spacing w:val="-7"/>
        </w:rPr>
        <w:t> </w:t>
      </w:r>
      <w:r>
        <w:rPr/>
        <w:t>dati,</w:t>
      </w:r>
      <w:r>
        <w:rPr>
          <w:spacing w:val="-5"/>
        </w:rPr>
        <w:t> </w:t>
      </w:r>
      <w:r>
        <w:rPr/>
        <w:t>pārsteidzoši</w:t>
      </w:r>
      <w:r>
        <w:rPr>
          <w:spacing w:val="-4"/>
        </w:rPr>
        <w:t> </w:t>
      </w:r>
      <w:r>
        <w:rPr/>
        <w:t>bieži</w:t>
      </w:r>
      <w:r>
        <w:rPr>
          <w:spacing w:val="-5"/>
        </w:rPr>
        <w:t> </w:t>
      </w:r>
      <w:r>
        <w:rPr/>
        <w:t>maksātnespējas</w:t>
      </w:r>
      <w:r>
        <w:rPr>
          <w:spacing w:val="-5"/>
        </w:rPr>
        <w:t> </w:t>
      </w:r>
      <w:r>
        <w:rPr/>
        <w:t>cēlonis</w:t>
      </w:r>
      <w:r>
        <w:rPr>
          <w:spacing w:val="-3"/>
        </w:rPr>
        <w:t> </w:t>
      </w:r>
      <w:r>
        <w:rPr/>
        <w:t>ir šķiršanās (piemēram, Nīderlandē, 22 % gadījumu</w:t>
      </w:r>
      <w:r>
        <w:rPr>
          <w:position w:val="9"/>
          <w:sz w:val="16"/>
        </w:rPr>
        <w:t>508</w:t>
      </w:r>
      <w:r>
        <w:rPr/>
        <w:t>). Līdz ar to ģimenes vērtību stiprināšana ir būtisks preventīvas pasākums fizisko personu maksātnespējas</w:t>
      </w:r>
      <w:r>
        <w:rPr>
          <w:spacing w:val="-9"/>
        </w:rPr>
        <w:t> </w:t>
      </w:r>
      <w:r>
        <w:rPr/>
        <w:t>novēršanai.</w:t>
      </w:r>
    </w:p>
    <w:p>
      <w:pPr>
        <w:pStyle w:val="BodyText"/>
        <w:spacing w:line="237" w:lineRule="auto" w:before="4"/>
        <w:ind w:left="260" w:right="762" w:firstLine="360"/>
      </w:pPr>
      <w:r>
        <w:rPr/>
        <w:t>Katrā ziņā, kā rāda citu valstu pieredze, būtu aplami domāt, ka ar atvieglotās maksātnespējas procedūras ieviešanu tiks atrisinātas Latvijā novērojamās sociālās problēmas. Proti, saistību dzēšana šādas maksātnespējas procedūras ietvaros var sniegt parādniekiem “otro iespēju” vai “jaunu sākumu”, taču negarantē iztikas līdzekļu pieejamību.</w:t>
      </w:r>
      <w:r>
        <w:rPr>
          <w:position w:val="9"/>
          <w:sz w:val="16"/>
        </w:rPr>
        <w:t>509 </w:t>
      </w:r>
      <w:r>
        <w:rPr/>
        <w:t>Tādēļ pat tad, ja šāda procedūra tiek ieviesta, nerisinot valstī pastāvošās sociālās problēmas ar citiem līdzekļiem, liela daļa parādnieku drīz vien atkārtoti var attapties situācijā, kurā viņi nespēj no saviem ienākumiem segt uzturēšanās izmaksas un pildīt uzņemtās saistības.</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
        <w:jc w:val="left"/>
        <w:rPr>
          <w:sz w:val="17"/>
        </w:rPr>
      </w:pPr>
      <w:r>
        <w:rPr/>
        <w:pict>
          <v:shape style="position:absolute;margin-left:72pt;margin-top:12.09694pt;width:144pt;height:.1pt;mso-position-horizontal-relative:page;mso-position-vertical-relative:paragraph;z-index:-251441152;mso-wrap-distance-left:0;mso-wrap-distance-right:0" coordorigin="1440,242" coordsize="2880,0" path="m1440,242l4320,242e" filled="false" stroked="true" strokeweight=".59999pt" strokecolor="#000000">
            <v:path arrowok="t"/>
            <v:stroke dashstyle="solid"/>
            <w10:wrap type="topAndBottom"/>
          </v:shape>
        </w:pict>
      </w:r>
    </w:p>
    <w:p>
      <w:pPr>
        <w:spacing w:before="70"/>
        <w:ind w:left="260" w:right="398" w:firstLine="0"/>
        <w:jc w:val="left"/>
        <w:rPr>
          <w:sz w:val="20"/>
        </w:rPr>
      </w:pPr>
      <w:r>
        <w:rPr>
          <w:position w:val="7"/>
          <w:sz w:val="13"/>
        </w:rPr>
        <w:t>506 </w:t>
      </w:r>
      <w:r>
        <w:rPr>
          <w:sz w:val="20"/>
        </w:rPr>
        <w:t>Sk.: Ramsay I. Personal Insolvency in the 21</w:t>
      </w:r>
      <w:r>
        <w:rPr>
          <w:position w:val="7"/>
          <w:sz w:val="13"/>
        </w:rPr>
        <w:t>st </w:t>
      </w:r>
      <w:r>
        <w:rPr>
          <w:sz w:val="20"/>
        </w:rPr>
        <w:t>Century. A Comparative Analysis of the US and Europe. Oxford and Portland, Oregon: Hart Publishing, 2017, p.194.</w:t>
      </w:r>
    </w:p>
    <w:p>
      <w:pPr>
        <w:spacing w:line="226" w:lineRule="exact" w:before="0"/>
        <w:ind w:left="260" w:right="0" w:firstLine="0"/>
        <w:jc w:val="left"/>
        <w:rPr>
          <w:sz w:val="20"/>
        </w:rPr>
      </w:pPr>
      <w:r>
        <w:rPr>
          <w:position w:val="7"/>
          <w:sz w:val="13"/>
        </w:rPr>
        <w:t>507 </w:t>
      </w:r>
      <w:r>
        <w:rPr>
          <w:sz w:val="20"/>
        </w:rPr>
        <w:t>Ibid, p.195.</w:t>
      </w:r>
    </w:p>
    <w:p>
      <w:pPr>
        <w:spacing w:line="224" w:lineRule="exact" w:before="0"/>
        <w:ind w:left="260" w:right="0" w:firstLine="0"/>
        <w:jc w:val="left"/>
        <w:rPr>
          <w:sz w:val="20"/>
        </w:rPr>
      </w:pPr>
      <w:r>
        <w:rPr>
          <w:position w:val="7"/>
          <w:sz w:val="13"/>
        </w:rPr>
        <w:t>508 </w:t>
      </w:r>
      <w:r>
        <w:rPr>
          <w:sz w:val="20"/>
        </w:rPr>
        <w:t>Ibid, p.21.</w:t>
      </w:r>
    </w:p>
    <w:p>
      <w:pPr>
        <w:spacing w:line="249" w:lineRule="auto" w:before="0"/>
        <w:ind w:left="260" w:right="398" w:firstLine="0"/>
        <w:jc w:val="left"/>
        <w:rPr>
          <w:sz w:val="20"/>
        </w:rPr>
      </w:pPr>
      <w:r>
        <w:rPr>
          <w:position w:val="9"/>
          <w:sz w:val="16"/>
        </w:rPr>
        <w:t>509 </w:t>
      </w:r>
      <w:r>
        <w:rPr>
          <w:sz w:val="20"/>
        </w:rPr>
        <w:t>Tuula L. Consumer Insolvency: The Linkage Between the Fresh Start, Collective Proceedings, and the Access to Debt Adjustment. Journal of Consumer Policy, September 2015, Volume 38, Issue 3, p.373.</w:t>
      </w:r>
    </w:p>
    <w:p>
      <w:pPr>
        <w:spacing w:after="0" w:line="249" w:lineRule="auto"/>
        <w:jc w:val="left"/>
        <w:rPr>
          <w:sz w:val="20"/>
        </w:rPr>
        <w:sectPr>
          <w:pgSz w:w="11910" w:h="16840"/>
          <w:pgMar w:header="0" w:footer="1055" w:top="1340" w:bottom="1240" w:left="1180" w:right="1040"/>
        </w:sectPr>
      </w:pPr>
    </w:p>
    <w:p>
      <w:pPr>
        <w:pStyle w:val="Heading2"/>
        <w:numPr>
          <w:ilvl w:val="0"/>
          <w:numId w:val="116"/>
        </w:numPr>
        <w:tabs>
          <w:tab w:pos="2910" w:val="left" w:leader="none"/>
        </w:tabs>
        <w:spacing w:line="240" w:lineRule="auto" w:before="59" w:after="0"/>
        <w:ind w:left="2909" w:right="0" w:hanging="361"/>
        <w:jc w:val="left"/>
      </w:pPr>
      <w:bookmarkStart w:name="_TOC_250018" w:id="60"/>
      <w:r>
        <w:rPr/>
        <w:t>Novēloti uzsākti maksātnespējas</w:t>
      </w:r>
      <w:r>
        <w:rPr>
          <w:spacing w:val="1"/>
        </w:rPr>
        <w:t> </w:t>
      </w:r>
      <w:bookmarkEnd w:id="60"/>
      <w:r>
        <w:rPr/>
        <w:t>procesi</w:t>
      </w:r>
    </w:p>
    <w:p>
      <w:pPr>
        <w:pStyle w:val="BodyText"/>
        <w:spacing w:before="5"/>
        <w:jc w:val="left"/>
        <w:rPr>
          <w:b/>
          <w:sz w:val="27"/>
        </w:rPr>
      </w:pPr>
    </w:p>
    <w:p>
      <w:pPr>
        <w:pStyle w:val="BodyText"/>
        <w:ind w:left="620" w:right="402" w:firstLine="360"/>
      </w:pPr>
      <w:r>
        <w:rPr/>
        <w:t>Novēloti uzsākti maksātnespējas procesi ir viena no būtiskākajām fiziskās personas maksātnespējas procesa problēmām, ar ko saskaras ne vien Latvija, bet arī citas valstis, kurās ir ieviests fiziskās personas maksātnespējas procesa regulējums. Lielā mērā tas saistīts ar informācijas nepieejamību vai zināšanu trūkumu, pārlieku birokrātisku vai stingru regulējumu, bailēm par reputācijas zaudēšanu, kā arī dažādiem morālajiem aspektiem (sabiedriskais nosodījums, neveiksminieka “birka” u.c.).</w:t>
      </w:r>
    </w:p>
    <w:p>
      <w:pPr>
        <w:pStyle w:val="BodyText"/>
        <w:ind w:left="620" w:right="403" w:firstLine="360"/>
      </w:pPr>
      <w:r>
        <w:rPr/>
        <w:t>Ņemot vērā to, ka Latvijā ir viens no liberālākajiem fiziskās personas maksātnespējas procesa regulējumiem, ir secināms, ka novēloti uzsākto maksātnespējas procesu problemātika pamatā ir saistāma ar parādnieku zināšanu trūkumu vai nepietiekamu informācijas</w:t>
      </w:r>
      <w:r>
        <w:rPr>
          <w:spacing w:val="-9"/>
        </w:rPr>
        <w:t> </w:t>
      </w:r>
      <w:r>
        <w:rPr/>
        <w:t>pieejamību,</w:t>
      </w:r>
      <w:r>
        <w:rPr>
          <w:spacing w:val="-4"/>
        </w:rPr>
        <w:t> </w:t>
      </w:r>
      <w:r>
        <w:rPr/>
        <w:t>kā</w:t>
      </w:r>
      <w:r>
        <w:rPr>
          <w:spacing w:val="-6"/>
        </w:rPr>
        <w:t> </w:t>
      </w:r>
      <w:r>
        <w:rPr/>
        <w:t>arī</w:t>
      </w:r>
      <w:r>
        <w:rPr>
          <w:spacing w:val="-7"/>
        </w:rPr>
        <w:t> </w:t>
      </w:r>
      <w:r>
        <w:rPr/>
        <w:t>kultūras</w:t>
      </w:r>
      <w:r>
        <w:rPr>
          <w:spacing w:val="-6"/>
        </w:rPr>
        <w:t> </w:t>
      </w:r>
      <w:r>
        <w:rPr/>
        <w:t>īpatnībām.</w:t>
      </w:r>
      <w:r>
        <w:rPr>
          <w:spacing w:val="-4"/>
        </w:rPr>
        <w:t> </w:t>
      </w:r>
      <w:r>
        <w:rPr/>
        <w:t>Tomēr</w:t>
      </w:r>
      <w:r>
        <w:rPr>
          <w:spacing w:val="-6"/>
        </w:rPr>
        <w:t> </w:t>
      </w:r>
      <w:r>
        <w:rPr/>
        <w:t>vienlaikus</w:t>
      </w:r>
      <w:r>
        <w:rPr>
          <w:spacing w:val="-7"/>
        </w:rPr>
        <w:t> </w:t>
      </w:r>
      <w:r>
        <w:rPr/>
        <w:t>jāteic,</w:t>
      </w:r>
      <w:r>
        <w:rPr>
          <w:spacing w:val="-6"/>
        </w:rPr>
        <w:t> </w:t>
      </w:r>
      <w:r>
        <w:rPr/>
        <w:t>ka,</w:t>
      </w:r>
      <w:r>
        <w:rPr>
          <w:spacing w:val="-6"/>
        </w:rPr>
        <w:t> </w:t>
      </w:r>
      <w:r>
        <w:rPr/>
        <w:t>piemēram, salīdzinoši ar citām Pētāmajām valstīm, Latvijas tiesiskajā regulējumā nav iestrādāti vairāki instrumenti, kas ir vērsti uz savlaicīgāku fiziskās personas maksātnespējas procesa uzsākšanu.</w:t>
      </w:r>
    </w:p>
    <w:p>
      <w:pPr>
        <w:pStyle w:val="BodyText"/>
        <w:spacing w:before="5"/>
        <w:jc w:val="left"/>
      </w:pPr>
    </w:p>
    <w:p>
      <w:pPr>
        <w:pStyle w:val="Heading4"/>
        <w:numPr>
          <w:ilvl w:val="1"/>
          <w:numId w:val="117"/>
        </w:numPr>
        <w:tabs>
          <w:tab w:pos="1401" w:val="left" w:leader="none"/>
        </w:tabs>
        <w:spacing w:line="240" w:lineRule="auto" w:before="0" w:after="0"/>
        <w:ind w:left="1400" w:right="0" w:hanging="421"/>
        <w:jc w:val="left"/>
        <w:rPr>
          <w:i/>
        </w:rPr>
      </w:pPr>
      <w:bookmarkStart w:name="_TOC_250017" w:id="61"/>
      <w:r>
        <w:rPr>
          <w:i/>
        </w:rPr>
        <w:t>Kreditora</w:t>
      </w:r>
      <w:r>
        <w:rPr>
          <w:i/>
          <w:spacing w:val="1"/>
        </w:rPr>
        <w:t> </w:t>
      </w:r>
      <w:bookmarkEnd w:id="61"/>
      <w:r>
        <w:rPr>
          <w:i/>
        </w:rPr>
        <w:t>pieteikums</w:t>
      </w:r>
    </w:p>
    <w:p>
      <w:pPr>
        <w:pStyle w:val="BodyText"/>
        <w:spacing w:before="9"/>
        <w:jc w:val="left"/>
        <w:rPr>
          <w:b/>
          <w:i/>
          <w:sz w:val="23"/>
        </w:rPr>
      </w:pPr>
    </w:p>
    <w:p>
      <w:pPr>
        <w:pStyle w:val="BodyText"/>
        <w:spacing w:line="237" w:lineRule="auto"/>
        <w:ind w:left="620" w:right="401" w:firstLine="360"/>
        <w:rPr>
          <w:sz w:val="16"/>
        </w:rPr>
      </w:pPr>
      <w:r>
        <w:rPr/>
        <w:t>Visās Pētāmajās valstīs tiesības iesniegt fiziskās personas maksātnespējas procesa pieteikumu</w:t>
      </w:r>
      <w:r>
        <w:rPr>
          <w:spacing w:val="-14"/>
        </w:rPr>
        <w:t> </w:t>
      </w:r>
      <w:r>
        <w:rPr/>
        <w:t>ir</w:t>
      </w:r>
      <w:r>
        <w:rPr>
          <w:spacing w:val="-13"/>
        </w:rPr>
        <w:t> </w:t>
      </w:r>
      <w:r>
        <w:rPr/>
        <w:t>paredzētas</w:t>
      </w:r>
      <w:r>
        <w:rPr>
          <w:spacing w:val="-12"/>
        </w:rPr>
        <w:t> </w:t>
      </w:r>
      <w:r>
        <w:rPr/>
        <w:t>arī</w:t>
      </w:r>
      <w:r>
        <w:rPr>
          <w:spacing w:val="-11"/>
        </w:rPr>
        <w:t> </w:t>
      </w:r>
      <w:r>
        <w:rPr/>
        <w:t>kreditoram.</w:t>
      </w:r>
      <w:r>
        <w:rPr>
          <w:spacing w:val="-11"/>
        </w:rPr>
        <w:t> </w:t>
      </w:r>
      <w:r>
        <w:rPr/>
        <w:t>Turklāt,</w:t>
      </w:r>
      <w:r>
        <w:rPr>
          <w:spacing w:val="-14"/>
        </w:rPr>
        <w:t> </w:t>
      </w:r>
      <w:r>
        <w:rPr/>
        <w:t>kā</w:t>
      </w:r>
      <w:r>
        <w:rPr>
          <w:spacing w:val="-13"/>
        </w:rPr>
        <w:t> </w:t>
      </w:r>
      <w:r>
        <w:rPr/>
        <w:t>secināts</w:t>
      </w:r>
      <w:r>
        <w:rPr>
          <w:spacing w:val="-13"/>
        </w:rPr>
        <w:t> </w:t>
      </w:r>
      <w:r>
        <w:rPr/>
        <w:t>Eiropas</w:t>
      </w:r>
      <w:r>
        <w:rPr>
          <w:spacing w:val="-17"/>
        </w:rPr>
        <w:t> </w:t>
      </w:r>
      <w:r>
        <w:rPr/>
        <w:t>Savienības</w:t>
      </w:r>
      <w:r>
        <w:rPr>
          <w:spacing w:val="-16"/>
        </w:rPr>
        <w:t> </w:t>
      </w:r>
      <w:r>
        <w:rPr/>
        <w:t>dalībvalstu maksātnespējas tiesiskā regulējuma pētījumā, kreditora pieteikums fiziskās personas maksātnespējas procesa uzsākšanai ir paredzēts arī citās Eiropas Savienības dalībvalstīs (Kiprā, Īrijā, Nīderlandē, Polijā, Portugālē, Rumānijā, Zviedrijā, Slovēnijā).</w:t>
      </w:r>
      <w:r>
        <w:rPr>
          <w:position w:val="9"/>
          <w:sz w:val="16"/>
        </w:rPr>
        <w:t>510 </w:t>
      </w:r>
      <w:r>
        <w:rPr/>
        <w:t>Minētajā pētījumā</w:t>
      </w:r>
      <w:r>
        <w:rPr>
          <w:spacing w:val="-13"/>
        </w:rPr>
        <w:t> </w:t>
      </w:r>
      <w:r>
        <w:rPr/>
        <w:t>gan</w:t>
      </w:r>
      <w:r>
        <w:rPr>
          <w:spacing w:val="-10"/>
        </w:rPr>
        <w:t> </w:t>
      </w:r>
      <w:r>
        <w:rPr/>
        <w:t>diemžēl</w:t>
      </w:r>
      <w:r>
        <w:rPr>
          <w:spacing w:val="-15"/>
        </w:rPr>
        <w:t> </w:t>
      </w:r>
      <w:r>
        <w:rPr/>
        <w:t>nav</w:t>
      </w:r>
      <w:r>
        <w:rPr>
          <w:spacing w:val="-10"/>
        </w:rPr>
        <w:t> </w:t>
      </w:r>
      <w:r>
        <w:rPr/>
        <w:t>atspoguļoti</w:t>
      </w:r>
      <w:r>
        <w:rPr>
          <w:spacing w:val="-10"/>
        </w:rPr>
        <w:t> </w:t>
      </w:r>
      <w:r>
        <w:rPr/>
        <w:t>plašāki</w:t>
      </w:r>
      <w:r>
        <w:rPr>
          <w:spacing w:val="-13"/>
        </w:rPr>
        <w:t> </w:t>
      </w:r>
      <w:r>
        <w:rPr/>
        <w:t>dati</w:t>
      </w:r>
      <w:r>
        <w:rPr>
          <w:spacing w:val="-12"/>
        </w:rPr>
        <w:t> </w:t>
      </w:r>
      <w:r>
        <w:rPr/>
        <w:t>par</w:t>
      </w:r>
      <w:r>
        <w:rPr>
          <w:spacing w:val="-13"/>
        </w:rPr>
        <w:t> </w:t>
      </w:r>
      <w:r>
        <w:rPr/>
        <w:t>to,</w:t>
      </w:r>
      <w:r>
        <w:rPr>
          <w:spacing w:val="-12"/>
        </w:rPr>
        <w:t> </w:t>
      </w:r>
      <w:r>
        <w:rPr/>
        <w:t>cik</w:t>
      </w:r>
      <w:r>
        <w:rPr>
          <w:spacing w:val="-12"/>
        </w:rPr>
        <w:t> </w:t>
      </w:r>
      <w:r>
        <w:rPr/>
        <w:t>bieži</w:t>
      </w:r>
      <w:r>
        <w:rPr>
          <w:spacing w:val="-13"/>
        </w:rPr>
        <w:t> </w:t>
      </w:r>
      <w:r>
        <w:rPr/>
        <w:t>kreditori</w:t>
      </w:r>
      <w:r>
        <w:rPr>
          <w:spacing w:val="-14"/>
        </w:rPr>
        <w:t> </w:t>
      </w:r>
      <w:r>
        <w:rPr/>
        <w:t>izmanto</w:t>
      </w:r>
      <w:r>
        <w:rPr>
          <w:spacing w:val="-12"/>
        </w:rPr>
        <w:t> </w:t>
      </w:r>
      <w:r>
        <w:rPr/>
        <w:t>tiesības iesniegt fiziskās personas maksātnespējas procesa pieteikumu, kā arī nav sniegta šādas iespējas plašāka analīze. Taču tiesības iesniegt fiziskās personas maksātnespējas procesa pieteikumu ir paredzētas arī Japānas Bankrota likumā. Un, kā liecina Japānas pieredze, lielākoties fiziskās personas maksātnespējas process tiek uzsākts pēc parādnieka iniciatīvas, taču nereti tas tiek darīts zināma kreditoru spiediena</w:t>
      </w:r>
      <w:r>
        <w:rPr>
          <w:spacing w:val="-5"/>
        </w:rPr>
        <w:t> </w:t>
      </w:r>
      <w:r>
        <w:rPr/>
        <w:t>ietekmē.</w:t>
      </w:r>
      <w:r>
        <w:rPr>
          <w:position w:val="9"/>
          <w:sz w:val="16"/>
        </w:rPr>
        <w:t>511</w:t>
      </w:r>
    </w:p>
    <w:p>
      <w:pPr>
        <w:pStyle w:val="BodyText"/>
        <w:spacing w:line="237" w:lineRule="auto"/>
        <w:ind w:left="620" w:right="401" w:firstLine="360"/>
        <w:rPr>
          <w:sz w:val="16"/>
        </w:rPr>
      </w:pPr>
      <w:r>
        <w:rPr/>
        <w:t>Pasaules Bankas īstenotais pētījums liecina, ka tajās valstīs, kurās likumā ir</w:t>
      </w:r>
      <w:r>
        <w:rPr>
          <w:spacing w:val="-21"/>
        </w:rPr>
        <w:t> </w:t>
      </w:r>
      <w:r>
        <w:rPr/>
        <w:t>paredzētas kreditoru tiesības iesniegt fiziskās personas maksātnespējas procesa pieteikumu, šī iespēja praksē tiek izmantota visnotaļ kūtri. Turklāt Pasaules Bankas pētījumā arī tiek izteiktas bažas par iespējamu kreditoru negodprātību, izmantojot šādu instrumentu kā individuālu parādu piedziņas mehānismu. Tādējādi minētajā pētījumā tiek izteikts priekšlikums paredzēt regulējumu šāda veida negodprātības novēršanai, piemēram, noteikt, ka tiesības iesniegt fiziskās personas maksātnespējas procesa pieteikumu ir tikai vairākiem kreditoriem kopā vai arī noteikt augstāku neizpildīto parādsaistību slieksni kā priekšnoteikumu kreditora tiesībām iesniegt fiziskās personas maksātnespējas procesa pieteikumu.</w:t>
      </w:r>
      <w:r>
        <w:rPr>
          <w:position w:val="9"/>
          <w:sz w:val="16"/>
        </w:rPr>
        <w:t>512</w:t>
      </w:r>
    </w:p>
    <w:p>
      <w:pPr>
        <w:pStyle w:val="BodyText"/>
        <w:jc w:val="left"/>
        <w:rPr>
          <w:sz w:val="20"/>
        </w:rPr>
      </w:pPr>
    </w:p>
    <w:p>
      <w:pPr>
        <w:pStyle w:val="BodyText"/>
        <w:jc w:val="left"/>
        <w:rPr>
          <w:sz w:val="20"/>
        </w:rPr>
      </w:pPr>
    </w:p>
    <w:p>
      <w:pPr>
        <w:pStyle w:val="BodyText"/>
        <w:spacing w:before="6"/>
        <w:jc w:val="left"/>
        <w:rPr>
          <w:sz w:val="13"/>
        </w:rPr>
      </w:pPr>
      <w:r>
        <w:rPr/>
        <w:pict>
          <v:shape style="position:absolute;margin-left:90pt;margin-top:10.038812pt;width:144pt;height:.1pt;mso-position-horizontal-relative:page;mso-position-vertical-relative:paragraph;z-index:-251440128;mso-wrap-distance-left:0;mso-wrap-distance-right:0" coordorigin="1800,201" coordsize="2880,0" path="m1800,201l4680,201e" filled="false" stroked="true" strokeweight=".599991pt" strokecolor="#000000">
            <v:path arrowok="t"/>
            <v:stroke dashstyle="solid"/>
            <w10:wrap type="topAndBottom"/>
          </v:shape>
        </w:pict>
      </w:r>
    </w:p>
    <w:p>
      <w:pPr>
        <w:tabs>
          <w:tab w:pos="1583" w:val="left" w:leader="none"/>
          <w:tab w:pos="2410" w:val="left" w:leader="none"/>
          <w:tab w:pos="3341" w:val="left" w:leader="none"/>
          <w:tab w:pos="4456" w:val="left" w:leader="none"/>
          <w:tab w:pos="5030" w:val="left" w:leader="none"/>
          <w:tab w:pos="6077" w:val="left" w:leader="none"/>
          <w:tab w:pos="6981" w:val="left" w:leader="none"/>
          <w:tab w:pos="7718" w:val="left" w:leader="none"/>
          <w:tab w:pos="8503" w:val="left" w:leader="none"/>
        </w:tabs>
        <w:spacing w:line="244" w:lineRule="auto" w:before="58"/>
        <w:ind w:left="620" w:right="402" w:firstLine="0"/>
        <w:jc w:val="left"/>
        <w:rPr>
          <w:sz w:val="20"/>
        </w:rPr>
      </w:pPr>
      <w:r>
        <w:rPr>
          <w:position w:val="9"/>
          <w:sz w:val="16"/>
        </w:rPr>
        <w:t>510 </w:t>
      </w:r>
      <w:r>
        <w:rPr>
          <w:sz w:val="20"/>
        </w:rPr>
        <w:t>Sk.: Study on a new approach to business failure and insolvency: Comparative legal analysis of the Member</w:t>
        <w:tab/>
        <w:t>States’</w:t>
        <w:tab/>
        <w:t>relevant</w:t>
        <w:tab/>
        <w:t>provisions</w:t>
        <w:tab/>
        <w:t>and</w:t>
        <w:tab/>
        <w:t>practices.</w:t>
        <w:tab/>
        <w:t>January</w:t>
        <w:tab/>
        <w:t>2016,</w:t>
        <w:tab/>
        <w:t>p.342.</w:t>
        <w:tab/>
        <w:t>Pieejams:</w:t>
      </w:r>
      <w:r>
        <w:rPr>
          <w:color w:val="0562C1"/>
          <w:sz w:val="20"/>
          <w:u w:val="single" w:color="0562C1"/>
        </w:rPr>
        <w:t> https://publications.europa.eu/en/publication-detail/-/publication/3eb2f832-47f3-11e6-9c64- 01aa75ed71a1/language-ne</w:t>
      </w:r>
      <w:r>
        <w:rPr>
          <w:color w:val="0562C1"/>
          <w:sz w:val="20"/>
        </w:rPr>
        <w:t> </w:t>
      </w:r>
      <w:r>
        <w:rPr>
          <w:sz w:val="20"/>
        </w:rPr>
        <w:t>[aplūkots 2018.gada</w:t>
      </w:r>
      <w:r>
        <w:rPr>
          <w:spacing w:val="-1"/>
          <w:sz w:val="20"/>
        </w:rPr>
        <w:t> </w:t>
      </w:r>
      <w:r>
        <w:rPr>
          <w:sz w:val="20"/>
        </w:rPr>
        <w:t>20.septembrī].</w:t>
      </w:r>
    </w:p>
    <w:p>
      <w:pPr>
        <w:spacing w:line="223" w:lineRule="exact" w:before="0"/>
        <w:ind w:left="620" w:right="0" w:firstLine="0"/>
        <w:jc w:val="left"/>
        <w:rPr>
          <w:sz w:val="20"/>
        </w:rPr>
      </w:pPr>
      <w:r>
        <w:rPr>
          <w:position w:val="7"/>
          <w:sz w:val="13"/>
        </w:rPr>
        <w:t>511 </w:t>
      </w:r>
      <w:r>
        <w:rPr>
          <w:sz w:val="20"/>
        </w:rPr>
        <w:t>Sk.: Steele S., Jin Ch. Some Suggestions from Japan for Reforming Australia’s Personal Bankruptcy Law.</w:t>
      </w:r>
    </w:p>
    <w:p>
      <w:pPr>
        <w:spacing w:line="227" w:lineRule="exact" w:before="0"/>
        <w:ind w:left="620" w:right="0" w:firstLine="0"/>
        <w:jc w:val="left"/>
        <w:rPr>
          <w:sz w:val="20"/>
        </w:rPr>
      </w:pPr>
      <w:r>
        <w:rPr>
          <w:sz w:val="20"/>
        </w:rPr>
        <w:t>QUT Law Review, October 2017, Volume 17, Issue 1, p.77.</w:t>
      </w:r>
    </w:p>
    <w:p>
      <w:pPr>
        <w:spacing w:line="240" w:lineRule="auto" w:before="0"/>
        <w:ind w:left="620" w:right="721" w:firstLine="0"/>
        <w:jc w:val="left"/>
        <w:rPr>
          <w:sz w:val="20"/>
        </w:rPr>
      </w:pPr>
      <w:r>
        <w:rPr>
          <w:position w:val="7"/>
          <w:sz w:val="13"/>
        </w:rPr>
        <w:t>512 </w:t>
      </w:r>
      <w:r>
        <w:rPr>
          <w:sz w:val="20"/>
        </w:rPr>
        <w:t>The World Bank. Report on the Treatment of the Insolvency of Natural Persons. 2013, p. 62-63, para 185-186. Pieejams:</w:t>
      </w:r>
    </w:p>
    <w:p>
      <w:pPr>
        <w:spacing w:after="0" w:line="240" w:lineRule="auto"/>
        <w:jc w:val="left"/>
        <w:rPr>
          <w:sz w:val="20"/>
        </w:rPr>
        <w:sectPr>
          <w:pgSz w:w="11910" w:h="16840"/>
          <w:pgMar w:header="0" w:footer="1626" w:top="1360" w:bottom="1820" w:left="1180" w:right="1040"/>
        </w:sectPr>
      </w:pPr>
    </w:p>
    <w:p>
      <w:pPr>
        <w:pStyle w:val="BodyText"/>
        <w:spacing w:before="73"/>
        <w:ind w:left="260" w:right="761" w:firstLine="360"/>
      </w:pPr>
      <w:r>
        <w:rPr/>
        <w:t>Kopumā jāteic, ka trūkst empīrisku pētījumu datu, kas varētu sniegt objektīvu informāciju par to, cik efektīvs fiziskās personas maksātnespējas procesa institūts ir kreditoru</w:t>
      </w:r>
      <w:r>
        <w:rPr>
          <w:spacing w:val="-11"/>
        </w:rPr>
        <w:t> </w:t>
      </w:r>
      <w:r>
        <w:rPr/>
        <w:t>pieteikuma</w:t>
      </w:r>
      <w:r>
        <w:rPr>
          <w:spacing w:val="-9"/>
        </w:rPr>
        <w:t> </w:t>
      </w:r>
      <w:r>
        <w:rPr/>
        <w:t>tiesības.</w:t>
      </w:r>
      <w:r>
        <w:rPr>
          <w:spacing w:val="-8"/>
        </w:rPr>
        <w:t> </w:t>
      </w:r>
      <w:r>
        <w:rPr/>
        <w:t>Tomēr</w:t>
      </w:r>
      <w:r>
        <w:rPr>
          <w:spacing w:val="-11"/>
        </w:rPr>
        <w:t> </w:t>
      </w:r>
      <w:r>
        <w:rPr/>
        <w:t>zīmīgs</w:t>
      </w:r>
      <w:r>
        <w:rPr>
          <w:spacing w:val="-9"/>
        </w:rPr>
        <w:t> </w:t>
      </w:r>
      <w:r>
        <w:rPr/>
        <w:t>ir</w:t>
      </w:r>
      <w:r>
        <w:rPr>
          <w:spacing w:val="-8"/>
        </w:rPr>
        <w:t> </w:t>
      </w:r>
      <w:r>
        <w:rPr/>
        <w:t>fakts,</w:t>
      </w:r>
      <w:r>
        <w:rPr>
          <w:spacing w:val="-9"/>
        </w:rPr>
        <w:t> </w:t>
      </w:r>
      <w:r>
        <w:rPr/>
        <w:t>ka</w:t>
      </w:r>
      <w:r>
        <w:rPr>
          <w:spacing w:val="-9"/>
        </w:rPr>
        <w:t> </w:t>
      </w:r>
      <w:r>
        <w:rPr/>
        <w:t>šāds</w:t>
      </w:r>
      <w:r>
        <w:rPr>
          <w:spacing w:val="-8"/>
        </w:rPr>
        <w:t> </w:t>
      </w:r>
      <w:r>
        <w:rPr/>
        <w:t>instruments</w:t>
      </w:r>
      <w:r>
        <w:rPr>
          <w:spacing w:val="-11"/>
        </w:rPr>
        <w:t> </w:t>
      </w:r>
      <w:r>
        <w:rPr/>
        <w:t>ir</w:t>
      </w:r>
      <w:r>
        <w:rPr>
          <w:spacing w:val="-9"/>
        </w:rPr>
        <w:t> </w:t>
      </w:r>
      <w:r>
        <w:rPr/>
        <w:t>visās</w:t>
      </w:r>
      <w:r>
        <w:rPr>
          <w:spacing w:val="-8"/>
        </w:rPr>
        <w:t> </w:t>
      </w:r>
      <w:r>
        <w:rPr/>
        <w:t>Pētāmajās valstīs, tostarp Vācijā un Lielbritānijā, kuras ir ekonomiski ļoti attīstītas valstis. Nenoliedzami, kā tas plašāk tika norādīts pētījuma IV.nodaļas 1.2.punktā, šādam tiesību instrumentam</w:t>
      </w:r>
      <w:r>
        <w:rPr>
          <w:spacing w:val="-6"/>
        </w:rPr>
        <w:t> </w:t>
      </w:r>
      <w:r>
        <w:rPr/>
        <w:t>ir</w:t>
      </w:r>
      <w:r>
        <w:rPr>
          <w:spacing w:val="-3"/>
        </w:rPr>
        <w:t> </w:t>
      </w:r>
      <w:r>
        <w:rPr/>
        <w:t>gan</w:t>
      </w:r>
      <w:r>
        <w:rPr>
          <w:spacing w:val="-9"/>
        </w:rPr>
        <w:t> </w:t>
      </w:r>
      <w:r>
        <w:rPr/>
        <w:t>virkne</w:t>
      </w:r>
      <w:r>
        <w:rPr>
          <w:spacing w:val="-8"/>
        </w:rPr>
        <w:t> </w:t>
      </w:r>
      <w:r>
        <w:rPr/>
        <w:t>pozitīvu</w:t>
      </w:r>
      <w:r>
        <w:rPr>
          <w:spacing w:val="-6"/>
        </w:rPr>
        <w:t> </w:t>
      </w:r>
      <w:r>
        <w:rPr/>
        <w:t>aspektu,</w:t>
      </w:r>
      <w:r>
        <w:rPr>
          <w:spacing w:val="-3"/>
        </w:rPr>
        <w:t> </w:t>
      </w:r>
      <w:r>
        <w:rPr/>
        <w:t>gan</w:t>
      </w:r>
      <w:r>
        <w:rPr>
          <w:spacing w:val="-4"/>
        </w:rPr>
        <w:t> </w:t>
      </w:r>
      <w:r>
        <w:rPr/>
        <w:t>arī</w:t>
      </w:r>
      <w:r>
        <w:rPr>
          <w:spacing w:val="-5"/>
        </w:rPr>
        <w:t> </w:t>
      </w:r>
      <w:r>
        <w:rPr/>
        <w:t>negodprātīgas</w:t>
      </w:r>
      <w:r>
        <w:rPr>
          <w:spacing w:val="-5"/>
        </w:rPr>
        <w:t> </w:t>
      </w:r>
      <w:r>
        <w:rPr/>
        <w:t>izmantošanas</w:t>
      </w:r>
      <w:r>
        <w:rPr>
          <w:spacing w:val="-8"/>
        </w:rPr>
        <w:t> </w:t>
      </w:r>
      <w:r>
        <w:rPr/>
        <w:t>riski.</w:t>
      </w:r>
      <w:r>
        <w:rPr>
          <w:spacing w:val="-3"/>
        </w:rPr>
        <w:t> </w:t>
      </w:r>
      <w:r>
        <w:rPr/>
        <w:t>Tā, piemēram, Lielbritānijas pieredze liecina, ka nereti kreditori fiziskās personas maksātnespējas procesa pieteikumu izmanto kā vienu no parādu atgūšanas mehānismiem un iesniedz fiziskās personas maksātnespējas procesa pieteikumu, nevis lai realizētu šo procedūru līdz tās likumā paredzētajam noslēgumam, bet gan lai palielinātu savu sviras efektu pār parādnieku. Taču pamatā tas ir iespējams tādēļ, ka Lielbritānijā likums paredz kreditoriem tiesības šo pieteikumu atsaukt. Līdz ar to šo problemātiku var novērst, likumā paredzot,</w:t>
      </w:r>
      <w:r>
        <w:rPr>
          <w:spacing w:val="-9"/>
        </w:rPr>
        <w:t> </w:t>
      </w:r>
      <w:r>
        <w:rPr/>
        <w:t>ka</w:t>
      </w:r>
      <w:r>
        <w:rPr>
          <w:spacing w:val="-13"/>
        </w:rPr>
        <w:t> </w:t>
      </w:r>
      <w:r>
        <w:rPr/>
        <w:t>kreditora</w:t>
      </w:r>
      <w:r>
        <w:rPr>
          <w:spacing w:val="-11"/>
        </w:rPr>
        <w:t> </w:t>
      </w:r>
      <w:r>
        <w:rPr/>
        <w:t>iesniegts</w:t>
      </w:r>
      <w:r>
        <w:rPr>
          <w:spacing w:val="-11"/>
        </w:rPr>
        <w:t> </w:t>
      </w:r>
      <w:r>
        <w:rPr/>
        <w:t>fiziskās</w:t>
      </w:r>
      <w:r>
        <w:rPr>
          <w:spacing w:val="-11"/>
        </w:rPr>
        <w:t> </w:t>
      </w:r>
      <w:r>
        <w:rPr/>
        <w:t>personas</w:t>
      </w:r>
      <w:r>
        <w:rPr>
          <w:spacing w:val="-11"/>
        </w:rPr>
        <w:t> </w:t>
      </w:r>
      <w:r>
        <w:rPr/>
        <w:t>maksātnespējas</w:t>
      </w:r>
      <w:r>
        <w:rPr>
          <w:spacing w:val="-10"/>
        </w:rPr>
        <w:t> </w:t>
      </w:r>
      <w:r>
        <w:rPr/>
        <w:t>procesa</w:t>
      </w:r>
      <w:r>
        <w:rPr>
          <w:spacing w:val="-11"/>
        </w:rPr>
        <w:t> </w:t>
      </w:r>
      <w:r>
        <w:rPr/>
        <w:t>pieteikums</w:t>
      </w:r>
      <w:r>
        <w:rPr>
          <w:spacing w:val="-8"/>
        </w:rPr>
        <w:t> </w:t>
      </w:r>
      <w:r>
        <w:rPr/>
        <w:t>nevar tikt</w:t>
      </w:r>
      <w:r>
        <w:rPr>
          <w:spacing w:val="1"/>
        </w:rPr>
        <w:t> </w:t>
      </w:r>
      <w:r>
        <w:rPr/>
        <w:t>atsaukts.</w:t>
      </w:r>
    </w:p>
    <w:p>
      <w:pPr>
        <w:pStyle w:val="BodyText"/>
        <w:spacing w:line="237" w:lineRule="auto" w:before="3"/>
        <w:ind w:left="260" w:right="762" w:firstLine="360"/>
        <w:rPr>
          <w:sz w:val="16"/>
        </w:rPr>
      </w:pPr>
      <w:r>
        <w:rPr/>
        <w:t>Vienlaikus jāatzīmē, ka ir virkne pozitīvu aspektu, paredzot kreditoriem tiesības iesniegt fiziskās personas maksātnespējas procesa pieteikumu. Piemēram, ja parādnieks nevis objektīvi nespēj, bet nevēlas pildīt saistības, tad fiziskās personas maksātnespējas procesa uzsākšana pēc kreditora iniciatīvas ir viens no efektīvākajiem šādas problēmas risinājumiem. Vai arī, ja parādnieks objektīvi nespēj izpildīt savas saistības, taču neko nedara savas finansiālās situācijas uzlabošanas vai parādu segšanas nolūkā. Šādās situācijās, paredzot iespēju uzsākt fiziskās personas maksātnespējas procesu pēc kreditora iniciatīvas, tiek samazināti ne vien attiecīgā kreditora zaudējumi, bet arī ierobežoti zaudējumi citiem kreditoriem, kuri varētu ciest zaudējumus, ja parādnieks turpinātu darboties ārpus maksātnespējas sistēmas, un, piemēram, turpinātu aizņemties kredītlīdzekļus.</w:t>
      </w:r>
      <w:r>
        <w:rPr>
          <w:position w:val="9"/>
          <w:sz w:val="16"/>
        </w:rPr>
        <w:t>513 </w:t>
      </w:r>
      <w:r>
        <w:rPr/>
        <w:t>Turklāt maksātnespējas procesa izmaksas ir salīdzinoši zemākas nekā individuāla parādu piedziņa vispārējā kārtībā. Pie tam maksātnespējas procesa kolektīvais raksturs paredz efektīvākus veidus un līdzekļus, kā palielināt maksājumus kreditoriem un veicināt godīgu maksājumu sadali starp kreditoriem.</w:t>
      </w:r>
      <w:r>
        <w:rPr>
          <w:position w:val="9"/>
          <w:sz w:val="16"/>
        </w:rPr>
        <w:t>514</w:t>
      </w:r>
    </w:p>
    <w:p>
      <w:pPr>
        <w:pStyle w:val="BodyText"/>
        <w:spacing w:before="6"/>
        <w:ind w:left="260" w:right="762" w:firstLine="360"/>
      </w:pPr>
      <w:r>
        <w:rPr/>
        <w:t>Neapšaubāmi, kreditoru tiesības iesniegt fiziskās personas maksātnespējas procesa pieteikumu nav brīnumlīdzeklis, kas var pilnībā atrisināt parādnieku kūtruma problemātiku. Tomēr šāds instruments var mudināt parādniekus aktīvāk risināt savas finansiālās problēmas, nevis, piemēram, dot priekšroku “ēnu” ekonomikai.</w:t>
      </w:r>
    </w:p>
    <w:p>
      <w:pPr>
        <w:pStyle w:val="BodyText"/>
        <w:ind w:left="260" w:right="760" w:firstLine="360"/>
      </w:pPr>
      <w:r>
        <w:rPr/>
        <w:t>Vērojot Latvijas tiesisko realitāti, ir pamats apgalvot, ka parādnieki mēdz</w:t>
      </w:r>
      <w:r>
        <w:rPr>
          <w:spacing w:val="-33"/>
        </w:rPr>
        <w:t> </w:t>
      </w:r>
      <w:r>
        <w:rPr/>
        <w:t>negodprātīgi izmantot to, ka kreditoriem nav tiesību iesniegt fiziskās personas maksātnespējas procesa pieteikumu. Proti, nereti parādnieki apzināti izvēlas nerisināt savas finansiālās grūtības, tā vietā dodot priekšroku, piemēram, “aplokšņu algām” vai valsts pamešanai. Turklāt </w:t>
      </w:r>
      <w:r>
        <w:rPr>
          <w:spacing w:val="-4"/>
        </w:rPr>
        <w:t>šāda </w:t>
      </w:r>
      <w:r>
        <w:rPr/>
        <w:t>“strausa politika” attiecībā uz nespēju izpildīt saistības nodara kaitējumu ne vien attiecīgā parādnieka</w:t>
      </w:r>
      <w:r>
        <w:rPr>
          <w:spacing w:val="-11"/>
        </w:rPr>
        <w:t> </w:t>
      </w:r>
      <w:r>
        <w:rPr/>
        <w:t>kreditoriem,</w:t>
      </w:r>
      <w:r>
        <w:rPr>
          <w:spacing w:val="-7"/>
        </w:rPr>
        <w:t> </w:t>
      </w:r>
      <w:r>
        <w:rPr/>
        <w:t>bet</w:t>
      </w:r>
      <w:r>
        <w:rPr>
          <w:spacing w:val="-9"/>
        </w:rPr>
        <w:t> </w:t>
      </w:r>
      <w:r>
        <w:rPr/>
        <w:t>arī</w:t>
      </w:r>
      <w:r>
        <w:rPr>
          <w:spacing w:val="-11"/>
        </w:rPr>
        <w:t> </w:t>
      </w:r>
      <w:r>
        <w:rPr/>
        <w:t>valstij,</w:t>
      </w:r>
      <w:r>
        <w:rPr>
          <w:spacing w:val="-9"/>
        </w:rPr>
        <w:t> </w:t>
      </w:r>
      <w:r>
        <w:rPr/>
        <w:t>jo</w:t>
      </w:r>
      <w:r>
        <w:rPr>
          <w:spacing w:val="-9"/>
        </w:rPr>
        <w:t> </w:t>
      </w:r>
      <w:r>
        <w:rPr/>
        <w:t>tiek</w:t>
      </w:r>
      <w:r>
        <w:rPr>
          <w:spacing w:val="-11"/>
        </w:rPr>
        <w:t> </w:t>
      </w:r>
      <w:r>
        <w:rPr/>
        <w:t>zaudēti</w:t>
      </w:r>
      <w:r>
        <w:rPr>
          <w:spacing w:val="-9"/>
        </w:rPr>
        <w:t> </w:t>
      </w:r>
      <w:r>
        <w:rPr/>
        <w:t>nodokļu</w:t>
      </w:r>
      <w:r>
        <w:rPr>
          <w:spacing w:val="-6"/>
        </w:rPr>
        <w:t> </w:t>
      </w:r>
      <w:r>
        <w:rPr/>
        <w:t>ieņēmumi,</w:t>
      </w:r>
      <w:r>
        <w:rPr>
          <w:spacing w:val="-6"/>
        </w:rPr>
        <w:t> </w:t>
      </w:r>
      <w:r>
        <w:rPr/>
        <w:t>nelietderīgi</w:t>
      </w:r>
      <w:r>
        <w:rPr>
          <w:spacing w:val="-9"/>
        </w:rPr>
        <w:t> </w:t>
      </w:r>
      <w:r>
        <w:rPr/>
        <w:t>tērēts tiesu</w:t>
      </w:r>
      <w:r>
        <w:rPr>
          <w:spacing w:val="-13"/>
        </w:rPr>
        <w:t> </w:t>
      </w:r>
      <w:r>
        <w:rPr/>
        <w:t>varas</w:t>
      </w:r>
      <w:r>
        <w:rPr>
          <w:spacing w:val="-10"/>
        </w:rPr>
        <w:t> </w:t>
      </w:r>
      <w:r>
        <w:rPr/>
        <w:t>resurss</w:t>
      </w:r>
      <w:r>
        <w:rPr>
          <w:spacing w:val="-13"/>
        </w:rPr>
        <w:t> </w:t>
      </w:r>
      <w:r>
        <w:rPr/>
        <w:t>(skatot</w:t>
      </w:r>
      <w:r>
        <w:rPr>
          <w:spacing w:val="-10"/>
        </w:rPr>
        <w:t> </w:t>
      </w:r>
      <w:r>
        <w:rPr/>
        <w:t>faktiski</w:t>
      </w:r>
      <w:r>
        <w:rPr>
          <w:spacing w:val="-13"/>
        </w:rPr>
        <w:t> </w:t>
      </w:r>
      <w:r>
        <w:rPr/>
        <w:t>bezjēdzīgas</w:t>
      </w:r>
      <w:r>
        <w:rPr>
          <w:spacing w:val="-12"/>
        </w:rPr>
        <w:t> </w:t>
      </w:r>
      <w:r>
        <w:rPr/>
        <w:t>parādu</w:t>
      </w:r>
      <w:r>
        <w:rPr>
          <w:spacing w:val="-12"/>
        </w:rPr>
        <w:t> </w:t>
      </w:r>
      <w:r>
        <w:rPr/>
        <w:t>piedziņas</w:t>
      </w:r>
      <w:r>
        <w:rPr>
          <w:spacing w:val="-13"/>
        </w:rPr>
        <w:t> </w:t>
      </w:r>
      <w:r>
        <w:rPr/>
        <w:t>lietas),</w:t>
      </w:r>
      <w:r>
        <w:rPr>
          <w:spacing w:val="-12"/>
        </w:rPr>
        <w:t> </w:t>
      </w:r>
      <w:r>
        <w:rPr/>
        <w:t>kā</w:t>
      </w:r>
      <w:r>
        <w:rPr>
          <w:spacing w:val="-16"/>
        </w:rPr>
        <w:t> </w:t>
      </w:r>
      <w:r>
        <w:rPr/>
        <w:t>arī</w:t>
      </w:r>
      <w:r>
        <w:rPr>
          <w:spacing w:val="-12"/>
        </w:rPr>
        <w:t> </w:t>
      </w:r>
      <w:r>
        <w:rPr/>
        <w:t>rodas</w:t>
      </w:r>
      <w:r>
        <w:rPr>
          <w:spacing w:val="-15"/>
        </w:rPr>
        <w:t> </w:t>
      </w:r>
      <w:r>
        <w:rPr/>
        <w:t>dažādas negatīvās blaknes saistībā ar iedzīvotāju migrāciju uz citām</w:t>
      </w:r>
      <w:r>
        <w:rPr>
          <w:spacing w:val="-3"/>
        </w:rPr>
        <w:t> </w:t>
      </w:r>
      <w:r>
        <w:rPr/>
        <w:t>valstīm.</w:t>
      </w:r>
    </w:p>
    <w:p>
      <w:pPr>
        <w:pStyle w:val="BodyText"/>
        <w:jc w:val="left"/>
        <w:rPr>
          <w:sz w:val="20"/>
        </w:rPr>
      </w:pPr>
    </w:p>
    <w:p>
      <w:pPr>
        <w:pStyle w:val="BodyText"/>
        <w:spacing w:before="6"/>
        <w:jc w:val="left"/>
        <w:rPr>
          <w:sz w:val="20"/>
        </w:rPr>
      </w:pPr>
      <w:r>
        <w:rPr/>
        <w:pict>
          <v:shape style="position:absolute;margin-left:72pt;margin-top:14.068404pt;width:144pt;height:.1pt;mso-position-horizontal-relative:page;mso-position-vertical-relative:paragraph;z-index:-251439104;mso-wrap-distance-left:0;mso-wrap-distance-right:0" coordorigin="1440,281" coordsize="2880,0" path="m1440,281l4320,281e" filled="false" stroked="true" strokeweight=".599991pt" strokecolor="#000000">
            <v:path arrowok="t"/>
            <v:stroke dashstyle="solid"/>
            <w10:wrap type="topAndBottom"/>
          </v:shape>
        </w:pict>
      </w:r>
    </w:p>
    <w:p>
      <w:pPr>
        <w:spacing w:before="70"/>
        <w:ind w:left="260" w:right="882" w:firstLine="0"/>
        <w:jc w:val="left"/>
        <w:rPr>
          <w:sz w:val="20"/>
        </w:rPr>
      </w:pPr>
      <w:r>
        <w:rPr>
          <w:position w:val="7"/>
          <w:sz w:val="13"/>
        </w:rPr>
        <w:t>513 </w:t>
      </w:r>
      <w:r>
        <w:rPr>
          <w:sz w:val="20"/>
        </w:rPr>
        <w:t>Sallam W.A. Insolvency proceedings: a double edged debt collection tool. Pieejams: </w:t>
      </w:r>
      <w:r>
        <w:rPr>
          <w:color w:val="0562C1"/>
          <w:sz w:val="20"/>
          <w:u w:val="single" w:color="0562C1"/>
        </w:rPr>
        <w:t>https://</w:t>
      </w:r>
      <w:hyperlink r:id="rId68">
        <w:r>
          <w:rPr>
            <w:color w:val="0562C1"/>
            <w:sz w:val="20"/>
            <w:u w:val="single" w:color="0562C1"/>
          </w:rPr>
          <w:t>www.google.lv/url?sa=t&amp;rct=j&amp;q=&amp;esrc=s&amp;source=web&amp;cd=2&amp;ved=2ahUKEwjY_I-</w:t>
        </w:r>
      </w:hyperlink>
      <w:r>
        <w:rPr>
          <w:color w:val="0562C1"/>
          <w:sz w:val="20"/>
        </w:rPr>
        <w:t> </w:t>
      </w:r>
      <w:r>
        <w:rPr>
          <w:color w:val="0562C1"/>
          <w:sz w:val="20"/>
          <w:u w:val="single" w:color="0562C1"/>
        </w:rPr>
        <w:t>3lpffAhUNpYsKHZEAC-0QFjABegQICRAC&amp;url=https%3A%2F%2Fwww.insol-</w:t>
      </w:r>
      <w:r>
        <w:rPr>
          <w:color w:val="0562C1"/>
          <w:sz w:val="20"/>
        </w:rPr>
        <w:t> </w:t>
      </w:r>
      <w:r>
        <w:rPr>
          <w:color w:val="0562C1"/>
          <w:sz w:val="20"/>
          <w:u w:val="single" w:color="0562C1"/>
        </w:rPr>
        <w:t>europe.org%2Fdownload%2Fdocuments%2F885&amp;usg=AOvVaw2eWgKAVdOqggXuoe_Lysnp</w:t>
      </w:r>
      <w:r>
        <w:rPr>
          <w:color w:val="0562C1"/>
          <w:sz w:val="20"/>
        </w:rPr>
        <w:t> </w:t>
      </w:r>
      <w:r>
        <w:rPr>
          <w:sz w:val="20"/>
        </w:rPr>
        <w:t>[aplūkots 2018.gada</w:t>
      </w:r>
      <w:r>
        <w:rPr>
          <w:spacing w:val="-2"/>
          <w:sz w:val="20"/>
        </w:rPr>
        <w:t> </w:t>
      </w:r>
      <w:r>
        <w:rPr>
          <w:sz w:val="20"/>
        </w:rPr>
        <w:t>20.septembrī]</w:t>
      </w:r>
    </w:p>
    <w:p>
      <w:pPr>
        <w:spacing w:line="240" w:lineRule="auto" w:before="0"/>
        <w:ind w:left="260" w:right="882" w:firstLine="0"/>
        <w:jc w:val="left"/>
        <w:rPr>
          <w:sz w:val="20"/>
        </w:rPr>
      </w:pPr>
      <w:r>
        <w:rPr>
          <w:position w:val="7"/>
          <w:sz w:val="13"/>
        </w:rPr>
        <w:t>514 </w:t>
      </w:r>
      <w:r>
        <w:rPr>
          <w:sz w:val="20"/>
        </w:rPr>
        <w:t>Sallam W.A. Insolvency proceedings: a double edged debt collection tool. Pieejams: </w:t>
      </w:r>
      <w:r>
        <w:rPr>
          <w:color w:val="0562C1"/>
          <w:sz w:val="20"/>
          <w:u w:val="single" w:color="0562C1"/>
        </w:rPr>
        <w:t>https://</w:t>
      </w:r>
      <w:hyperlink r:id="rId68">
        <w:r>
          <w:rPr>
            <w:color w:val="0562C1"/>
            <w:sz w:val="20"/>
            <w:u w:val="single" w:color="0562C1"/>
          </w:rPr>
          <w:t>www.google.lv/url?sa=t&amp;rct=j&amp;q=&amp;esrc=s&amp;source=web&amp;cd=2&amp;ved=2ahUKEwjY_I-</w:t>
        </w:r>
      </w:hyperlink>
      <w:r>
        <w:rPr>
          <w:color w:val="0562C1"/>
          <w:sz w:val="20"/>
        </w:rPr>
        <w:t> </w:t>
      </w:r>
      <w:r>
        <w:rPr>
          <w:color w:val="0562C1"/>
          <w:sz w:val="20"/>
          <w:u w:val="single" w:color="0562C1"/>
        </w:rPr>
        <w:t>3lpffAhUNpYsKHZEAC-0QFjABegQICRAC&amp;url=https%3A%2F%2Fwww.insol-</w:t>
      </w:r>
      <w:r>
        <w:rPr>
          <w:color w:val="0562C1"/>
          <w:sz w:val="20"/>
        </w:rPr>
        <w:t> </w:t>
      </w:r>
      <w:r>
        <w:rPr>
          <w:color w:val="0562C1"/>
          <w:sz w:val="20"/>
          <w:u w:val="single" w:color="0562C1"/>
        </w:rPr>
        <w:t>europe.org%2Fdownload%2Fdocuments%2F885&amp;usg=AOvVaw2eWgKAVdOqggXuoe_Lysnp</w:t>
      </w:r>
      <w:r>
        <w:rPr>
          <w:color w:val="0562C1"/>
          <w:sz w:val="20"/>
        </w:rPr>
        <w:t> </w:t>
      </w:r>
      <w:r>
        <w:rPr>
          <w:sz w:val="20"/>
        </w:rPr>
        <w:t>[aplūkots 2018.gada</w:t>
      </w:r>
      <w:r>
        <w:rPr>
          <w:spacing w:val="-2"/>
          <w:sz w:val="20"/>
        </w:rPr>
        <w:t> </w:t>
      </w:r>
      <w:r>
        <w:rPr>
          <w:sz w:val="20"/>
        </w:rPr>
        <w:t>20.septembrī]</w:t>
      </w:r>
    </w:p>
    <w:p>
      <w:pPr>
        <w:spacing w:after="0" w:line="240" w:lineRule="auto"/>
        <w:jc w:val="left"/>
        <w:rPr>
          <w:sz w:val="20"/>
        </w:rPr>
        <w:sectPr>
          <w:pgSz w:w="11910" w:h="16840"/>
          <w:pgMar w:header="0" w:footer="1055" w:top="1340" w:bottom="1240" w:left="1180" w:right="1040"/>
        </w:sectPr>
      </w:pPr>
    </w:p>
    <w:p>
      <w:pPr>
        <w:pStyle w:val="BodyText"/>
        <w:spacing w:before="73"/>
        <w:ind w:left="620" w:right="401" w:firstLine="422"/>
      </w:pPr>
      <w:r>
        <w:rPr/>
        <w:t>Līdz ar to arī Latvijā būtu vēlams paredzēt kreditoriem iespēju iesniegt</w:t>
      </w:r>
      <w:r>
        <w:rPr>
          <w:spacing w:val="25"/>
        </w:rPr>
        <w:t> </w:t>
      </w:r>
      <w:r>
        <w:rPr/>
        <w:t>fiziskās personas maksātnespējas procesa pieteikumu, tādējādi motivējot parādniekus savlaicīgāk risināt savas finansiālās grūtības. Lai mazinātu iespējamos negodprātības riskus, likumā būtu</w:t>
      </w:r>
      <w:r>
        <w:rPr>
          <w:spacing w:val="-11"/>
        </w:rPr>
        <w:t> </w:t>
      </w:r>
      <w:r>
        <w:rPr/>
        <w:t>vēlams</w:t>
      </w:r>
      <w:r>
        <w:rPr>
          <w:spacing w:val="-10"/>
        </w:rPr>
        <w:t> </w:t>
      </w:r>
      <w:r>
        <w:rPr/>
        <w:t>noteikt</w:t>
      </w:r>
      <w:r>
        <w:rPr>
          <w:spacing w:val="-11"/>
        </w:rPr>
        <w:t> </w:t>
      </w:r>
      <w:r>
        <w:rPr/>
        <w:t>to,</w:t>
      </w:r>
      <w:r>
        <w:rPr>
          <w:spacing w:val="-10"/>
        </w:rPr>
        <w:t> </w:t>
      </w:r>
      <w:r>
        <w:rPr/>
        <w:t>ka</w:t>
      </w:r>
      <w:r>
        <w:rPr>
          <w:spacing w:val="-13"/>
        </w:rPr>
        <w:t> </w:t>
      </w:r>
      <w:r>
        <w:rPr/>
        <w:t>kreditors</w:t>
      </w:r>
      <w:r>
        <w:rPr>
          <w:spacing w:val="-11"/>
        </w:rPr>
        <w:t> </w:t>
      </w:r>
      <w:r>
        <w:rPr/>
        <w:t>nevar</w:t>
      </w:r>
      <w:r>
        <w:rPr>
          <w:spacing w:val="-13"/>
        </w:rPr>
        <w:t> </w:t>
      </w:r>
      <w:r>
        <w:rPr/>
        <w:t>atsaukt</w:t>
      </w:r>
      <w:r>
        <w:rPr>
          <w:spacing w:val="-10"/>
        </w:rPr>
        <w:t> </w:t>
      </w:r>
      <w:r>
        <w:rPr/>
        <w:t>fiziskās</w:t>
      </w:r>
      <w:r>
        <w:rPr>
          <w:spacing w:val="-11"/>
        </w:rPr>
        <w:t> </w:t>
      </w:r>
      <w:r>
        <w:rPr/>
        <w:t>personas</w:t>
      </w:r>
      <w:r>
        <w:rPr>
          <w:spacing w:val="-10"/>
        </w:rPr>
        <w:t> </w:t>
      </w:r>
      <w:r>
        <w:rPr/>
        <w:t>maksātnespējas</w:t>
      </w:r>
      <w:r>
        <w:rPr>
          <w:spacing w:val="-10"/>
        </w:rPr>
        <w:t> </w:t>
      </w:r>
      <w:r>
        <w:rPr/>
        <w:t>procesa pieteikumu.</w:t>
      </w:r>
    </w:p>
    <w:p>
      <w:pPr>
        <w:pStyle w:val="BodyText"/>
        <w:ind w:left="620" w:right="401" w:firstLine="360"/>
      </w:pPr>
      <w:r>
        <w:rPr/>
        <w:t>Ja Latvijā tiek atbalstīts priekšlikums paredzēt kreditoriem tiesības iesniegt fiziskās personas maksātnespējas procesa pieteikumu, idejiski varētu pārņemt Vācijas tiesisko regulējumu jautājumā par parādnieka tiesībām (nevis pienākumu) iesaistīties šajā procesā, iesniedzot pieteikumu par saistību dzēšanu. Ja parādnieks šādu iniciatīvu neizrāda, tad viņam tiek piemērota tikai bankrota procedūra, kuras noslēgumā neizpildītās saistības netiek dzēstas (plašāks apraksts pētījuma IV.nodaļas 4.1.punkta C.apakšpunktā).</w:t>
      </w:r>
    </w:p>
    <w:p>
      <w:pPr>
        <w:pStyle w:val="BodyText"/>
        <w:jc w:val="left"/>
        <w:rPr>
          <w:sz w:val="26"/>
        </w:rPr>
      </w:pPr>
    </w:p>
    <w:p>
      <w:pPr>
        <w:pStyle w:val="BodyText"/>
        <w:spacing w:before="5"/>
        <w:jc w:val="left"/>
        <w:rPr>
          <w:sz w:val="22"/>
        </w:rPr>
      </w:pPr>
    </w:p>
    <w:p>
      <w:pPr>
        <w:pStyle w:val="Heading4"/>
        <w:numPr>
          <w:ilvl w:val="1"/>
          <w:numId w:val="117"/>
        </w:numPr>
        <w:tabs>
          <w:tab w:pos="1401" w:val="left" w:leader="none"/>
        </w:tabs>
        <w:spacing w:line="240" w:lineRule="auto" w:before="0" w:after="0"/>
        <w:ind w:left="1400" w:right="0" w:hanging="421"/>
        <w:jc w:val="left"/>
        <w:rPr>
          <w:i/>
        </w:rPr>
      </w:pPr>
      <w:bookmarkStart w:name="_TOC_250016" w:id="62"/>
      <w:r>
        <w:rPr>
          <w:i/>
        </w:rPr>
        <w:t>Saistību restrukturizācijas</w:t>
      </w:r>
      <w:r>
        <w:rPr>
          <w:i/>
          <w:spacing w:val="-3"/>
        </w:rPr>
        <w:t> </w:t>
      </w:r>
      <w:bookmarkEnd w:id="62"/>
      <w:r>
        <w:rPr>
          <w:i/>
        </w:rPr>
        <w:t>procedūra</w:t>
      </w:r>
    </w:p>
    <w:p>
      <w:pPr>
        <w:pStyle w:val="BodyText"/>
        <w:spacing w:before="9"/>
        <w:jc w:val="left"/>
        <w:rPr>
          <w:b/>
          <w:i/>
          <w:sz w:val="23"/>
        </w:rPr>
      </w:pPr>
    </w:p>
    <w:p>
      <w:pPr>
        <w:pStyle w:val="BodyText"/>
        <w:spacing w:line="237" w:lineRule="auto"/>
        <w:ind w:left="620" w:right="401" w:firstLine="360"/>
        <w:jc w:val="right"/>
      </w:pPr>
      <w:r>
        <w:rPr/>
        <w:t>Atšķirībā</w:t>
      </w:r>
      <w:r>
        <w:rPr>
          <w:spacing w:val="13"/>
        </w:rPr>
        <w:t> </w:t>
      </w:r>
      <w:r>
        <w:rPr/>
        <w:t>no</w:t>
      </w:r>
      <w:r>
        <w:rPr>
          <w:spacing w:val="15"/>
        </w:rPr>
        <w:t> </w:t>
      </w:r>
      <w:r>
        <w:rPr/>
        <w:t>Latvijas,</w:t>
      </w:r>
      <w:r>
        <w:rPr>
          <w:spacing w:val="16"/>
        </w:rPr>
        <w:t> </w:t>
      </w:r>
      <w:r>
        <w:rPr/>
        <w:t>visās</w:t>
      </w:r>
      <w:r>
        <w:rPr>
          <w:spacing w:val="13"/>
        </w:rPr>
        <w:t> </w:t>
      </w:r>
      <w:r>
        <w:rPr/>
        <w:t>Pētāmajās</w:t>
      </w:r>
      <w:r>
        <w:rPr>
          <w:spacing w:val="13"/>
        </w:rPr>
        <w:t> </w:t>
      </w:r>
      <w:r>
        <w:rPr/>
        <w:t>valstīs</w:t>
      </w:r>
      <w:r>
        <w:rPr>
          <w:spacing w:val="16"/>
        </w:rPr>
        <w:t> </w:t>
      </w:r>
      <w:r>
        <w:rPr/>
        <w:t>parādniekiem</w:t>
      </w:r>
      <w:r>
        <w:rPr>
          <w:spacing w:val="14"/>
        </w:rPr>
        <w:t> </w:t>
      </w:r>
      <w:r>
        <w:rPr/>
        <w:t>ir</w:t>
      </w:r>
      <w:r>
        <w:rPr>
          <w:spacing w:val="13"/>
        </w:rPr>
        <w:t> </w:t>
      </w:r>
      <w:r>
        <w:rPr/>
        <w:t>pieejama</w:t>
      </w:r>
      <w:r>
        <w:rPr>
          <w:spacing w:val="14"/>
        </w:rPr>
        <w:t> </w:t>
      </w:r>
      <w:r>
        <w:rPr/>
        <w:t>saistību restrukturizācijas procedūra. Turklāt, piemēram, Anglijā un Velsā</w:t>
      </w:r>
      <w:r>
        <w:rPr>
          <w:spacing w:val="38"/>
        </w:rPr>
        <w:t> </w:t>
      </w:r>
      <w:r>
        <w:rPr/>
        <w:t>individuālo</w:t>
      </w:r>
      <w:r>
        <w:rPr>
          <w:spacing w:val="6"/>
        </w:rPr>
        <w:t> </w:t>
      </w:r>
      <w:r>
        <w:rPr/>
        <w:t>brīvprātīgo vienošanos</w:t>
      </w:r>
      <w:r>
        <w:rPr>
          <w:spacing w:val="-12"/>
        </w:rPr>
        <w:t> </w:t>
      </w:r>
      <w:r>
        <w:rPr/>
        <w:t>ar</w:t>
      </w:r>
      <w:r>
        <w:rPr>
          <w:spacing w:val="-12"/>
        </w:rPr>
        <w:t> </w:t>
      </w:r>
      <w:r>
        <w:rPr/>
        <w:t>kreditoriem</w:t>
      </w:r>
      <w:r>
        <w:rPr>
          <w:spacing w:val="-12"/>
        </w:rPr>
        <w:t> </w:t>
      </w:r>
      <w:r>
        <w:rPr/>
        <w:t>par</w:t>
      </w:r>
      <w:r>
        <w:rPr>
          <w:spacing w:val="-15"/>
        </w:rPr>
        <w:t> </w:t>
      </w:r>
      <w:r>
        <w:rPr/>
        <w:t>parādu</w:t>
      </w:r>
      <w:r>
        <w:rPr>
          <w:spacing w:val="-10"/>
        </w:rPr>
        <w:t> </w:t>
      </w:r>
      <w:r>
        <w:rPr/>
        <w:t>samaksu</w:t>
      </w:r>
      <w:r>
        <w:rPr>
          <w:spacing w:val="-10"/>
        </w:rPr>
        <w:t> </w:t>
      </w:r>
      <w:r>
        <w:rPr/>
        <w:t>(</w:t>
      </w:r>
      <w:r>
        <w:rPr>
          <w:i/>
        </w:rPr>
        <w:t>individual</w:t>
      </w:r>
      <w:r>
        <w:rPr>
          <w:i/>
          <w:spacing w:val="-12"/>
        </w:rPr>
        <w:t> </w:t>
      </w:r>
      <w:r>
        <w:rPr>
          <w:i/>
        </w:rPr>
        <w:t>volantary</w:t>
      </w:r>
      <w:r>
        <w:rPr>
          <w:i/>
          <w:spacing w:val="-15"/>
        </w:rPr>
        <w:t> </w:t>
      </w:r>
      <w:r>
        <w:rPr>
          <w:i/>
        </w:rPr>
        <w:t>arrangement</w:t>
      </w:r>
      <w:r>
        <w:rPr>
          <w:i/>
          <w:spacing w:val="-11"/>
        </w:rPr>
        <w:t> </w:t>
      </w:r>
      <w:r>
        <w:rPr/>
        <w:t>jeb</w:t>
      </w:r>
      <w:r>
        <w:rPr>
          <w:spacing w:val="-8"/>
        </w:rPr>
        <w:t> </w:t>
      </w:r>
      <w:r>
        <w:rPr/>
        <w:t>IVA) izmanto</w:t>
      </w:r>
      <w:r>
        <w:rPr>
          <w:spacing w:val="22"/>
        </w:rPr>
        <w:t> </w:t>
      </w:r>
      <w:r>
        <w:rPr/>
        <w:t>pārliecinošs</w:t>
      </w:r>
      <w:r>
        <w:rPr>
          <w:spacing w:val="23"/>
        </w:rPr>
        <w:t> </w:t>
      </w:r>
      <w:r>
        <w:rPr/>
        <w:t>vairums</w:t>
      </w:r>
      <w:r>
        <w:rPr>
          <w:spacing w:val="23"/>
        </w:rPr>
        <w:t> </w:t>
      </w:r>
      <w:r>
        <w:rPr/>
        <w:t>parādnieku.</w:t>
      </w:r>
      <w:r>
        <w:rPr>
          <w:spacing w:val="23"/>
        </w:rPr>
        <w:t> </w:t>
      </w:r>
      <w:r>
        <w:rPr/>
        <w:t>Proti,</w:t>
      </w:r>
      <w:r>
        <w:rPr>
          <w:spacing w:val="23"/>
        </w:rPr>
        <w:t> </w:t>
      </w:r>
      <w:r>
        <w:rPr/>
        <w:t>2018.gada</w:t>
      </w:r>
      <w:r>
        <w:rPr>
          <w:spacing w:val="20"/>
        </w:rPr>
        <w:t> </w:t>
      </w:r>
      <w:r>
        <w:rPr/>
        <w:t>pirmajā</w:t>
      </w:r>
      <w:r>
        <w:rPr>
          <w:spacing w:val="23"/>
        </w:rPr>
        <w:t> </w:t>
      </w:r>
      <w:r>
        <w:rPr/>
        <w:t>ceturksnī</w:t>
      </w:r>
      <w:r>
        <w:rPr>
          <w:spacing w:val="23"/>
        </w:rPr>
        <w:t> </w:t>
      </w:r>
      <w:r>
        <w:rPr/>
        <w:t>Anglijā</w:t>
      </w:r>
      <w:r>
        <w:rPr>
          <w:spacing w:val="20"/>
        </w:rPr>
        <w:t> </w:t>
      </w:r>
      <w:r>
        <w:rPr/>
        <w:t>un Velsā 61 % no visām uzsāktajām maksātnespējas procedūrām bija tieši</w:t>
      </w:r>
      <w:r>
        <w:rPr>
          <w:spacing w:val="-5"/>
        </w:rPr>
        <w:t> </w:t>
      </w:r>
      <w:r>
        <w:rPr/>
        <w:t>IVA procedūra.</w:t>
      </w:r>
      <w:r>
        <w:rPr>
          <w:position w:val="9"/>
          <w:sz w:val="16"/>
        </w:rPr>
        <w:t>515</w:t>
      </w:r>
      <w:r>
        <w:rPr>
          <w:w w:val="100"/>
          <w:position w:val="9"/>
          <w:sz w:val="16"/>
        </w:rPr>
        <w:t> </w:t>
      </w:r>
      <w:r>
        <w:rPr/>
        <w:t>Ņemot vērā Latvijas kultūras īpatnības (aizspriedumi, sabiedrības</w:t>
      </w:r>
      <w:r>
        <w:rPr>
          <w:spacing w:val="3"/>
        </w:rPr>
        <w:t> </w:t>
      </w:r>
      <w:r>
        <w:rPr/>
        <w:t>nosodījums</w:t>
      </w:r>
      <w:r>
        <w:rPr>
          <w:spacing w:val="36"/>
        </w:rPr>
        <w:t> </w:t>
      </w:r>
      <w:r>
        <w:rPr/>
        <w:t>u.c.). parādu</w:t>
      </w:r>
      <w:r>
        <w:rPr>
          <w:spacing w:val="42"/>
        </w:rPr>
        <w:t> </w:t>
      </w:r>
      <w:r>
        <w:rPr/>
        <w:t>restrukturizācijas</w:t>
      </w:r>
      <w:r>
        <w:rPr>
          <w:spacing w:val="43"/>
        </w:rPr>
        <w:t> </w:t>
      </w:r>
      <w:r>
        <w:rPr/>
        <w:t>procesa</w:t>
      </w:r>
      <w:r>
        <w:rPr>
          <w:spacing w:val="42"/>
        </w:rPr>
        <w:t> </w:t>
      </w:r>
      <w:r>
        <w:rPr/>
        <w:t>pieejamība</w:t>
      </w:r>
      <w:r>
        <w:rPr>
          <w:spacing w:val="43"/>
        </w:rPr>
        <w:t> </w:t>
      </w:r>
      <w:r>
        <w:rPr/>
        <w:t>varētu</w:t>
      </w:r>
      <w:r>
        <w:rPr>
          <w:spacing w:val="43"/>
        </w:rPr>
        <w:t> </w:t>
      </w:r>
      <w:r>
        <w:rPr/>
        <w:t>būt</w:t>
      </w:r>
      <w:r>
        <w:rPr>
          <w:spacing w:val="42"/>
        </w:rPr>
        <w:t> </w:t>
      </w:r>
      <w:r>
        <w:rPr/>
        <w:t>efektīvs</w:t>
      </w:r>
      <w:r>
        <w:rPr>
          <w:spacing w:val="43"/>
        </w:rPr>
        <w:t> </w:t>
      </w:r>
      <w:r>
        <w:rPr/>
        <w:t>instruments</w:t>
      </w:r>
      <w:r>
        <w:rPr>
          <w:spacing w:val="46"/>
        </w:rPr>
        <w:t> </w:t>
      </w:r>
      <w:r>
        <w:rPr/>
        <w:t>finansiālo grūtību</w:t>
      </w:r>
      <w:r>
        <w:rPr>
          <w:spacing w:val="-4"/>
        </w:rPr>
        <w:t> </w:t>
      </w:r>
      <w:r>
        <w:rPr/>
        <w:t>risināšanai</w:t>
      </w:r>
      <w:r>
        <w:rPr>
          <w:spacing w:val="-6"/>
        </w:rPr>
        <w:t> </w:t>
      </w:r>
      <w:r>
        <w:rPr/>
        <w:t>(it</w:t>
      </w:r>
      <w:r>
        <w:rPr>
          <w:spacing w:val="-3"/>
        </w:rPr>
        <w:t> </w:t>
      </w:r>
      <w:r>
        <w:rPr/>
        <w:t>īpaši</w:t>
      </w:r>
      <w:r>
        <w:rPr>
          <w:spacing w:val="-4"/>
        </w:rPr>
        <w:t> </w:t>
      </w:r>
      <w:r>
        <w:rPr/>
        <w:t>personām</w:t>
      </w:r>
      <w:r>
        <w:rPr>
          <w:spacing w:val="-4"/>
        </w:rPr>
        <w:t> </w:t>
      </w:r>
      <w:r>
        <w:rPr/>
        <w:t>ar</w:t>
      </w:r>
      <w:r>
        <w:rPr>
          <w:spacing w:val="-5"/>
        </w:rPr>
        <w:t> </w:t>
      </w:r>
      <w:r>
        <w:rPr/>
        <w:t>mantu</w:t>
      </w:r>
      <w:r>
        <w:rPr>
          <w:spacing w:val="-4"/>
        </w:rPr>
        <w:t> </w:t>
      </w:r>
      <w:r>
        <w:rPr/>
        <w:t>un</w:t>
      </w:r>
      <w:r>
        <w:rPr>
          <w:spacing w:val="-4"/>
        </w:rPr>
        <w:t> </w:t>
      </w:r>
      <w:r>
        <w:rPr/>
        <w:t>salīdzinoši</w:t>
      </w:r>
      <w:r>
        <w:rPr>
          <w:spacing w:val="-5"/>
        </w:rPr>
        <w:t> </w:t>
      </w:r>
      <w:r>
        <w:rPr/>
        <w:t>lieliem</w:t>
      </w:r>
      <w:r>
        <w:rPr>
          <w:spacing w:val="-4"/>
        </w:rPr>
        <w:t> </w:t>
      </w:r>
      <w:r>
        <w:rPr/>
        <w:t>ienākumiem),</w:t>
      </w:r>
      <w:r>
        <w:rPr>
          <w:spacing w:val="-4"/>
        </w:rPr>
        <w:t> </w:t>
      </w:r>
      <w:r>
        <w:rPr/>
        <w:t>jo</w:t>
      </w:r>
      <w:r>
        <w:rPr>
          <w:spacing w:val="-3"/>
        </w:rPr>
        <w:t> </w:t>
      </w:r>
      <w:r>
        <w:rPr/>
        <w:t>dotu iespēju</w:t>
      </w:r>
      <w:r>
        <w:rPr>
          <w:spacing w:val="13"/>
        </w:rPr>
        <w:t> </w:t>
      </w:r>
      <w:r>
        <w:rPr/>
        <w:t>piemērot</w:t>
      </w:r>
      <w:r>
        <w:rPr>
          <w:spacing w:val="16"/>
        </w:rPr>
        <w:t> </w:t>
      </w:r>
      <w:r>
        <w:rPr/>
        <w:t>fleksiblākus</w:t>
      </w:r>
      <w:r>
        <w:rPr>
          <w:spacing w:val="13"/>
        </w:rPr>
        <w:t> </w:t>
      </w:r>
      <w:r>
        <w:rPr/>
        <w:t>noteikumus,</w:t>
      </w:r>
      <w:r>
        <w:rPr>
          <w:spacing w:val="14"/>
        </w:rPr>
        <w:t> </w:t>
      </w:r>
      <w:r>
        <w:rPr/>
        <w:t>kā</w:t>
      </w:r>
      <w:r>
        <w:rPr>
          <w:spacing w:val="14"/>
        </w:rPr>
        <w:t> </w:t>
      </w:r>
      <w:r>
        <w:rPr/>
        <w:t>arī</w:t>
      </w:r>
      <w:r>
        <w:rPr>
          <w:spacing w:val="13"/>
        </w:rPr>
        <w:t> </w:t>
      </w:r>
      <w:r>
        <w:rPr/>
        <w:t>labāk</w:t>
      </w:r>
      <w:r>
        <w:rPr>
          <w:spacing w:val="12"/>
        </w:rPr>
        <w:t> </w:t>
      </w:r>
      <w:r>
        <w:rPr/>
        <w:t>salāgojot</w:t>
      </w:r>
      <w:r>
        <w:rPr>
          <w:spacing w:val="15"/>
        </w:rPr>
        <w:t> </w:t>
      </w:r>
      <w:r>
        <w:rPr/>
        <w:t>parādnieka</w:t>
      </w:r>
      <w:r>
        <w:rPr>
          <w:spacing w:val="14"/>
        </w:rPr>
        <w:t> </w:t>
      </w:r>
      <w:r>
        <w:rPr/>
        <w:t>un</w:t>
      </w:r>
      <w:r>
        <w:rPr>
          <w:spacing w:val="14"/>
        </w:rPr>
        <w:t> </w:t>
      </w:r>
      <w:r>
        <w:rPr/>
        <w:t>kreditoru intereses.</w:t>
      </w:r>
      <w:r>
        <w:rPr>
          <w:spacing w:val="28"/>
        </w:rPr>
        <w:t> </w:t>
      </w:r>
      <w:r>
        <w:rPr/>
        <w:t>Ņemot</w:t>
      </w:r>
      <w:r>
        <w:rPr>
          <w:spacing w:val="31"/>
        </w:rPr>
        <w:t> </w:t>
      </w:r>
      <w:r>
        <w:rPr/>
        <w:t>vērā</w:t>
      </w:r>
      <w:r>
        <w:rPr>
          <w:spacing w:val="30"/>
        </w:rPr>
        <w:t> </w:t>
      </w:r>
      <w:r>
        <w:rPr/>
        <w:t>IVA</w:t>
      </w:r>
      <w:r>
        <w:rPr>
          <w:spacing w:val="29"/>
        </w:rPr>
        <w:t> </w:t>
      </w:r>
      <w:r>
        <w:rPr/>
        <w:t>procedūras</w:t>
      </w:r>
      <w:r>
        <w:rPr>
          <w:spacing w:val="28"/>
        </w:rPr>
        <w:t> </w:t>
      </w:r>
      <w:r>
        <w:rPr/>
        <w:t>plašo</w:t>
      </w:r>
      <w:r>
        <w:rPr>
          <w:spacing w:val="29"/>
        </w:rPr>
        <w:t> </w:t>
      </w:r>
      <w:r>
        <w:rPr/>
        <w:t>izmantošanu</w:t>
      </w:r>
      <w:r>
        <w:rPr>
          <w:spacing w:val="29"/>
        </w:rPr>
        <w:t> </w:t>
      </w:r>
      <w:r>
        <w:rPr/>
        <w:t>Anglijā</w:t>
      </w:r>
      <w:r>
        <w:rPr>
          <w:spacing w:val="25"/>
        </w:rPr>
        <w:t> </w:t>
      </w:r>
      <w:r>
        <w:rPr/>
        <w:t>un</w:t>
      </w:r>
      <w:r>
        <w:rPr>
          <w:spacing w:val="29"/>
        </w:rPr>
        <w:t> </w:t>
      </w:r>
      <w:r>
        <w:rPr/>
        <w:t>Velsā,</w:t>
      </w:r>
      <w:r>
        <w:rPr>
          <w:spacing w:val="31"/>
        </w:rPr>
        <w:t> </w:t>
      </w:r>
      <w:r>
        <w:rPr/>
        <w:t>IVA procedūras regulējums varētu kalpot par labu paraugu Latvijai, ieviešot</w:t>
      </w:r>
      <w:r>
        <w:rPr>
          <w:spacing w:val="6"/>
        </w:rPr>
        <w:t> </w:t>
      </w:r>
      <w:r>
        <w:rPr/>
        <w:t>parādu</w:t>
      </w:r>
    </w:p>
    <w:p>
      <w:pPr>
        <w:pStyle w:val="BodyText"/>
        <w:spacing w:before="13"/>
        <w:ind w:left="620"/>
        <w:jc w:val="left"/>
      </w:pPr>
      <w:r>
        <w:rPr/>
        <w:t>restrukturizācijas regulējumu attiecībā uz fiziskām personām.</w:t>
      </w:r>
    </w:p>
    <w:p>
      <w:pPr>
        <w:pStyle w:val="BodyText"/>
        <w:jc w:val="left"/>
        <w:rPr>
          <w:sz w:val="26"/>
        </w:rPr>
      </w:pPr>
    </w:p>
    <w:p>
      <w:pPr>
        <w:pStyle w:val="BodyText"/>
        <w:spacing w:before="5"/>
        <w:jc w:val="left"/>
        <w:rPr>
          <w:sz w:val="22"/>
        </w:rPr>
      </w:pPr>
    </w:p>
    <w:p>
      <w:pPr>
        <w:pStyle w:val="Heading4"/>
        <w:numPr>
          <w:ilvl w:val="1"/>
          <w:numId w:val="117"/>
        </w:numPr>
        <w:tabs>
          <w:tab w:pos="1342" w:val="left" w:leader="none"/>
        </w:tabs>
        <w:spacing w:line="240" w:lineRule="auto" w:before="0" w:after="0"/>
        <w:ind w:left="1341" w:right="0" w:hanging="362"/>
        <w:jc w:val="left"/>
        <w:rPr>
          <w:i/>
        </w:rPr>
      </w:pPr>
      <w:r>
        <w:rPr>
          <w:i/>
        </w:rPr>
        <w:t>Atvieglota maksātnespējas procedūra parādniekiem ar vērtīgiem</w:t>
      </w:r>
      <w:r>
        <w:rPr>
          <w:i/>
          <w:spacing w:val="-2"/>
        </w:rPr>
        <w:t> </w:t>
      </w:r>
      <w:r>
        <w:rPr>
          <w:i/>
        </w:rPr>
        <w:t>aktīviem</w:t>
      </w:r>
    </w:p>
    <w:p>
      <w:pPr>
        <w:pStyle w:val="BodyText"/>
        <w:spacing w:before="7"/>
        <w:jc w:val="left"/>
        <w:rPr>
          <w:b/>
          <w:i/>
          <w:sz w:val="23"/>
        </w:rPr>
      </w:pPr>
    </w:p>
    <w:p>
      <w:pPr>
        <w:pStyle w:val="BodyText"/>
        <w:ind w:left="620" w:right="402" w:firstLine="360"/>
      </w:pPr>
      <w:r>
        <w:rPr/>
        <w:t>Kā rāda pētījuma ietvaros veiktā maksātnespējas procesu analīze, parādnieki, kuriem fiziskās personas ietvaros tikusi pārdota manta, ir mazāk motivēti veikt</w:t>
      </w:r>
      <w:r>
        <w:rPr>
          <w:spacing w:val="24"/>
        </w:rPr>
        <w:t> </w:t>
      </w:r>
      <w:r>
        <w:rPr/>
        <w:t>maksājumus kreditoriem</w:t>
      </w:r>
      <w:r>
        <w:rPr>
          <w:spacing w:val="-16"/>
        </w:rPr>
        <w:t> </w:t>
      </w:r>
      <w:r>
        <w:rPr/>
        <w:t>nekā</w:t>
      </w:r>
      <w:r>
        <w:rPr>
          <w:spacing w:val="-17"/>
        </w:rPr>
        <w:t> </w:t>
      </w:r>
      <w:r>
        <w:rPr/>
        <w:t>parādnieki</w:t>
      </w:r>
      <w:r>
        <w:rPr>
          <w:spacing w:val="-15"/>
        </w:rPr>
        <w:t> </w:t>
      </w:r>
      <w:r>
        <w:rPr/>
        <w:t>bez</w:t>
      </w:r>
      <w:r>
        <w:rPr>
          <w:spacing w:val="-14"/>
        </w:rPr>
        <w:t> </w:t>
      </w:r>
      <w:r>
        <w:rPr/>
        <w:t>mantas</w:t>
      </w:r>
      <w:r>
        <w:rPr>
          <w:spacing w:val="-15"/>
        </w:rPr>
        <w:t> </w:t>
      </w:r>
      <w:r>
        <w:rPr/>
        <w:t>(acīmredzot,</w:t>
      </w:r>
      <w:r>
        <w:rPr>
          <w:spacing w:val="-12"/>
        </w:rPr>
        <w:t> </w:t>
      </w:r>
      <w:r>
        <w:rPr/>
        <w:t>tādēļ,</w:t>
      </w:r>
      <w:r>
        <w:rPr>
          <w:spacing w:val="-16"/>
        </w:rPr>
        <w:t> </w:t>
      </w:r>
      <w:r>
        <w:rPr/>
        <w:t>ka</w:t>
      </w:r>
      <w:r>
        <w:rPr>
          <w:spacing w:val="-15"/>
        </w:rPr>
        <w:t> </w:t>
      </w:r>
      <w:r>
        <w:rPr/>
        <w:t>parādnieki</w:t>
      </w:r>
      <w:r>
        <w:rPr>
          <w:spacing w:val="-15"/>
        </w:rPr>
        <w:t> </w:t>
      </w:r>
      <w:r>
        <w:rPr/>
        <w:t>psiholoģiski</w:t>
      </w:r>
      <w:r>
        <w:rPr>
          <w:spacing w:val="-15"/>
        </w:rPr>
        <w:t> </w:t>
      </w:r>
      <w:r>
        <w:rPr/>
        <w:t>jūtas “nopelnījuši”</w:t>
      </w:r>
      <w:r>
        <w:rPr>
          <w:spacing w:val="-14"/>
        </w:rPr>
        <w:t> </w:t>
      </w:r>
      <w:r>
        <w:rPr/>
        <w:t>saistību</w:t>
      </w:r>
      <w:r>
        <w:rPr>
          <w:spacing w:val="-14"/>
        </w:rPr>
        <w:t> </w:t>
      </w:r>
      <w:r>
        <w:rPr/>
        <w:t>dzēšanu</w:t>
      </w:r>
      <w:r>
        <w:rPr>
          <w:spacing w:val="-14"/>
        </w:rPr>
        <w:t> </w:t>
      </w:r>
      <w:r>
        <w:rPr/>
        <w:t>tamdēļ,</w:t>
      </w:r>
      <w:r>
        <w:rPr>
          <w:spacing w:val="-14"/>
        </w:rPr>
        <w:t> </w:t>
      </w:r>
      <w:r>
        <w:rPr/>
        <w:t>ka</w:t>
      </w:r>
      <w:r>
        <w:rPr>
          <w:spacing w:val="-13"/>
        </w:rPr>
        <w:t> </w:t>
      </w:r>
      <w:r>
        <w:rPr/>
        <w:t>ir</w:t>
      </w:r>
      <w:r>
        <w:rPr>
          <w:spacing w:val="-14"/>
        </w:rPr>
        <w:t> </w:t>
      </w:r>
      <w:r>
        <w:rPr/>
        <w:t>tikusi</w:t>
      </w:r>
      <w:r>
        <w:rPr>
          <w:spacing w:val="-12"/>
        </w:rPr>
        <w:t> </w:t>
      </w:r>
      <w:r>
        <w:rPr/>
        <w:t>pārdota</w:t>
      </w:r>
      <w:r>
        <w:rPr>
          <w:spacing w:val="-14"/>
        </w:rPr>
        <w:t> </w:t>
      </w:r>
      <w:r>
        <w:rPr/>
        <w:t>viņiem</w:t>
      </w:r>
      <w:r>
        <w:rPr>
          <w:spacing w:val="-13"/>
        </w:rPr>
        <w:t> </w:t>
      </w:r>
      <w:r>
        <w:rPr/>
        <w:t>piederošā</w:t>
      </w:r>
      <w:r>
        <w:rPr>
          <w:spacing w:val="-14"/>
        </w:rPr>
        <w:t> </w:t>
      </w:r>
      <w:r>
        <w:rPr/>
        <w:t>manta).</w:t>
      </w:r>
      <w:r>
        <w:rPr>
          <w:spacing w:val="-17"/>
        </w:rPr>
        <w:t> </w:t>
      </w:r>
      <w:r>
        <w:rPr/>
        <w:t>Turklāt pēdējo gadu laikā ir ievērojami pieaudzis to parādnieku skaits, kuriem, </w:t>
      </w:r>
      <w:r>
        <w:rPr>
          <w:spacing w:val="-3"/>
        </w:rPr>
        <w:t>uzsākot </w:t>
      </w:r>
      <w:r>
        <w:rPr/>
        <w:t>maksātnespējas procesu, vairs nepieder manta, no kā varētu tikt segti kreditoru prasījumi maksātnespējas procesa</w:t>
      </w:r>
      <w:r>
        <w:rPr>
          <w:spacing w:val="-1"/>
        </w:rPr>
        <w:t> </w:t>
      </w:r>
      <w:r>
        <w:rPr/>
        <w:t>ietvaros.</w:t>
      </w:r>
    </w:p>
    <w:p>
      <w:pPr>
        <w:pStyle w:val="BodyText"/>
        <w:ind w:left="620" w:right="403" w:firstLine="360"/>
      </w:pPr>
      <w:r>
        <w:rPr/>
        <w:t>Lielā mērā šo tendenci veicina tas, ka Maksātnespējas likums neparedz tiešus instrumentus, kas efektīvi motivētu parādniekus savlaicīgi risināt savas finansiālās grūtības, tādējādi arī nodrošinot kreditoriem lielāku finansiālo atdevi no fiziskās personas maksātnespējas procesa. Attiecīgi īsāks saistību dzēšanas procedūras termiņš varētu būt viens no instrumentiem, ar kura palīdzību varētu motivēt parādniekus savlaicīgāk uzsākt maksātnespējas procesu. Piemēram, Maksātnespējas likumā varētu noteikt, ka </w:t>
      </w:r>
      <w:r>
        <w:rPr>
          <w:spacing w:val="-3"/>
        </w:rPr>
        <w:t>saistību</w:t>
      </w:r>
      <w:r>
        <w:rPr>
          <w:spacing w:val="54"/>
        </w:rPr>
        <w:t> </w:t>
      </w:r>
      <w:r>
        <w:rPr/>
        <w:t>dzēšanas procedūras termiņš ir 1 gads, ja parādnieka bankrota procedūras laikā no parādnieka mantas ir segti vismaz 50 % no saistībām. Turklāt efektīvāk šāds regulējums</w:t>
      </w:r>
    </w:p>
    <w:p>
      <w:pPr>
        <w:pStyle w:val="BodyText"/>
        <w:jc w:val="left"/>
        <w:rPr>
          <w:sz w:val="20"/>
        </w:rPr>
      </w:pPr>
    </w:p>
    <w:p>
      <w:pPr>
        <w:pStyle w:val="BodyText"/>
        <w:spacing w:before="7"/>
        <w:jc w:val="left"/>
        <w:rPr>
          <w:sz w:val="12"/>
        </w:rPr>
      </w:pPr>
      <w:r>
        <w:rPr/>
        <w:pict>
          <v:shape style="position:absolute;margin-left:90pt;margin-top:9.517006pt;width:144pt;height:.1pt;mso-position-horizontal-relative:page;mso-position-vertical-relative:paragraph;z-index:-251438080;mso-wrap-distance-left:0;mso-wrap-distance-right:0" coordorigin="1800,190" coordsize="2880,0" path="m1800,190l4680,190e" filled="false" stroked="true" strokeweight=".599991pt" strokecolor="#000000">
            <v:path arrowok="t"/>
            <v:stroke dashstyle="solid"/>
            <w10:wrap type="topAndBottom"/>
          </v:shape>
        </w:pict>
      </w:r>
    </w:p>
    <w:p>
      <w:pPr>
        <w:spacing w:line="249" w:lineRule="auto" w:before="58"/>
        <w:ind w:left="620" w:right="401" w:firstLine="0"/>
        <w:jc w:val="left"/>
        <w:rPr>
          <w:sz w:val="20"/>
        </w:rPr>
      </w:pPr>
      <w:r>
        <w:rPr>
          <w:position w:val="9"/>
          <w:sz w:val="16"/>
        </w:rPr>
        <w:t>515 </w:t>
      </w:r>
      <w:r>
        <w:rPr>
          <w:sz w:val="20"/>
        </w:rPr>
        <w:t>Sk.: The Insolvency Service: Insolvency Statistics – January to March 2018 (Q1 2018), p.4. Pieejams</w:t>
      </w:r>
      <w:r>
        <w:rPr>
          <w:color w:val="0562C1"/>
          <w:sz w:val="20"/>
          <w:u w:val="single" w:color="0562C1"/>
        </w:rPr>
        <w:t> https://</w:t>
      </w:r>
      <w:hyperlink r:id="rId64">
        <w:r>
          <w:rPr>
            <w:color w:val="0562C1"/>
            <w:sz w:val="20"/>
            <w:u w:val="single" w:color="0562C1"/>
          </w:rPr>
          <w:t>www.gov.uk/government/statistics/insolvency-statistics-january-to-march-2018</w:t>
        </w:r>
      </w:hyperlink>
    </w:p>
    <w:p>
      <w:pPr>
        <w:spacing w:line="222" w:lineRule="exact" w:before="0"/>
        <w:ind w:left="620" w:right="0" w:firstLine="0"/>
        <w:jc w:val="left"/>
        <w:rPr>
          <w:sz w:val="20"/>
        </w:rPr>
      </w:pPr>
      <w:r>
        <w:rPr>
          <w:sz w:val="20"/>
        </w:rPr>
        <w:t>[aplūkots 2018.gada 12.novembrī].</w:t>
      </w:r>
    </w:p>
    <w:p>
      <w:pPr>
        <w:spacing w:after="0" w:line="222" w:lineRule="exact"/>
        <w:jc w:val="left"/>
        <w:rPr>
          <w:sz w:val="20"/>
        </w:rPr>
        <w:sectPr>
          <w:footerReference w:type="default" r:id="rId106"/>
          <w:footerReference w:type="even" r:id="rId107"/>
          <w:pgSz w:w="11910" w:h="16840"/>
          <w:pgMar w:footer="1055" w:header="0" w:top="1340" w:bottom="1240" w:left="1180" w:right="1040"/>
        </w:sectPr>
      </w:pPr>
    </w:p>
    <w:p>
      <w:pPr>
        <w:pStyle w:val="BodyText"/>
        <w:spacing w:before="73"/>
        <w:ind w:left="260" w:right="761"/>
      </w:pPr>
      <w:r>
        <w:rPr/>
        <w:t>darbotos tad, ja šādā gadījumā parādnieks saistību dzēšanas procedūras laikā vispār būtu atbrīvots no pienākuma veikt kreditoriem maksājumus no saviem ienākumiem, taču uz parādnieku būtu attiecināmi pārējie likumā noteiktie ierobežojumi. Respektīvi saistību dzēšanas procedūrai šādā gadījumā būtu tikai audzinoša loma, nevis saistību dzēšanas “nopelnīšana” ar ikmēneša maksājumiem.</w:t>
      </w:r>
    </w:p>
    <w:p>
      <w:pPr>
        <w:pStyle w:val="BodyText"/>
        <w:ind w:left="260" w:right="761" w:firstLine="360"/>
      </w:pPr>
      <w:r>
        <w:rPr/>
        <w:t>Respektīvi,</w:t>
      </w:r>
      <w:r>
        <w:rPr>
          <w:spacing w:val="-6"/>
        </w:rPr>
        <w:t> </w:t>
      </w:r>
      <w:r>
        <w:rPr/>
        <w:t>jāņem</w:t>
      </w:r>
      <w:r>
        <w:rPr>
          <w:spacing w:val="-5"/>
        </w:rPr>
        <w:t> </w:t>
      </w:r>
      <w:r>
        <w:rPr/>
        <w:t>vērā,</w:t>
      </w:r>
      <w:r>
        <w:rPr>
          <w:spacing w:val="-6"/>
        </w:rPr>
        <w:t> </w:t>
      </w:r>
      <w:r>
        <w:rPr/>
        <w:t>ka</w:t>
      </w:r>
      <w:r>
        <w:rPr>
          <w:spacing w:val="-5"/>
        </w:rPr>
        <w:t> </w:t>
      </w:r>
      <w:r>
        <w:rPr/>
        <w:t>saistību</w:t>
      </w:r>
      <w:r>
        <w:rPr>
          <w:spacing w:val="-5"/>
        </w:rPr>
        <w:t> </w:t>
      </w:r>
      <w:r>
        <w:rPr/>
        <w:t>dzēšanas</w:t>
      </w:r>
      <w:r>
        <w:rPr>
          <w:spacing w:val="-8"/>
        </w:rPr>
        <w:t> </w:t>
      </w:r>
      <w:r>
        <w:rPr/>
        <w:t>plāns</w:t>
      </w:r>
      <w:r>
        <w:rPr>
          <w:spacing w:val="-8"/>
        </w:rPr>
        <w:t> </w:t>
      </w:r>
      <w:r>
        <w:rPr/>
        <w:t>kā</w:t>
      </w:r>
      <w:r>
        <w:rPr>
          <w:spacing w:val="-6"/>
        </w:rPr>
        <w:t> </w:t>
      </w:r>
      <w:r>
        <w:rPr/>
        <w:t>fiziskās</w:t>
      </w:r>
      <w:r>
        <w:rPr>
          <w:spacing w:val="-7"/>
        </w:rPr>
        <w:t> </w:t>
      </w:r>
      <w:r>
        <w:rPr/>
        <w:t>personas</w:t>
      </w:r>
      <w:r>
        <w:rPr>
          <w:spacing w:val="-7"/>
        </w:rPr>
        <w:t> </w:t>
      </w:r>
      <w:r>
        <w:rPr/>
        <w:t>maksātnespējas procesa instruments tika ieviests sakarā ar to, ka fiziskajām personām parasti nepieder vērtīgi aktīvi vai arī vispār nav mantas un tādēļ saistību dzēšanas procedūras maksājumi faktiski ir vienīgais veids, kā vismaz daļēji segt parādnieka saistības. Savukārt, ja parādnieka manta ir pietiekama, lai bankrota procedūras ietvaros segtu vismaz 50 % no saistībām, tas ir vērtējams par tik liela apmēra saistību segumu, kas attaisnotu</w:t>
      </w:r>
      <w:r>
        <w:rPr>
          <w:spacing w:val="-29"/>
        </w:rPr>
        <w:t> </w:t>
      </w:r>
      <w:r>
        <w:rPr/>
        <w:t>atbrīvojumu no</w:t>
      </w:r>
      <w:r>
        <w:rPr>
          <w:spacing w:val="-7"/>
        </w:rPr>
        <w:t> </w:t>
      </w:r>
      <w:r>
        <w:rPr/>
        <w:t>maksājumu</w:t>
      </w:r>
      <w:r>
        <w:rPr>
          <w:spacing w:val="-6"/>
        </w:rPr>
        <w:t> </w:t>
      </w:r>
      <w:r>
        <w:rPr/>
        <w:t>veikšanas</w:t>
      </w:r>
      <w:r>
        <w:rPr>
          <w:spacing w:val="-4"/>
        </w:rPr>
        <w:t> </w:t>
      </w:r>
      <w:r>
        <w:rPr/>
        <w:t>saistību</w:t>
      </w:r>
      <w:r>
        <w:rPr>
          <w:spacing w:val="-6"/>
        </w:rPr>
        <w:t> </w:t>
      </w:r>
      <w:r>
        <w:rPr/>
        <w:t>dzēšanas</w:t>
      </w:r>
      <w:r>
        <w:rPr>
          <w:spacing w:val="-8"/>
        </w:rPr>
        <w:t> </w:t>
      </w:r>
      <w:r>
        <w:rPr/>
        <w:t>procedūras</w:t>
      </w:r>
      <w:r>
        <w:rPr>
          <w:spacing w:val="-7"/>
        </w:rPr>
        <w:t> </w:t>
      </w:r>
      <w:r>
        <w:rPr/>
        <w:t>ietvaros.</w:t>
      </w:r>
      <w:r>
        <w:rPr>
          <w:spacing w:val="-4"/>
        </w:rPr>
        <w:t> </w:t>
      </w:r>
      <w:r>
        <w:rPr/>
        <w:t>Attiecīgi</w:t>
      </w:r>
      <w:r>
        <w:rPr>
          <w:spacing w:val="-6"/>
        </w:rPr>
        <w:t> </w:t>
      </w:r>
      <w:r>
        <w:rPr/>
        <w:t>saistību</w:t>
      </w:r>
      <w:r>
        <w:rPr>
          <w:spacing w:val="-6"/>
        </w:rPr>
        <w:t> </w:t>
      </w:r>
      <w:r>
        <w:rPr/>
        <w:t>dzēšanas procedūras jēga šāda tipa parādniekiem būtu tā saucamais moratorija periods ar 2 pamatuzdevumiem: (1) vērtēt parādnieka godprātību (saistību dzēšanas procedūras ierobežojumu esamību/neesamību), (2) iemācīties sabalansēti pārvaldīt savus izdevumus, samērojot tos ar</w:t>
      </w:r>
      <w:r>
        <w:rPr>
          <w:spacing w:val="-2"/>
        </w:rPr>
        <w:t> </w:t>
      </w:r>
      <w:r>
        <w:rPr/>
        <w:t>ienākumiem.</w:t>
      </w:r>
    </w:p>
    <w:p>
      <w:pPr>
        <w:pStyle w:val="BodyText"/>
        <w:spacing w:line="237" w:lineRule="auto" w:before="3"/>
        <w:ind w:left="260" w:right="760" w:firstLine="360"/>
        <w:rPr>
          <w:sz w:val="16"/>
        </w:rPr>
      </w:pPr>
      <w:r>
        <w:rPr/>
        <w:t>Ieviešot</w:t>
      </w:r>
      <w:r>
        <w:rPr>
          <w:spacing w:val="-14"/>
        </w:rPr>
        <w:t> </w:t>
      </w:r>
      <w:r>
        <w:rPr/>
        <w:t>šādu</w:t>
      </w:r>
      <w:r>
        <w:rPr>
          <w:spacing w:val="-13"/>
        </w:rPr>
        <w:t> </w:t>
      </w:r>
      <w:r>
        <w:rPr/>
        <w:t>inovatīvu</w:t>
      </w:r>
      <w:r>
        <w:rPr>
          <w:spacing w:val="-13"/>
        </w:rPr>
        <w:t> </w:t>
      </w:r>
      <w:r>
        <w:rPr/>
        <w:t>regulējumu,</w:t>
      </w:r>
      <w:r>
        <w:rPr>
          <w:spacing w:val="-14"/>
        </w:rPr>
        <w:t> </w:t>
      </w:r>
      <w:r>
        <w:rPr/>
        <w:t>zināmā</w:t>
      </w:r>
      <w:r>
        <w:rPr>
          <w:spacing w:val="-13"/>
        </w:rPr>
        <w:t> </w:t>
      </w:r>
      <w:r>
        <w:rPr/>
        <w:t>mērā</w:t>
      </w:r>
      <w:r>
        <w:rPr>
          <w:spacing w:val="-17"/>
        </w:rPr>
        <w:t> </w:t>
      </w:r>
      <w:r>
        <w:rPr/>
        <w:t>tas</w:t>
      </w:r>
      <w:r>
        <w:rPr>
          <w:spacing w:val="-13"/>
        </w:rPr>
        <w:t> </w:t>
      </w:r>
      <w:r>
        <w:rPr/>
        <w:t>līdzinātos</w:t>
      </w:r>
      <w:r>
        <w:rPr>
          <w:spacing w:val="-12"/>
        </w:rPr>
        <w:t> </w:t>
      </w:r>
      <w:r>
        <w:rPr/>
        <w:t>anglo-sakšu</w:t>
      </w:r>
      <w:r>
        <w:rPr>
          <w:spacing w:val="-13"/>
        </w:rPr>
        <w:t> </w:t>
      </w:r>
      <w:r>
        <w:rPr/>
        <w:t>tiesību</w:t>
      </w:r>
      <w:r>
        <w:rPr>
          <w:spacing w:val="-13"/>
        </w:rPr>
        <w:t> </w:t>
      </w:r>
      <w:r>
        <w:rPr/>
        <w:t>loka valstīs</w:t>
      </w:r>
      <w:r>
        <w:rPr>
          <w:position w:val="9"/>
          <w:sz w:val="16"/>
        </w:rPr>
        <w:t>516 </w:t>
      </w:r>
      <w:r>
        <w:rPr/>
        <w:t>pazīstamajai bankrota procedūrai, kas ir pieejama fiziskajām personām, un kuras pamatdoma ir tāda, ka parādnieks tiek atbrīvots no neizpildītajām saistībām uzreiz pēc mantas</w:t>
      </w:r>
      <w:r>
        <w:rPr>
          <w:spacing w:val="-13"/>
        </w:rPr>
        <w:t> </w:t>
      </w:r>
      <w:r>
        <w:rPr/>
        <w:t>pārdošanas</w:t>
      </w:r>
      <w:r>
        <w:rPr>
          <w:spacing w:val="-10"/>
        </w:rPr>
        <w:t> </w:t>
      </w:r>
      <w:r>
        <w:rPr/>
        <w:t>(respektīvi,</w:t>
      </w:r>
      <w:r>
        <w:rPr>
          <w:spacing w:val="-12"/>
        </w:rPr>
        <w:t> </w:t>
      </w:r>
      <w:r>
        <w:rPr/>
        <w:t>parādniekam</w:t>
      </w:r>
      <w:r>
        <w:rPr>
          <w:spacing w:val="-12"/>
        </w:rPr>
        <w:t> </w:t>
      </w:r>
      <w:r>
        <w:rPr/>
        <w:t>papildus</w:t>
      </w:r>
      <w:r>
        <w:rPr>
          <w:spacing w:val="-13"/>
        </w:rPr>
        <w:t> </w:t>
      </w:r>
      <w:r>
        <w:rPr/>
        <w:t>nav</w:t>
      </w:r>
      <w:r>
        <w:rPr>
          <w:spacing w:val="-12"/>
        </w:rPr>
        <w:t> </w:t>
      </w:r>
      <w:r>
        <w:rPr/>
        <w:t>jāveic</w:t>
      </w:r>
      <w:r>
        <w:rPr>
          <w:spacing w:val="-11"/>
        </w:rPr>
        <w:t> </w:t>
      </w:r>
      <w:r>
        <w:rPr/>
        <w:t>kreditoriem</w:t>
      </w:r>
      <w:r>
        <w:rPr>
          <w:spacing w:val="-7"/>
        </w:rPr>
        <w:t> </w:t>
      </w:r>
      <w:r>
        <w:rPr/>
        <w:t>maksājumi</w:t>
      </w:r>
      <w:r>
        <w:rPr>
          <w:spacing w:val="-12"/>
        </w:rPr>
        <w:t> </w:t>
      </w:r>
      <w:r>
        <w:rPr/>
        <w:t>no ienākumiem). Kā piemēru pozitīvai pieredzei ar šāda regulējuma ieviešanu var minēt Slovākiju. Proti, Slovākijā, 2006.gadā ieviešot fiziskās personas maksātnespējas procesa regulējumu pēc kontinentālās Eiropas valstu parauga (ar saistību dzēšanas procedūru), tas sākotnēji tika ļoti kūtri izmantots. Tādēļ 2016.gadā Slovākijā tika īstenotas būtiskas maksātnespējas tiesiskā regulējuma reformas, tostarp paredzot parādniekiem tiesības izvēlēties īstenot bankrota procedūru ar nekavējošu saistību dzēšanu vai saistību dzēšanas procedūru ar 5 gadu saistību dzēšanas plāna termiņu. Jau pirmo 9 mēnešu laikā pēc šāda regulējuma spēkā stāšanās tiesās tika iesniegti 13,5 reizes vairāk fizisko personu bankrota pieteikumu nekā iepriekšējos 10 fizisko personu maksātnespējas procesa tiesiskā regulējuma piemērošanas</w:t>
      </w:r>
      <w:r>
        <w:rPr>
          <w:spacing w:val="1"/>
        </w:rPr>
        <w:t> </w:t>
      </w:r>
      <w:r>
        <w:rPr/>
        <w:t>gados.</w:t>
      </w:r>
      <w:r>
        <w:rPr>
          <w:position w:val="9"/>
          <w:sz w:val="16"/>
        </w:rPr>
        <w:t>517</w:t>
      </w:r>
    </w:p>
    <w:p>
      <w:pPr>
        <w:pStyle w:val="BodyText"/>
        <w:jc w:val="left"/>
        <w:rPr>
          <w:sz w:val="28"/>
        </w:rPr>
      </w:pPr>
    </w:p>
    <w:p>
      <w:pPr>
        <w:pStyle w:val="Heading4"/>
        <w:numPr>
          <w:ilvl w:val="1"/>
          <w:numId w:val="117"/>
        </w:numPr>
        <w:tabs>
          <w:tab w:pos="982" w:val="left" w:leader="none"/>
        </w:tabs>
        <w:spacing w:line="240" w:lineRule="auto" w:before="241" w:after="0"/>
        <w:ind w:left="981" w:right="0" w:hanging="362"/>
        <w:jc w:val="left"/>
        <w:rPr>
          <w:i/>
        </w:rPr>
      </w:pPr>
      <w:bookmarkStart w:name="_TOC_250015" w:id="63"/>
      <w:r>
        <w:rPr>
          <w:i/>
        </w:rPr>
        <w:t>Mehānisms pakāpeniskai nedzēšamo saistību</w:t>
      </w:r>
      <w:r>
        <w:rPr>
          <w:i/>
          <w:spacing w:val="-1"/>
        </w:rPr>
        <w:t> </w:t>
      </w:r>
      <w:bookmarkEnd w:id="63"/>
      <w:r>
        <w:rPr>
          <w:i/>
        </w:rPr>
        <w:t>izpildei</w:t>
      </w:r>
    </w:p>
    <w:p>
      <w:pPr>
        <w:pStyle w:val="BodyText"/>
        <w:spacing w:before="6"/>
        <w:jc w:val="left"/>
        <w:rPr>
          <w:b/>
          <w:i/>
          <w:sz w:val="23"/>
        </w:rPr>
      </w:pPr>
    </w:p>
    <w:p>
      <w:pPr>
        <w:pStyle w:val="BodyText"/>
        <w:spacing w:before="1"/>
        <w:ind w:left="260" w:right="761" w:firstLine="360"/>
      </w:pPr>
      <w:r>
        <w:rPr/>
        <w:t>Lai veicinātu fiziskās personas maksātnespējas procesa izmantošanu parādniekiem, kuri objektīvi nespēj izpildīt saistības, būtu vēlams Maksātnespējas likumā iestrādāt mehānismu, kas paredzētu iespēju pakāpeniski segt tās saistības, kuras atbilstoši Maksātnespējas likuma 164.panta ceturtajai daļai nevar tikt dzēstas fiziskās personas maksātnespējas procesa ietvaros. Proti, kā rāda prakse, parādnieki, kuriem līdztekus citām neizpildāmām</w:t>
      </w:r>
      <w:r>
        <w:rPr>
          <w:spacing w:val="-13"/>
        </w:rPr>
        <w:t> </w:t>
      </w:r>
      <w:r>
        <w:rPr/>
        <w:t>saistībām</w:t>
      </w:r>
      <w:r>
        <w:rPr>
          <w:spacing w:val="-13"/>
        </w:rPr>
        <w:t> </w:t>
      </w:r>
      <w:r>
        <w:rPr/>
        <w:t>ir</w:t>
      </w:r>
      <w:r>
        <w:rPr>
          <w:spacing w:val="-12"/>
        </w:rPr>
        <w:t> </w:t>
      </w:r>
      <w:r>
        <w:rPr/>
        <w:t>arī</w:t>
      </w:r>
      <w:r>
        <w:rPr>
          <w:spacing w:val="-15"/>
        </w:rPr>
        <w:t> </w:t>
      </w:r>
      <w:r>
        <w:rPr/>
        <w:t>nedzēšamās</w:t>
      </w:r>
      <w:r>
        <w:rPr>
          <w:spacing w:val="-12"/>
        </w:rPr>
        <w:t> </w:t>
      </w:r>
      <w:r>
        <w:rPr/>
        <w:t>saistības,</w:t>
      </w:r>
      <w:r>
        <w:rPr>
          <w:spacing w:val="-13"/>
        </w:rPr>
        <w:t> </w:t>
      </w:r>
      <w:r>
        <w:rPr/>
        <w:t>ir</w:t>
      </w:r>
      <w:r>
        <w:rPr>
          <w:spacing w:val="-12"/>
        </w:rPr>
        <w:t> </w:t>
      </w:r>
      <w:r>
        <w:rPr/>
        <w:t>demotivēti</w:t>
      </w:r>
      <w:r>
        <w:rPr>
          <w:spacing w:val="-10"/>
        </w:rPr>
        <w:t> </w:t>
      </w:r>
      <w:r>
        <w:rPr/>
        <w:t>savas</w:t>
      </w:r>
      <w:r>
        <w:rPr>
          <w:spacing w:val="-13"/>
        </w:rPr>
        <w:t> </w:t>
      </w:r>
      <w:r>
        <w:rPr/>
        <w:t>finansiālās</w:t>
      </w:r>
      <w:r>
        <w:rPr>
          <w:spacing w:val="-12"/>
        </w:rPr>
        <w:t> </w:t>
      </w:r>
      <w:r>
        <w:rPr/>
        <w:t>grūtības risināt</w:t>
      </w:r>
      <w:r>
        <w:rPr>
          <w:spacing w:val="-6"/>
        </w:rPr>
        <w:t> </w:t>
      </w:r>
      <w:r>
        <w:rPr/>
        <w:t>ar</w:t>
      </w:r>
      <w:r>
        <w:rPr>
          <w:spacing w:val="-9"/>
        </w:rPr>
        <w:t> </w:t>
      </w:r>
      <w:r>
        <w:rPr/>
        <w:t>maksātnespējas</w:t>
      </w:r>
      <w:r>
        <w:rPr>
          <w:spacing w:val="-5"/>
        </w:rPr>
        <w:t> </w:t>
      </w:r>
      <w:r>
        <w:rPr/>
        <w:t>procesa</w:t>
      </w:r>
      <w:r>
        <w:rPr>
          <w:spacing w:val="-6"/>
        </w:rPr>
        <w:t> </w:t>
      </w:r>
      <w:r>
        <w:rPr/>
        <w:t>palīdzību,</w:t>
      </w:r>
      <w:r>
        <w:rPr>
          <w:spacing w:val="-5"/>
        </w:rPr>
        <w:t> </w:t>
      </w:r>
      <w:r>
        <w:rPr/>
        <w:t>jo,</w:t>
      </w:r>
      <w:r>
        <w:rPr>
          <w:spacing w:val="-6"/>
        </w:rPr>
        <w:t> </w:t>
      </w:r>
      <w:r>
        <w:rPr/>
        <w:t>procesam</w:t>
      </w:r>
      <w:r>
        <w:rPr>
          <w:spacing w:val="-5"/>
        </w:rPr>
        <w:t> </w:t>
      </w:r>
      <w:r>
        <w:rPr/>
        <w:t>noslēdzoties,</w:t>
      </w:r>
      <w:r>
        <w:rPr>
          <w:spacing w:val="-6"/>
        </w:rPr>
        <w:t> </w:t>
      </w:r>
      <w:r>
        <w:rPr/>
        <w:t>parādnieki</w:t>
      </w:r>
      <w:r>
        <w:rPr>
          <w:spacing w:val="-5"/>
        </w:rPr>
        <w:t> </w:t>
      </w:r>
      <w:r>
        <w:rPr/>
        <w:t>tik</w:t>
      </w:r>
      <w:r>
        <w:rPr>
          <w:spacing w:val="-9"/>
        </w:rPr>
        <w:t> </w:t>
      </w:r>
      <w:r>
        <w:rPr/>
        <w:t>un</w:t>
      </w:r>
      <w:r>
        <w:rPr>
          <w:spacing w:val="-5"/>
        </w:rPr>
        <w:t> </w:t>
      </w:r>
      <w:r>
        <w:rPr/>
        <w:t>tā tiks pakļauti nedzēsto saistību piespiedu izpildei. Tādējādi nereti šādi parādnieki dod priekšroku “pelēkajai zonai”, nevis daļējai saistību dzēšanai fiziskās personas maksātnespējas procesa</w:t>
      </w:r>
      <w:r>
        <w:rPr>
          <w:spacing w:val="-1"/>
        </w:rPr>
        <w:t> </w:t>
      </w:r>
      <w:r>
        <w:rPr/>
        <w:t>ietvaros.</w:t>
      </w:r>
    </w:p>
    <w:p>
      <w:pPr>
        <w:pStyle w:val="BodyText"/>
        <w:ind w:left="260" w:right="764" w:firstLine="360"/>
      </w:pPr>
      <w:r>
        <w:rPr/>
        <w:t>Nepašaubot to, ka likumā ir jābūt noteiktām saistību kategorijām, kuras nevar tikt dzēstas fiziskās personas maksātnespējas procesa ietvaros, ir vērts pārvērtēt to, vai nedzēšamo saistību faktors pārlieku neattur parādniekus no fiziskās personas</w:t>
      </w:r>
    </w:p>
    <w:p>
      <w:pPr>
        <w:pStyle w:val="BodyText"/>
        <w:spacing w:before="6"/>
        <w:jc w:val="left"/>
        <w:rPr>
          <w:sz w:val="12"/>
        </w:rPr>
      </w:pPr>
      <w:r>
        <w:rPr/>
        <w:pict>
          <v:shape style="position:absolute;margin-left:72pt;margin-top:9.469620pt;width:144pt;height:.1pt;mso-position-horizontal-relative:page;mso-position-vertical-relative:paragraph;z-index:-251437056;mso-wrap-distance-left:0;mso-wrap-distance-right:0" coordorigin="1440,189" coordsize="2880,0" path="m1440,189l4320,189e" filled="false" stroked="true" strokeweight=".600037pt" strokecolor="#000000">
            <v:path arrowok="t"/>
            <v:stroke dashstyle="solid"/>
            <w10:wrap type="topAndBottom"/>
          </v:shape>
        </w:pict>
      </w:r>
    </w:p>
    <w:p>
      <w:pPr>
        <w:spacing w:line="233" w:lineRule="exact" w:before="70"/>
        <w:ind w:left="260" w:right="0" w:firstLine="0"/>
        <w:jc w:val="left"/>
        <w:rPr>
          <w:sz w:val="20"/>
        </w:rPr>
      </w:pPr>
      <w:r>
        <w:rPr>
          <w:position w:val="7"/>
          <w:sz w:val="13"/>
        </w:rPr>
        <w:t>516 </w:t>
      </w:r>
      <w:r>
        <w:rPr>
          <w:sz w:val="20"/>
        </w:rPr>
        <w:t>Piemēram, Amerikas Savienoto Valstu Bankrota likuma 7.nodaļa – Chapter 7 of U.S. Bankruptcy Code.</w:t>
      </w:r>
    </w:p>
    <w:p>
      <w:pPr>
        <w:spacing w:line="240" w:lineRule="auto" w:before="0"/>
        <w:ind w:left="260" w:right="635" w:firstLine="0"/>
        <w:jc w:val="left"/>
        <w:rPr>
          <w:sz w:val="20"/>
        </w:rPr>
      </w:pPr>
      <w:r>
        <w:rPr>
          <w:position w:val="7"/>
          <w:sz w:val="13"/>
        </w:rPr>
        <w:t>517 </w:t>
      </w:r>
      <w:r>
        <w:rPr>
          <w:sz w:val="20"/>
        </w:rPr>
        <w:t>Sk.: Kilborn Jason J. The Rise and Fall of Fear of Abuse in Consumer Bankruptcy: Most Recent Comparative Evidence from Europe and Beyond. Texas Law Review, Vol.96:1327, 2018, p.1335-1336.</w:t>
      </w:r>
    </w:p>
    <w:p>
      <w:pPr>
        <w:spacing w:after="0" w:line="240" w:lineRule="auto"/>
        <w:jc w:val="left"/>
        <w:rPr>
          <w:sz w:val="20"/>
        </w:rPr>
        <w:sectPr>
          <w:pgSz w:w="11910" w:h="16840"/>
          <w:pgMar w:header="0" w:footer="1055" w:top="1340" w:bottom="1240" w:left="1180" w:right="1040"/>
        </w:sectPr>
      </w:pPr>
    </w:p>
    <w:p>
      <w:pPr>
        <w:pStyle w:val="BodyText"/>
        <w:spacing w:line="237" w:lineRule="auto" w:before="75"/>
        <w:ind w:left="620" w:right="402"/>
      </w:pPr>
      <w:r>
        <w:rPr/>
        <w:t>maksātnespējas procesa izmantošanas. Iespējams lietderīgāk un efektīvāk būtu saglabāt regulējumu par nedzēšamajām saistībām, taču paredzot iespēju tās segt pakāpeniski.</w:t>
      </w:r>
      <w:r>
        <w:rPr>
          <w:position w:val="9"/>
          <w:sz w:val="16"/>
        </w:rPr>
        <w:t>518 </w:t>
      </w:r>
      <w:r>
        <w:rPr/>
        <w:t>Piemēram, Maksātnespējas likumā varētu paredzēt, ka tiesa, lemjot par parādnieka atbrīvošanu no neizpildītajām saistībām, noteic arī nedzēšamo saistību izpildes kārtību un termiņu</w:t>
      </w:r>
      <w:r>
        <w:rPr>
          <w:spacing w:val="-4"/>
        </w:rPr>
        <w:t> </w:t>
      </w:r>
      <w:r>
        <w:rPr/>
        <w:t>amplitūdā</w:t>
      </w:r>
      <w:r>
        <w:rPr>
          <w:spacing w:val="-3"/>
        </w:rPr>
        <w:t> </w:t>
      </w:r>
      <w:r>
        <w:rPr/>
        <w:t>no</w:t>
      </w:r>
      <w:r>
        <w:rPr>
          <w:spacing w:val="-4"/>
        </w:rPr>
        <w:t> </w:t>
      </w:r>
      <w:r>
        <w:rPr/>
        <w:t>1</w:t>
      </w:r>
      <w:r>
        <w:rPr>
          <w:spacing w:val="-3"/>
        </w:rPr>
        <w:t> </w:t>
      </w:r>
      <w:r>
        <w:rPr/>
        <w:t>gada</w:t>
      </w:r>
      <w:r>
        <w:rPr>
          <w:spacing w:val="-5"/>
        </w:rPr>
        <w:t> </w:t>
      </w:r>
      <w:r>
        <w:rPr/>
        <w:t>līdz</w:t>
      </w:r>
      <w:r>
        <w:rPr>
          <w:spacing w:val="-2"/>
        </w:rPr>
        <w:t> </w:t>
      </w:r>
      <w:r>
        <w:rPr/>
        <w:t>10</w:t>
      </w:r>
      <w:r>
        <w:rPr>
          <w:spacing w:val="-3"/>
        </w:rPr>
        <w:t> </w:t>
      </w:r>
      <w:r>
        <w:rPr/>
        <w:t>gadiem,</w:t>
      </w:r>
      <w:r>
        <w:rPr>
          <w:spacing w:val="-3"/>
        </w:rPr>
        <w:t> </w:t>
      </w:r>
      <w:r>
        <w:rPr/>
        <w:t>ņemot</w:t>
      </w:r>
      <w:r>
        <w:rPr>
          <w:spacing w:val="-4"/>
        </w:rPr>
        <w:t> </w:t>
      </w:r>
      <w:r>
        <w:rPr/>
        <w:t>vērā</w:t>
      </w:r>
      <w:r>
        <w:rPr>
          <w:spacing w:val="-6"/>
        </w:rPr>
        <w:t> </w:t>
      </w:r>
      <w:r>
        <w:rPr/>
        <w:t>šo</w:t>
      </w:r>
      <w:r>
        <w:rPr>
          <w:spacing w:val="-3"/>
        </w:rPr>
        <w:t> </w:t>
      </w:r>
      <w:r>
        <w:rPr/>
        <w:t>saistību</w:t>
      </w:r>
      <w:r>
        <w:rPr>
          <w:spacing w:val="-4"/>
        </w:rPr>
        <w:t> </w:t>
      </w:r>
      <w:r>
        <w:rPr/>
        <w:t>apmēru</w:t>
      </w:r>
      <w:r>
        <w:rPr>
          <w:spacing w:val="-3"/>
        </w:rPr>
        <w:t> </w:t>
      </w:r>
      <w:r>
        <w:rPr/>
        <w:t>un</w:t>
      </w:r>
      <w:r>
        <w:rPr>
          <w:spacing w:val="-3"/>
        </w:rPr>
        <w:t> </w:t>
      </w:r>
      <w:r>
        <w:rPr/>
        <w:t>parādnieka finansiālo</w:t>
      </w:r>
      <w:r>
        <w:rPr>
          <w:spacing w:val="-1"/>
        </w:rPr>
        <w:t> </w:t>
      </w:r>
      <w:r>
        <w:rPr/>
        <w:t>situāciju.</w:t>
      </w:r>
    </w:p>
    <w:p>
      <w:pPr>
        <w:pStyle w:val="BodyText"/>
        <w:jc w:val="left"/>
        <w:rPr>
          <w:sz w:val="26"/>
        </w:rPr>
      </w:pPr>
    </w:p>
    <w:p>
      <w:pPr>
        <w:pStyle w:val="BodyText"/>
        <w:spacing w:before="5"/>
        <w:jc w:val="left"/>
        <w:rPr>
          <w:sz w:val="26"/>
        </w:rPr>
      </w:pPr>
    </w:p>
    <w:p>
      <w:pPr>
        <w:pStyle w:val="Heading2"/>
        <w:numPr>
          <w:ilvl w:val="0"/>
          <w:numId w:val="116"/>
        </w:numPr>
        <w:tabs>
          <w:tab w:pos="1751" w:val="left" w:leader="none"/>
        </w:tabs>
        <w:spacing w:line="240" w:lineRule="auto" w:before="0" w:after="0"/>
        <w:ind w:left="1750" w:right="0" w:hanging="361"/>
        <w:jc w:val="left"/>
      </w:pPr>
      <w:bookmarkStart w:name="_TOC_250014" w:id="64"/>
      <w:r>
        <w:rPr/>
        <w:t>Maksātnespējas procesa pieejamība (procesa izmaksas</w:t>
      </w:r>
      <w:r>
        <w:rPr>
          <w:spacing w:val="-3"/>
        </w:rPr>
        <w:t> </w:t>
      </w:r>
      <w:bookmarkEnd w:id="64"/>
      <w:r>
        <w:rPr/>
        <w:t>u.c.)</w:t>
      </w:r>
    </w:p>
    <w:p>
      <w:pPr>
        <w:pStyle w:val="BodyText"/>
        <w:spacing w:before="5"/>
        <w:jc w:val="left"/>
        <w:rPr>
          <w:b/>
          <w:sz w:val="27"/>
        </w:rPr>
      </w:pPr>
    </w:p>
    <w:p>
      <w:pPr>
        <w:pStyle w:val="BodyText"/>
        <w:ind w:left="620" w:right="401" w:firstLine="360"/>
      </w:pPr>
      <w:r>
        <w:rPr/>
        <w:t>Vairāki respondenti aptaujas anketās norādīja uz to, ka fiziskās personas maksātnespējas procedūras uzsākšana nereti ir pārlieku dārga parādniekiem ar salīdzinoši zemiem ienākumiem. Arī Latvijas Finanšu nozares asociācija ir norādījusi uz maksātnespējas procesa nepieejamību personām ar zemiem ienākumiem. Iespējams, maksātnespējas procesa izmaksas ir viens no iemesliem, kādēļ 2018.gadā pirmo reizi Maksātnespējas likuma darbības laikā ir būtiski samazinājies iesniegto fiziskās personas maksātnespējas procesa pieteikumu skaits.</w:t>
      </w:r>
    </w:p>
    <w:p>
      <w:pPr>
        <w:pStyle w:val="BodyText"/>
        <w:spacing w:line="237" w:lineRule="auto" w:before="2"/>
        <w:ind w:left="620" w:right="401" w:firstLine="360"/>
        <w:rPr>
          <w:sz w:val="16"/>
        </w:rPr>
      </w:pPr>
      <w:r>
        <w:rPr/>
        <w:t>Tomēr vienlaikus jāatzīmē, ka Latvijā fiziskās personas maksātnespējas procesa izmaksas</w:t>
      </w:r>
      <w:r>
        <w:rPr>
          <w:spacing w:val="-10"/>
        </w:rPr>
        <w:t> </w:t>
      </w:r>
      <w:r>
        <w:rPr/>
        <w:t>(šobrīd</w:t>
      </w:r>
      <w:r>
        <w:rPr>
          <w:spacing w:val="-9"/>
        </w:rPr>
        <w:t> </w:t>
      </w:r>
      <w:r>
        <w:rPr/>
        <w:t>valsts</w:t>
      </w:r>
      <w:r>
        <w:rPr>
          <w:spacing w:val="-11"/>
        </w:rPr>
        <w:t> </w:t>
      </w:r>
      <w:r>
        <w:rPr/>
        <w:t>nodeva</w:t>
      </w:r>
      <w:r>
        <w:rPr>
          <w:spacing w:val="-9"/>
        </w:rPr>
        <w:t> </w:t>
      </w:r>
      <w:r>
        <w:rPr/>
        <w:t>70</w:t>
      </w:r>
      <w:r>
        <w:rPr>
          <w:spacing w:val="-10"/>
        </w:rPr>
        <w:t> </w:t>
      </w:r>
      <w:r>
        <w:rPr>
          <w:i/>
        </w:rPr>
        <w:t>euro</w:t>
      </w:r>
      <w:r>
        <w:rPr>
          <w:i/>
          <w:spacing w:val="-9"/>
        </w:rPr>
        <w:t> </w:t>
      </w:r>
      <w:r>
        <w:rPr/>
        <w:t>un</w:t>
      </w:r>
      <w:r>
        <w:rPr>
          <w:spacing w:val="-9"/>
        </w:rPr>
        <w:t> </w:t>
      </w:r>
      <w:r>
        <w:rPr/>
        <w:t>maksātnespējas</w:t>
      </w:r>
      <w:r>
        <w:rPr>
          <w:spacing w:val="-9"/>
        </w:rPr>
        <w:t> </w:t>
      </w:r>
      <w:r>
        <w:rPr/>
        <w:t>procesa</w:t>
      </w:r>
      <w:r>
        <w:rPr>
          <w:spacing w:val="-9"/>
        </w:rPr>
        <w:t> </w:t>
      </w:r>
      <w:r>
        <w:rPr/>
        <w:t>depozīts</w:t>
      </w:r>
      <w:r>
        <w:rPr>
          <w:spacing w:val="-9"/>
        </w:rPr>
        <w:t> </w:t>
      </w:r>
      <w:r>
        <w:rPr/>
        <w:t>divu</w:t>
      </w:r>
      <w:r>
        <w:rPr>
          <w:spacing w:val="-9"/>
        </w:rPr>
        <w:t> </w:t>
      </w:r>
      <w:r>
        <w:rPr/>
        <w:t>minimālo mēnešalgu</w:t>
      </w:r>
      <w:r>
        <w:rPr>
          <w:spacing w:val="-10"/>
        </w:rPr>
        <w:t> </w:t>
      </w:r>
      <w:r>
        <w:rPr/>
        <w:t>apmērā</w:t>
      </w:r>
      <w:r>
        <w:rPr>
          <w:spacing w:val="-12"/>
        </w:rPr>
        <w:t> </w:t>
      </w:r>
      <w:r>
        <w:rPr/>
        <w:t>jeb</w:t>
      </w:r>
      <w:r>
        <w:rPr>
          <w:spacing w:val="-10"/>
        </w:rPr>
        <w:t> </w:t>
      </w:r>
      <w:r>
        <w:rPr/>
        <w:t>860</w:t>
      </w:r>
      <w:r>
        <w:rPr>
          <w:spacing w:val="-13"/>
        </w:rPr>
        <w:t> </w:t>
      </w:r>
      <w:r>
        <w:rPr>
          <w:i/>
        </w:rPr>
        <w:t>euro</w:t>
      </w:r>
      <w:r>
        <w:rPr/>
        <w:t>)</w:t>
      </w:r>
      <w:r>
        <w:rPr>
          <w:spacing w:val="-11"/>
        </w:rPr>
        <w:t> </w:t>
      </w:r>
      <w:r>
        <w:rPr/>
        <w:t>ir</w:t>
      </w:r>
      <w:r>
        <w:rPr>
          <w:spacing w:val="-12"/>
        </w:rPr>
        <w:t> </w:t>
      </w:r>
      <w:r>
        <w:rPr/>
        <w:t>vienas</w:t>
      </w:r>
      <w:r>
        <w:rPr>
          <w:spacing w:val="-15"/>
        </w:rPr>
        <w:t> </w:t>
      </w:r>
      <w:r>
        <w:rPr/>
        <w:t>no</w:t>
      </w:r>
      <w:r>
        <w:rPr>
          <w:spacing w:val="-10"/>
        </w:rPr>
        <w:t> </w:t>
      </w:r>
      <w:r>
        <w:rPr/>
        <w:t>zemākajām</w:t>
      </w:r>
      <w:r>
        <w:rPr>
          <w:spacing w:val="-12"/>
        </w:rPr>
        <w:t> </w:t>
      </w:r>
      <w:r>
        <w:rPr/>
        <w:t>Eiropas</w:t>
      </w:r>
      <w:r>
        <w:rPr>
          <w:spacing w:val="-12"/>
        </w:rPr>
        <w:t> </w:t>
      </w:r>
      <w:r>
        <w:rPr/>
        <w:t>Savienībā.</w:t>
      </w:r>
      <w:r>
        <w:rPr>
          <w:spacing w:val="-12"/>
        </w:rPr>
        <w:t> </w:t>
      </w:r>
      <w:r>
        <w:rPr/>
        <w:t>Tā,</w:t>
      </w:r>
      <w:r>
        <w:rPr>
          <w:spacing w:val="-12"/>
        </w:rPr>
        <w:t> </w:t>
      </w:r>
      <w:r>
        <w:rPr/>
        <w:t>piemēram, Igaunijā parādniekam par fiziskās personas maksātnespējas procesa pieteikuma iesniegšanu ir jāmaksā salīdzinoši zemāka valsts nodeva – 10 </w:t>
      </w:r>
      <w:r>
        <w:rPr>
          <w:i/>
        </w:rPr>
        <w:t>euro</w:t>
      </w:r>
      <w:r>
        <w:rPr/>
        <w:t>, taču maksātnespējas procesa depozīta summa likumā nav noteikta, to katrā konkrētā gadījumā nosaka tiesa un parasti depozīta summa tiek noteikta EUR 2 000 - 3 000 apmērā. Savukārt, piemēram, Vācijā pat tādos procesos, kuros parādniekam nav mantas un ir maz kreditoru, maksātnespējas procesa izmaksas ir vidēji EUR 1 500 – 2</w:t>
      </w:r>
      <w:r>
        <w:rPr>
          <w:spacing w:val="-3"/>
        </w:rPr>
        <w:t> </w:t>
      </w:r>
      <w:r>
        <w:rPr/>
        <w:t>000.</w:t>
      </w:r>
      <w:r>
        <w:rPr>
          <w:position w:val="9"/>
          <w:sz w:val="16"/>
        </w:rPr>
        <w:t>519</w:t>
      </w:r>
    </w:p>
    <w:p>
      <w:pPr>
        <w:pStyle w:val="BodyText"/>
        <w:spacing w:before="8"/>
        <w:ind w:left="620" w:right="401" w:firstLine="360"/>
      </w:pPr>
      <w:r>
        <w:rPr/>
        <w:t>Jāņem vērā, ka maksātnespējas procesa izmaksas ir viens no preventīviem instrumentiem parādnieka negodprātības apkarošanai. Proti, ja fiziskās personas maksātnespējas procesa izmaksas būtu ļoti zemas, tas vairotu to parādnieku skaitu, kuri, būdami negodprātīgi, tomēr mēģinātu dzēst saistības fiziskās personas maksātnespējas procesā.</w:t>
      </w:r>
      <w:r>
        <w:rPr>
          <w:spacing w:val="-5"/>
        </w:rPr>
        <w:t> </w:t>
      </w:r>
      <w:r>
        <w:rPr/>
        <w:t>Attiecīgi</w:t>
      </w:r>
      <w:r>
        <w:rPr>
          <w:spacing w:val="-6"/>
        </w:rPr>
        <w:t> </w:t>
      </w:r>
      <w:r>
        <w:rPr/>
        <w:t>pienākums</w:t>
      </w:r>
      <w:r>
        <w:rPr>
          <w:spacing w:val="-4"/>
        </w:rPr>
        <w:t> </w:t>
      </w:r>
      <w:r>
        <w:rPr/>
        <w:t>segt</w:t>
      </w:r>
      <w:r>
        <w:rPr>
          <w:spacing w:val="-6"/>
        </w:rPr>
        <w:t> </w:t>
      </w:r>
      <w:r>
        <w:rPr/>
        <w:t>maksātnespējas</w:t>
      </w:r>
      <w:r>
        <w:rPr>
          <w:spacing w:val="-6"/>
        </w:rPr>
        <w:t> </w:t>
      </w:r>
      <w:r>
        <w:rPr/>
        <w:t>procesa</w:t>
      </w:r>
      <w:r>
        <w:rPr>
          <w:spacing w:val="-5"/>
        </w:rPr>
        <w:t> </w:t>
      </w:r>
      <w:r>
        <w:rPr/>
        <w:t>izmaksas</w:t>
      </w:r>
      <w:r>
        <w:rPr>
          <w:spacing w:val="-6"/>
        </w:rPr>
        <w:t> </w:t>
      </w:r>
      <w:r>
        <w:rPr/>
        <w:t>ir</w:t>
      </w:r>
      <w:r>
        <w:rPr>
          <w:spacing w:val="-6"/>
        </w:rPr>
        <w:t> </w:t>
      </w:r>
      <w:r>
        <w:rPr/>
        <w:t>instruments,</w:t>
      </w:r>
      <w:r>
        <w:rPr>
          <w:spacing w:val="-6"/>
        </w:rPr>
        <w:t> </w:t>
      </w:r>
      <w:r>
        <w:rPr/>
        <w:t>ar</w:t>
      </w:r>
      <w:r>
        <w:rPr>
          <w:spacing w:val="-9"/>
        </w:rPr>
        <w:t> </w:t>
      </w:r>
      <w:r>
        <w:rPr/>
        <w:t>kura palīdzību</w:t>
      </w:r>
      <w:r>
        <w:rPr>
          <w:spacing w:val="-6"/>
        </w:rPr>
        <w:t> </w:t>
      </w:r>
      <w:r>
        <w:rPr/>
        <w:t>var</w:t>
      </w:r>
      <w:r>
        <w:rPr>
          <w:spacing w:val="-6"/>
        </w:rPr>
        <w:t> </w:t>
      </w:r>
      <w:r>
        <w:rPr/>
        <w:t>atturēt</w:t>
      </w:r>
      <w:r>
        <w:rPr>
          <w:spacing w:val="-5"/>
        </w:rPr>
        <w:t> </w:t>
      </w:r>
      <w:r>
        <w:rPr/>
        <w:t>parādnieku</w:t>
      </w:r>
      <w:r>
        <w:rPr>
          <w:spacing w:val="-6"/>
        </w:rPr>
        <w:t> </w:t>
      </w:r>
      <w:r>
        <w:rPr/>
        <w:t>no</w:t>
      </w:r>
      <w:r>
        <w:rPr>
          <w:spacing w:val="-5"/>
        </w:rPr>
        <w:t> </w:t>
      </w:r>
      <w:r>
        <w:rPr/>
        <w:t>mēģinājuma</w:t>
      </w:r>
      <w:r>
        <w:rPr>
          <w:spacing w:val="-5"/>
        </w:rPr>
        <w:t> </w:t>
      </w:r>
      <w:r>
        <w:rPr/>
        <w:t>“uz</w:t>
      </w:r>
      <w:r>
        <w:rPr>
          <w:spacing w:val="-4"/>
        </w:rPr>
        <w:t> </w:t>
      </w:r>
      <w:r>
        <w:rPr/>
        <w:t>labu</w:t>
      </w:r>
      <w:r>
        <w:rPr>
          <w:spacing w:val="-6"/>
        </w:rPr>
        <w:t> </w:t>
      </w:r>
      <w:r>
        <w:rPr/>
        <w:t>laimi”</w:t>
      </w:r>
      <w:r>
        <w:rPr>
          <w:spacing w:val="-5"/>
        </w:rPr>
        <w:t> </w:t>
      </w:r>
      <w:r>
        <w:rPr/>
        <w:t>dzēst</w:t>
      </w:r>
      <w:r>
        <w:rPr>
          <w:spacing w:val="-6"/>
        </w:rPr>
        <w:t> </w:t>
      </w:r>
      <w:r>
        <w:rPr/>
        <w:t>saistības,</w:t>
      </w:r>
      <w:r>
        <w:rPr>
          <w:spacing w:val="-5"/>
        </w:rPr>
        <w:t> </w:t>
      </w:r>
      <w:r>
        <w:rPr/>
        <w:t>apzinoties, ka pastāv saistību dzēšanas</w:t>
      </w:r>
      <w:r>
        <w:rPr>
          <w:spacing w:val="-4"/>
        </w:rPr>
        <w:t> </w:t>
      </w:r>
      <w:r>
        <w:rPr/>
        <w:t>ierobežojumi.</w:t>
      </w:r>
    </w:p>
    <w:p>
      <w:pPr>
        <w:pStyle w:val="BodyText"/>
        <w:ind w:left="620" w:right="400" w:firstLine="360"/>
      </w:pPr>
      <w:r>
        <w:rPr/>
        <w:t>Vienlaikus protams jāņem vērā, ka nepieciešamība iesniegt fiziskās personas maksātnespējas procesu personai var rasties sakarā ar darba zaudējumu, slimību vai objektīvi pamatotu un iepriekš neparedzamu ienākumu samazināšanos. Šādā situācijā prasība</w:t>
      </w:r>
      <w:r>
        <w:rPr>
          <w:spacing w:val="-6"/>
        </w:rPr>
        <w:t> </w:t>
      </w:r>
      <w:r>
        <w:rPr/>
        <w:t>segt</w:t>
      </w:r>
      <w:r>
        <w:rPr>
          <w:spacing w:val="-4"/>
        </w:rPr>
        <w:t> </w:t>
      </w:r>
      <w:r>
        <w:rPr/>
        <w:t>maksātnespējas</w:t>
      </w:r>
      <w:r>
        <w:rPr>
          <w:spacing w:val="-4"/>
        </w:rPr>
        <w:t> </w:t>
      </w:r>
      <w:r>
        <w:rPr/>
        <w:t>procesa</w:t>
      </w:r>
      <w:r>
        <w:rPr>
          <w:spacing w:val="-4"/>
        </w:rPr>
        <w:t> </w:t>
      </w:r>
      <w:r>
        <w:rPr/>
        <w:t>depozītu</w:t>
      </w:r>
      <w:r>
        <w:rPr>
          <w:spacing w:val="-4"/>
        </w:rPr>
        <w:t> </w:t>
      </w:r>
      <w:r>
        <w:rPr/>
        <w:t>un</w:t>
      </w:r>
      <w:r>
        <w:rPr>
          <w:spacing w:val="-4"/>
        </w:rPr>
        <w:t> </w:t>
      </w:r>
      <w:r>
        <w:rPr/>
        <w:t>valsts</w:t>
      </w:r>
      <w:r>
        <w:rPr>
          <w:spacing w:val="-4"/>
        </w:rPr>
        <w:t> </w:t>
      </w:r>
      <w:r>
        <w:rPr/>
        <w:t>nodevu</w:t>
      </w:r>
      <w:r>
        <w:rPr>
          <w:spacing w:val="-4"/>
        </w:rPr>
        <w:t> </w:t>
      </w:r>
      <w:r>
        <w:rPr/>
        <w:t>vēl</w:t>
      </w:r>
      <w:r>
        <w:rPr>
          <w:spacing w:val="-6"/>
        </w:rPr>
        <w:t> </w:t>
      </w:r>
      <w:r>
        <w:rPr/>
        <w:t>pirms</w:t>
      </w:r>
      <w:r>
        <w:rPr>
          <w:spacing w:val="-6"/>
        </w:rPr>
        <w:t> </w:t>
      </w:r>
      <w:r>
        <w:rPr/>
        <w:t>fiziskās</w:t>
      </w:r>
      <w:r>
        <w:rPr>
          <w:spacing w:val="-6"/>
        </w:rPr>
        <w:t> </w:t>
      </w:r>
      <w:r>
        <w:rPr/>
        <w:t>personas maksātnespējas procesa pieteikuma iesniegšanas zināmā mērā aizkavē vai pat padara neiespējamu maksātnespējas procesa uzsākšanu. Tādējādi, lai šo problēmu risinātu, būtu nepieciešams paredzēt instrumentu pakāpeniskai maksātnespējas procesa depozīta segšanai. Visoptimālāk to varētu regulēt ar valsts piešķirtu bezprocentu aizdevumu, kuru parādniekam būtu pienākums pakāpeniski segt saistību dzēšanas procedūras laikā. Piemēram, iesniedzot pieteikumu tiesā, parādnieks varētu lūgt tiesu lemt par maksātnespējas procesa depozīta segšanu no budžeta līdzekļiem, un pozitīva lēmuma gadījumā</w:t>
      </w:r>
      <w:r>
        <w:rPr>
          <w:spacing w:val="-12"/>
        </w:rPr>
        <w:t> </w:t>
      </w:r>
      <w:r>
        <w:rPr/>
        <w:t>segt</w:t>
      </w:r>
      <w:r>
        <w:rPr>
          <w:spacing w:val="-11"/>
        </w:rPr>
        <w:t> </w:t>
      </w:r>
      <w:r>
        <w:rPr/>
        <w:t>šo</w:t>
      </w:r>
      <w:r>
        <w:rPr>
          <w:spacing w:val="-11"/>
        </w:rPr>
        <w:t> </w:t>
      </w:r>
      <w:r>
        <w:rPr/>
        <w:t>summu,</w:t>
      </w:r>
      <w:r>
        <w:rPr>
          <w:spacing w:val="-11"/>
        </w:rPr>
        <w:t> </w:t>
      </w:r>
      <w:r>
        <w:rPr/>
        <w:t>līdztekus</w:t>
      </w:r>
      <w:r>
        <w:rPr>
          <w:spacing w:val="-9"/>
        </w:rPr>
        <w:t> </w:t>
      </w:r>
      <w:r>
        <w:rPr/>
        <w:t>kreditoru</w:t>
      </w:r>
      <w:r>
        <w:rPr>
          <w:spacing w:val="-13"/>
        </w:rPr>
        <w:t> </w:t>
      </w:r>
      <w:r>
        <w:rPr/>
        <w:t>prasījumu</w:t>
      </w:r>
      <w:r>
        <w:rPr>
          <w:spacing w:val="-11"/>
        </w:rPr>
        <w:t> </w:t>
      </w:r>
      <w:r>
        <w:rPr/>
        <w:t>segšanai</w:t>
      </w:r>
      <w:r>
        <w:rPr>
          <w:spacing w:val="-13"/>
        </w:rPr>
        <w:t> </w:t>
      </w:r>
      <w:r>
        <w:rPr/>
        <w:t>veicot</w:t>
      </w:r>
      <w:r>
        <w:rPr>
          <w:spacing w:val="-11"/>
        </w:rPr>
        <w:t> </w:t>
      </w:r>
      <w:r>
        <w:rPr/>
        <w:t>maksājumus</w:t>
      </w:r>
      <w:r>
        <w:rPr>
          <w:spacing w:val="-11"/>
        </w:rPr>
        <w:t> </w:t>
      </w:r>
      <w:r>
        <w:rPr/>
        <w:t>Valsts kasei.</w:t>
      </w:r>
      <w:r>
        <w:rPr>
          <w:spacing w:val="41"/>
        </w:rPr>
        <w:t> </w:t>
      </w:r>
      <w:r>
        <w:rPr/>
        <w:t>Šāda</w:t>
      </w:r>
      <w:r>
        <w:rPr>
          <w:spacing w:val="42"/>
        </w:rPr>
        <w:t> </w:t>
      </w:r>
      <w:r>
        <w:rPr/>
        <w:t>regulējuma</w:t>
      </w:r>
      <w:r>
        <w:rPr>
          <w:spacing w:val="44"/>
        </w:rPr>
        <w:t> </w:t>
      </w:r>
      <w:r>
        <w:rPr/>
        <w:t>gadījumā,</w:t>
      </w:r>
      <w:r>
        <w:rPr>
          <w:spacing w:val="41"/>
        </w:rPr>
        <w:t> </w:t>
      </w:r>
      <w:r>
        <w:rPr/>
        <w:t>lai</w:t>
      </w:r>
      <w:r>
        <w:rPr>
          <w:spacing w:val="40"/>
        </w:rPr>
        <w:t> </w:t>
      </w:r>
      <w:r>
        <w:rPr/>
        <w:t>novērstu</w:t>
      </w:r>
      <w:r>
        <w:rPr>
          <w:spacing w:val="42"/>
        </w:rPr>
        <w:t> </w:t>
      </w:r>
      <w:r>
        <w:rPr/>
        <w:t>negodprātību,</w:t>
      </w:r>
      <w:r>
        <w:rPr>
          <w:spacing w:val="42"/>
        </w:rPr>
        <w:t> </w:t>
      </w:r>
      <w:r>
        <w:rPr/>
        <w:t>būtu</w:t>
      </w:r>
      <w:r>
        <w:rPr>
          <w:spacing w:val="41"/>
        </w:rPr>
        <w:t> </w:t>
      </w:r>
      <w:r>
        <w:rPr/>
        <w:t>svarīgi</w:t>
      </w:r>
      <w:r>
        <w:rPr>
          <w:spacing w:val="44"/>
        </w:rPr>
        <w:t> </w:t>
      </w:r>
      <w:r>
        <w:rPr/>
        <w:t>paredzēt,</w:t>
      </w:r>
      <w:r>
        <w:rPr>
          <w:spacing w:val="42"/>
        </w:rPr>
        <w:t> </w:t>
      </w:r>
      <w:r>
        <w:rPr/>
        <w:t>ka</w:t>
      </w:r>
    </w:p>
    <w:p>
      <w:pPr>
        <w:pStyle w:val="BodyText"/>
        <w:spacing w:before="7"/>
        <w:jc w:val="left"/>
        <w:rPr>
          <w:sz w:val="29"/>
        </w:rPr>
      </w:pPr>
    </w:p>
    <w:p>
      <w:pPr>
        <w:spacing w:line="237" w:lineRule="auto" w:before="95"/>
        <w:ind w:left="620" w:right="398" w:firstLine="0"/>
        <w:jc w:val="left"/>
        <w:rPr>
          <w:sz w:val="20"/>
        </w:rPr>
      </w:pPr>
      <w:r>
        <w:rPr>
          <w:position w:val="7"/>
          <w:sz w:val="13"/>
        </w:rPr>
        <w:t>518 </w:t>
      </w:r>
      <w:r>
        <w:rPr>
          <w:sz w:val="20"/>
        </w:rPr>
        <w:t>Tuula L. Consumer Insolvency: The Linkage Between the Fresh Start, Collective Proceedings, and the Access to Debt Adjustment. Journal of Consumer Policy, September 2015, Volume 38, Issue 3, p.370-371. </w:t>
      </w:r>
      <w:r>
        <w:rPr>
          <w:position w:val="7"/>
          <w:sz w:val="13"/>
        </w:rPr>
        <w:t>519 </w:t>
      </w:r>
      <w:r>
        <w:rPr>
          <w:sz w:val="20"/>
        </w:rPr>
        <w:t>Kayser/Thole “Insolvenzordnung”, Waltenberger Kommentare §300, S.2252.</w:t>
      </w:r>
    </w:p>
    <w:p>
      <w:pPr>
        <w:spacing w:after="0" w:line="237" w:lineRule="auto"/>
        <w:jc w:val="left"/>
        <w:rPr>
          <w:sz w:val="20"/>
        </w:rPr>
        <w:sectPr>
          <w:footerReference w:type="default" r:id="rId108"/>
          <w:footerReference w:type="even" r:id="rId109"/>
          <w:pgSz w:w="11910" w:h="16840"/>
          <w:pgMar w:footer="1165" w:header="0" w:top="1340" w:bottom="1360" w:left="1180" w:right="1040"/>
        </w:sectPr>
      </w:pPr>
    </w:p>
    <w:p>
      <w:pPr>
        <w:pStyle w:val="BodyText"/>
        <w:spacing w:before="73"/>
        <w:ind w:left="260" w:right="762"/>
      </w:pPr>
      <w:r>
        <w:rPr/>
        <w:t>valsts piešķirtais atbalsta maksājums ir fiziskās personas maksātnespējas procesā nedzēšamas</w:t>
      </w:r>
      <w:r>
        <w:rPr>
          <w:spacing w:val="-13"/>
        </w:rPr>
        <w:t> </w:t>
      </w:r>
      <w:r>
        <w:rPr/>
        <w:t>saistības.</w:t>
      </w:r>
      <w:r>
        <w:rPr>
          <w:spacing w:val="-13"/>
        </w:rPr>
        <w:t> </w:t>
      </w:r>
      <w:r>
        <w:rPr/>
        <w:t>Tāpat</w:t>
      </w:r>
      <w:r>
        <w:rPr>
          <w:spacing w:val="-13"/>
        </w:rPr>
        <w:t> </w:t>
      </w:r>
      <w:r>
        <w:rPr/>
        <w:t>šāda</w:t>
      </w:r>
      <w:r>
        <w:rPr>
          <w:spacing w:val="-16"/>
        </w:rPr>
        <w:t> </w:t>
      </w:r>
      <w:r>
        <w:rPr/>
        <w:t>atbalsta</w:t>
      </w:r>
      <w:r>
        <w:rPr>
          <w:spacing w:val="-12"/>
        </w:rPr>
        <w:t> </w:t>
      </w:r>
      <w:r>
        <w:rPr/>
        <w:t>saņemšanas</w:t>
      </w:r>
      <w:r>
        <w:rPr>
          <w:spacing w:val="-13"/>
        </w:rPr>
        <w:t> </w:t>
      </w:r>
      <w:r>
        <w:rPr/>
        <w:t>iespēja</w:t>
      </w:r>
      <w:r>
        <w:rPr>
          <w:spacing w:val="-16"/>
        </w:rPr>
        <w:t> </w:t>
      </w:r>
      <w:r>
        <w:rPr/>
        <w:t>būtu</w:t>
      </w:r>
      <w:r>
        <w:rPr>
          <w:spacing w:val="-11"/>
        </w:rPr>
        <w:t> </w:t>
      </w:r>
      <w:r>
        <w:rPr/>
        <w:t>attiecināma</w:t>
      </w:r>
      <w:r>
        <w:rPr>
          <w:spacing w:val="-13"/>
        </w:rPr>
        <w:t> </w:t>
      </w:r>
      <w:r>
        <w:rPr/>
        <w:t>tikai</w:t>
      </w:r>
      <w:r>
        <w:rPr>
          <w:spacing w:val="-14"/>
        </w:rPr>
        <w:t> </w:t>
      </w:r>
      <w:r>
        <w:rPr/>
        <w:t>uz</w:t>
      </w:r>
      <w:r>
        <w:rPr>
          <w:spacing w:val="-12"/>
        </w:rPr>
        <w:t> </w:t>
      </w:r>
      <w:r>
        <w:rPr/>
        <w:t>tiem gadījumiem, kad personai nespēja izpildīt saistības ir iestājusies objektīvu vai iepriekš neparedzamu apstākļu dēļ (slimība, darba zaudējums u.c.), par ko katrā konkrētā</w:t>
      </w:r>
      <w:r>
        <w:rPr>
          <w:spacing w:val="-32"/>
        </w:rPr>
        <w:t> </w:t>
      </w:r>
      <w:r>
        <w:rPr/>
        <w:t>gadījumā lemtu tiesa. Šāds regulējums samazinātu pēdējos gados novērotu tendenci, ka parādnieki depozīta summai nepieciešamos naudas līdzekļus iegūst, izmantojot ātro kredītu piedāvājumus (un tādējādi sakarā ar šo kredītresursu augstajām izmaksām būtiski pasliktina savu finansiālo</w:t>
      </w:r>
      <w:r>
        <w:rPr>
          <w:spacing w:val="-1"/>
        </w:rPr>
        <w:t> </w:t>
      </w:r>
      <w:r>
        <w:rPr/>
        <w:t>situāciju).</w:t>
      </w:r>
    </w:p>
    <w:p>
      <w:pPr>
        <w:pStyle w:val="BodyText"/>
        <w:ind w:left="260" w:right="761" w:firstLine="360"/>
      </w:pPr>
      <w:r>
        <w:rPr/>
        <w:t>Īpašās situācijās (piemēram, ja nespēja izpildīt saistības ir iestājusies dēļ parādnieka invaliditātes) būtu paredzams arī regulējums parādnieka pilnīgai atbrīvošanai no maksātnespējas procesa izmaksu segšanas, izmaksas finansējot no budžeta līdzekļiem. Jāteic gan, ka vairums respondentu aptaujas anketās pauduši izteikti negatīvu nostāju attiecībā uz šāda valsts atbalsta mehānismu ieviešanu, pamatā to argumentējot ar taisnīguma apsvērumiem (nav taisnīgi, ka maksātnespējas process tiek finansēts no nodokļu maksātāju naudas) un iespējamiem negodprātības gadījumiem. Taču īpašās situācijās runa faktiski ir par sociālā atbalsta sniegšanu, kādu valsts noteiktām personu kategorijām sniedz ārpus Maksātnespējas likuma regulējuma, izmantojot tādus instrumentus kā pabalsti, nodokļu atvieglojumi u.c. Attiecīgi atbalsta sniegšana fiziskās personas maksātnespējas procesa piemērošanai būtu uztverama kā viens no šādiem</w:t>
      </w:r>
      <w:r>
        <w:rPr>
          <w:spacing w:val="-43"/>
        </w:rPr>
        <w:t> </w:t>
      </w:r>
      <w:r>
        <w:rPr/>
        <w:t>sociālā atbalsta</w:t>
      </w:r>
      <w:r>
        <w:rPr>
          <w:spacing w:val="-16"/>
        </w:rPr>
        <w:t> </w:t>
      </w:r>
      <w:r>
        <w:rPr/>
        <w:t>instrumentiem.</w:t>
      </w:r>
      <w:r>
        <w:rPr>
          <w:spacing w:val="-13"/>
        </w:rPr>
        <w:t> </w:t>
      </w:r>
      <w:r>
        <w:rPr/>
        <w:t>Turklāt</w:t>
      </w:r>
      <w:r>
        <w:rPr>
          <w:spacing w:val="-13"/>
        </w:rPr>
        <w:t> </w:t>
      </w:r>
      <w:r>
        <w:rPr/>
        <w:t>negodprātīgu</w:t>
      </w:r>
      <w:r>
        <w:rPr>
          <w:spacing w:val="-11"/>
        </w:rPr>
        <w:t> </w:t>
      </w:r>
      <w:r>
        <w:rPr/>
        <w:t>gadījumu</w:t>
      </w:r>
      <w:r>
        <w:rPr>
          <w:spacing w:val="-13"/>
        </w:rPr>
        <w:t> </w:t>
      </w:r>
      <w:r>
        <w:rPr/>
        <w:t>iespējamība</w:t>
      </w:r>
      <w:r>
        <w:rPr>
          <w:spacing w:val="-13"/>
        </w:rPr>
        <w:t> </w:t>
      </w:r>
      <w:r>
        <w:rPr/>
        <w:t>ir</w:t>
      </w:r>
      <w:r>
        <w:rPr>
          <w:spacing w:val="-13"/>
        </w:rPr>
        <w:t> </w:t>
      </w:r>
      <w:r>
        <w:rPr/>
        <w:t>novēršama,</w:t>
      </w:r>
      <w:r>
        <w:rPr>
          <w:spacing w:val="-13"/>
        </w:rPr>
        <w:t> </w:t>
      </w:r>
      <w:r>
        <w:rPr/>
        <w:t>paredzot attiecīgus atbalsta saņemšanas priekšnoteikumus un</w:t>
      </w:r>
      <w:r>
        <w:rPr>
          <w:spacing w:val="2"/>
        </w:rPr>
        <w:t> </w:t>
      </w:r>
      <w:r>
        <w:rPr/>
        <w:t>kārtību.</w:t>
      </w:r>
    </w:p>
    <w:p>
      <w:pPr>
        <w:pStyle w:val="BodyText"/>
        <w:spacing w:line="237" w:lineRule="auto" w:before="3"/>
        <w:ind w:left="260" w:right="762" w:firstLine="360"/>
        <w:rPr>
          <w:sz w:val="16"/>
        </w:rPr>
      </w:pPr>
      <w:r>
        <w:rPr/>
        <w:t>Jāatzīmē, ka visās Pētāmajās valstīs pastāv mehānismi valsts atbalsta</w:t>
      </w:r>
      <w:r>
        <w:rPr>
          <w:spacing w:val="27"/>
        </w:rPr>
        <w:t> </w:t>
      </w:r>
      <w:r>
        <w:rPr/>
        <w:t>saņemšanai maksātnespējas</w:t>
      </w:r>
      <w:r>
        <w:rPr>
          <w:spacing w:val="-9"/>
        </w:rPr>
        <w:t> </w:t>
      </w:r>
      <w:r>
        <w:rPr/>
        <w:t>procedūras</w:t>
      </w:r>
      <w:r>
        <w:rPr>
          <w:spacing w:val="-9"/>
        </w:rPr>
        <w:t> </w:t>
      </w:r>
      <w:r>
        <w:rPr/>
        <w:t>uzsākšanai</w:t>
      </w:r>
      <w:r>
        <w:rPr>
          <w:spacing w:val="-8"/>
        </w:rPr>
        <w:t> </w:t>
      </w:r>
      <w:r>
        <w:rPr/>
        <w:t>vai</w:t>
      </w:r>
      <w:r>
        <w:rPr>
          <w:spacing w:val="-9"/>
        </w:rPr>
        <w:t> </w:t>
      </w:r>
      <w:r>
        <w:rPr/>
        <w:t>īstenošanai.</w:t>
      </w:r>
      <w:r>
        <w:rPr>
          <w:spacing w:val="-5"/>
        </w:rPr>
        <w:t> </w:t>
      </w:r>
      <w:r>
        <w:rPr/>
        <w:t>Ļoti</w:t>
      </w:r>
      <w:r>
        <w:rPr>
          <w:spacing w:val="-6"/>
        </w:rPr>
        <w:t> </w:t>
      </w:r>
      <w:r>
        <w:rPr/>
        <w:t>pozitīva</w:t>
      </w:r>
      <w:r>
        <w:rPr>
          <w:spacing w:val="-9"/>
        </w:rPr>
        <w:t> </w:t>
      </w:r>
      <w:r>
        <w:rPr/>
        <w:t>pieredze</w:t>
      </w:r>
      <w:r>
        <w:rPr>
          <w:spacing w:val="-8"/>
        </w:rPr>
        <w:t> </w:t>
      </w:r>
      <w:r>
        <w:rPr/>
        <w:t>šajā</w:t>
      </w:r>
      <w:r>
        <w:rPr>
          <w:spacing w:val="-11"/>
        </w:rPr>
        <w:t> </w:t>
      </w:r>
      <w:r>
        <w:rPr/>
        <w:t>sakarā</w:t>
      </w:r>
      <w:r>
        <w:rPr>
          <w:spacing w:val="-6"/>
        </w:rPr>
        <w:t> </w:t>
      </w:r>
      <w:r>
        <w:rPr/>
        <w:t>ir arī Polijā, kurā kopš 2015.gada ir stājušās spēkā fiziskās personas maksātnespējas tiesiskā regulējuma reformas, cita starpā arī ieviešot mehānismu, ar kura palīdzību</w:t>
      </w:r>
      <w:r>
        <w:rPr>
          <w:spacing w:val="-34"/>
        </w:rPr>
        <w:t> </w:t>
      </w:r>
      <w:r>
        <w:rPr/>
        <w:t>maksātnespējas procesa izmaksas sākotnēji tiek segtas no budžeta līdzekļiem. Pēc minētajām reformām Polijā</w:t>
      </w:r>
      <w:r>
        <w:rPr>
          <w:spacing w:val="-18"/>
        </w:rPr>
        <w:t> </w:t>
      </w:r>
      <w:r>
        <w:rPr/>
        <w:t>būtiski</w:t>
      </w:r>
      <w:r>
        <w:rPr>
          <w:spacing w:val="-16"/>
        </w:rPr>
        <w:t> </w:t>
      </w:r>
      <w:r>
        <w:rPr/>
        <w:t>pieauga</w:t>
      </w:r>
      <w:r>
        <w:rPr>
          <w:spacing w:val="-16"/>
        </w:rPr>
        <w:t> </w:t>
      </w:r>
      <w:r>
        <w:rPr/>
        <w:t>iesniegto</w:t>
      </w:r>
      <w:r>
        <w:rPr>
          <w:spacing w:val="-15"/>
        </w:rPr>
        <w:t> </w:t>
      </w:r>
      <w:r>
        <w:rPr/>
        <w:t>fiziskās</w:t>
      </w:r>
      <w:r>
        <w:rPr>
          <w:spacing w:val="-18"/>
        </w:rPr>
        <w:t> </w:t>
      </w:r>
      <w:r>
        <w:rPr/>
        <w:t>personas</w:t>
      </w:r>
      <w:r>
        <w:rPr>
          <w:spacing w:val="-16"/>
        </w:rPr>
        <w:t> </w:t>
      </w:r>
      <w:r>
        <w:rPr/>
        <w:t>maksātnespējas</w:t>
      </w:r>
      <w:r>
        <w:rPr>
          <w:spacing w:val="-16"/>
        </w:rPr>
        <w:t> </w:t>
      </w:r>
      <w:r>
        <w:rPr/>
        <w:t>procesa</w:t>
      </w:r>
      <w:r>
        <w:rPr>
          <w:spacing w:val="-15"/>
        </w:rPr>
        <w:t> </w:t>
      </w:r>
      <w:r>
        <w:rPr/>
        <w:t>pieteikumu</w:t>
      </w:r>
      <w:r>
        <w:rPr>
          <w:spacing w:val="-16"/>
        </w:rPr>
        <w:t> </w:t>
      </w:r>
      <w:r>
        <w:rPr/>
        <w:t>skaits (gada laikā teju 20 reizes vairāk pieteikumu nekā iepriekšējos 6 likuma piemērošanas gados).</w:t>
      </w:r>
      <w:r>
        <w:rPr>
          <w:position w:val="9"/>
          <w:sz w:val="16"/>
        </w:rPr>
        <w:t>520</w:t>
      </w:r>
    </w:p>
    <w:p>
      <w:pPr>
        <w:pStyle w:val="BodyText"/>
        <w:spacing w:before="5"/>
        <w:ind w:left="260" w:right="763" w:firstLine="360"/>
      </w:pPr>
      <w:r>
        <w:rPr/>
        <w:t>Atbilstoši Pasaules Bankas pētījumam pamatā pastāv pieci instrumenti, ar kuru palīdzību valstis risina maksātnespējas procesa izmaksu segšanas jautājumu:</w:t>
      </w:r>
    </w:p>
    <w:p>
      <w:pPr>
        <w:pStyle w:val="ListParagraph"/>
        <w:numPr>
          <w:ilvl w:val="0"/>
          <w:numId w:val="118"/>
        </w:numPr>
        <w:tabs>
          <w:tab w:pos="980" w:val="left" w:leader="none"/>
        </w:tabs>
        <w:spacing w:line="240" w:lineRule="auto" w:before="0" w:after="0"/>
        <w:ind w:left="980" w:right="0" w:hanging="360"/>
        <w:jc w:val="both"/>
        <w:rPr>
          <w:sz w:val="24"/>
        </w:rPr>
      </w:pPr>
      <w:r>
        <w:rPr>
          <w:sz w:val="24"/>
        </w:rPr>
        <w:t>maksātnespējas procesu pilnībā finansē</w:t>
      </w:r>
      <w:r>
        <w:rPr>
          <w:spacing w:val="-2"/>
          <w:sz w:val="24"/>
        </w:rPr>
        <w:t> </w:t>
      </w:r>
      <w:r>
        <w:rPr>
          <w:sz w:val="24"/>
        </w:rPr>
        <w:t>valsts,</w:t>
      </w:r>
    </w:p>
    <w:p>
      <w:pPr>
        <w:pStyle w:val="ListParagraph"/>
        <w:numPr>
          <w:ilvl w:val="0"/>
          <w:numId w:val="118"/>
        </w:numPr>
        <w:tabs>
          <w:tab w:pos="980" w:val="left" w:leader="none"/>
        </w:tabs>
        <w:spacing w:line="240" w:lineRule="auto" w:before="0" w:after="0"/>
        <w:ind w:left="980" w:right="762" w:hanging="360"/>
        <w:jc w:val="left"/>
        <w:rPr>
          <w:sz w:val="24"/>
        </w:rPr>
      </w:pPr>
      <w:r>
        <w:rPr>
          <w:sz w:val="24"/>
        </w:rPr>
        <w:t>šķērssubsīdija – zemu ienākumu maksātnespējas procesi tiek finansēti </w:t>
      </w:r>
      <w:r>
        <w:rPr>
          <w:spacing w:val="-6"/>
          <w:sz w:val="24"/>
        </w:rPr>
        <w:t>no </w:t>
      </w:r>
      <w:r>
        <w:rPr>
          <w:sz w:val="24"/>
        </w:rPr>
        <w:t>“vērtīgajiem” maksātnespējas</w:t>
      </w:r>
      <w:r>
        <w:rPr>
          <w:spacing w:val="-4"/>
          <w:sz w:val="24"/>
        </w:rPr>
        <w:t> </w:t>
      </w:r>
      <w:r>
        <w:rPr>
          <w:sz w:val="24"/>
        </w:rPr>
        <w:t>procesiem,</w:t>
      </w:r>
    </w:p>
    <w:p>
      <w:pPr>
        <w:pStyle w:val="ListParagraph"/>
        <w:numPr>
          <w:ilvl w:val="0"/>
          <w:numId w:val="118"/>
        </w:numPr>
        <w:tabs>
          <w:tab w:pos="980" w:val="left" w:leader="none"/>
        </w:tabs>
        <w:spacing w:line="240" w:lineRule="auto" w:before="0" w:after="0"/>
        <w:ind w:left="980" w:right="764" w:hanging="360"/>
        <w:jc w:val="left"/>
        <w:rPr>
          <w:sz w:val="24"/>
        </w:rPr>
      </w:pPr>
      <w:r>
        <w:rPr>
          <w:sz w:val="24"/>
        </w:rPr>
        <w:t>valsts</w:t>
      </w:r>
      <w:r>
        <w:rPr>
          <w:spacing w:val="-8"/>
          <w:sz w:val="24"/>
        </w:rPr>
        <w:t> </w:t>
      </w:r>
      <w:r>
        <w:rPr>
          <w:sz w:val="24"/>
        </w:rPr>
        <w:t>finansē</w:t>
      </w:r>
      <w:r>
        <w:rPr>
          <w:spacing w:val="-10"/>
          <w:sz w:val="24"/>
        </w:rPr>
        <w:t> </w:t>
      </w:r>
      <w:r>
        <w:rPr>
          <w:sz w:val="24"/>
        </w:rPr>
        <w:t>maksātnespējas</w:t>
      </w:r>
      <w:r>
        <w:rPr>
          <w:spacing w:val="-10"/>
          <w:sz w:val="24"/>
        </w:rPr>
        <w:t> </w:t>
      </w:r>
      <w:r>
        <w:rPr>
          <w:sz w:val="24"/>
        </w:rPr>
        <w:t>procesa</w:t>
      </w:r>
      <w:r>
        <w:rPr>
          <w:spacing w:val="-10"/>
          <w:sz w:val="24"/>
        </w:rPr>
        <w:t> </w:t>
      </w:r>
      <w:r>
        <w:rPr>
          <w:sz w:val="24"/>
        </w:rPr>
        <w:t>administratoru</w:t>
      </w:r>
      <w:r>
        <w:rPr>
          <w:spacing w:val="-8"/>
          <w:sz w:val="24"/>
        </w:rPr>
        <w:t> </w:t>
      </w:r>
      <w:r>
        <w:rPr>
          <w:sz w:val="24"/>
        </w:rPr>
        <w:t>un</w:t>
      </w:r>
      <w:r>
        <w:rPr>
          <w:spacing w:val="-8"/>
          <w:sz w:val="24"/>
        </w:rPr>
        <w:t> </w:t>
      </w:r>
      <w:r>
        <w:rPr>
          <w:sz w:val="24"/>
        </w:rPr>
        <w:t>citu</w:t>
      </w:r>
      <w:r>
        <w:rPr>
          <w:spacing w:val="-8"/>
          <w:sz w:val="24"/>
        </w:rPr>
        <w:t> </w:t>
      </w:r>
      <w:r>
        <w:rPr>
          <w:sz w:val="24"/>
        </w:rPr>
        <w:t>iesaistīto</w:t>
      </w:r>
      <w:r>
        <w:rPr>
          <w:spacing w:val="-5"/>
          <w:sz w:val="24"/>
        </w:rPr>
        <w:t> </w:t>
      </w:r>
      <w:r>
        <w:rPr>
          <w:sz w:val="24"/>
        </w:rPr>
        <w:t>profesionāļu darbu, kā arī parādniekiem ir pieejams atbrīvojums no tiesas</w:t>
      </w:r>
      <w:r>
        <w:rPr>
          <w:spacing w:val="-2"/>
          <w:sz w:val="24"/>
        </w:rPr>
        <w:t> </w:t>
      </w:r>
      <w:r>
        <w:rPr>
          <w:sz w:val="24"/>
        </w:rPr>
        <w:t>izdevumiem,</w:t>
      </w:r>
    </w:p>
    <w:p>
      <w:pPr>
        <w:pStyle w:val="ListParagraph"/>
        <w:numPr>
          <w:ilvl w:val="0"/>
          <w:numId w:val="118"/>
        </w:numPr>
        <w:tabs>
          <w:tab w:pos="980" w:val="left" w:leader="none"/>
        </w:tabs>
        <w:spacing w:line="240" w:lineRule="auto" w:before="0" w:after="0"/>
        <w:ind w:left="980" w:right="761" w:hanging="360"/>
        <w:jc w:val="left"/>
        <w:rPr>
          <w:sz w:val="24"/>
        </w:rPr>
      </w:pPr>
      <w:r>
        <w:rPr>
          <w:sz w:val="24"/>
        </w:rPr>
        <w:t>maksātnespējas procesa finansēšana nodota kreditoru ziņā, piemēram, no nodokļu/nodevu ienākumiem, kas tiek piemēroti neatgūstamajiem parādiem</w:t>
      </w:r>
      <w:r>
        <w:rPr>
          <w:spacing w:val="-33"/>
          <w:sz w:val="24"/>
        </w:rPr>
        <w:t> </w:t>
      </w:r>
      <w:r>
        <w:rPr>
          <w:sz w:val="24"/>
        </w:rPr>
        <w:t>u.tml.,</w:t>
      </w:r>
    </w:p>
    <w:p>
      <w:pPr>
        <w:pStyle w:val="ListParagraph"/>
        <w:numPr>
          <w:ilvl w:val="0"/>
          <w:numId w:val="118"/>
        </w:numPr>
        <w:tabs>
          <w:tab w:pos="980" w:val="left" w:leader="none"/>
        </w:tabs>
        <w:spacing w:line="228" w:lineRule="auto" w:before="11" w:after="0"/>
        <w:ind w:left="980" w:right="761" w:hanging="360"/>
        <w:jc w:val="left"/>
        <w:rPr>
          <w:sz w:val="16"/>
        </w:rPr>
      </w:pPr>
      <w:r>
        <w:rPr>
          <w:sz w:val="24"/>
        </w:rPr>
        <w:t>nav speciālu noteikumu, taču darbojas vispārīgā kārtība atbrīvojumam no tiesas izdevumiem.</w:t>
      </w:r>
      <w:r>
        <w:rPr>
          <w:position w:val="9"/>
          <w:sz w:val="16"/>
        </w:rPr>
        <w:t>521</w:t>
      </w:r>
    </w:p>
    <w:p>
      <w:pPr>
        <w:pStyle w:val="BodyText"/>
        <w:spacing w:before="1"/>
        <w:ind w:left="260" w:right="763" w:firstLine="360"/>
      </w:pPr>
      <w:r>
        <w:rPr/>
        <w:t>Pasaules Bankas pētījumā secināts, ka katrs no minētajiem instrumentiem ietver sevī atsevišķus negatīvus aspektus. Vienlaikus minētajā pētījumā secināts, ka fiziskās personas maksātnespējas procesa esamība sniedz ekonomisku un sociālu labumu ne vien parādniekam un kreditoriem, bet arī trešajām personām (sabiedrībai). Tādēļ ir pamats</w:t>
      </w:r>
    </w:p>
    <w:p>
      <w:pPr>
        <w:pStyle w:val="BodyText"/>
        <w:spacing w:before="6"/>
        <w:jc w:val="left"/>
        <w:rPr>
          <w:sz w:val="16"/>
        </w:rPr>
      </w:pPr>
      <w:r>
        <w:rPr/>
        <w:pict>
          <v:shape style="position:absolute;margin-left:72pt;margin-top:11.774079pt;width:144pt;height:.1pt;mso-position-horizontal-relative:page;mso-position-vertical-relative:paragraph;z-index:-251436032;mso-wrap-distance-left:0;mso-wrap-distance-right:0" coordorigin="1440,235" coordsize="2880,0" path="m1440,235l4320,235e" filled="false" stroked="true" strokeweight=".599991pt" strokecolor="#000000">
            <v:path arrowok="t"/>
            <v:stroke dashstyle="solid"/>
            <w10:wrap type="topAndBottom"/>
          </v:shape>
        </w:pict>
      </w:r>
    </w:p>
    <w:p>
      <w:pPr>
        <w:spacing w:line="249" w:lineRule="auto" w:before="58"/>
        <w:ind w:left="260" w:right="635" w:firstLine="0"/>
        <w:jc w:val="left"/>
        <w:rPr>
          <w:sz w:val="20"/>
        </w:rPr>
      </w:pPr>
      <w:r>
        <w:rPr>
          <w:position w:val="9"/>
          <w:sz w:val="16"/>
        </w:rPr>
        <w:t>520 </w:t>
      </w:r>
      <w:r>
        <w:rPr>
          <w:sz w:val="20"/>
        </w:rPr>
        <w:t>Sk.: Kilborn Jason J. The Rise and Fall of Fear of Abuse in Consumer Bankruptcy: Most Recent Comparative Evidence from Europe and Beyond. Texas Law Review, Vol.96:1327, 2018, p.1338.</w:t>
      </w:r>
    </w:p>
    <w:p>
      <w:pPr>
        <w:spacing w:line="258" w:lineRule="exact" w:before="0"/>
        <w:ind w:left="260" w:right="0" w:firstLine="0"/>
        <w:jc w:val="left"/>
        <w:rPr>
          <w:sz w:val="20"/>
        </w:rPr>
      </w:pPr>
      <w:r>
        <w:rPr>
          <w:position w:val="9"/>
          <w:sz w:val="16"/>
        </w:rPr>
        <w:t>521 </w:t>
      </w:r>
      <w:r>
        <w:rPr>
          <w:sz w:val="20"/>
        </w:rPr>
        <w:t>The World Bank. Report on the Treatment of the Insolvency of Natural Persons. 2013, p. 61, para 182.</w:t>
      </w:r>
    </w:p>
    <w:p>
      <w:pPr>
        <w:spacing w:before="10"/>
        <w:ind w:left="260" w:right="750" w:firstLine="0"/>
        <w:jc w:val="left"/>
        <w:rPr>
          <w:sz w:val="20"/>
        </w:rPr>
      </w:pPr>
      <w:r>
        <w:rPr>
          <w:sz w:val="20"/>
        </w:rPr>
        <w:t>Pieejams: </w:t>
      </w:r>
      <w:hyperlink r:id="rId98">
        <w:r>
          <w:rPr>
            <w:color w:val="0562C1"/>
            <w:sz w:val="20"/>
            <w:u w:val="single" w:color="0562C1"/>
          </w:rPr>
          <w:t>http://siteresources.worldbank.org/INTGILD/Resources/WBInsolvencyOfNaturalPersonsReport_01_11_13.</w:t>
        </w:r>
      </w:hyperlink>
      <w:r>
        <w:rPr>
          <w:color w:val="0562C1"/>
          <w:sz w:val="20"/>
        </w:rPr>
        <w:t> </w:t>
      </w:r>
      <w:r>
        <w:rPr>
          <w:color w:val="0562C1"/>
          <w:sz w:val="20"/>
          <w:u w:val="single" w:color="0562C1"/>
        </w:rPr>
        <w:t>pdf</w:t>
      </w:r>
      <w:r>
        <w:rPr>
          <w:color w:val="0562C1"/>
          <w:sz w:val="20"/>
        </w:rPr>
        <w:t> </w:t>
      </w:r>
      <w:r>
        <w:rPr>
          <w:sz w:val="20"/>
        </w:rPr>
        <w:t>[aplūkots 2018.gada 20.septembrī].</w:t>
      </w:r>
    </w:p>
    <w:p>
      <w:pPr>
        <w:spacing w:after="0"/>
        <w:jc w:val="left"/>
        <w:rPr>
          <w:sz w:val="20"/>
        </w:rPr>
        <w:sectPr>
          <w:pgSz w:w="11910" w:h="16840"/>
          <w:pgMar w:header="0" w:footer="1055" w:top="1340" w:bottom="1240" w:left="1180" w:right="1040"/>
        </w:sectPr>
      </w:pPr>
    </w:p>
    <w:p>
      <w:pPr>
        <w:pStyle w:val="BodyText"/>
        <w:spacing w:line="228" w:lineRule="auto" w:before="84"/>
        <w:ind w:left="620"/>
        <w:jc w:val="left"/>
        <w:rPr>
          <w:sz w:val="16"/>
        </w:rPr>
      </w:pPr>
      <w:r>
        <w:rPr/>
        <w:t>izvirzīt tēzi, ka katrai no labumu gūstošajām grupām ir jāsniedz “taisnīgs ieguldījums” maksātnespējas procesa izmaksu segšanā.</w:t>
      </w:r>
      <w:r>
        <w:rPr>
          <w:position w:val="9"/>
          <w:sz w:val="16"/>
        </w:rPr>
        <w:t>522</w:t>
      </w:r>
    </w:p>
    <w:p>
      <w:pPr>
        <w:pStyle w:val="BodyText"/>
        <w:jc w:val="left"/>
        <w:rPr>
          <w:sz w:val="28"/>
        </w:rPr>
      </w:pPr>
    </w:p>
    <w:p>
      <w:pPr>
        <w:pStyle w:val="BodyText"/>
        <w:spacing w:before="7"/>
        <w:jc w:val="left"/>
      </w:pPr>
    </w:p>
    <w:p>
      <w:pPr>
        <w:pStyle w:val="Heading2"/>
        <w:numPr>
          <w:ilvl w:val="0"/>
          <w:numId w:val="116"/>
        </w:numPr>
        <w:tabs>
          <w:tab w:pos="1763" w:val="left" w:leader="none"/>
        </w:tabs>
        <w:spacing w:line="240" w:lineRule="auto" w:before="0" w:after="0"/>
        <w:ind w:left="1697" w:right="763" w:hanging="296"/>
        <w:jc w:val="left"/>
      </w:pPr>
      <w:r>
        <w:rPr>
          <w:b w:val="0"/>
        </w:rPr>
        <w:tab/>
      </w:r>
      <w:r>
        <w:rPr/>
        <w:t>Dažāda izpratne par procesā iesaistīto personu – kreditoru, maksātnespējas procesa administratoru un tiesnešu lomu</w:t>
      </w:r>
      <w:r>
        <w:rPr>
          <w:spacing w:val="-10"/>
        </w:rPr>
        <w:t> </w:t>
      </w:r>
      <w:r>
        <w:rPr/>
        <w:t>un</w:t>
      </w:r>
    </w:p>
    <w:p>
      <w:pPr>
        <w:spacing w:line="321" w:lineRule="exact" w:before="0"/>
        <w:ind w:left="4546" w:right="0" w:firstLine="0"/>
        <w:jc w:val="left"/>
        <w:rPr>
          <w:b/>
          <w:sz w:val="28"/>
        </w:rPr>
      </w:pPr>
      <w:r>
        <w:rPr>
          <w:b/>
          <w:sz w:val="28"/>
        </w:rPr>
        <w:t>uzdevumiem</w:t>
      </w:r>
    </w:p>
    <w:p>
      <w:pPr>
        <w:pStyle w:val="BodyText"/>
        <w:spacing w:before="7"/>
        <w:jc w:val="left"/>
        <w:rPr>
          <w:b/>
          <w:sz w:val="27"/>
        </w:rPr>
      </w:pPr>
    </w:p>
    <w:p>
      <w:pPr>
        <w:pStyle w:val="BodyText"/>
        <w:ind w:left="620" w:right="400" w:firstLine="360"/>
      </w:pPr>
      <w:r>
        <w:rPr/>
        <w:t>Lai arī Maksātnespējas likums ir centrēts uz to, ka saistību dzēšana fiziskās personas maksātnespējas procesā ir pieejama godprātīgam parādniekam, pētījuma ietvaros veikto maksātnespējas procesu un tiesu prakses analīze, kā arī respondentu un nozares pārstāvju sniegtās atbildes apliecina, ka nereti saistības tiek dzēstas arī negodprātīgiem parādniekiem. Turklāt Latvijā ir novērojama visnotaļ atšķirīga nostāja jautājumā par to, ciktāl negodprātības izskaušanu likumdevējs ir vēlējies nodot maksātnespējas procesa administratoru, tiesas vai kreditoru iniciatīvas ziņā. Zīmīgi, ka pamatā šo nostāju par “atbildīgo personu” ietekmē ieņemamais amats vai statuss (tiesnesis, maksātnespējas procesa administrators vai kreditors).</w:t>
      </w:r>
    </w:p>
    <w:p>
      <w:pPr>
        <w:pStyle w:val="BodyText"/>
        <w:spacing w:before="1"/>
        <w:ind w:left="620" w:right="404" w:firstLine="360"/>
      </w:pPr>
      <w:r>
        <w:rPr/>
        <w:t>Piemēram, maksātnespējas procesa administratori norāda uz parādnieku vieglprātību vai nevēlēšanos sadarboties, kreditoru kūtrumu vai tiesas/kreditoru vēlmi pieprasīt, lai administratori stingrāk kontrolē parādniekus, lai gan likums faktiski neparedz par to atlīdzību, kā arī uz to, ka likums neparedz pietiekami efektīvus instrumentus cīņai pret negodprātīgiem parādniekiem. Kreditori pārsvarā norāda uz administratoru motivācijas trūkumu, nevienveidīgu tiesu praksi, kā arī tiesisku instrumentu trūkumu pašiem veikt parādnieka kontroli. Savukārt tiesneši pārsvarā norāda gan uz administratoru kūtrumu un vēlmi, lai administratori veic lielāku parādnieku kontroli un sniedz lielāku atbalstu tiesai, gan</w:t>
      </w:r>
      <w:r>
        <w:rPr>
          <w:spacing w:val="-9"/>
        </w:rPr>
        <w:t> </w:t>
      </w:r>
      <w:r>
        <w:rPr/>
        <w:t>arī</w:t>
      </w:r>
      <w:r>
        <w:rPr>
          <w:spacing w:val="-10"/>
        </w:rPr>
        <w:t> </w:t>
      </w:r>
      <w:r>
        <w:rPr/>
        <w:t>uz</w:t>
      </w:r>
      <w:r>
        <w:rPr>
          <w:spacing w:val="-7"/>
        </w:rPr>
        <w:t> </w:t>
      </w:r>
      <w:r>
        <w:rPr/>
        <w:t>to,</w:t>
      </w:r>
      <w:r>
        <w:rPr>
          <w:spacing w:val="-10"/>
        </w:rPr>
        <w:t> </w:t>
      </w:r>
      <w:r>
        <w:rPr/>
        <w:t>ka</w:t>
      </w:r>
      <w:r>
        <w:rPr>
          <w:spacing w:val="-11"/>
        </w:rPr>
        <w:t> </w:t>
      </w:r>
      <w:r>
        <w:rPr/>
        <w:t>kreditori</w:t>
      </w:r>
      <w:r>
        <w:rPr>
          <w:spacing w:val="-12"/>
        </w:rPr>
        <w:t> </w:t>
      </w:r>
      <w:r>
        <w:rPr/>
        <w:t>ir</w:t>
      </w:r>
      <w:r>
        <w:rPr>
          <w:spacing w:val="-6"/>
        </w:rPr>
        <w:t> </w:t>
      </w:r>
      <w:r>
        <w:rPr/>
        <w:t>pārāk</w:t>
      </w:r>
      <w:r>
        <w:rPr>
          <w:spacing w:val="-9"/>
        </w:rPr>
        <w:t> </w:t>
      </w:r>
      <w:r>
        <w:rPr/>
        <w:t>pasīvi,</w:t>
      </w:r>
      <w:r>
        <w:rPr>
          <w:spacing w:val="-8"/>
        </w:rPr>
        <w:t> </w:t>
      </w:r>
      <w:r>
        <w:rPr/>
        <w:t>kā</w:t>
      </w:r>
      <w:r>
        <w:rPr>
          <w:spacing w:val="-11"/>
        </w:rPr>
        <w:t> </w:t>
      </w:r>
      <w:r>
        <w:rPr/>
        <w:t>rezultātā</w:t>
      </w:r>
      <w:r>
        <w:rPr>
          <w:spacing w:val="-8"/>
        </w:rPr>
        <w:t> </w:t>
      </w:r>
      <w:r>
        <w:rPr/>
        <w:t>rodas</w:t>
      </w:r>
      <w:r>
        <w:rPr>
          <w:spacing w:val="-9"/>
        </w:rPr>
        <w:t> </w:t>
      </w:r>
      <w:r>
        <w:rPr/>
        <w:t>iespaids,</w:t>
      </w:r>
      <w:r>
        <w:rPr>
          <w:spacing w:val="-8"/>
        </w:rPr>
        <w:t> </w:t>
      </w:r>
      <w:r>
        <w:rPr/>
        <w:t>ka</w:t>
      </w:r>
      <w:r>
        <w:rPr>
          <w:spacing w:val="-10"/>
        </w:rPr>
        <w:t> </w:t>
      </w:r>
      <w:r>
        <w:rPr/>
        <w:t>tikai</w:t>
      </w:r>
      <w:r>
        <w:rPr>
          <w:spacing w:val="-13"/>
        </w:rPr>
        <w:t> </w:t>
      </w:r>
      <w:r>
        <w:rPr/>
        <w:t>tiesnešiem</w:t>
      </w:r>
      <w:r>
        <w:rPr>
          <w:spacing w:val="-8"/>
        </w:rPr>
        <w:t> </w:t>
      </w:r>
      <w:r>
        <w:rPr/>
        <w:t>rūp parādnieku negodprātības</w:t>
      </w:r>
      <w:r>
        <w:rPr>
          <w:spacing w:val="-1"/>
        </w:rPr>
        <w:t> </w:t>
      </w:r>
      <w:r>
        <w:rPr/>
        <w:t>jautājums.</w:t>
      </w:r>
    </w:p>
    <w:p>
      <w:pPr>
        <w:pStyle w:val="BodyText"/>
        <w:ind w:left="620" w:right="401" w:firstLine="360"/>
      </w:pPr>
      <w:r>
        <w:rPr/>
        <w:t>Sistēmiski iztulkojot Maksātnespējas likuma un Civilprocesa likuma tiesību normas,</w:t>
      </w:r>
      <w:r>
        <w:rPr>
          <w:spacing w:val="-29"/>
        </w:rPr>
        <w:t> </w:t>
      </w:r>
      <w:r>
        <w:rPr/>
        <w:t>ir secināms, ka pamatā likumdevējs ir vēlējies, lai maksātnespējas procesa pasludināšanas stadijā negodprātīgu parādnieku “atsijāšana” ir tiesas kompetencē, bankrota procedūras laikā - maksātnespējas procesa administratora ziņā (ar kreditoru tiesībām paziņot par iespējamiem parādnieka negodprātības elementiem, kā arī sniegt tiesā iebildumus), bet saistību dzēšanas procedūras laikā – kreditora iniciatīvas ziņā. Un tieši par pēdējo posmu</w:t>
      </w:r>
      <w:r>
        <w:rPr>
          <w:spacing w:val="-35"/>
        </w:rPr>
        <w:t> </w:t>
      </w:r>
      <w:r>
        <w:rPr/>
        <w:t>- parādnieka uzraudzību un kontroli saistību dzēšanas procedūras laikā ir visvairāk savstarpēju pārmetumu no maksātnespējas procesa administratoru, kreditoru un tiesnešu puses.</w:t>
      </w:r>
    </w:p>
    <w:p>
      <w:pPr>
        <w:pStyle w:val="BodyText"/>
        <w:ind w:left="620" w:right="401" w:firstLine="360"/>
      </w:pPr>
      <w:r>
        <w:rPr/>
        <w:t>Jāteic, ka, atsaucoties uz vispārējām tiesību normām un tiesību principiem, var nonākt pie dažādiem, nereti savstarpēji izslēdzošiem viedokļiem par “atbildīgo personu”, kurai jārūpējas par to, lai saistības tiktu dzēstas tikai godprātīgam parādniekam. Tomēr, tā kā Maksātnespējas likumā jautājums par parādnieka uzraudzību un kontroli saistību</w:t>
      </w:r>
      <w:r>
        <w:rPr>
          <w:spacing w:val="-20"/>
        </w:rPr>
        <w:t> </w:t>
      </w:r>
      <w:r>
        <w:rPr/>
        <w:t>dzēšanas procedūras laikā ir regulēts ar speciālajām tiesību normām, šādi vispārinājumi ir nevietā. Proti, no speciālajām Maksātnespējas likuma tiesību normām (un arī no Civilprocesa tiesību normām) nepārprotami izriet tas, ka saistību dzēšanas procedūras laikā parādnieka kontrole ir kreditoru iniciatīvas</w:t>
      </w:r>
      <w:r>
        <w:rPr>
          <w:spacing w:val="-6"/>
        </w:rPr>
        <w:t> </w:t>
      </w:r>
      <w:r>
        <w:rPr/>
        <w:t>ziņā.</w:t>
      </w:r>
    </w:p>
    <w:p>
      <w:pPr>
        <w:pStyle w:val="BodyText"/>
        <w:ind w:left="620" w:right="403" w:firstLine="360"/>
      </w:pPr>
      <w:r>
        <w:rPr/>
        <w:t>Par to nepārprotami liecina gan būtiski atšķirīgais maksātnespējas procesa administratora</w:t>
      </w:r>
      <w:r>
        <w:rPr>
          <w:spacing w:val="-11"/>
        </w:rPr>
        <w:t> </w:t>
      </w:r>
      <w:r>
        <w:rPr/>
        <w:t>pienākumu</w:t>
      </w:r>
      <w:r>
        <w:rPr>
          <w:spacing w:val="-9"/>
        </w:rPr>
        <w:t> </w:t>
      </w:r>
      <w:r>
        <w:rPr/>
        <w:t>uzskaitījums</w:t>
      </w:r>
      <w:r>
        <w:rPr>
          <w:spacing w:val="-8"/>
        </w:rPr>
        <w:t> </w:t>
      </w:r>
      <w:r>
        <w:rPr/>
        <w:t>bankrota</w:t>
      </w:r>
      <w:r>
        <w:rPr>
          <w:spacing w:val="-9"/>
        </w:rPr>
        <w:t> </w:t>
      </w:r>
      <w:r>
        <w:rPr/>
        <w:t>procedūras</w:t>
      </w:r>
      <w:r>
        <w:rPr>
          <w:spacing w:val="-8"/>
        </w:rPr>
        <w:t> </w:t>
      </w:r>
      <w:r>
        <w:rPr/>
        <w:t>laikā</w:t>
      </w:r>
      <w:r>
        <w:rPr>
          <w:spacing w:val="-9"/>
        </w:rPr>
        <w:t> </w:t>
      </w:r>
      <w:r>
        <w:rPr/>
        <w:t>(Maksātnespējas</w:t>
      </w:r>
      <w:r>
        <w:rPr>
          <w:spacing w:val="-10"/>
        </w:rPr>
        <w:t> </w:t>
      </w:r>
      <w:r>
        <w:rPr/>
        <w:t>likuma 137.p.)</w:t>
      </w:r>
      <w:r>
        <w:rPr>
          <w:spacing w:val="8"/>
        </w:rPr>
        <w:t> </w:t>
      </w:r>
      <w:r>
        <w:rPr/>
        <w:t>un</w:t>
      </w:r>
      <w:r>
        <w:rPr>
          <w:spacing w:val="9"/>
        </w:rPr>
        <w:t> </w:t>
      </w:r>
      <w:r>
        <w:rPr/>
        <w:t>saistību</w:t>
      </w:r>
      <w:r>
        <w:rPr>
          <w:spacing w:val="8"/>
        </w:rPr>
        <w:t> </w:t>
      </w:r>
      <w:r>
        <w:rPr/>
        <w:t>dzēšanas</w:t>
      </w:r>
      <w:r>
        <w:rPr>
          <w:spacing w:val="9"/>
        </w:rPr>
        <w:t> </w:t>
      </w:r>
      <w:r>
        <w:rPr/>
        <w:t>procedūras</w:t>
      </w:r>
      <w:r>
        <w:rPr>
          <w:spacing w:val="11"/>
        </w:rPr>
        <w:t> </w:t>
      </w:r>
      <w:r>
        <w:rPr/>
        <w:t>laikā</w:t>
      </w:r>
      <w:r>
        <w:rPr>
          <w:spacing w:val="9"/>
        </w:rPr>
        <w:t> </w:t>
      </w:r>
      <w:r>
        <w:rPr/>
        <w:t>(Maksātnespējas</w:t>
      </w:r>
      <w:r>
        <w:rPr>
          <w:spacing w:val="8"/>
        </w:rPr>
        <w:t> </w:t>
      </w:r>
      <w:r>
        <w:rPr/>
        <w:t>likuma</w:t>
      </w:r>
      <w:r>
        <w:rPr>
          <w:spacing w:val="9"/>
        </w:rPr>
        <w:t> </w:t>
      </w:r>
      <w:r>
        <w:rPr/>
        <w:t>159.pants),</w:t>
      </w:r>
      <w:r>
        <w:rPr>
          <w:spacing w:val="11"/>
        </w:rPr>
        <w:t> </w:t>
      </w:r>
      <w:r>
        <w:rPr/>
        <w:t>gan</w:t>
      </w:r>
      <w:r>
        <w:rPr>
          <w:spacing w:val="9"/>
        </w:rPr>
        <w:t> </w:t>
      </w:r>
      <w:r>
        <w:rPr/>
        <w:t>arī</w:t>
      </w:r>
    </w:p>
    <w:p>
      <w:pPr>
        <w:pStyle w:val="BodyText"/>
        <w:jc w:val="left"/>
        <w:rPr>
          <w:sz w:val="20"/>
        </w:rPr>
      </w:pPr>
    </w:p>
    <w:p>
      <w:pPr>
        <w:pStyle w:val="BodyText"/>
        <w:spacing w:before="7"/>
        <w:jc w:val="left"/>
        <w:rPr>
          <w:sz w:val="12"/>
        </w:rPr>
      </w:pPr>
      <w:r>
        <w:rPr/>
        <w:pict>
          <v:shape style="position:absolute;margin-left:90pt;margin-top:9.513515pt;width:144pt;height:.1pt;mso-position-horizontal-relative:page;mso-position-vertical-relative:paragraph;z-index:-251435008;mso-wrap-distance-left:0;mso-wrap-distance-right:0" coordorigin="1800,190" coordsize="2880,0" path="m1800,190l4680,190e" filled="false" stroked="true" strokeweight=".599991pt" strokecolor="#000000">
            <v:path arrowok="t"/>
            <v:stroke dashstyle="solid"/>
            <w10:wrap type="topAndBottom"/>
          </v:shape>
        </w:pict>
      </w:r>
    </w:p>
    <w:p>
      <w:pPr>
        <w:spacing w:before="70"/>
        <w:ind w:left="620" w:right="0" w:firstLine="0"/>
        <w:jc w:val="left"/>
        <w:rPr>
          <w:sz w:val="20"/>
        </w:rPr>
      </w:pPr>
      <w:r>
        <w:rPr>
          <w:position w:val="7"/>
          <w:sz w:val="13"/>
        </w:rPr>
        <w:t>522 </w:t>
      </w:r>
      <w:r>
        <w:rPr>
          <w:sz w:val="20"/>
        </w:rPr>
        <w:t>Ibid, p.62., para 183.</w:t>
      </w:r>
    </w:p>
    <w:p>
      <w:pPr>
        <w:spacing w:after="0"/>
        <w:jc w:val="left"/>
        <w:rPr>
          <w:sz w:val="20"/>
        </w:rPr>
        <w:sectPr>
          <w:footerReference w:type="default" r:id="rId110"/>
          <w:footerReference w:type="even" r:id="rId111"/>
          <w:pgSz w:w="11910" w:h="16840"/>
          <w:pgMar w:footer="1055" w:header="0" w:top="1340" w:bottom="1240" w:left="1180" w:right="1040"/>
          <w:pgNumType w:start="201"/>
        </w:sectPr>
      </w:pPr>
    </w:p>
    <w:p>
      <w:pPr>
        <w:pStyle w:val="BodyText"/>
        <w:spacing w:before="73"/>
        <w:ind w:left="260" w:right="761"/>
      </w:pPr>
      <w:r>
        <w:rPr/>
        <w:t>tiesiskais regulējums par parādnieka uzraudzību saistību dzēšanas procedūras laikā (Maksātnespējas likuma 163.pants) un kreditoriem paredzētās tiesības iesniegt tiesā pieteikumu</w:t>
      </w:r>
      <w:r>
        <w:rPr>
          <w:spacing w:val="-12"/>
        </w:rPr>
        <w:t> </w:t>
      </w:r>
      <w:r>
        <w:rPr/>
        <w:t>par</w:t>
      </w:r>
      <w:r>
        <w:rPr>
          <w:spacing w:val="-13"/>
        </w:rPr>
        <w:t> </w:t>
      </w:r>
      <w:r>
        <w:rPr/>
        <w:t>saistību</w:t>
      </w:r>
      <w:r>
        <w:rPr>
          <w:spacing w:val="-11"/>
        </w:rPr>
        <w:t> </w:t>
      </w:r>
      <w:r>
        <w:rPr/>
        <w:t>dzēšanas</w:t>
      </w:r>
      <w:r>
        <w:rPr>
          <w:spacing w:val="-13"/>
        </w:rPr>
        <w:t> </w:t>
      </w:r>
      <w:r>
        <w:rPr/>
        <w:t>procedūras</w:t>
      </w:r>
      <w:r>
        <w:rPr>
          <w:spacing w:val="-11"/>
        </w:rPr>
        <w:t> </w:t>
      </w:r>
      <w:r>
        <w:rPr/>
        <w:t>izbeigšanu</w:t>
      </w:r>
      <w:r>
        <w:rPr>
          <w:spacing w:val="-10"/>
        </w:rPr>
        <w:t> </w:t>
      </w:r>
      <w:r>
        <w:rPr/>
        <w:t>(Maksātnespējas</w:t>
      </w:r>
      <w:r>
        <w:rPr>
          <w:spacing w:val="-11"/>
        </w:rPr>
        <w:t> </w:t>
      </w:r>
      <w:r>
        <w:rPr/>
        <w:t>likuma</w:t>
      </w:r>
      <w:r>
        <w:rPr>
          <w:spacing w:val="-10"/>
        </w:rPr>
        <w:t> </w:t>
      </w:r>
      <w:r>
        <w:rPr/>
        <w:t>165.panta trešā daļa). Turklāt no Maksātnespējas likuma 163.panta nepārprotami izriet, ka likumdevējs nav vēlējies, lai saistību dzēšanas procedūras laikā tiktu īstenota pastāvīga kontrole</w:t>
      </w:r>
      <w:r>
        <w:rPr>
          <w:spacing w:val="-15"/>
        </w:rPr>
        <w:t> </w:t>
      </w:r>
      <w:r>
        <w:rPr/>
        <w:t>par</w:t>
      </w:r>
      <w:r>
        <w:rPr>
          <w:spacing w:val="-18"/>
        </w:rPr>
        <w:t> </w:t>
      </w:r>
      <w:r>
        <w:rPr/>
        <w:t>parādnieka</w:t>
      </w:r>
      <w:r>
        <w:rPr>
          <w:spacing w:val="-15"/>
        </w:rPr>
        <w:t> </w:t>
      </w:r>
      <w:r>
        <w:rPr/>
        <w:t>rīcību,</w:t>
      </w:r>
      <w:r>
        <w:rPr>
          <w:spacing w:val="-15"/>
        </w:rPr>
        <w:t> </w:t>
      </w:r>
      <w:r>
        <w:rPr/>
        <w:t>bet</w:t>
      </w:r>
      <w:r>
        <w:rPr>
          <w:spacing w:val="-17"/>
        </w:rPr>
        <w:t> </w:t>
      </w:r>
      <w:r>
        <w:rPr/>
        <w:t>gan</w:t>
      </w:r>
      <w:r>
        <w:rPr>
          <w:spacing w:val="-15"/>
        </w:rPr>
        <w:t> </w:t>
      </w:r>
      <w:r>
        <w:rPr/>
        <w:t>tikai</w:t>
      </w:r>
      <w:r>
        <w:rPr>
          <w:spacing w:val="-17"/>
        </w:rPr>
        <w:t> </w:t>
      </w:r>
      <w:r>
        <w:rPr/>
        <w:t>tad,</w:t>
      </w:r>
      <w:r>
        <w:rPr>
          <w:spacing w:val="-15"/>
        </w:rPr>
        <w:t> </w:t>
      </w:r>
      <w:r>
        <w:rPr/>
        <w:t>ja</w:t>
      </w:r>
      <w:r>
        <w:rPr>
          <w:spacing w:val="-15"/>
        </w:rPr>
        <w:t> </w:t>
      </w:r>
      <w:r>
        <w:rPr/>
        <w:t>kreditoriem</w:t>
      </w:r>
      <w:r>
        <w:rPr>
          <w:spacing w:val="-15"/>
        </w:rPr>
        <w:t> </w:t>
      </w:r>
      <w:r>
        <w:rPr/>
        <w:t>ir</w:t>
      </w:r>
      <w:r>
        <w:rPr>
          <w:spacing w:val="-15"/>
        </w:rPr>
        <w:t> </w:t>
      </w:r>
      <w:r>
        <w:rPr/>
        <w:t>informācija,</w:t>
      </w:r>
      <w:r>
        <w:rPr>
          <w:spacing w:val="-17"/>
        </w:rPr>
        <w:t> </w:t>
      </w:r>
      <w:r>
        <w:rPr/>
        <w:t>ka</w:t>
      </w:r>
      <w:r>
        <w:rPr>
          <w:spacing w:val="-15"/>
        </w:rPr>
        <w:t> </w:t>
      </w:r>
      <w:r>
        <w:rPr/>
        <w:t>parādnieks slēpj savus ienākumus vai neveic šajā likumā noteiktās darbības, lai segtu pēc iespējas lielāku daļu no savām</w:t>
      </w:r>
      <w:r>
        <w:rPr>
          <w:spacing w:val="-2"/>
        </w:rPr>
        <w:t> </w:t>
      </w:r>
      <w:r>
        <w:rPr/>
        <w:t>saistībām.</w:t>
      </w:r>
    </w:p>
    <w:p>
      <w:pPr>
        <w:pStyle w:val="BodyText"/>
        <w:ind w:left="260" w:right="762" w:firstLine="360"/>
      </w:pPr>
      <w:r>
        <w:rPr/>
        <w:t>Arī tiesiskais regulējums par saistību dzēšanas nolēmuma pieņemšanas kārtību</w:t>
      </w:r>
      <w:r>
        <w:rPr>
          <w:spacing w:val="-31"/>
        </w:rPr>
        <w:t> </w:t>
      </w:r>
      <w:r>
        <w:rPr/>
        <w:t>liecina, ka atbilstoši likumdevēja iecerei tikai iebildumu gadījumā, lemjot par parādnieka atbrīvošanu no saistībām, tiek vērtēta parādnieka godprātība saistību dzēšanas procedūras laikā</w:t>
      </w:r>
      <w:r>
        <w:rPr>
          <w:spacing w:val="-6"/>
        </w:rPr>
        <w:t> </w:t>
      </w:r>
      <w:r>
        <w:rPr/>
        <w:t>(piemēram,</w:t>
      </w:r>
      <w:r>
        <w:rPr>
          <w:spacing w:val="-5"/>
        </w:rPr>
        <w:t> </w:t>
      </w:r>
      <w:r>
        <w:rPr/>
        <w:t>tas,</w:t>
      </w:r>
      <w:r>
        <w:rPr>
          <w:spacing w:val="-6"/>
        </w:rPr>
        <w:t> </w:t>
      </w:r>
      <w:r>
        <w:rPr/>
        <w:t>vai</w:t>
      </w:r>
      <w:r>
        <w:rPr>
          <w:spacing w:val="-5"/>
        </w:rPr>
        <w:t> </w:t>
      </w:r>
      <w:r>
        <w:rPr/>
        <w:t>parādnieks</w:t>
      </w:r>
      <w:r>
        <w:rPr>
          <w:spacing w:val="-6"/>
        </w:rPr>
        <w:t> </w:t>
      </w:r>
      <w:r>
        <w:rPr/>
        <w:t>ir</w:t>
      </w:r>
      <w:r>
        <w:rPr>
          <w:spacing w:val="-5"/>
        </w:rPr>
        <w:t> </w:t>
      </w:r>
      <w:r>
        <w:rPr/>
        <w:t>veicis</w:t>
      </w:r>
      <w:r>
        <w:rPr>
          <w:spacing w:val="-5"/>
        </w:rPr>
        <w:t> </w:t>
      </w:r>
      <w:r>
        <w:rPr/>
        <w:t>maksājumus</w:t>
      </w:r>
      <w:r>
        <w:rPr>
          <w:spacing w:val="-6"/>
        </w:rPr>
        <w:t> </w:t>
      </w:r>
      <w:r>
        <w:rPr/>
        <w:t>kreditoriem</w:t>
      </w:r>
      <w:r>
        <w:rPr>
          <w:spacing w:val="-5"/>
        </w:rPr>
        <w:t> </w:t>
      </w:r>
      <w:r>
        <w:rPr/>
        <w:t>1/3</w:t>
      </w:r>
      <w:r>
        <w:rPr>
          <w:spacing w:val="-6"/>
        </w:rPr>
        <w:t> </w:t>
      </w:r>
      <w:r>
        <w:rPr/>
        <w:t>daļas</w:t>
      </w:r>
      <w:r>
        <w:rPr>
          <w:spacing w:val="-5"/>
        </w:rPr>
        <w:t> </w:t>
      </w:r>
      <w:r>
        <w:rPr/>
        <w:t>apmērā</w:t>
      </w:r>
      <w:r>
        <w:rPr>
          <w:spacing w:val="-5"/>
        </w:rPr>
        <w:t> </w:t>
      </w:r>
      <w:r>
        <w:rPr/>
        <w:t>no faktiskajiem ienākumiem). Proti, atbilstoši Maksātnespējas likuma 164.panta</w:t>
      </w:r>
      <w:r>
        <w:rPr>
          <w:spacing w:val="38"/>
        </w:rPr>
        <w:t> </w:t>
      </w:r>
      <w:r>
        <w:rPr/>
        <w:t>pirmajai daļai pēc saistību dzēšanas plāna darbības beigām tiek dzēstas atlikušās plānā norādītās saistības, ja parādnieks ir veicis fiziskās personas saistību dzēšanas plānā noteiktās darbības. Savukārt atbilstoši Civilprocesa likuma 363.</w:t>
      </w:r>
      <w:r>
        <w:rPr>
          <w:position w:val="9"/>
          <w:sz w:val="16"/>
        </w:rPr>
        <w:t>35 </w:t>
      </w:r>
      <w:r>
        <w:rPr/>
        <w:t>panta otrajai un trešajai daļai tiesa lemj</w:t>
      </w:r>
      <w:r>
        <w:rPr>
          <w:spacing w:val="-6"/>
        </w:rPr>
        <w:t> </w:t>
      </w:r>
      <w:r>
        <w:rPr/>
        <w:t>par</w:t>
      </w:r>
      <w:r>
        <w:rPr>
          <w:spacing w:val="-6"/>
        </w:rPr>
        <w:t> </w:t>
      </w:r>
      <w:r>
        <w:rPr/>
        <w:t>saistību</w:t>
      </w:r>
      <w:r>
        <w:rPr>
          <w:spacing w:val="-6"/>
        </w:rPr>
        <w:t> </w:t>
      </w:r>
      <w:r>
        <w:rPr/>
        <w:t>dzēšanu,</w:t>
      </w:r>
      <w:r>
        <w:rPr>
          <w:spacing w:val="-5"/>
        </w:rPr>
        <w:t> </w:t>
      </w:r>
      <w:r>
        <w:rPr/>
        <w:t>ja</w:t>
      </w:r>
      <w:r>
        <w:rPr>
          <w:spacing w:val="-6"/>
        </w:rPr>
        <w:t> </w:t>
      </w:r>
      <w:r>
        <w:rPr/>
        <w:t>konstatē,</w:t>
      </w:r>
      <w:r>
        <w:rPr>
          <w:spacing w:val="-9"/>
        </w:rPr>
        <w:t> </w:t>
      </w:r>
      <w:r>
        <w:rPr/>
        <w:t>ka</w:t>
      </w:r>
      <w:r>
        <w:rPr>
          <w:spacing w:val="-6"/>
        </w:rPr>
        <w:t> </w:t>
      </w:r>
      <w:r>
        <w:rPr/>
        <w:t>parādnieks</w:t>
      </w:r>
      <w:r>
        <w:rPr>
          <w:spacing w:val="-3"/>
        </w:rPr>
        <w:t> </w:t>
      </w:r>
      <w:r>
        <w:rPr/>
        <w:t>ir</w:t>
      </w:r>
      <w:r>
        <w:rPr>
          <w:spacing w:val="-9"/>
        </w:rPr>
        <w:t> </w:t>
      </w:r>
      <w:r>
        <w:rPr/>
        <w:t>izpildījis</w:t>
      </w:r>
      <w:r>
        <w:rPr>
          <w:spacing w:val="-6"/>
        </w:rPr>
        <w:t> </w:t>
      </w:r>
      <w:r>
        <w:rPr/>
        <w:t>saistību</w:t>
      </w:r>
      <w:r>
        <w:rPr>
          <w:spacing w:val="-6"/>
        </w:rPr>
        <w:t> </w:t>
      </w:r>
      <w:r>
        <w:rPr/>
        <w:t>dzēšanas</w:t>
      </w:r>
      <w:r>
        <w:rPr>
          <w:spacing w:val="-5"/>
        </w:rPr>
        <w:t> </w:t>
      </w:r>
      <w:r>
        <w:rPr/>
        <w:t>plānu</w:t>
      </w:r>
      <w:r>
        <w:rPr>
          <w:spacing w:val="-6"/>
        </w:rPr>
        <w:t> </w:t>
      </w:r>
      <w:r>
        <w:rPr/>
        <w:t>un nav saņemti kreditoru un parādnieka iebildumi vai arī saņemtie iebildumi atzīstami par nepamatotiem. Tādējādi, ja vien nav saņemti iebildumi, tiesai, lemjot par saistību dzēšanu jāvērtē, vai parādnieks ir izpildījis saistību dzēšanas plānu, nevērtējot parādnieka godprātības</w:t>
      </w:r>
      <w:r>
        <w:rPr>
          <w:spacing w:val="-1"/>
        </w:rPr>
        <w:t> </w:t>
      </w:r>
      <w:r>
        <w:rPr/>
        <w:t>aspektus.</w:t>
      </w:r>
    </w:p>
    <w:p>
      <w:pPr>
        <w:pStyle w:val="BodyText"/>
        <w:spacing w:line="261" w:lineRule="exact"/>
        <w:ind w:left="620"/>
      </w:pPr>
      <w:r>
        <w:rPr/>
        <w:t>Kā rāda prakse, šāda likumdevēja nostādne, paredzot, ka parādnieka kontrole saistību</w:t>
      </w:r>
    </w:p>
    <w:p>
      <w:pPr>
        <w:pStyle w:val="BodyText"/>
        <w:ind w:left="260" w:right="760"/>
      </w:pPr>
      <w:r>
        <w:rPr/>
        <w:t>dzēšanas procedūras laikā tiek veikta nevis pastāvīgi, bet tikai pēc kreditoru iniciatīvas, daudziem</w:t>
      </w:r>
      <w:r>
        <w:rPr>
          <w:spacing w:val="-8"/>
        </w:rPr>
        <w:t> </w:t>
      </w:r>
      <w:r>
        <w:rPr/>
        <w:t>šķiet</w:t>
      </w:r>
      <w:r>
        <w:rPr>
          <w:spacing w:val="-7"/>
        </w:rPr>
        <w:t> </w:t>
      </w:r>
      <w:r>
        <w:rPr/>
        <w:t>nepieņemama.</w:t>
      </w:r>
      <w:r>
        <w:rPr>
          <w:spacing w:val="-6"/>
        </w:rPr>
        <w:t> </w:t>
      </w:r>
      <w:r>
        <w:rPr/>
        <w:t>Un</w:t>
      </w:r>
      <w:r>
        <w:rPr>
          <w:spacing w:val="-5"/>
        </w:rPr>
        <w:t> </w:t>
      </w:r>
      <w:r>
        <w:rPr/>
        <w:t>tam</w:t>
      </w:r>
      <w:r>
        <w:rPr>
          <w:spacing w:val="-7"/>
        </w:rPr>
        <w:t> </w:t>
      </w:r>
      <w:r>
        <w:rPr/>
        <w:t>ir</w:t>
      </w:r>
      <w:r>
        <w:rPr>
          <w:spacing w:val="-5"/>
        </w:rPr>
        <w:t> </w:t>
      </w:r>
      <w:r>
        <w:rPr/>
        <w:t>savs</w:t>
      </w:r>
      <w:r>
        <w:rPr>
          <w:spacing w:val="-5"/>
        </w:rPr>
        <w:t> </w:t>
      </w:r>
      <w:r>
        <w:rPr/>
        <w:t>pamats</w:t>
      </w:r>
      <w:r>
        <w:rPr>
          <w:spacing w:val="-5"/>
        </w:rPr>
        <w:t> </w:t>
      </w:r>
      <w:r>
        <w:rPr/>
        <w:t>–</w:t>
      </w:r>
      <w:r>
        <w:rPr>
          <w:spacing w:val="-6"/>
        </w:rPr>
        <w:t> </w:t>
      </w:r>
      <w:r>
        <w:rPr/>
        <w:t>liela</w:t>
      </w:r>
      <w:r>
        <w:rPr>
          <w:spacing w:val="-8"/>
        </w:rPr>
        <w:t> </w:t>
      </w:r>
      <w:r>
        <w:rPr/>
        <w:t>daļa</w:t>
      </w:r>
      <w:r>
        <w:rPr>
          <w:spacing w:val="-6"/>
        </w:rPr>
        <w:t> </w:t>
      </w:r>
      <w:r>
        <w:rPr/>
        <w:t>parādnieku,</w:t>
      </w:r>
      <w:r>
        <w:rPr>
          <w:spacing w:val="-5"/>
        </w:rPr>
        <w:t> </w:t>
      </w:r>
      <w:r>
        <w:rPr/>
        <w:t>apzinoties</w:t>
      </w:r>
      <w:r>
        <w:rPr>
          <w:spacing w:val="-5"/>
        </w:rPr>
        <w:t> </w:t>
      </w:r>
      <w:r>
        <w:rPr/>
        <w:t>to, ka</w:t>
      </w:r>
      <w:r>
        <w:rPr>
          <w:spacing w:val="-13"/>
        </w:rPr>
        <w:t> </w:t>
      </w:r>
      <w:r>
        <w:rPr/>
        <w:t>kreditori</w:t>
      </w:r>
      <w:r>
        <w:rPr>
          <w:spacing w:val="-14"/>
        </w:rPr>
        <w:t> </w:t>
      </w:r>
      <w:r>
        <w:rPr/>
        <w:t>kūtri</w:t>
      </w:r>
      <w:r>
        <w:rPr>
          <w:spacing w:val="-13"/>
        </w:rPr>
        <w:t> </w:t>
      </w:r>
      <w:r>
        <w:rPr/>
        <w:t>izmanto</w:t>
      </w:r>
      <w:r>
        <w:rPr>
          <w:spacing w:val="-12"/>
        </w:rPr>
        <w:t> </w:t>
      </w:r>
      <w:r>
        <w:rPr/>
        <w:t>likumā</w:t>
      </w:r>
      <w:r>
        <w:rPr>
          <w:spacing w:val="-13"/>
        </w:rPr>
        <w:t> </w:t>
      </w:r>
      <w:r>
        <w:rPr/>
        <w:t>paredzētās</w:t>
      </w:r>
      <w:r>
        <w:rPr>
          <w:spacing w:val="-12"/>
        </w:rPr>
        <w:t> </w:t>
      </w:r>
      <w:r>
        <w:rPr/>
        <w:t>tiesības</w:t>
      </w:r>
      <w:r>
        <w:rPr>
          <w:spacing w:val="-12"/>
        </w:rPr>
        <w:t> </w:t>
      </w:r>
      <w:r>
        <w:rPr/>
        <w:t>un</w:t>
      </w:r>
      <w:r>
        <w:rPr>
          <w:spacing w:val="-13"/>
        </w:rPr>
        <w:t> </w:t>
      </w:r>
      <w:r>
        <w:rPr/>
        <w:t>tā</w:t>
      </w:r>
      <w:r>
        <w:rPr>
          <w:spacing w:val="-12"/>
        </w:rPr>
        <w:t> </w:t>
      </w:r>
      <w:r>
        <w:rPr/>
        <w:t>rezultātā</w:t>
      </w:r>
      <w:r>
        <w:rPr>
          <w:spacing w:val="-16"/>
        </w:rPr>
        <w:t> </w:t>
      </w:r>
      <w:r>
        <w:rPr/>
        <w:t>praksē</w:t>
      </w:r>
      <w:r>
        <w:rPr>
          <w:spacing w:val="-15"/>
        </w:rPr>
        <w:t> </w:t>
      </w:r>
      <w:r>
        <w:rPr/>
        <w:t>faktiski</w:t>
      </w:r>
      <w:r>
        <w:rPr>
          <w:spacing w:val="-12"/>
        </w:rPr>
        <w:t> </w:t>
      </w:r>
      <w:r>
        <w:rPr/>
        <w:t>nenotiek parādnieka kontrole saistību dzēšanas procedūras laikā, “drosmīgi” veic kreditoriem maksājumus atbilstoši minimālajam likumā noteiktajam slieksnim, pārkāpj likumā noteiktos ierobežojumus vai nepilda likumā noteiktos</w:t>
      </w:r>
      <w:r>
        <w:rPr>
          <w:spacing w:val="-3"/>
        </w:rPr>
        <w:t> </w:t>
      </w:r>
      <w:r>
        <w:rPr/>
        <w:t>pienākumus.</w:t>
      </w:r>
    </w:p>
    <w:p>
      <w:pPr>
        <w:pStyle w:val="BodyText"/>
        <w:spacing w:line="237" w:lineRule="auto" w:before="3"/>
        <w:ind w:left="260" w:right="761" w:firstLine="360"/>
        <w:rPr>
          <w:sz w:val="16"/>
        </w:rPr>
      </w:pPr>
      <w:r>
        <w:rPr/>
        <w:t>Šajā ziņā jānorāda, ka ir arī tādas valstis, kuru tiesiskajā regulējumā ir paredzēta pastāvīga parādnieka kontrole saistību dzēšanas procedūras laikā, ko parasti veic maksātnespējas</w:t>
      </w:r>
      <w:r>
        <w:rPr>
          <w:spacing w:val="-11"/>
        </w:rPr>
        <w:t> </w:t>
      </w:r>
      <w:r>
        <w:rPr/>
        <w:t>procesa</w:t>
      </w:r>
      <w:r>
        <w:rPr>
          <w:spacing w:val="-11"/>
        </w:rPr>
        <w:t> </w:t>
      </w:r>
      <w:r>
        <w:rPr/>
        <w:t>administrators.</w:t>
      </w:r>
      <w:r>
        <w:rPr>
          <w:spacing w:val="-10"/>
        </w:rPr>
        <w:t> </w:t>
      </w:r>
      <w:r>
        <w:rPr/>
        <w:t>Tomēr,</w:t>
      </w:r>
      <w:r>
        <w:rPr>
          <w:spacing w:val="-11"/>
        </w:rPr>
        <w:t> </w:t>
      </w:r>
      <w:r>
        <w:rPr/>
        <w:t>kā</w:t>
      </w:r>
      <w:r>
        <w:rPr>
          <w:spacing w:val="-11"/>
        </w:rPr>
        <w:t> </w:t>
      </w:r>
      <w:r>
        <w:rPr/>
        <w:t>secināts</w:t>
      </w:r>
      <w:r>
        <w:rPr>
          <w:spacing w:val="-8"/>
        </w:rPr>
        <w:t> </w:t>
      </w:r>
      <w:r>
        <w:rPr/>
        <w:t>Pasaules</w:t>
      </w:r>
      <w:r>
        <w:rPr>
          <w:spacing w:val="-9"/>
        </w:rPr>
        <w:t> </w:t>
      </w:r>
      <w:r>
        <w:rPr/>
        <w:t>Bankas</w:t>
      </w:r>
      <w:r>
        <w:rPr>
          <w:spacing w:val="-11"/>
        </w:rPr>
        <w:t> </w:t>
      </w:r>
      <w:r>
        <w:rPr/>
        <w:t>pētījumā,</w:t>
      </w:r>
      <w:r>
        <w:rPr>
          <w:spacing w:val="-12"/>
        </w:rPr>
        <w:t> </w:t>
      </w:r>
      <w:r>
        <w:rPr/>
        <w:t>šāda kontroles mehānisma īstenošana ir laikietilpīgs un dārgs instruments, kas veido “lauvas tiesu” no kopējām maksātnespējas procesa izmaksām, un lielākoties rezultējas ar to, ka no parādnieka</w:t>
      </w:r>
      <w:r>
        <w:rPr>
          <w:spacing w:val="-9"/>
        </w:rPr>
        <w:t> </w:t>
      </w:r>
      <w:r>
        <w:rPr/>
        <w:t>ienākumiem</w:t>
      </w:r>
      <w:r>
        <w:rPr>
          <w:spacing w:val="-5"/>
        </w:rPr>
        <w:t> </w:t>
      </w:r>
      <w:r>
        <w:rPr/>
        <w:t>tiek</w:t>
      </w:r>
      <w:r>
        <w:rPr>
          <w:spacing w:val="-6"/>
        </w:rPr>
        <w:t> </w:t>
      </w:r>
      <w:r>
        <w:rPr/>
        <w:t>segtas</w:t>
      </w:r>
      <w:r>
        <w:rPr>
          <w:spacing w:val="-5"/>
        </w:rPr>
        <w:t> </w:t>
      </w:r>
      <w:r>
        <w:rPr/>
        <w:t>tikai</w:t>
      </w:r>
      <w:r>
        <w:rPr>
          <w:spacing w:val="-8"/>
        </w:rPr>
        <w:t> </w:t>
      </w:r>
      <w:r>
        <w:rPr/>
        <w:t>parādnieka</w:t>
      </w:r>
      <w:r>
        <w:rPr>
          <w:spacing w:val="-8"/>
        </w:rPr>
        <w:t> </w:t>
      </w:r>
      <w:r>
        <w:rPr/>
        <w:t>kontroles</w:t>
      </w:r>
      <w:r>
        <w:rPr>
          <w:spacing w:val="-6"/>
        </w:rPr>
        <w:t> </w:t>
      </w:r>
      <w:r>
        <w:rPr/>
        <w:t>izmaksas,</w:t>
      </w:r>
      <w:r>
        <w:rPr>
          <w:spacing w:val="-5"/>
        </w:rPr>
        <w:t> </w:t>
      </w:r>
      <w:r>
        <w:rPr/>
        <w:t>bet</w:t>
      </w:r>
      <w:r>
        <w:rPr>
          <w:spacing w:val="-6"/>
        </w:rPr>
        <w:t> </w:t>
      </w:r>
      <w:r>
        <w:rPr/>
        <w:t>nereti</w:t>
      </w:r>
      <w:r>
        <w:rPr>
          <w:spacing w:val="-2"/>
        </w:rPr>
        <w:t> </w:t>
      </w:r>
      <w:r>
        <w:rPr/>
        <w:t>līdzekļu nepietiek pat šo izmaksu segšanai.</w:t>
      </w:r>
      <w:r>
        <w:rPr>
          <w:position w:val="9"/>
          <w:sz w:val="16"/>
        </w:rPr>
        <w:t>523 </w:t>
      </w:r>
      <w:r>
        <w:rPr/>
        <w:t>Tādēļ, izvēloties parādnieka kontroles mehānismus, jāņem vērā, ka fiziskās personas maksātnespējas process lielākoties ir tā saucamā “mazo likmju”</w:t>
      </w:r>
      <w:r>
        <w:rPr>
          <w:spacing w:val="-9"/>
        </w:rPr>
        <w:t> </w:t>
      </w:r>
      <w:r>
        <w:rPr/>
        <w:t>spēle</w:t>
      </w:r>
      <w:r>
        <w:rPr>
          <w:spacing w:val="-6"/>
        </w:rPr>
        <w:t> </w:t>
      </w:r>
      <w:r>
        <w:rPr/>
        <w:t>(</w:t>
      </w:r>
      <w:r>
        <w:rPr>
          <w:i/>
        </w:rPr>
        <w:t>small</w:t>
      </w:r>
      <w:r>
        <w:rPr>
          <w:i/>
          <w:spacing w:val="-6"/>
        </w:rPr>
        <w:t> </w:t>
      </w:r>
      <w:r>
        <w:rPr>
          <w:i/>
        </w:rPr>
        <w:t>stakes</w:t>
      </w:r>
      <w:r>
        <w:rPr>
          <w:i/>
          <w:spacing w:val="-6"/>
        </w:rPr>
        <w:t> </w:t>
      </w:r>
      <w:r>
        <w:rPr>
          <w:i/>
        </w:rPr>
        <w:t>game</w:t>
      </w:r>
      <w:r>
        <w:rPr/>
        <w:t>),</w:t>
      </w:r>
      <w:r>
        <w:rPr>
          <w:spacing w:val="-5"/>
        </w:rPr>
        <w:t> </w:t>
      </w:r>
      <w:r>
        <w:rPr/>
        <w:t>un</w:t>
      </w:r>
      <w:r>
        <w:rPr>
          <w:spacing w:val="-6"/>
        </w:rPr>
        <w:t> </w:t>
      </w:r>
      <w:r>
        <w:rPr/>
        <w:t>tādējādi</w:t>
      </w:r>
      <w:r>
        <w:rPr>
          <w:spacing w:val="-6"/>
        </w:rPr>
        <w:t> </w:t>
      </w:r>
      <w:r>
        <w:rPr/>
        <w:t>dārgi</w:t>
      </w:r>
      <w:r>
        <w:rPr>
          <w:spacing w:val="-6"/>
        </w:rPr>
        <w:t> </w:t>
      </w:r>
      <w:r>
        <w:rPr/>
        <w:t>vai</w:t>
      </w:r>
      <w:r>
        <w:rPr>
          <w:spacing w:val="-6"/>
        </w:rPr>
        <w:t> </w:t>
      </w:r>
      <w:r>
        <w:rPr/>
        <w:t>kompleksi</w:t>
      </w:r>
      <w:r>
        <w:rPr>
          <w:spacing w:val="-5"/>
        </w:rPr>
        <w:t> </w:t>
      </w:r>
      <w:r>
        <w:rPr/>
        <w:t>parādnieka</w:t>
      </w:r>
      <w:r>
        <w:rPr>
          <w:spacing w:val="-6"/>
        </w:rPr>
        <w:t> </w:t>
      </w:r>
      <w:r>
        <w:rPr/>
        <w:t>uzraudzības mehānismi ir ļoti neracionāla</w:t>
      </w:r>
      <w:r>
        <w:rPr>
          <w:spacing w:val="1"/>
        </w:rPr>
        <w:t> </w:t>
      </w:r>
      <w:r>
        <w:rPr/>
        <w:t>izvēle.</w:t>
      </w:r>
      <w:r>
        <w:rPr>
          <w:position w:val="9"/>
          <w:sz w:val="16"/>
        </w:rPr>
        <w:t>524</w:t>
      </w:r>
    </w:p>
    <w:p>
      <w:pPr>
        <w:pStyle w:val="BodyText"/>
        <w:ind w:left="260" w:right="761" w:firstLine="360"/>
      </w:pPr>
      <w:r>
        <w:rPr/>
        <w:t>Ņemot vērā minēto, raugoties no maksātnespējas procesa izmaksu optimizācijas prizmas, esošais regulējums par parādnieka kontroli saistību dzēšanas procedūras laikā ir vērtējams pozitīvi. Proti, ņemot vērā to, ka vairums parādnieku tomēr ir godprātīgi, savukārt pastāvīga parādnieka kontrole saistību dzēšanas procedūras laikā nevar notikt, šo darbu attiecīgi neatalgojot, parādnieka pārbaudes veikšana tikai pēc kreditora iniciatīvas</w:t>
      </w:r>
      <w:r>
        <w:rPr>
          <w:spacing w:val="-18"/>
        </w:rPr>
        <w:t> </w:t>
      </w:r>
      <w:r>
        <w:rPr/>
        <w:t>ir</w:t>
      </w:r>
    </w:p>
    <w:p>
      <w:pPr>
        <w:pStyle w:val="BodyText"/>
        <w:spacing w:before="2"/>
        <w:jc w:val="left"/>
      </w:pPr>
      <w:r>
        <w:rPr/>
        <w:pict>
          <v:shape style="position:absolute;margin-left:72pt;margin-top:16.183769pt;width:144pt;height:.1pt;mso-position-horizontal-relative:page;mso-position-vertical-relative:paragraph;z-index:-251433984;mso-wrap-distance-left:0;mso-wrap-distance-right:0" coordorigin="1440,324" coordsize="2880,0" path="m1440,324l4320,324e" filled="false" stroked="true" strokeweight=".600037pt" strokecolor="#000000">
            <v:path arrowok="t"/>
            <v:stroke dashstyle="solid"/>
            <w10:wrap type="topAndBottom"/>
          </v:shape>
        </w:pict>
      </w:r>
    </w:p>
    <w:p>
      <w:pPr>
        <w:spacing w:line="242" w:lineRule="auto" w:before="58"/>
        <w:ind w:left="260" w:right="750" w:firstLine="0"/>
        <w:jc w:val="left"/>
        <w:rPr>
          <w:sz w:val="20"/>
        </w:rPr>
      </w:pPr>
      <w:r>
        <w:rPr>
          <w:position w:val="9"/>
          <w:sz w:val="16"/>
        </w:rPr>
        <w:t>523 </w:t>
      </w:r>
      <w:r>
        <w:rPr>
          <w:sz w:val="20"/>
        </w:rPr>
        <w:t>The World Bank. Report on the Treatment of the Insolvency of Natural Persons. 2013, p. 99, para 302. Pieejams:</w:t>
      </w:r>
      <w:hyperlink r:id="rId98">
        <w:r>
          <w:rPr>
            <w:color w:val="0562C1"/>
            <w:sz w:val="20"/>
            <w:u w:val="single" w:color="0562C1"/>
          </w:rPr>
          <w:t> http://siteresources.worldbank.org/INTGILD/Resources/WBInsolvencyOfNaturalPersonsReport_01_11_13.</w:t>
        </w:r>
      </w:hyperlink>
      <w:r>
        <w:rPr>
          <w:color w:val="0562C1"/>
          <w:sz w:val="20"/>
          <w:u w:val="single" w:color="0562C1"/>
        </w:rPr>
        <w:t> pdf</w:t>
      </w:r>
      <w:r>
        <w:rPr>
          <w:color w:val="0562C1"/>
          <w:sz w:val="20"/>
        </w:rPr>
        <w:t> </w:t>
      </w:r>
      <w:r>
        <w:rPr>
          <w:sz w:val="20"/>
        </w:rPr>
        <w:t>[aplūkots 2018.gada 20.septembrī].</w:t>
      </w:r>
    </w:p>
    <w:p>
      <w:pPr>
        <w:spacing w:line="240" w:lineRule="auto" w:before="0"/>
        <w:ind w:left="260" w:right="762" w:firstLine="0"/>
        <w:jc w:val="both"/>
        <w:rPr>
          <w:sz w:val="20"/>
        </w:rPr>
      </w:pPr>
      <w:r>
        <w:rPr>
          <w:position w:val="7"/>
          <w:sz w:val="13"/>
        </w:rPr>
        <w:t>524 </w:t>
      </w:r>
      <w:r>
        <w:rPr>
          <w:sz w:val="20"/>
        </w:rPr>
        <w:t>Sk.: </w:t>
      </w:r>
      <w:r>
        <w:rPr>
          <w:color w:val="0F0F0F"/>
          <w:sz w:val="20"/>
        </w:rPr>
        <w:t>Ramsay I. Between Neo-Liberalism and the Social Market: Approaches to Debt Adjustment and Consumer Insolvency in the EU. </w:t>
      </w:r>
      <w:r>
        <w:rPr>
          <w:sz w:val="20"/>
        </w:rPr>
        <w:t>Journal of Consumer Policy, </w:t>
      </w:r>
      <w:r>
        <w:rPr>
          <w:color w:val="0F0F0F"/>
          <w:sz w:val="20"/>
        </w:rPr>
        <w:t>Springer Science &amp;Business Media, 2012,   p.</w:t>
      </w:r>
      <w:r>
        <w:rPr>
          <w:color w:val="0F0F0F"/>
          <w:spacing w:val="-1"/>
          <w:sz w:val="20"/>
        </w:rPr>
        <w:t> </w:t>
      </w:r>
      <w:r>
        <w:rPr>
          <w:color w:val="0F0F0F"/>
          <w:sz w:val="20"/>
        </w:rPr>
        <w:t>436.</w:t>
      </w:r>
    </w:p>
    <w:p>
      <w:pPr>
        <w:spacing w:after="0" w:line="240" w:lineRule="auto"/>
        <w:jc w:val="both"/>
        <w:rPr>
          <w:sz w:val="20"/>
        </w:rPr>
        <w:sectPr>
          <w:pgSz w:w="11910" w:h="16840"/>
          <w:pgMar w:header="0" w:footer="1055" w:top="1340" w:bottom="1240" w:left="1180" w:right="1040"/>
        </w:sectPr>
      </w:pPr>
    </w:p>
    <w:p>
      <w:pPr>
        <w:pStyle w:val="BodyText"/>
        <w:spacing w:line="237" w:lineRule="auto" w:before="75"/>
        <w:ind w:left="620" w:right="402"/>
        <w:rPr>
          <w:sz w:val="16"/>
        </w:rPr>
      </w:pPr>
      <w:r>
        <w:rPr/>
        <w:t>labs instruments maksātnespējas procesa izmaksu optimizācijai. Tomēr vienlaikus jāņem vērā, ka kreditoru iniciatīva nav instruments, kas efektīvi “atsijā” negodprātīgus parādniekus, jo, kā tas pamatoti norādīts Pasaules Bankas veiktajā pētījumā, ar kreditoru iniciatīvu</w:t>
      </w:r>
      <w:r>
        <w:rPr>
          <w:spacing w:val="-13"/>
        </w:rPr>
        <w:t> </w:t>
      </w:r>
      <w:r>
        <w:rPr/>
        <w:t>nevar</w:t>
      </w:r>
      <w:r>
        <w:rPr>
          <w:spacing w:val="-16"/>
        </w:rPr>
        <w:t> </w:t>
      </w:r>
      <w:r>
        <w:rPr/>
        <w:t>rēķināties,</w:t>
      </w:r>
      <w:r>
        <w:rPr>
          <w:spacing w:val="-12"/>
        </w:rPr>
        <w:t> </w:t>
      </w:r>
      <w:r>
        <w:rPr/>
        <w:t>jo</w:t>
      </w:r>
      <w:r>
        <w:rPr>
          <w:spacing w:val="-13"/>
        </w:rPr>
        <w:t> </w:t>
      </w:r>
      <w:r>
        <w:rPr/>
        <w:t>kreditori</w:t>
      </w:r>
      <w:r>
        <w:rPr>
          <w:spacing w:val="-14"/>
        </w:rPr>
        <w:t> </w:t>
      </w:r>
      <w:r>
        <w:rPr/>
        <w:t>parasti</w:t>
      </w:r>
      <w:r>
        <w:rPr>
          <w:spacing w:val="-11"/>
        </w:rPr>
        <w:t> </w:t>
      </w:r>
      <w:r>
        <w:rPr/>
        <w:t>ir</w:t>
      </w:r>
      <w:r>
        <w:rPr>
          <w:spacing w:val="-16"/>
        </w:rPr>
        <w:t> </w:t>
      </w:r>
      <w:r>
        <w:rPr/>
        <w:t>aktīvi</w:t>
      </w:r>
      <w:r>
        <w:rPr>
          <w:spacing w:val="-13"/>
        </w:rPr>
        <w:t> </w:t>
      </w:r>
      <w:r>
        <w:rPr/>
        <w:t>tikai</w:t>
      </w:r>
      <w:r>
        <w:rPr>
          <w:spacing w:val="-13"/>
        </w:rPr>
        <w:t> </w:t>
      </w:r>
      <w:r>
        <w:rPr/>
        <w:t>tad,</w:t>
      </w:r>
      <w:r>
        <w:rPr>
          <w:spacing w:val="-12"/>
        </w:rPr>
        <w:t> </w:t>
      </w:r>
      <w:r>
        <w:rPr/>
        <w:t>ja</w:t>
      </w:r>
      <w:r>
        <w:rPr>
          <w:spacing w:val="-16"/>
        </w:rPr>
        <w:t> </w:t>
      </w:r>
      <w:r>
        <w:rPr/>
        <w:t>tas</w:t>
      </w:r>
      <w:r>
        <w:rPr>
          <w:spacing w:val="-12"/>
        </w:rPr>
        <w:t> </w:t>
      </w:r>
      <w:r>
        <w:rPr/>
        <w:t>atbilst</w:t>
      </w:r>
      <w:r>
        <w:rPr>
          <w:spacing w:val="-18"/>
        </w:rPr>
        <w:t> </w:t>
      </w:r>
      <w:r>
        <w:rPr/>
        <w:t>viņu</w:t>
      </w:r>
      <w:r>
        <w:rPr>
          <w:spacing w:val="-12"/>
        </w:rPr>
        <w:t> </w:t>
      </w:r>
      <w:r>
        <w:rPr/>
        <w:t>interesēm. Attiecīgi, tā kā vairumā fizisko personu maksātnespējas gadījumu kreditoru iniciatīva nevainagojas ar papildus līdzekļu atgūšanu no parādnieka, aktīva kreditoru līdzdalība ir izņēmums, nevis vispārēja</w:t>
      </w:r>
      <w:r>
        <w:rPr>
          <w:spacing w:val="-1"/>
        </w:rPr>
        <w:t> </w:t>
      </w:r>
      <w:r>
        <w:rPr/>
        <w:t>prakse.</w:t>
      </w:r>
      <w:r>
        <w:rPr>
          <w:position w:val="9"/>
          <w:sz w:val="16"/>
        </w:rPr>
        <w:t>525</w:t>
      </w:r>
    </w:p>
    <w:p>
      <w:pPr>
        <w:pStyle w:val="BodyText"/>
        <w:spacing w:before="2"/>
        <w:ind w:left="620" w:right="401" w:firstLine="360"/>
      </w:pPr>
      <w:r>
        <w:rPr/>
        <w:t>Tādējādi, lai arī Maksātnespējas likumā noteiktais parādnieku kontroles mehānisms saistību</w:t>
      </w:r>
      <w:r>
        <w:rPr>
          <w:spacing w:val="-8"/>
        </w:rPr>
        <w:t> </w:t>
      </w:r>
      <w:r>
        <w:rPr/>
        <w:t>dzēšanas</w:t>
      </w:r>
      <w:r>
        <w:rPr>
          <w:spacing w:val="-10"/>
        </w:rPr>
        <w:t> </w:t>
      </w:r>
      <w:r>
        <w:rPr/>
        <w:t>procedūras</w:t>
      </w:r>
      <w:r>
        <w:rPr>
          <w:spacing w:val="-8"/>
        </w:rPr>
        <w:t> </w:t>
      </w:r>
      <w:r>
        <w:rPr/>
        <w:t>laikā</w:t>
      </w:r>
      <w:r>
        <w:rPr>
          <w:spacing w:val="-10"/>
        </w:rPr>
        <w:t> </w:t>
      </w:r>
      <w:r>
        <w:rPr/>
        <w:t>ir</w:t>
      </w:r>
      <w:r>
        <w:rPr>
          <w:spacing w:val="-6"/>
        </w:rPr>
        <w:t> </w:t>
      </w:r>
      <w:r>
        <w:rPr/>
        <w:t>optimāls,</w:t>
      </w:r>
      <w:r>
        <w:rPr>
          <w:spacing w:val="-8"/>
        </w:rPr>
        <w:t> </w:t>
      </w:r>
      <w:r>
        <w:rPr/>
        <w:t>raugoties</w:t>
      </w:r>
      <w:r>
        <w:rPr>
          <w:spacing w:val="-10"/>
        </w:rPr>
        <w:t> </w:t>
      </w:r>
      <w:r>
        <w:rPr/>
        <w:t>no</w:t>
      </w:r>
      <w:r>
        <w:rPr>
          <w:spacing w:val="-8"/>
        </w:rPr>
        <w:t> </w:t>
      </w:r>
      <w:r>
        <w:rPr/>
        <w:t>izmaksu</w:t>
      </w:r>
      <w:r>
        <w:rPr>
          <w:spacing w:val="-8"/>
        </w:rPr>
        <w:t> </w:t>
      </w:r>
      <w:r>
        <w:rPr/>
        <w:t>pozīcijām,</w:t>
      </w:r>
      <w:r>
        <w:rPr>
          <w:spacing w:val="-8"/>
        </w:rPr>
        <w:t> </w:t>
      </w:r>
      <w:r>
        <w:rPr/>
        <w:t>tas,</w:t>
      </w:r>
      <w:r>
        <w:rPr>
          <w:spacing w:val="-8"/>
        </w:rPr>
        <w:t> </w:t>
      </w:r>
      <w:r>
        <w:rPr/>
        <w:t>kā</w:t>
      </w:r>
      <w:r>
        <w:rPr>
          <w:spacing w:val="-10"/>
        </w:rPr>
        <w:t> </w:t>
      </w:r>
      <w:r>
        <w:rPr/>
        <w:t>rāda praktiskā likuma piemērošana, nepietiekami novērš parādnieku negodprātību. Līdz ar to būtu vēlams ieviest papildus kontroles mehānismus, jo parādnieku negodprātības rezultātā cieš ne vien kreditori, bet arī sabiedrība (samazinās saistību izpildes kultūra, mazāki nodokļu ieņēmumi u.c.).</w:t>
      </w:r>
    </w:p>
    <w:p>
      <w:pPr>
        <w:pStyle w:val="BodyText"/>
        <w:spacing w:before="1"/>
        <w:ind w:left="620" w:right="400" w:firstLine="360"/>
      </w:pPr>
      <w:r>
        <w:rPr/>
        <w:t>Lai nesadārdzinātu fiziskās personas maksātnespējas procesa izmaksas, viens no labākajiem risinājumiem varētu būt valsts finansētas Maksātnespējas kontroles dienesta selektīvās</w:t>
      </w:r>
      <w:r>
        <w:rPr>
          <w:spacing w:val="-11"/>
        </w:rPr>
        <w:t> </w:t>
      </w:r>
      <w:r>
        <w:rPr/>
        <w:t>pārbaudes</w:t>
      </w:r>
      <w:r>
        <w:rPr>
          <w:spacing w:val="-11"/>
        </w:rPr>
        <w:t> </w:t>
      </w:r>
      <w:r>
        <w:rPr/>
        <w:t>(piemēram,</w:t>
      </w:r>
      <w:r>
        <w:rPr>
          <w:spacing w:val="-11"/>
        </w:rPr>
        <w:t> </w:t>
      </w:r>
      <w:r>
        <w:rPr/>
        <w:t>budžetā</w:t>
      </w:r>
      <w:r>
        <w:rPr>
          <w:spacing w:val="-11"/>
        </w:rPr>
        <w:t> </w:t>
      </w:r>
      <w:r>
        <w:rPr/>
        <w:t>paredzot,</w:t>
      </w:r>
      <w:r>
        <w:rPr>
          <w:spacing w:val="-10"/>
        </w:rPr>
        <w:t> </w:t>
      </w:r>
      <w:r>
        <w:rPr/>
        <w:t>ka</w:t>
      </w:r>
      <w:r>
        <w:rPr>
          <w:spacing w:val="-11"/>
        </w:rPr>
        <w:t> </w:t>
      </w:r>
      <w:r>
        <w:rPr/>
        <w:t>katru</w:t>
      </w:r>
      <w:r>
        <w:rPr>
          <w:spacing w:val="-9"/>
        </w:rPr>
        <w:t> </w:t>
      </w:r>
      <w:r>
        <w:rPr/>
        <w:t>gadu</w:t>
      </w:r>
      <w:r>
        <w:rPr>
          <w:spacing w:val="-11"/>
        </w:rPr>
        <w:t> </w:t>
      </w:r>
      <w:r>
        <w:rPr/>
        <w:t>tiek</w:t>
      </w:r>
      <w:r>
        <w:rPr>
          <w:spacing w:val="-11"/>
        </w:rPr>
        <w:t> </w:t>
      </w:r>
      <w:r>
        <w:rPr/>
        <w:t>veikts</w:t>
      </w:r>
      <w:r>
        <w:rPr>
          <w:spacing w:val="-7"/>
        </w:rPr>
        <w:t> </w:t>
      </w:r>
      <w:r>
        <w:rPr/>
        <w:t>noteikta</w:t>
      </w:r>
      <w:r>
        <w:rPr>
          <w:spacing w:val="-11"/>
        </w:rPr>
        <w:t> </w:t>
      </w:r>
      <w:r>
        <w:rPr/>
        <w:t>skaita parādnieku pārbaude saistību dzēšanas procedūras laikā), ar tiesībām pārkāpuma konstatēšanas gadījumā iesniegt tiesā pieteikumu par saistību dzēšanas procedūras izbeigšanu.</w:t>
      </w:r>
      <w:r>
        <w:rPr>
          <w:spacing w:val="-12"/>
        </w:rPr>
        <w:t> </w:t>
      </w:r>
      <w:r>
        <w:rPr/>
        <w:t>Attiecīgi</w:t>
      </w:r>
      <w:r>
        <w:rPr>
          <w:spacing w:val="-9"/>
        </w:rPr>
        <w:t> </w:t>
      </w:r>
      <w:r>
        <w:rPr/>
        <w:t>parādnieki,</w:t>
      </w:r>
      <w:r>
        <w:rPr>
          <w:spacing w:val="-12"/>
        </w:rPr>
        <w:t> </w:t>
      </w:r>
      <w:r>
        <w:rPr/>
        <w:t>apzinoties,</w:t>
      </w:r>
      <w:r>
        <w:rPr>
          <w:spacing w:val="-11"/>
        </w:rPr>
        <w:t> </w:t>
      </w:r>
      <w:r>
        <w:rPr/>
        <w:t>ka</w:t>
      </w:r>
      <w:r>
        <w:rPr>
          <w:spacing w:val="-12"/>
        </w:rPr>
        <w:t> </w:t>
      </w:r>
      <w:r>
        <w:rPr/>
        <w:t>pastāv</w:t>
      </w:r>
      <w:r>
        <w:rPr>
          <w:spacing w:val="-11"/>
        </w:rPr>
        <w:t> </w:t>
      </w:r>
      <w:r>
        <w:rPr/>
        <w:t>šādas</w:t>
      </w:r>
      <w:r>
        <w:rPr>
          <w:spacing w:val="-11"/>
        </w:rPr>
        <w:t> </w:t>
      </w:r>
      <w:r>
        <w:rPr/>
        <w:t>pārbaudes</w:t>
      </w:r>
      <w:r>
        <w:rPr>
          <w:spacing w:val="-12"/>
        </w:rPr>
        <w:t> </w:t>
      </w:r>
      <w:r>
        <w:rPr/>
        <w:t>iespēja,</w:t>
      </w:r>
      <w:r>
        <w:rPr>
          <w:spacing w:val="37"/>
        </w:rPr>
        <w:t> </w:t>
      </w:r>
      <w:r>
        <w:rPr/>
        <w:t>būtu</w:t>
      </w:r>
      <w:r>
        <w:rPr>
          <w:spacing w:val="-11"/>
        </w:rPr>
        <w:t> </w:t>
      </w:r>
      <w:r>
        <w:rPr/>
        <w:t>vairāk motivēti rīkoties godprātīgi, ievērot likumā noteiktos pienākumus un</w:t>
      </w:r>
      <w:r>
        <w:rPr>
          <w:spacing w:val="-3"/>
        </w:rPr>
        <w:t> </w:t>
      </w:r>
      <w:r>
        <w:rPr/>
        <w:t>ierobežojumus.</w:t>
      </w:r>
    </w:p>
    <w:p>
      <w:pPr>
        <w:pStyle w:val="BodyText"/>
        <w:jc w:val="left"/>
        <w:rPr>
          <w:sz w:val="26"/>
        </w:rPr>
      </w:pPr>
    </w:p>
    <w:p>
      <w:pPr>
        <w:pStyle w:val="BodyText"/>
        <w:spacing w:before="5"/>
        <w:jc w:val="left"/>
        <w:rPr>
          <w:sz w:val="26"/>
        </w:rPr>
      </w:pPr>
    </w:p>
    <w:p>
      <w:pPr>
        <w:pStyle w:val="Heading2"/>
        <w:numPr>
          <w:ilvl w:val="0"/>
          <w:numId w:val="116"/>
        </w:numPr>
        <w:tabs>
          <w:tab w:pos="3431" w:val="left" w:leader="none"/>
        </w:tabs>
        <w:spacing w:line="240" w:lineRule="auto" w:before="0" w:after="0"/>
        <w:ind w:left="3430" w:right="0" w:hanging="2861"/>
        <w:jc w:val="left"/>
      </w:pPr>
      <w:bookmarkStart w:name="_TOC_250013" w:id="65"/>
      <w:r>
        <w:rPr/>
        <w:t>Vienotas tiesu prakses</w:t>
      </w:r>
      <w:r>
        <w:rPr>
          <w:spacing w:val="-3"/>
        </w:rPr>
        <w:t> </w:t>
      </w:r>
      <w:bookmarkEnd w:id="65"/>
      <w:r>
        <w:rPr/>
        <w:t>trūkums</w:t>
      </w:r>
    </w:p>
    <w:p>
      <w:pPr>
        <w:pStyle w:val="BodyText"/>
        <w:spacing w:before="5"/>
        <w:jc w:val="left"/>
        <w:rPr>
          <w:b/>
          <w:sz w:val="27"/>
        </w:rPr>
      </w:pPr>
    </w:p>
    <w:p>
      <w:pPr>
        <w:pStyle w:val="BodyText"/>
        <w:ind w:left="620" w:right="401" w:firstLine="720"/>
      </w:pPr>
      <w:r>
        <w:rPr/>
        <w:t>Aptaujas anketās respondenti ir norādījuši uz to, ka tiesu prakse Maksātnespējas likuma piemērošana nav vienota, bet nereti pat diametrāli atšķirīga. Uz šādu problēmu ir norādījusi arī Latvijas Finanšu nozares asociācija un Latvijas kredītņēmēju asociācija. Arī tiesu prakses analīze norāda, ka, lai gan Maksātnespējas likums ir spēkā jau vairāk kā 8 gadus, tā tiesību normas nereti tiek piemērotas ļoti atšķirīgi. Jo īpaši daudz atšķirību ir novērojamas tiesu nolēmumos par saistību dzēšanu (atšķiras ne vien rezolutīvās daļas formulējumi</w:t>
      </w:r>
      <w:r>
        <w:rPr>
          <w:spacing w:val="-16"/>
        </w:rPr>
        <w:t> </w:t>
      </w:r>
      <w:r>
        <w:rPr/>
        <w:t>un</w:t>
      </w:r>
      <w:r>
        <w:rPr>
          <w:spacing w:val="-16"/>
        </w:rPr>
        <w:t> </w:t>
      </w:r>
      <w:r>
        <w:rPr/>
        <w:t>nolēmumos</w:t>
      </w:r>
      <w:r>
        <w:rPr>
          <w:spacing w:val="-16"/>
        </w:rPr>
        <w:t> </w:t>
      </w:r>
      <w:r>
        <w:rPr/>
        <w:t>norādītais</w:t>
      </w:r>
      <w:r>
        <w:rPr>
          <w:spacing w:val="-16"/>
        </w:rPr>
        <w:t> </w:t>
      </w:r>
      <w:r>
        <w:rPr/>
        <w:t>informācijas</w:t>
      </w:r>
      <w:r>
        <w:rPr>
          <w:spacing w:val="-13"/>
        </w:rPr>
        <w:t> </w:t>
      </w:r>
      <w:r>
        <w:rPr/>
        <w:t>apjoms</w:t>
      </w:r>
      <w:r>
        <w:rPr>
          <w:spacing w:val="-16"/>
        </w:rPr>
        <w:t> </w:t>
      </w:r>
      <w:r>
        <w:rPr/>
        <w:t>par</w:t>
      </w:r>
      <w:r>
        <w:rPr>
          <w:spacing w:val="-15"/>
        </w:rPr>
        <w:t> </w:t>
      </w:r>
      <w:r>
        <w:rPr/>
        <w:t>kreditoriem</w:t>
      </w:r>
      <w:r>
        <w:rPr>
          <w:spacing w:val="-16"/>
        </w:rPr>
        <w:t> </w:t>
      </w:r>
      <w:r>
        <w:rPr/>
        <w:t>un</w:t>
      </w:r>
      <w:r>
        <w:rPr>
          <w:spacing w:val="-16"/>
        </w:rPr>
        <w:t> </w:t>
      </w:r>
      <w:r>
        <w:rPr/>
        <w:t>dzēšamajām saistībām, bet arī tas, ko tiesa vērtē, pieņemot</w:t>
      </w:r>
      <w:r>
        <w:rPr>
          <w:spacing w:val="-5"/>
        </w:rPr>
        <w:t> </w:t>
      </w:r>
      <w:r>
        <w:rPr/>
        <w:t>lēmumu).</w:t>
      </w:r>
    </w:p>
    <w:p>
      <w:pPr>
        <w:pStyle w:val="BodyText"/>
        <w:ind w:left="620" w:right="403" w:firstLine="720"/>
      </w:pPr>
      <w:r>
        <w:rPr/>
        <w:t>Nenoliedzami, tiesu prakse nevar būt pilnīgi vienota, jo tādējādi tiktu apdraudēta juridiskās domas attīstība un zināmā mērā pat tiesu neatkarība. Turklāt atšķirīgu tiesību normu</w:t>
      </w:r>
      <w:r>
        <w:rPr>
          <w:spacing w:val="-6"/>
        </w:rPr>
        <w:t> </w:t>
      </w:r>
      <w:r>
        <w:rPr/>
        <w:t>interpretāciju</w:t>
      </w:r>
      <w:r>
        <w:rPr>
          <w:spacing w:val="-5"/>
        </w:rPr>
        <w:t> </w:t>
      </w:r>
      <w:r>
        <w:rPr/>
        <w:t>veicina</w:t>
      </w:r>
      <w:r>
        <w:rPr>
          <w:spacing w:val="-5"/>
        </w:rPr>
        <w:t> </w:t>
      </w:r>
      <w:r>
        <w:rPr/>
        <w:t>vairāki</w:t>
      </w:r>
      <w:r>
        <w:rPr>
          <w:spacing w:val="-3"/>
        </w:rPr>
        <w:t> </w:t>
      </w:r>
      <w:r>
        <w:rPr/>
        <w:t>faktori,</w:t>
      </w:r>
      <w:r>
        <w:rPr>
          <w:spacing w:val="-5"/>
        </w:rPr>
        <w:t> </w:t>
      </w:r>
      <w:r>
        <w:rPr/>
        <w:t>kas</w:t>
      </w:r>
      <w:r>
        <w:rPr>
          <w:spacing w:val="-5"/>
        </w:rPr>
        <w:t> </w:t>
      </w:r>
      <w:r>
        <w:rPr/>
        <w:t>nav</w:t>
      </w:r>
      <w:r>
        <w:rPr>
          <w:spacing w:val="-5"/>
        </w:rPr>
        <w:t> </w:t>
      </w:r>
      <w:r>
        <w:rPr/>
        <w:t>tieši</w:t>
      </w:r>
      <w:r>
        <w:rPr>
          <w:spacing w:val="-5"/>
        </w:rPr>
        <w:t> </w:t>
      </w:r>
      <w:r>
        <w:rPr/>
        <w:t>saistīti</w:t>
      </w:r>
      <w:r>
        <w:rPr>
          <w:spacing w:val="-5"/>
        </w:rPr>
        <w:t> </w:t>
      </w:r>
      <w:r>
        <w:rPr/>
        <w:t>ar</w:t>
      </w:r>
      <w:r>
        <w:rPr>
          <w:spacing w:val="-8"/>
        </w:rPr>
        <w:t> </w:t>
      </w:r>
      <w:r>
        <w:rPr/>
        <w:t>Maksātnespējas</w:t>
      </w:r>
      <w:r>
        <w:rPr>
          <w:spacing w:val="-5"/>
        </w:rPr>
        <w:t> </w:t>
      </w:r>
      <w:r>
        <w:rPr/>
        <w:t>likumu</w:t>
      </w:r>
    </w:p>
    <w:p>
      <w:pPr>
        <w:pStyle w:val="BodyText"/>
        <w:ind w:left="620" w:right="403"/>
      </w:pPr>
      <w:r>
        <w:rPr/>
        <w:t>– specializēto tiesu neesamība, biežie likuma grozījumi, specializētās tiesību literatūras neesamība u.c. Tomēr, domājams, būtiskās atšķirības veicina arī tas, ka maksātnespējas procesu</w:t>
      </w:r>
      <w:r>
        <w:rPr>
          <w:spacing w:val="-14"/>
        </w:rPr>
        <w:t> </w:t>
      </w:r>
      <w:r>
        <w:rPr/>
        <w:t>ietvaros</w:t>
      </w:r>
      <w:r>
        <w:rPr>
          <w:spacing w:val="-11"/>
        </w:rPr>
        <w:t> </w:t>
      </w:r>
      <w:r>
        <w:rPr/>
        <w:t>pieņemtie</w:t>
      </w:r>
      <w:r>
        <w:rPr>
          <w:spacing w:val="-12"/>
        </w:rPr>
        <w:t> </w:t>
      </w:r>
      <w:r>
        <w:rPr/>
        <w:t>tiesu</w:t>
      </w:r>
      <w:r>
        <w:rPr>
          <w:spacing w:val="-13"/>
        </w:rPr>
        <w:t> </w:t>
      </w:r>
      <w:r>
        <w:rPr/>
        <w:t>nolēmumi</w:t>
      </w:r>
      <w:r>
        <w:rPr>
          <w:spacing w:val="-13"/>
        </w:rPr>
        <w:t> </w:t>
      </w:r>
      <w:r>
        <w:rPr/>
        <w:t>tikai</w:t>
      </w:r>
      <w:r>
        <w:rPr>
          <w:spacing w:val="-15"/>
        </w:rPr>
        <w:t> </w:t>
      </w:r>
      <w:r>
        <w:rPr/>
        <w:t>izņēmuma</w:t>
      </w:r>
      <w:r>
        <w:rPr>
          <w:spacing w:val="-13"/>
        </w:rPr>
        <w:t> </w:t>
      </w:r>
      <w:r>
        <w:rPr/>
        <w:t>kārtā</w:t>
      </w:r>
      <w:r>
        <w:rPr>
          <w:spacing w:val="-13"/>
        </w:rPr>
        <w:t> </w:t>
      </w:r>
      <w:r>
        <w:rPr/>
        <w:t>ir</w:t>
      </w:r>
      <w:r>
        <w:rPr>
          <w:spacing w:val="-13"/>
        </w:rPr>
        <w:t> </w:t>
      </w:r>
      <w:r>
        <w:rPr/>
        <w:t>pārsūdzami.</w:t>
      </w:r>
      <w:r>
        <w:rPr>
          <w:spacing w:val="-13"/>
        </w:rPr>
        <w:t> </w:t>
      </w:r>
      <w:r>
        <w:rPr/>
        <w:t>Šāda</w:t>
      </w:r>
      <w:r>
        <w:rPr>
          <w:spacing w:val="-16"/>
        </w:rPr>
        <w:t> </w:t>
      </w:r>
      <w:r>
        <w:rPr/>
        <w:t>pieeja lielā mērā sakņojas juridisko personu maksātnespējas procesa tiesiskajā regulējumā. Taču ir</w:t>
      </w:r>
      <w:r>
        <w:rPr>
          <w:spacing w:val="-10"/>
        </w:rPr>
        <w:t> </w:t>
      </w:r>
      <w:r>
        <w:rPr/>
        <w:t>samērā</w:t>
      </w:r>
      <w:r>
        <w:rPr>
          <w:spacing w:val="-10"/>
        </w:rPr>
        <w:t> </w:t>
      </w:r>
      <w:r>
        <w:rPr/>
        <w:t>diskutabli,</w:t>
      </w:r>
      <w:r>
        <w:rPr>
          <w:spacing w:val="-10"/>
        </w:rPr>
        <w:t> </w:t>
      </w:r>
      <w:r>
        <w:rPr/>
        <w:t>ciktāl</w:t>
      </w:r>
      <w:r>
        <w:rPr>
          <w:spacing w:val="-8"/>
        </w:rPr>
        <w:t> </w:t>
      </w:r>
      <w:r>
        <w:rPr/>
        <w:t>jautājumā</w:t>
      </w:r>
      <w:r>
        <w:rPr>
          <w:spacing w:val="-10"/>
        </w:rPr>
        <w:t> </w:t>
      </w:r>
      <w:r>
        <w:rPr/>
        <w:t>par</w:t>
      </w:r>
      <w:r>
        <w:rPr>
          <w:spacing w:val="-10"/>
        </w:rPr>
        <w:t> </w:t>
      </w:r>
      <w:r>
        <w:rPr/>
        <w:t>tiesu</w:t>
      </w:r>
      <w:r>
        <w:rPr>
          <w:spacing w:val="-10"/>
        </w:rPr>
        <w:t> </w:t>
      </w:r>
      <w:r>
        <w:rPr/>
        <w:t>nolēmumu</w:t>
      </w:r>
      <w:r>
        <w:rPr>
          <w:spacing w:val="-10"/>
        </w:rPr>
        <w:t> </w:t>
      </w:r>
      <w:r>
        <w:rPr/>
        <w:t>pārsūdzamību</w:t>
      </w:r>
      <w:r>
        <w:rPr>
          <w:spacing w:val="-10"/>
        </w:rPr>
        <w:t> </w:t>
      </w:r>
      <w:r>
        <w:rPr/>
        <w:t>var</w:t>
      </w:r>
      <w:r>
        <w:rPr>
          <w:spacing w:val="-11"/>
        </w:rPr>
        <w:t> </w:t>
      </w:r>
      <w:r>
        <w:rPr/>
        <w:t>likt</w:t>
      </w:r>
      <w:r>
        <w:rPr>
          <w:spacing w:val="-10"/>
        </w:rPr>
        <w:t> </w:t>
      </w:r>
      <w:r>
        <w:rPr/>
        <w:t>vienādības zīmi</w:t>
      </w:r>
      <w:r>
        <w:rPr>
          <w:spacing w:val="-8"/>
        </w:rPr>
        <w:t> </w:t>
      </w:r>
      <w:r>
        <w:rPr/>
        <w:t>starp</w:t>
      </w:r>
      <w:r>
        <w:rPr>
          <w:spacing w:val="-11"/>
        </w:rPr>
        <w:t> </w:t>
      </w:r>
      <w:r>
        <w:rPr/>
        <w:t>juridiskās</w:t>
      </w:r>
      <w:r>
        <w:rPr>
          <w:spacing w:val="-11"/>
        </w:rPr>
        <w:t> </w:t>
      </w:r>
      <w:r>
        <w:rPr/>
        <w:t>personas</w:t>
      </w:r>
      <w:r>
        <w:rPr>
          <w:spacing w:val="-12"/>
        </w:rPr>
        <w:t> </w:t>
      </w:r>
      <w:r>
        <w:rPr/>
        <w:t>maksātnespējas</w:t>
      </w:r>
      <w:r>
        <w:rPr>
          <w:spacing w:val="-9"/>
        </w:rPr>
        <w:t> </w:t>
      </w:r>
      <w:r>
        <w:rPr/>
        <w:t>procesa</w:t>
      </w:r>
      <w:r>
        <w:rPr>
          <w:spacing w:val="-9"/>
        </w:rPr>
        <w:t> </w:t>
      </w:r>
      <w:r>
        <w:rPr/>
        <w:t>un</w:t>
      </w:r>
      <w:r>
        <w:rPr>
          <w:spacing w:val="-9"/>
        </w:rPr>
        <w:t> </w:t>
      </w:r>
      <w:r>
        <w:rPr/>
        <w:t>fiziskās</w:t>
      </w:r>
      <w:r>
        <w:rPr>
          <w:spacing w:val="-9"/>
        </w:rPr>
        <w:t> </w:t>
      </w:r>
      <w:r>
        <w:rPr/>
        <w:t>personas</w:t>
      </w:r>
      <w:r>
        <w:rPr>
          <w:spacing w:val="-10"/>
        </w:rPr>
        <w:t> </w:t>
      </w:r>
      <w:r>
        <w:rPr/>
        <w:t>maksātnespējas procesu.</w:t>
      </w:r>
    </w:p>
    <w:p>
      <w:pPr>
        <w:pStyle w:val="BodyText"/>
        <w:spacing w:before="1"/>
        <w:ind w:left="620" w:right="403" w:firstLine="720"/>
      </w:pPr>
      <w:r>
        <w:rPr/>
        <w:t>Piemēram, Vācijā lielākā daļa tiesu nolēmumu, kas ir pieņemti fiziskās personas maksātnespējas procesā, ir pārsūdzami. Arī Latvijā būtu vēlams noteikt plašāku pārsūdzamo</w:t>
      </w:r>
      <w:r>
        <w:rPr>
          <w:spacing w:val="-6"/>
        </w:rPr>
        <w:t> </w:t>
      </w:r>
      <w:r>
        <w:rPr/>
        <w:t>tiesu</w:t>
      </w:r>
      <w:r>
        <w:rPr>
          <w:spacing w:val="-6"/>
        </w:rPr>
        <w:t> </w:t>
      </w:r>
      <w:r>
        <w:rPr/>
        <w:t>nolēmumu</w:t>
      </w:r>
      <w:r>
        <w:rPr>
          <w:spacing w:val="-4"/>
        </w:rPr>
        <w:t> </w:t>
      </w:r>
      <w:r>
        <w:rPr/>
        <w:t>klāstu.</w:t>
      </w:r>
      <w:r>
        <w:rPr>
          <w:spacing w:val="-6"/>
        </w:rPr>
        <w:t> </w:t>
      </w:r>
      <w:r>
        <w:rPr/>
        <w:t>Piemēram,</w:t>
      </w:r>
      <w:r>
        <w:rPr>
          <w:spacing w:val="-6"/>
        </w:rPr>
        <w:t> </w:t>
      </w:r>
      <w:r>
        <w:rPr/>
        <w:t>kā</w:t>
      </w:r>
      <w:r>
        <w:rPr>
          <w:spacing w:val="-4"/>
        </w:rPr>
        <w:t> </w:t>
      </w:r>
      <w:r>
        <w:rPr/>
        <w:t>pārsūdzams</w:t>
      </w:r>
      <w:r>
        <w:rPr>
          <w:spacing w:val="-4"/>
        </w:rPr>
        <w:t> </w:t>
      </w:r>
      <w:r>
        <w:rPr/>
        <w:t>būtu</w:t>
      </w:r>
      <w:r>
        <w:rPr>
          <w:spacing w:val="-6"/>
        </w:rPr>
        <w:t> </w:t>
      </w:r>
      <w:r>
        <w:rPr/>
        <w:t>nosakāms</w:t>
      </w:r>
      <w:r>
        <w:rPr>
          <w:spacing w:val="-5"/>
        </w:rPr>
        <w:t> </w:t>
      </w:r>
      <w:r>
        <w:rPr/>
        <w:t>lēmums</w:t>
      </w:r>
      <w:r>
        <w:rPr>
          <w:spacing w:val="-6"/>
        </w:rPr>
        <w:t> </w:t>
      </w:r>
      <w:r>
        <w:rPr/>
        <w:t>par</w:t>
      </w:r>
    </w:p>
    <w:p>
      <w:pPr>
        <w:pStyle w:val="BodyText"/>
        <w:spacing w:before="7"/>
        <w:jc w:val="left"/>
        <w:rPr>
          <w:sz w:val="28"/>
        </w:rPr>
      </w:pPr>
      <w:r>
        <w:rPr/>
        <w:pict>
          <v:shape style="position:absolute;margin-left:90pt;margin-top:18.698534pt;width:144pt;height:.1pt;mso-position-horizontal-relative:page;mso-position-vertical-relative:paragraph;z-index:-251432960;mso-wrap-distance-left:0;mso-wrap-distance-right:0" coordorigin="1800,374" coordsize="2880,0" path="m1800,374l4680,374e" filled="false" stroked="true" strokeweight=".599991pt" strokecolor="#000000">
            <v:path arrowok="t"/>
            <v:stroke dashstyle="solid"/>
            <w10:wrap type="topAndBottom"/>
          </v:shape>
        </w:pict>
      </w:r>
    </w:p>
    <w:p>
      <w:pPr>
        <w:spacing w:before="70"/>
        <w:ind w:left="620" w:right="313" w:firstLine="0"/>
        <w:jc w:val="left"/>
        <w:rPr>
          <w:sz w:val="20"/>
        </w:rPr>
      </w:pPr>
      <w:r>
        <w:rPr>
          <w:position w:val="7"/>
          <w:sz w:val="13"/>
        </w:rPr>
        <w:t>525 </w:t>
      </w:r>
      <w:r>
        <w:rPr>
          <w:sz w:val="20"/>
        </w:rPr>
        <w:t>Sk.: The World Bank. Report on the Treatment of the Insolvency of Natural Persons. 2013, p. 68-69., para 206.Pieejams: </w:t>
      </w:r>
      <w:hyperlink r:id="rId98">
        <w:r>
          <w:rPr>
            <w:color w:val="0562C1"/>
            <w:sz w:val="20"/>
            <w:u w:val="single" w:color="0562C1"/>
          </w:rPr>
          <w:t>http://siteresources.worldbank.org/INTGILD/Resources/WBInsolvencyOfNaturalPersonsReport_01_11_13.</w:t>
        </w:r>
      </w:hyperlink>
      <w:r>
        <w:rPr>
          <w:color w:val="0562C1"/>
          <w:sz w:val="20"/>
        </w:rPr>
        <w:t> </w:t>
      </w:r>
      <w:r>
        <w:rPr>
          <w:color w:val="0562C1"/>
          <w:sz w:val="20"/>
          <w:u w:val="single" w:color="0562C1"/>
        </w:rPr>
        <w:t>pdf</w:t>
      </w:r>
      <w:r>
        <w:rPr>
          <w:color w:val="0562C1"/>
          <w:sz w:val="20"/>
        </w:rPr>
        <w:t> </w:t>
      </w:r>
      <w:r>
        <w:rPr>
          <w:sz w:val="20"/>
        </w:rPr>
        <w:t>[aplūkots 2018.gada 20.septembrī].</w:t>
      </w:r>
    </w:p>
    <w:p>
      <w:pPr>
        <w:spacing w:after="0"/>
        <w:jc w:val="left"/>
        <w:rPr>
          <w:sz w:val="20"/>
        </w:rPr>
        <w:sectPr>
          <w:pgSz w:w="11910" w:h="16840"/>
          <w:pgMar w:header="0" w:footer="1055" w:top="1340" w:bottom="1240" w:left="1180" w:right="1040"/>
        </w:sectPr>
      </w:pPr>
    </w:p>
    <w:p>
      <w:pPr>
        <w:pStyle w:val="BodyText"/>
        <w:spacing w:before="73"/>
        <w:ind w:left="260" w:right="762"/>
      </w:pPr>
      <w:r>
        <w:rPr/>
        <w:t>saistību dzēšanas procedūras izbeigšanu, dzēšot saistības un arī – nedzēšot saistības. Tādējādi tiktu nodrošināta iespēja parādniekam vai kreditoram efektīvāk aizsargāt savas pamatotās intereses, kā arī tiktu veicināta tiesu prakses vienotība (piemēram, paredzot iespējas pārsūdzēt spriedumu par maksātnespējas procesa pieteikuma noraidīšanu, ir izdevies panākt vienotāku tiesu praksi jautājumā par maksātnespējas procesa pazīmes un ierobežojumu neesamības konstatēšanu).</w:t>
      </w:r>
    </w:p>
    <w:p>
      <w:pPr>
        <w:spacing w:after="0"/>
        <w:sectPr>
          <w:pgSz w:w="11910" w:h="16840"/>
          <w:pgMar w:header="0" w:footer="1055" w:top="1340" w:bottom="1240" w:left="1180" w:right="1040"/>
        </w:sectPr>
      </w:pPr>
    </w:p>
    <w:p>
      <w:pPr>
        <w:pStyle w:val="Heading2"/>
        <w:numPr>
          <w:ilvl w:val="2"/>
          <w:numId w:val="99"/>
        </w:numPr>
        <w:tabs>
          <w:tab w:pos="4624" w:val="left" w:leader="none"/>
        </w:tabs>
        <w:spacing w:line="240" w:lineRule="auto" w:before="59" w:after="0"/>
        <w:ind w:left="2820" w:right="2609" w:firstLine="1240"/>
        <w:jc w:val="left"/>
      </w:pPr>
      <w:bookmarkStart w:name="_TOC_250012" w:id="66"/>
      <w:r>
        <w:rPr>
          <w:color w:val="4472C3"/>
        </w:rPr>
        <w:t>NODAĻA PRIEKŠLIKUMU</w:t>
      </w:r>
      <w:r>
        <w:rPr>
          <w:color w:val="4472C3"/>
          <w:spacing w:val="9"/>
        </w:rPr>
        <w:t> </w:t>
      </w:r>
      <w:bookmarkEnd w:id="66"/>
      <w:r>
        <w:rPr>
          <w:color w:val="4472C3"/>
          <w:spacing w:val="-3"/>
        </w:rPr>
        <w:t>APKOPOJUMS</w:t>
      </w:r>
    </w:p>
    <w:p>
      <w:pPr>
        <w:pStyle w:val="BodyText"/>
        <w:jc w:val="left"/>
        <w:rPr>
          <w:b/>
          <w:sz w:val="20"/>
        </w:rPr>
      </w:pPr>
    </w:p>
    <w:p>
      <w:pPr>
        <w:pStyle w:val="BodyText"/>
        <w:jc w:val="left"/>
        <w:rPr>
          <w:b/>
          <w:sz w:val="20"/>
        </w:rPr>
      </w:pPr>
    </w:p>
    <w:p>
      <w:pPr>
        <w:pStyle w:val="ListParagraph"/>
        <w:numPr>
          <w:ilvl w:val="0"/>
          <w:numId w:val="119"/>
        </w:numPr>
        <w:tabs>
          <w:tab w:pos="1340" w:val="left" w:leader="none"/>
        </w:tabs>
        <w:spacing w:line="240" w:lineRule="auto" w:before="90" w:after="0"/>
        <w:ind w:left="1340" w:right="0" w:hanging="360"/>
        <w:jc w:val="left"/>
        <w:rPr>
          <w:b/>
          <w:i/>
          <w:sz w:val="24"/>
        </w:rPr>
      </w:pPr>
      <w:r>
        <w:rPr>
          <w:b/>
          <w:i/>
          <w:spacing w:val="-147"/>
          <w:sz w:val="24"/>
          <w:u w:val="thick"/>
        </w:rPr>
        <w:t>P</w:t>
      </w:r>
      <w:r>
        <w:rPr>
          <w:b/>
          <w:i/>
          <w:spacing w:val="89"/>
          <w:sz w:val="24"/>
        </w:rPr>
        <w:t> </w:t>
      </w:r>
      <w:r>
        <w:rPr>
          <w:b/>
          <w:i/>
          <w:sz w:val="24"/>
          <w:u w:val="thick"/>
        </w:rPr>
        <w:t>aradigmas maiņa par iespēju dzēst saistības tikai godprātīgam</w:t>
      </w:r>
      <w:r>
        <w:rPr>
          <w:b/>
          <w:i/>
          <w:spacing w:val="-5"/>
          <w:sz w:val="24"/>
          <w:u w:val="thick"/>
        </w:rPr>
        <w:t> </w:t>
      </w:r>
      <w:r>
        <w:rPr>
          <w:b/>
          <w:i/>
          <w:sz w:val="24"/>
          <w:u w:val="thick"/>
        </w:rPr>
        <w:t>parādniekam</w:t>
      </w:r>
    </w:p>
    <w:p>
      <w:pPr>
        <w:pStyle w:val="BodyText"/>
        <w:spacing w:before="9"/>
        <w:jc w:val="left"/>
        <w:rPr>
          <w:b/>
          <w:i/>
          <w:sz w:val="15"/>
        </w:rPr>
      </w:pPr>
    </w:p>
    <w:p>
      <w:pPr>
        <w:pStyle w:val="ListParagraph"/>
        <w:numPr>
          <w:ilvl w:val="0"/>
          <w:numId w:val="120"/>
        </w:numPr>
        <w:tabs>
          <w:tab w:pos="1614" w:val="left" w:leader="none"/>
        </w:tabs>
        <w:spacing w:line="240" w:lineRule="auto" w:before="90" w:after="0"/>
        <w:ind w:left="1613" w:right="400" w:hanging="634"/>
        <w:jc w:val="both"/>
        <w:rPr>
          <w:sz w:val="24"/>
        </w:rPr>
      </w:pPr>
      <w:r>
        <w:rPr>
          <w:sz w:val="24"/>
        </w:rPr>
        <w:t>Maksātnespējas likuma tiesiskais regulējums ietver sevī pamatnostādni par to, ka saistības tiek dzēstas tikai godprātīgam parādniekam.</w:t>
      </w:r>
      <w:r>
        <w:rPr>
          <w:position w:val="9"/>
          <w:sz w:val="16"/>
        </w:rPr>
        <w:t>526 </w:t>
      </w:r>
      <w:r>
        <w:rPr>
          <w:sz w:val="24"/>
        </w:rPr>
        <w:t>Tādēļ likumsakarīgi, ka tiesu praksē šī pamatnostādne samērā bieži tiek izmantota, lai izbeigtu maksātnespējas procesu negodprātīgam parādniekam. Tomēr vienlaikus secināms, ka nereti fiziskās personas maksātnespējas procesos saistības tiek dzēstas arī tādiem parādniekiem, par kuru godprātību rodas šaubas (pārmērīgas saistības, mantiskajam stāvoklim neatbilstošas saistības, straujš saistību pieaugums, aizdomīgi darījumi, zemi “oficiālie” ienākumi, formālas atbildes uz administratora</w:t>
      </w:r>
      <w:r>
        <w:rPr>
          <w:spacing w:val="-17"/>
          <w:sz w:val="24"/>
        </w:rPr>
        <w:t> </w:t>
      </w:r>
      <w:r>
        <w:rPr>
          <w:sz w:val="24"/>
        </w:rPr>
        <w:t>vai</w:t>
      </w:r>
      <w:r>
        <w:rPr>
          <w:spacing w:val="-13"/>
          <w:sz w:val="24"/>
        </w:rPr>
        <w:t> </w:t>
      </w:r>
      <w:r>
        <w:rPr>
          <w:sz w:val="24"/>
        </w:rPr>
        <w:t>tiesas</w:t>
      </w:r>
      <w:r>
        <w:rPr>
          <w:spacing w:val="-14"/>
          <w:sz w:val="24"/>
        </w:rPr>
        <w:t> </w:t>
      </w:r>
      <w:r>
        <w:rPr>
          <w:sz w:val="24"/>
        </w:rPr>
        <w:t>pieprasījumiem,</w:t>
      </w:r>
      <w:r>
        <w:rPr>
          <w:spacing w:val="-13"/>
          <w:sz w:val="24"/>
        </w:rPr>
        <w:t> </w:t>
      </w:r>
      <w:r>
        <w:rPr>
          <w:sz w:val="24"/>
        </w:rPr>
        <w:t>ienākumu</w:t>
      </w:r>
      <w:r>
        <w:rPr>
          <w:spacing w:val="-12"/>
          <w:sz w:val="24"/>
        </w:rPr>
        <w:t> </w:t>
      </w:r>
      <w:r>
        <w:rPr>
          <w:sz w:val="24"/>
        </w:rPr>
        <w:t>apmēram</w:t>
      </w:r>
      <w:r>
        <w:rPr>
          <w:spacing w:val="-15"/>
          <w:sz w:val="24"/>
        </w:rPr>
        <w:t> </w:t>
      </w:r>
      <w:r>
        <w:rPr>
          <w:sz w:val="24"/>
        </w:rPr>
        <w:t>neatbilstošs</w:t>
      </w:r>
      <w:r>
        <w:rPr>
          <w:spacing w:val="-14"/>
          <w:sz w:val="24"/>
        </w:rPr>
        <w:t> </w:t>
      </w:r>
      <w:r>
        <w:rPr>
          <w:sz w:val="24"/>
        </w:rPr>
        <w:t>dzīves veids u.c.). Tādējādi likumdevējam ir principiāli jāizšķiras par to, vai tiek saglabāta pamatnostādne par iespēju dzēst saistības tikai godprātīgam parādniekam (apzinoties, ka realitātē tā bieži vien ir vīzija, nevis faktiskā situācija)</w:t>
      </w:r>
      <w:r>
        <w:rPr>
          <w:spacing w:val="-11"/>
          <w:sz w:val="24"/>
        </w:rPr>
        <w:t> </w:t>
      </w:r>
      <w:r>
        <w:rPr>
          <w:sz w:val="24"/>
        </w:rPr>
        <w:t>vai</w:t>
      </w:r>
      <w:r>
        <w:rPr>
          <w:spacing w:val="-9"/>
          <w:sz w:val="24"/>
        </w:rPr>
        <w:t> </w:t>
      </w:r>
      <w:r>
        <w:rPr>
          <w:sz w:val="24"/>
        </w:rPr>
        <w:t>arī,</w:t>
      </w:r>
      <w:r>
        <w:rPr>
          <w:spacing w:val="-9"/>
          <w:sz w:val="24"/>
        </w:rPr>
        <w:t> </w:t>
      </w:r>
      <w:r>
        <w:rPr>
          <w:sz w:val="24"/>
        </w:rPr>
        <w:t>līdzīgi</w:t>
      </w:r>
      <w:r>
        <w:rPr>
          <w:spacing w:val="-9"/>
          <w:sz w:val="24"/>
        </w:rPr>
        <w:t> </w:t>
      </w:r>
      <w:r>
        <w:rPr>
          <w:sz w:val="24"/>
        </w:rPr>
        <w:t>kā</w:t>
      </w:r>
      <w:r>
        <w:rPr>
          <w:spacing w:val="-9"/>
          <w:sz w:val="24"/>
        </w:rPr>
        <w:t> </w:t>
      </w:r>
      <w:r>
        <w:rPr>
          <w:sz w:val="24"/>
        </w:rPr>
        <w:t>tas</w:t>
      </w:r>
      <w:r>
        <w:rPr>
          <w:spacing w:val="-11"/>
          <w:sz w:val="24"/>
        </w:rPr>
        <w:t> </w:t>
      </w:r>
      <w:r>
        <w:rPr>
          <w:sz w:val="24"/>
        </w:rPr>
        <w:t>ir</w:t>
      </w:r>
      <w:r>
        <w:rPr>
          <w:spacing w:val="-5"/>
          <w:sz w:val="24"/>
        </w:rPr>
        <w:t> </w:t>
      </w:r>
      <w:r>
        <w:rPr>
          <w:sz w:val="24"/>
        </w:rPr>
        <w:t>Lielbritānijā,</w:t>
      </w:r>
      <w:r>
        <w:rPr>
          <w:spacing w:val="-9"/>
          <w:sz w:val="24"/>
        </w:rPr>
        <w:t> </w:t>
      </w:r>
      <w:r>
        <w:rPr>
          <w:sz w:val="24"/>
        </w:rPr>
        <w:t>paredzēt</w:t>
      </w:r>
      <w:r>
        <w:rPr>
          <w:spacing w:val="-9"/>
          <w:sz w:val="24"/>
        </w:rPr>
        <w:t> </w:t>
      </w:r>
      <w:r>
        <w:rPr>
          <w:sz w:val="24"/>
        </w:rPr>
        <w:t>iespēju</w:t>
      </w:r>
      <w:r>
        <w:rPr>
          <w:spacing w:val="-9"/>
          <w:sz w:val="24"/>
        </w:rPr>
        <w:t> </w:t>
      </w:r>
      <w:r>
        <w:rPr>
          <w:sz w:val="24"/>
        </w:rPr>
        <w:t>dzēst</w:t>
      </w:r>
      <w:r>
        <w:rPr>
          <w:spacing w:val="-9"/>
          <w:sz w:val="24"/>
        </w:rPr>
        <w:t> </w:t>
      </w:r>
      <w:r>
        <w:rPr>
          <w:sz w:val="24"/>
        </w:rPr>
        <w:t>saistības</w:t>
      </w:r>
      <w:r>
        <w:rPr>
          <w:spacing w:val="-9"/>
          <w:sz w:val="24"/>
        </w:rPr>
        <w:t> </w:t>
      </w:r>
      <w:r>
        <w:rPr>
          <w:sz w:val="24"/>
        </w:rPr>
        <w:t>arī negodprātīgiem parādniekiem, taču piemērojot šādiem parādniekiem nelabvēlīgākus maksātnespējas procesa</w:t>
      </w:r>
      <w:r>
        <w:rPr>
          <w:spacing w:val="-1"/>
          <w:sz w:val="24"/>
        </w:rPr>
        <w:t> </w:t>
      </w:r>
      <w:r>
        <w:rPr>
          <w:sz w:val="24"/>
        </w:rPr>
        <w:t>noteikumus.</w:t>
      </w:r>
    </w:p>
    <w:p>
      <w:pPr>
        <w:pStyle w:val="BodyText"/>
        <w:spacing w:before="8"/>
        <w:jc w:val="left"/>
        <w:rPr>
          <w:sz w:val="22"/>
        </w:rPr>
      </w:pPr>
    </w:p>
    <w:p>
      <w:pPr>
        <w:pStyle w:val="ListParagraph"/>
        <w:numPr>
          <w:ilvl w:val="0"/>
          <w:numId w:val="120"/>
        </w:numPr>
        <w:tabs>
          <w:tab w:pos="1614" w:val="left" w:leader="none"/>
        </w:tabs>
        <w:spacing w:line="240" w:lineRule="auto" w:before="0" w:after="0"/>
        <w:ind w:left="1613" w:right="401" w:hanging="569"/>
        <w:jc w:val="both"/>
        <w:rPr>
          <w:sz w:val="24"/>
        </w:rPr>
      </w:pPr>
      <w:r>
        <w:rPr>
          <w:sz w:val="24"/>
        </w:rPr>
        <w:t>Ja likumdevējs principiāli izšķiras saglabāt esošo nostādni par fiziskās personas maksātnespējas procesa piemērošanu un saistību dzēšanu tikai godprātīgam parādniekiem, ir nepieciešams veikt būtiskas izmaiņas Maksātnespējas likumā, paredzot stingrākus ierobežojumus maksātnespējas procesa uzsākšanai un saistību dzēšanai, kā arī stingrākus parādnieka kontroles mehānismus (jo īpaši saistību dzēšanas procedūras laikā). Pretējā gadījumā ir sagaidāms, ka pieaugs tiesību nihilisms fizisko personu maksātnespējas procesos un pazemināsies saistību izpildes kultūra, kā rezultātā ļoti ierobežotā apmērā tiks gūta pozitīva atdeve no fiziskās personas maksātnespējas procesa kā finansiālo grūtību risināšanas instrumenta. Vienlaikus jārēķinās, ka stingrāku ierobežojumu paredzēšana un lielāka parādnieku kontrole ne vien sarežģīs maksātnespējas procesa norisi, bet arī to sadārdzinās, tādējādi samazinot fiziskās personas maksātnespējas procesa pieejamību un atturot godprātīgus parādniekus no fiziskās personas maksātnespējas procesa</w:t>
      </w:r>
      <w:r>
        <w:rPr>
          <w:spacing w:val="-1"/>
          <w:sz w:val="24"/>
        </w:rPr>
        <w:t> </w:t>
      </w:r>
      <w:r>
        <w:rPr>
          <w:sz w:val="24"/>
        </w:rPr>
        <w:t>uzsākšanas.</w:t>
      </w:r>
    </w:p>
    <w:p>
      <w:pPr>
        <w:pStyle w:val="BodyText"/>
        <w:jc w:val="left"/>
      </w:pPr>
    </w:p>
    <w:p>
      <w:pPr>
        <w:pStyle w:val="ListParagraph"/>
        <w:numPr>
          <w:ilvl w:val="0"/>
          <w:numId w:val="120"/>
        </w:numPr>
        <w:tabs>
          <w:tab w:pos="1614" w:val="left" w:leader="none"/>
        </w:tabs>
        <w:spacing w:line="240" w:lineRule="auto" w:before="0" w:after="0"/>
        <w:ind w:left="1613" w:right="400" w:hanging="569"/>
        <w:jc w:val="both"/>
        <w:rPr>
          <w:sz w:val="24"/>
        </w:rPr>
      </w:pPr>
      <w:r>
        <w:rPr>
          <w:sz w:val="24"/>
        </w:rPr>
        <w:t>Jāteic, ka ideja par fiziskās personas maksātnespējas procesa piemērošanu tikai godprātīgam parādniekam vairākus gadu desmitus ir bijusi vadošā tiesību politikas nostādne. Tomēr arvien biežāk tiek pieļauti tā dēvētie kompromisa risinājumi, apzinoties, ka, liedzot iespēju dzēst saistības parādniekam, kura rīcība noteiktos aspektos varētu tikt vērtēta kā negodprātīga, negatīvo aspektu ir vairāk kā ieguvumu. Piemēram, Pasaules Bankas īstenotajā pētījumā uzsvērts, ka negodprātīgu parādnieku problemātika ir risināma, meklējot saprātīgu balansu gan attiecībā uz parādnieku kontroles izmaksām, gan arī sabiedrības interesēm, jo, liedzot parādniekam iespēju dzēst saistības fiziskās</w:t>
      </w:r>
      <w:r>
        <w:rPr>
          <w:spacing w:val="4"/>
          <w:sz w:val="24"/>
        </w:rPr>
        <w:t> </w:t>
      </w:r>
      <w:r>
        <w:rPr>
          <w:sz w:val="24"/>
        </w:rPr>
        <w:t>personas</w:t>
      </w:r>
    </w:p>
    <w:p>
      <w:pPr>
        <w:pStyle w:val="BodyText"/>
        <w:jc w:val="left"/>
        <w:rPr>
          <w:sz w:val="20"/>
        </w:rPr>
      </w:pPr>
    </w:p>
    <w:p>
      <w:pPr>
        <w:pStyle w:val="BodyText"/>
        <w:spacing w:before="8"/>
        <w:jc w:val="left"/>
      </w:pPr>
      <w:r>
        <w:rPr/>
        <w:pict>
          <v:shape style="position:absolute;margin-left:90pt;margin-top:16.493685pt;width:144pt;height:.1pt;mso-position-horizontal-relative:page;mso-position-vertical-relative:paragraph;z-index:-251431936;mso-wrap-distance-left:0;mso-wrap-distance-right:0" coordorigin="1800,330" coordsize="2880,0" path="m1800,330l4680,330e" filled="false" stroked="true" strokeweight=".599991pt" strokecolor="#000000">
            <v:path arrowok="t"/>
            <v:stroke dashstyle="solid"/>
            <w10:wrap type="topAndBottom"/>
          </v:shape>
        </w:pict>
      </w:r>
    </w:p>
    <w:p>
      <w:pPr>
        <w:spacing w:line="249" w:lineRule="auto" w:before="58"/>
        <w:ind w:left="620" w:right="402" w:firstLine="0"/>
        <w:jc w:val="left"/>
        <w:rPr>
          <w:sz w:val="20"/>
        </w:rPr>
      </w:pPr>
      <w:r>
        <w:rPr>
          <w:position w:val="9"/>
          <w:sz w:val="16"/>
        </w:rPr>
        <w:t>526 </w:t>
      </w:r>
      <w:r>
        <w:rPr>
          <w:sz w:val="20"/>
        </w:rPr>
        <w:t>Sk. arī: Bērziņš G. Fiziskas personas  maksātnespējas  process.  Rīga:  Tiesu  namu  aģentūra,  2018, 59.-</w:t>
      </w:r>
      <w:r>
        <w:rPr>
          <w:spacing w:val="-3"/>
          <w:sz w:val="20"/>
        </w:rPr>
        <w:t> </w:t>
      </w:r>
      <w:r>
        <w:rPr>
          <w:sz w:val="20"/>
        </w:rPr>
        <w:t>63.lpp.</w:t>
      </w:r>
    </w:p>
    <w:p>
      <w:pPr>
        <w:spacing w:after="0" w:line="249" w:lineRule="auto"/>
        <w:jc w:val="left"/>
        <w:rPr>
          <w:sz w:val="20"/>
        </w:rPr>
        <w:sectPr>
          <w:pgSz w:w="11910" w:h="16840"/>
          <w:pgMar w:header="0" w:footer="1055" w:top="1360" w:bottom="1240" w:left="1180" w:right="1040"/>
        </w:sectPr>
      </w:pPr>
    </w:p>
    <w:p>
      <w:pPr>
        <w:pStyle w:val="BodyText"/>
        <w:spacing w:line="228" w:lineRule="auto" w:before="84"/>
        <w:ind w:left="1253" w:right="764"/>
        <w:rPr>
          <w:sz w:val="16"/>
        </w:rPr>
      </w:pPr>
      <w:r>
        <w:rPr/>
        <w:t>maksātnespējas procesā, tiek zaudēta parādnieka produktivitāte, negatīvi ietekmēta ģimenes dzīve un veselība.</w:t>
      </w:r>
      <w:r>
        <w:rPr>
          <w:position w:val="9"/>
          <w:sz w:val="16"/>
        </w:rPr>
        <w:t>527</w:t>
      </w:r>
    </w:p>
    <w:p>
      <w:pPr>
        <w:pStyle w:val="BodyText"/>
        <w:spacing w:before="4"/>
        <w:jc w:val="left"/>
      </w:pPr>
    </w:p>
    <w:p>
      <w:pPr>
        <w:pStyle w:val="ListParagraph"/>
        <w:numPr>
          <w:ilvl w:val="0"/>
          <w:numId w:val="120"/>
        </w:numPr>
        <w:tabs>
          <w:tab w:pos="968" w:val="left" w:leader="none"/>
        </w:tabs>
        <w:spacing w:line="237" w:lineRule="auto" w:before="0" w:after="0"/>
        <w:ind w:left="967" w:right="761" w:hanging="281"/>
        <w:jc w:val="both"/>
        <w:rPr>
          <w:sz w:val="24"/>
        </w:rPr>
      </w:pPr>
      <w:r>
        <w:rPr>
          <w:sz w:val="24"/>
        </w:rPr>
        <w:t>Zīmīgi, ka arī 2016. gada 22. novembra Eiropas Komisijas Priekšlikumā direktīvai par preventīvās pārstrukturēšanas regulējumu, otro iespēju un pārstrukturēšanas, maksātnespējas un saistību dzēšanas procedūras efektivitātes palielināšanas pasākumiem un ar ko groza Direktīvu 2012/30/ES</w:t>
      </w:r>
      <w:r>
        <w:rPr>
          <w:position w:val="9"/>
          <w:sz w:val="16"/>
        </w:rPr>
        <w:t>528 </w:t>
      </w:r>
      <w:r>
        <w:rPr>
          <w:sz w:val="24"/>
        </w:rPr>
        <w:t>parādnieka godprātība vairs netiek izvirzīta kā pamatnosacījums “otrajai” iespējai. Gluži pretēji, priekšlikuma 22.pants paredz, ka parādnieka negodprātība ir viens no aspektiem, kura dēļ dalībvalstis var paredzēt nedzēšamo saistību izņēmumus, noteikt garāku saistību dzēšanas procedūras termiņu vai paredzēt ierobežojumus pēc saistību dzēšanas, nevis vispār liegt maksātnespējas procesa</w:t>
      </w:r>
      <w:r>
        <w:rPr>
          <w:spacing w:val="-1"/>
          <w:sz w:val="24"/>
        </w:rPr>
        <w:t> </w:t>
      </w:r>
      <w:r>
        <w:rPr>
          <w:sz w:val="24"/>
        </w:rPr>
        <w:t>piemērošanu.</w:t>
      </w:r>
    </w:p>
    <w:p>
      <w:pPr>
        <w:pStyle w:val="BodyText"/>
        <w:spacing w:before="7"/>
        <w:jc w:val="left"/>
      </w:pPr>
    </w:p>
    <w:p>
      <w:pPr>
        <w:pStyle w:val="ListParagraph"/>
        <w:numPr>
          <w:ilvl w:val="0"/>
          <w:numId w:val="120"/>
        </w:numPr>
        <w:tabs>
          <w:tab w:pos="1254" w:val="left" w:leader="none"/>
        </w:tabs>
        <w:spacing w:line="240" w:lineRule="auto" w:before="0" w:after="0"/>
        <w:ind w:left="1253" w:right="760" w:hanging="634"/>
        <w:jc w:val="both"/>
        <w:rPr>
          <w:sz w:val="24"/>
        </w:rPr>
      </w:pPr>
      <w:r>
        <w:rPr>
          <w:sz w:val="24"/>
        </w:rPr>
        <w:t>Mūsdienu</w:t>
      </w:r>
      <w:r>
        <w:rPr>
          <w:spacing w:val="-6"/>
          <w:sz w:val="24"/>
        </w:rPr>
        <w:t> </w:t>
      </w:r>
      <w:r>
        <w:rPr>
          <w:sz w:val="24"/>
        </w:rPr>
        <w:t>ekonomiskā</w:t>
      </w:r>
      <w:r>
        <w:rPr>
          <w:spacing w:val="-5"/>
          <w:sz w:val="24"/>
        </w:rPr>
        <w:t> </w:t>
      </w:r>
      <w:r>
        <w:rPr>
          <w:sz w:val="24"/>
        </w:rPr>
        <w:t>un</w:t>
      </w:r>
      <w:r>
        <w:rPr>
          <w:spacing w:val="-6"/>
          <w:sz w:val="24"/>
        </w:rPr>
        <w:t> </w:t>
      </w:r>
      <w:r>
        <w:rPr>
          <w:sz w:val="24"/>
        </w:rPr>
        <w:t>sociālā</w:t>
      </w:r>
      <w:r>
        <w:rPr>
          <w:spacing w:val="-5"/>
          <w:sz w:val="24"/>
        </w:rPr>
        <w:t> </w:t>
      </w:r>
      <w:r>
        <w:rPr>
          <w:sz w:val="24"/>
        </w:rPr>
        <w:t>realitāte</w:t>
      </w:r>
      <w:r>
        <w:rPr>
          <w:spacing w:val="-9"/>
          <w:sz w:val="24"/>
        </w:rPr>
        <w:t> </w:t>
      </w:r>
      <w:r>
        <w:rPr>
          <w:sz w:val="24"/>
        </w:rPr>
        <w:t>vedina</w:t>
      </w:r>
      <w:r>
        <w:rPr>
          <w:spacing w:val="-3"/>
          <w:sz w:val="24"/>
        </w:rPr>
        <w:t> </w:t>
      </w:r>
      <w:r>
        <w:rPr>
          <w:sz w:val="24"/>
        </w:rPr>
        <w:t>pārvērtēt</w:t>
      </w:r>
      <w:r>
        <w:rPr>
          <w:spacing w:val="-7"/>
          <w:sz w:val="24"/>
        </w:rPr>
        <w:t> </w:t>
      </w:r>
      <w:r>
        <w:rPr>
          <w:sz w:val="24"/>
        </w:rPr>
        <w:t>idejisko</w:t>
      </w:r>
      <w:r>
        <w:rPr>
          <w:spacing w:val="-6"/>
          <w:sz w:val="24"/>
        </w:rPr>
        <w:t> </w:t>
      </w:r>
      <w:r>
        <w:rPr>
          <w:sz w:val="24"/>
        </w:rPr>
        <w:t>nostādni</w:t>
      </w:r>
      <w:r>
        <w:rPr>
          <w:spacing w:val="-5"/>
          <w:sz w:val="24"/>
        </w:rPr>
        <w:t> </w:t>
      </w:r>
      <w:r>
        <w:rPr>
          <w:sz w:val="24"/>
        </w:rPr>
        <w:t>par to, ka fiziskās personas maksātnespējas procesā saistības tiek dzēstas tikai godprātīgam parādniekam, jo īpaši ņemot vērā to, ka parādnieka negodprātība var izpausties ne vien kā izteikti neētiska un sabiedriski nepieņemama rīcība (piemēram, saistību uzņemšanās bez nolūka tās pildīt vai patieso ienākumu slēpšana), bet arī salīdzinoši maznozīmīgākos aspektos (piemēram, vieglprātība vai slinkums). Attiecīgi, ja neatkarīgi no pārkāpuma smaguma tiek uzturēta</w:t>
      </w:r>
      <w:r>
        <w:rPr>
          <w:spacing w:val="-15"/>
          <w:sz w:val="24"/>
        </w:rPr>
        <w:t> </w:t>
      </w:r>
      <w:r>
        <w:rPr>
          <w:sz w:val="24"/>
        </w:rPr>
        <w:t>tēze par iespēju dzēst saistības tikai godprātīgam parādniekam, to, pirmkārt, ir teju neiespējami nodrošināt praktiskajā likuma piemērošanā, ko skaidri apliecina Maksātnespējas likuma praktiskā piemērošana. Tādējādi tiesiskais uzstādījums, kas praksē netiek realizēts, tikai vairo tiesību nihilismu. Un, otrkārt, liedzot parādniekam dzēst saistības arī salīdzinoši mazāk nozīmīgu negodprātības aspektu gadījumos, pastāv liela iespējamība, ka parādnieks izvēlēsies “pelēko zonu”, vai arī piedzīvos ekonomisko un sociālo atstumtību, savukārt šāds scenārijs neatbilst kopējām sabiedrības</w:t>
      </w:r>
      <w:r>
        <w:rPr>
          <w:spacing w:val="1"/>
          <w:sz w:val="24"/>
        </w:rPr>
        <w:t> </w:t>
      </w:r>
      <w:r>
        <w:rPr>
          <w:sz w:val="24"/>
        </w:rPr>
        <w:t>interesēm.</w:t>
      </w:r>
    </w:p>
    <w:p>
      <w:pPr>
        <w:pStyle w:val="BodyText"/>
        <w:spacing w:before="1"/>
        <w:jc w:val="left"/>
      </w:pPr>
    </w:p>
    <w:p>
      <w:pPr>
        <w:pStyle w:val="ListParagraph"/>
        <w:numPr>
          <w:ilvl w:val="0"/>
          <w:numId w:val="120"/>
        </w:numPr>
        <w:tabs>
          <w:tab w:pos="1254" w:val="left" w:leader="none"/>
        </w:tabs>
        <w:spacing w:line="240" w:lineRule="auto" w:before="0" w:after="0"/>
        <w:ind w:left="1253" w:right="761" w:hanging="569"/>
        <w:jc w:val="both"/>
        <w:rPr>
          <w:sz w:val="24"/>
        </w:rPr>
      </w:pPr>
      <w:r>
        <w:rPr>
          <w:sz w:val="24"/>
        </w:rPr>
        <w:t>Ņemot vērā minēto, lietderīgāk būtu nospraust konkrētas “sarkanās līnijas”, kuras pārkāpjot saistības netiek dzēstas, savukārt mazāk nozīmīgos negodprātības gadījumos piemērot parādniekam neizdevīgākus maksātnespējas procesa noteikumus (piemēram, garāku saistību dzēšanas procedūras termiņu, ierobežojumus</w:t>
      </w:r>
      <w:r>
        <w:rPr>
          <w:spacing w:val="-13"/>
          <w:sz w:val="24"/>
        </w:rPr>
        <w:t> </w:t>
      </w:r>
      <w:r>
        <w:rPr>
          <w:sz w:val="24"/>
        </w:rPr>
        <w:t>ieņemt</w:t>
      </w:r>
      <w:r>
        <w:rPr>
          <w:spacing w:val="-13"/>
          <w:sz w:val="24"/>
        </w:rPr>
        <w:t> </w:t>
      </w:r>
      <w:r>
        <w:rPr>
          <w:sz w:val="24"/>
        </w:rPr>
        <w:t>noteiktus</w:t>
      </w:r>
      <w:r>
        <w:rPr>
          <w:spacing w:val="-10"/>
          <w:sz w:val="24"/>
        </w:rPr>
        <w:t> </w:t>
      </w:r>
      <w:r>
        <w:rPr>
          <w:sz w:val="24"/>
        </w:rPr>
        <w:t>amatus,</w:t>
      </w:r>
      <w:r>
        <w:rPr>
          <w:spacing w:val="-13"/>
          <w:sz w:val="24"/>
        </w:rPr>
        <w:t> </w:t>
      </w:r>
      <w:r>
        <w:rPr>
          <w:sz w:val="24"/>
        </w:rPr>
        <w:t>plašāku</w:t>
      </w:r>
      <w:r>
        <w:rPr>
          <w:spacing w:val="-12"/>
          <w:sz w:val="24"/>
        </w:rPr>
        <w:t> </w:t>
      </w:r>
      <w:r>
        <w:rPr>
          <w:sz w:val="24"/>
        </w:rPr>
        <w:t>nedzēšamo</w:t>
      </w:r>
      <w:r>
        <w:rPr>
          <w:spacing w:val="-13"/>
          <w:sz w:val="24"/>
        </w:rPr>
        <w:t> </w:t>
      </w:r>
      <w:r>
        <w:rPr>
          <w:sz w:val="24"/>
        </w:rPr>
        <w:t>saistību</w:t>
      </w:r>
      <w:r>
        <w:rPr>
          <w:spacing w:val="-13"/>
          <w:sz w:val="24"/>
        </w:rPr>
        <w:t> </w:t>
      </w:r>
      <w:r>
        <w:rPr>
          <w:sz w:val="24"/>
        </w:rPr>
        <w:t>klāstu</w:t>
      </w:r>
      <w:r>
        <w:rPr>
          <w:spacing w:val="-10"/>
          <w:sz w:val="24"/>
        </w:rPr>
        <w:t> </w:t>
      </w:r>
      <w:r>
        <w:rPr>
          <w:sz w:val="24"/>
        </w:rPr>
        <w:t>u.c.).</w:t>
      </w:r>
    </w:p>
    <w:p>
      <w:pPr>
        <w:pStyle w:val="BodyText"/>
        <w:jc w:val="left"/>
      </w:pPr>
    </w:p>
    <w:p>
      <w:pPr>
        <w:pStyle w:val="BodyText"/>
        <w:ind w:left="1253" w:right="762"/>
      </w:pPr>
      <w:r>
        <w:rPr/>
        <w:t>Jautājums par to, kādu parādnieka rīcību iekļaut “sarkano līniju” rāmī, un kādu atzīt par nosacīti pieļaujamu, bet sodāmu ar nelabvēlīgākiem maksātnespējas procesa</w:t>
      </w:r>
      <w:r>
        <w:rPr>
          <w:spacing w:val="-11"/>
        </w:rPr>
        <w:t> </w:t>
      </w:r>
      <w:r>
        <w:rPr/>
        <w:t>noteikumiem,</w:t>
      </w:r>
      <w:r>
        <w:rPr>
          <w:spacing w:val="-10"/>
        </w:rPr>
        <w:t> </w:t>
      </w:r>
      <w:r>
        <w:rPr/>
        <w:t>ir</w:t>
      </w:r>
      <w:r>
        <w:rPr>
          <w:spacing w:val="-11"/>
        </w:rPr>
        <w:t> </w:t>
      </w:r>
      <w:r>
        <w:rPr/>
        <w:t>iztirzājams</w:t>
      </w:r>
      <w:r>
        <w:rPr>
          <w:spacing w:val="-10"/>
        </w:rPr>
        <w:t> </w:t>
      </w:r>
      <w:r>
        <w:rPr/>
        <w:t>nozares</w:t>
      </w:r>
      <w:r>
        <w:rPr>
          <w:spacing w:val="-13"/>
        </w:rPr>
        <w:t> </w:t>
      </w:r>
      <w:r>
        <w:rPr/>
        <w:t>pārstāvju</w:t>
      </w:r>
      <w:r>
        <w:rPr>
          <w:spacing w:val="-10"/>
        </w:rPr>
        <w:t> </w:t>
      </w:r>
      <w:r>
        <w:rPr/>
        <w:t>diskusijās.</w:t>
      </w:r>
      <w:r>
        <w:rPr>
          <w:spacing w:val="-11"/>
        </w:rPr>
        <w:t> </w:t>
      </w:r>
      <w:r>
        <w:rPr/>
        <w:t>Domājams,</w:t>
      </w:r>
      <w:r>
        <w:rPr>
          <w:spacing w:val="-10"/>
        </w:rPr>
        <w:t> </w:t>
      </w:r>
      <w:r>
        <w:rPr/>
        <w:t>ka, ņemot vērā vispārējo civiltiesību regulējumu (Civillikuma 1.pantu), “sarkano līniju”</w:t>
      </w:r>
      <w:r>
        <w:rPr>
          <w:spacing w:val="-12"/>
        </w:rPr>
        <w:t> </w:t>
      </w:r>
      <w:r>
        <w:rPr/>
        <w:t>rāmim</w:t>
      </w:r>
      <w:r>
        <w:rPr>
          <w:spacing w:val="-10"/>
        </w:rPr>
        <w:t> </w:t>
      </w:r>
      <w:r>
        <w:rPr/>
        <w:t>būtu</w:t>
      </w:r>
      <w:r>
        <w:rPr>
          <w:spacing w:val="-10"/>
        </w:rPr>
        <w:t> </w:t>
      </w:r>
      <w:r>
        <w:rPr/>
        <w:t>jāaptver</w:t>
      </w:r>
      <w:r>
        <w:rPr>
          <w:spacing w:val="-9"/>
        </w:rPr>
        <w:t> </w:t>
      </w:r>
      <w:r>
        <w:rPr/>
        <w:t>tipiskie</w:t>
      </w:r>
      <w:r>
        <w:rPr>
          <w:spacing w:val="-10"/>
        </w:rPr>
        <w:t> </w:t>
      </w:r>
      <w:r>
        <w:rPr/>
        <w:t>gadījumi,</w:t>
      </w:r>
      <w:r>
        <w:rPr>
          <w:spacing w:val="-10"/>
        </w:rPr>
        <w:t> </w:t>
      </w:r>
      <w:r>
        <w:rPr/>
        <w:t>kuros</w:t>
      </w:r>
      <w:r>
        <w:rPr>
          <w:spacing w:val="-9"/>
        </w:rPr>
        <w:t> </w:t>
      </w:r>
      <w:r>
        <w:rPr/>
        <w:t>parādnieks</w:t>
      </w:r>
      <w:r>
        <w:rPr>
          <w:spacing w:val="-10"/>
        </w:rPr>
        <w:t> </w:t>
      </w:r>
      <w:r>
        <w:rPr/>
        <w:t>fiziskās</w:t>
      </w:r>
      <w:r>
        <w:rPr>
          <w:spacing w:val="-10"/>
        </w:rPr>
        <w:t> </w:t>
      </w:r>
      <w:r>
        <w:rPr/>
        <w:t>personas</w:t>
      </w:r>
    </w:p>
    <w:p>
      <w:pPr>
        <w:pStyle w:val="BodyText"/>
        <w:jc w:val="left"/>
        <w:rPr>
          <w:sz w:val="20"/>
        </w:rPr>
      </w:pPr>
    </w:p>
    <w:p>
      <w:pPr>
        <w:pStyle w:val="BodyText"/>
        <w:jc w:val="left"/>
        <w:rPr>
          <w:sz w:val="20"/>
        </w:rPr>
      </w:pPr>
    </w:p>
    <w:p>
      <w:pPr>
        <w:pStyle w:val="BodyText"/>
        <w:spacing w:before="7"/>
        <w:jc w:val="left"/>
        <w:rPr>
          <w:sz w:val="12"/>
        </w:rPr>
      </w:pPr>
      <w:r>
        <w:rPr/>
        <w:pict>
          <v:shape style="position:absolute;margin-left:72pt;margin-top:9.519344pt;width:144pt;height:.1pt;mso-position-horizontal-relative:page;mso-position-vertical-relative:paragraph;z-index:-251430912;mso-wrap-distance-left:0;mso-wrap-distance-right:0" coordorigin="1440,190" coordsize="2880,0" path="m1440,190l4320,190e" filled="false" stroked="true" strokeweight=".599991pt" strokecolor="#000000">
            <v:path arrowok="t"/>
            <v:stroke dashstyle="solid"/>
            <w10:wrap type="topAndBottom"/>
          </v:shape>
        </w:pict>
      </w:r>
    </w:p>
    <w:p>
      <w:pPr>
        <w:spacing w:line="244" w:lineRule="auto" w:before="58"/>
        <w:ind w:left="260" w:right="750" w:firstLine="0"/>
        <w:jc w:val="left"/>
        <w:rPr>
          <w:sz w:val="20"/>
        </w:rPr>
      </w:pPr>
      <w:r>
        <w:rPr>
          <w:position w:val="9"/>
          <w:sz w:val="16"/>
        </w:rPr>
        <w:t>527 </w:t>
      </w:r>
      <w:r>
        <w:rPr>
          <w:sz w:val="20"/>
        </w:rPr>
        <w:t>The World Bank. Report on the Treatment of the Insolvency of Natural Persons. 2013, p. 64, para 192. Pieejams:</w:t>
      </w:r>
      <w:hyperlink r:id="rId98">
        <w:r>
          <w:rPr>
            <w:color w:val="0562C1"/>
            <w:sz w:val="20"/>
            <w:u w:val="single" w:color="0562C1"/>
          </w:rPr>
          <w:t> http://siteresources.worldbank.org/INTGILD/Resources/WBInsolvencyOfNaturalPersonsReport_01_11_13.</w:t>
        </w:r>
      </w:hyperlink>
      <w:r>
        <w:rPr>
          <w:color w:val="0562C1"/>
          <w:sz w:val="20"/>
          <w:u w:val="single" w:color="0562C1"/>
        </w:rPr>
        <w:t> pdf</w:t>
      </w:r>
      <w:r>
        <w:rPr>
          <w:color w:val="0562C1"/>
          <w:sz w:val="20"/>
        </w:rPr>
        <w:t> </w:t>
      </w:r>
      <w:r>
        <w:rPr>
          <w:sz w:val="20"/>
        </w:rPr>
        <w:t>[aplūkots 2018.gada 20.septembrī].</w:t>
      </w:r>
    </w:p>
    <w:p>
      <w:pPr>
        <w:spacing w:line="256" w:lineRule="exact" w:before="0"/>
        <w:ind w:left="260" w:right="0" w:firstLine="0"/>
        <w:jc w:val="left"/>
        <w:rPr>
          <w:sz w:val="20"/>
        </w:rPr>
      </w:pPr>
      <w:r>
        <w:rPr>
          <w:position w:val="9"/>
          <w:sz w:val="16"/>
        </w:rPr>
        <w:t>528 </w:t>
      </w:r>
      <w:r>
        <w:rPr>
          <w:sz w:val="20"/>
        </w:rPr>
        <w:t>Proposal for a Directive of the European Parliament and of the Council on preventive restructuring</w:t>
      </w:r>
    </w:p>
    <w:p>
      <w:pPr>
        <w:spacing w:before="10"/>
        <w:ind w:left="260" w:right="765" w:firstLine="0"/>
        <w:jc w:val="both"/>
        <w:rPr>
          <w:sz w:val="20"/>
        </w:rPr>
      </w:pPr>
      <w:r>
        <w:rPr>
          <w:sz w:val="20"/>
        </w:rPr>
        <w:t>frameworks,</w:t>
      </w:r>
      <w:r>
        <w:rPr>
          <w:spacing w:val="-15"/>
          <w:sz w:val="20"/>
        </w:rPr>
        <w:t> </w:t>
      </w:r>
      <w:r>
        <w:rPr>
          <w:sz w:val="20"/>
        </w:rPr>
        <w:t>second</w:t>
      </w:r>
      <w:r>
        <w:rPr>
          <w:spacing w:val="-12"/>
          <w:sz w:val="20"/>
        </w:rPr>
        <w:t> </w:t>
      </w:r>
      <w:r>
        <w:rPr>
          <w:sz w:val="20"/>
        </w:rPr>
        <w:t>chance</w:t>
      </w:r>
      <w:r>
        <w:rPr>
          <w:spacing w:val="-12"/>
          <w:sz w:val="20"/>
        </w:rPr>
        <w:t> </w:t>
      </w:r>
      <w:r>
        <w:rPr>
          <w:sz w:val="20"/>
        </w:rPr>
        <w:t>and</w:t>
      </w:r>
      <w:r>
        <w:rPr>
          <w:spacing w:val="-12"/>
          <w:sz w:val="20"/>
        </w:rPr>
        <w:t> </w:t>
      </w:r>
      <w:r>
        <w:rPr>
          <w:sz w:val="20"/>
        </w:rPr>
        <w:t>measures</w:t>
      </w:r>
      <w:r>
        <w:rPr>
          <w:spacing w:val="-15"/>
          <w:sz w:val="20"/>
        </w:rPr>
        <w:t> </w:t>
      </w:r>
      <w:r>
        <w:rPr>
          <w:sz w:val="20"/>
        </w:rPr>
        <w:t>to</w:t>
      </w:r>
      <w:r>
        <w:rPr>
          <w:spacing w:val="-12"/>
          <w:sz w:val="20"/>
        </w:rPr>
        <w:t> </w:t>
      </w:r>
      <w:r>
        <w:rPr>
          <w:sz w:val="20"/>
        </w:rPr>
        <w:t>increase</w:t>
      </w:r>
      <w:r>
        <w:rPr>
          <w:spacing w:val="-12"/>
          <w:sz w:val="20"/>
        </w:rPr>
        <w:t> </w:t>
      </w:r>
      <w:r>
        <w:rPr>
          <w:sz w:val="20"/>
        </w:rPr>
        <w:t>the</w:t>
      </w:r>
      <w:r>
        <w:rPr>
          <w:spacing w:val="-12"/>
          <w:sz w:val="20"/>
        </w:rPr>
        <w:t> </w:t>
      </w:r>
      <w:r>
        <w:rPr>
          <w:sz w:val="20"/>
        </w:rPr>
        <w:t>efficiency</w:t>
      </w:r>
      <w:r>
        <w:rPr>
          <w:spacing w:val="-16"/>
          <w:sz w:val="20"/>
        </w:rPr>
        <w:t> </w:t>
      </w:r>
      <w:r>
        <w:rPr>
          <w:sz w:val="20"/>
        </w:rPr>
        <w:t>of</w:t>
      </w:r>
      <w:r>
        <w:rPr>
          <w:spacing w:val="-14"/>
          <w:sz w:val="20"/>
        </w:rPr>
        <w:t> </w:t>
      </w:r>
      <w:r>
        <w:rPr>
          <w:sz w:val="20"/>
        </w:rPr>
        <w:t>restructuring,</w:t>
      </w:r>
      <w:r>
        <w:rPr>
          <w:spacing w:val="-14"/>
          <w:sz w:val="20"/>
        </w:rPr>
        <w:t> </w:t>
      </w:r>
      <w:r>
        <w:rPr>
          <w:sz w:val="20"/>
        </w:rPr>
        <w:t>insolvency</w:t>
      </w:r>
      <w:r>
        <w:rPr>
          <w:spacing w:val="-16"/>
          <w:sz w:val="20"/>
        </w:rPr>
        <w:t> </w:t>
      </w:r>
      <w:r>
        <w:rPr>
          <w:sz w:val="20"/>
        </w:rPr>
        <w:t>and</w:t>
      </w:r>
      <w:r>
        <w:rPr>
          <w:spacing w:val="-12"/>
          <w:sz w:val="20"/>
        </w:rPr>
        <w:t> </w:t>
      </w:r>
      <w:r>
        <w:rPr>
          <w:sz w:val="20"/>
        </w:rPr>
        <w:t>discharge procedures and amending Directive 2012/30/EU. COM (2016) 723, 2016/0359(COD), latviešu valodā pieejams: </w:t>
      </w:r>
      <w:hyperlink r:id="rId100">
        <w:r>
          <w:rPr>
            <w:color w:val="0562C1"/>
            <w:sz w:val="20"/>
            <w:u w:val="single" w:color="0562C1"/>
          </w:rPr>
          <w:t>http://eur-lex.europa.eu/legal-content/LV/TXT/PDF/?uri=CELEX:52016PC0723&amp;from=EN</w:t>
        </w:r>
      </w:hyperlink>
      <w:r>
        <w:rPr>
          <w:color w:val="0562C1"/>
          <w:sz w:val="20"/>
        </w:rPr>
        <w:t> </w:t>
      </w:r>
      <w:r>
        <w:rPr>
          <w:sz w:val="20"/>
        </w:rPr>
        <w:t>[aplūkots 2018.gada</w:t>
      </w:r>
      <w:r>
        <w:rPr>
          <w:spacing w:val="-3"/>
          <w:sz w:val="20"/>
        </w:rPr>
        <w:t> </w:t>
      </w:r>
      <w:r>
        <w:rPr>
          <w:sz w:val="20"/>
        </w:rPr>
        <w:t>20.septembrī].</w:t>
      </w:r>
    </w:p>
    <w:p>
      <w:pPr>
        <w:spacing w:after="0"/>
        <w:jc w:val="both"/>
        <w:rPr>
          <w:sz w:val="20"/>
        </w:rPr>
        <w:sectPr>
          <w:pgSz w:w="11910" w:h="16840"/>
          <w:pgMar w:header="0" w:footer="1055" w:top="1340" w:bottom="1240" w:left="1180" w:right="1040"/>
        </w:sectPr>
      </w:pPr>
    </w:p>
    <w:p>
      <w:pPr>
        <w:pStyle w:val="BodyText"/>
        <w:spacing w:before="73"/>
        <w:ind w:left="1613" w:right="398"/>
        <w:jc w:val="left"/>
      </w:pPr>
      <w:r>
        <w:rPr/>
        <w:t>maksātnespējas procesa institūtu izmanto ļaunprātīgi. Piemēram, “sarkanās līnijas” varētu būt:</w:t>
      </w:r>
    </w:p>
    <w:p>
      <w:pPr>
        <w:pStyle w:val="ListParagraph"/>
        <w:numPr>
          <w:ilvl w:val="0"/>
          <w:numId w:val="121"/>
        </w:numPr>
        <w:tabs>
          <w:tab w:pos="2420" w:val="left" w:leader="none"/>
        </w:tabs>
        <w:spacing w:line="240" w:lineRule="auto" w:before="0" w:after="0"/>
        <w:ind w:left="2420" w:right="0" w:hanging="360"/>
        <w:jc w:val="left"/>
        <w:rPr>
          <w:sz w:val="24"/>
        </w:rPr>
      </w:pPr>
      <w:r>
        <w:rPr>
          <w:sz w:val="24"/>
        </w:rPr>
        <w:t>saistību uzņemšanās bez nolūka tās pildīt,</w:t>
      </w:r>
    </w:p>
    <w:p>
      <w:pPr>
        <w:pStyle w:val="ListParagraph"/>
        <w:numPr>
          <w:ilvl w:val="0"/>
          <w:numId w:val="121"/>
        </w:numPr>
        <w:tabs>
          <w:tab w:pos="2420" w:val="left" w:leader="none"/>
        </w:tabs>
        <w:spacing w:line="240" w:lineRule="auto" w:before="0" w:after="0"/>
        <w:ind w:left="2420" w:right="0" w:hanging="360"/>
        <w:jc w:val="left"/>
        <w:rPr>
          <w:sz w:val="24"/>
        </w:rPr>
      </w:pPr>
      <w:r>
        <w:rPr>
          <w:sz w:val="24"/>
        </w:rPr>
        <w:t>apzināta saistību</w:t>
      </w:r>
      <w:r>
        <w:rPr>
          <w:spacing w:val="-1"/>
          <w:sz w:val="24"/>
        </w:rPr>
        <w:t> </w:t>
      </w:r>
      <w:r>
        <w:rPr>
          <w:sz w:val="24"/>
        </w:rPr>
        <w:t>nepildīšana,</w:t>
      </w:r>
    </w:p>
    <w:p>
      <w:pPr>
        <w:pStyle w:val="ListParagraph"/>
        <w:numPr>
          <w:ilvl w:val="0"/>
          <w:numId w:val="121"/>
        </w:numPr>
        <w:tabs>
          <w:tab w:pos="2420" w:val="left" w:leader="none"/>
        </w:tabs>
        <w:spacing w:line="240" w:lineRule="auto" w:before="0" w:after="0"/>
        <w:ind w:left="2420" w:right="0" w:hanging="360"/>
        <w:jc w:val="left"/>
        <w:rPr>
          <w:sz w:val="24"/>
        </w:rPr>
      </w:pPr>
      <w:r>
        <w:rPr>
          <w:sz w:val="24"/>
        </w:rPr>
        <w:t>patieso ienākumu vai mantas</w:t>
      </w:r>
      <w:r>
        <w:rPr>
          <w:spacing w:val="-1"/>
          <w:sz w:val="24"/>
        </w:rPr>
        <w:t> </w:t>
      </w:r>
      <w:r>
        <w:rPr>
          <w:sz w:val="24"/>
        </w:rPr>
        <w:t>slēpšana,</w:t>
      </w:r>
    </w:p>
    <w:p>
      <w:pPr>
        <w:pStyle w:val="ListParagraph"/>
        <w:numPr>
          <w:ilvl w:val="0"/>
          <w:numId w:val="121"/>
        </w:numPr>
        <w:tabs>
          <w:tab w:pos="2420" w:val="left" w:leader="none"/>
        </w:tabs>
        <w:spacing w:line="240" w:lineRule="auto" w:before="0" w:after="0"/>
        <w:ind w:left="2420" w:right="0" w:hanging="360"/>
        <w:jc w:val="left"/>
        <w:rPr>
          <w:sz w:val="24"/>
        </w:rPr>
      </w:pPr>
      <w:r>
        <w:rPr>
          <w:sz w:val="24"/>
        </w:rPr>
        <w:t>apzināti nepatiesas informācijas</w:t>
      </w:r>
      <w:r>
        <w:rPr>
          <w:spacing w:val="-2"/>
          <w:sz w:val="24"/>
        </w:rPr>
        <w:t> </w:t>
      </w:r>
      <w:r>
        <w:rPr>
          <w:sz w:val="24"/>
        </w:rPr>
        <w:t>sniegšana,</w:t>
      </w:r>
    </w:p>
    <w:p>
      <w:pPr>
        <w:pStyle w:val="ListParagraph"/>
        <w:numPr>
          <w:ilvl w:val="0"/>
          <w:numId w:val="121"/>
        </w:numPr>
        <w:tabs>
          <w:tab w:pos="2420" w:val="left" w:leader="none"/>
        </w:tabs>
        <w:spacing w:line="240" w:lineRule="auto" w:before="0" w:after="0"/>
        <w:ind w:left="2420" w:right="403" w:hanging="360"/>
        <w:jc w:val="both"/>
        <w:rPr>
          <w:sz w:val="24"/>
        </w:rPr>
      </w:pPr>
      <w:r>
        <w:rPr>
          <w:sz w:val="24"/>
        </w:rPr>
        <w:t>Maksātnespējas likumā noteikto ierobežojumu pārkāpšana </w:t>
      </w:r>
      <w:r>
        <w:rPr>
          <w:spacing w:val="-5"/>
          <w:sz w:val="24"/>
        </w:rPr>
        <w:t>vai </w:t>
      </w:r>
      <w:r>
        <w:rPr>
          <w:sz w:val="24"/>
        </w:rPr>
        <w:t>pienākumu nepildīšana, tādejādi būtiski pasliktinot kreditoru </w:t>
      </w:r>
      <w:r>
        <w:rPr>
          <w:spacing w:val="-3"/>
          <w:sz w:val="24"/>
        </w:rPr>
        <w:t>iespējas </w:t>
      </w:r>
      <w:r>
        <w:rPr>
          <w:sz w:val="24"/>
        </w:rPr>
        <w:t>gūt sava prasījuma pilnīgāku</w:t>
      </w:r>
      <w:r>
        <w:rPr>
          <w:spacing w:val="-2"/>
          <w:sz w:val="24"/>
        </w:rPr>
        <w:t> </w:t>
      </w:r>
      <w:r>
        <w:rPr>
          <w:sz w:val="24"/>
        </w:rPr>
        <w:t>apmierinājumu.</w:t>
      </w:r>
    </w:p>
    <w:p>
      <w:pPr>
        <w:pStyle w:val="BodyText"/>
        <w:jc w:val="left"/>
      </w:pPr>
    </w:p>
    <w:p>
      <w:pPr>
        <w:pStyle w:val="BodyText"/>
        <w:ind w:left="1613" w:right="402"/>
      </w:pPr>
      <w:r>
        <w:rPr/>
        <w:t>Savukārt nelabvēlīgāki maksātnespējas procesa noteikumi varētu tikt piemēroti šādos gadījumos:</w:t>
      </w:r>
    </w:p>
    <w:p>
      <w:pPr>
        <w:pStyle w:val="ListParagraph"/>
        <w:numPr>
          <w:ilvl w:val="0"/>
          <w:numId w:val="122"/>
        </w:numPr>
        <w:tabs>
          <w:tab w:pos="2464" w:val="left" w:leader="none"/>
        </w:tabs>
        <w:spacing w:line="240" w:lineRule="auto" w:before="1" w:after="0"/>
        <w:ind w:left="2463" w:right="0" w:hanging="426"/>
        <w:jc w:val="both"/>
        <w:rPr>
          <w:sz w:val="24"/>
        </w:rPr>
      </w:pPr>
      <w:r>
        <w:rPr>
          <w:sz w:val="24"/>
        </w:rPr>
        <w:t>neapdomīga vai pārmērīga saistību</w:t>
      </w:r>
      <w:r>
        <w:rPr>
          <w:spacing w:val="-6"/>
          <w:sz w:val="24"/>
        </w:rPr>
        <w:t> </w:t>
      </w:r>
      <w:r>
        <w:rPr>
          <w:sz w:val="24"/>
        </w:rPr>
        <w:t>uzņemšanās,</w:t>
      </w:r>
    </w:p>
    <w:p>
      <w:pPr>
        <w:pStyle w:val="ListParagraph"/>
        <w:numPr>
          <w:ilvl w:val="0"/>
          <w:numId w:val="122"/>
        </w:numPr>
        <w:tabs>
          <w:tab w:pos="2464" w:val="left" w:leader="none"/>
        </w:tabs>
        <w:spacing w:line="240" w:lineRule="auto" w:before="0" w:after="0"/>
        <w:ind w:left="2463" w:right="0" w:hanging="426"/>
        <w:jc w:val="both"/>
        <w:rPr>
          <w:sz w:val="24"/>
        </w:rPr>
      </w:pPr>
      <w:r>
        <w:rPr>
          <w:sz w:val="24"/>
        </w:rPr>
        <w:t>ienākumu negūšana atbilstoši savām</w:t>
      </w:r>
      <w:r>
        <w:rPr>
          <w:spacing w:val="1"/>
          <w:sz w:val="24"/>
        </w:rPr>
        <w:t> </w:t>
      </w:r>
      <w:r>
        <w:rPr>
          <w:sz w:val="24"/>
        </w:rPr>
        <w:t>spējām,</w:t>
      </w:r>
    </w:p>
    <w:p>
      <w:pPr>
        <w:pStyle w:val="ListParagraph"/>
        <w:numPr>
          <w:ilvl w:val="0"/>
          <w:numId w:val="122"/>
        </w:numPr>
        <w:tabs>
          <w:tab w:pos="2464" w:val="left" w:leader="none"/>
        </w:tabs>
        <w:spacing w:line="240" w:lineRule="auto" w:before="0" w:after="0"/>
        <w:ind w:left="2463" w:right="404" w:hanging="425"/>
        <w:jc w:val="both"/>
        <w:rPr>
          <w:sz w:val="24"/>
        </w:rPr>
      </w:pPr>
      <w:r>
        <w:rPr>
          <w:sz w:val="24"/>
        </w:rPr>
        <w:t>pasīva savu pienākumu pildīšana maksātnespējas procesā </w:t>
      </w:r>
      <w:r>
        <w:rPr>
          <w:spacing w:val="-3"/>
          <w:sz w:val="24"/>
        </w:rPr>
        <w:t>(piemēram, </w:t>
      </w:r>
      <w:r>
        <w:rPr>
          <w:sz w:val="24"/>
        </w:rPr>
        <w:t>kavēta informācijas sniegšana</w:t>
      </w:r>
      <w:r>
        <w:rPr>
          <w:spacing w:val="-4"/>
          <w:sz w:val="24"/>
        </w:rPr>
        <w:t> </w:t>
      </w:r>
      <w:r>
        <w:rPr>
          <w:sz w:val="24"/>
        </w:rPr>
        <w:t>u.c),</w:t>
      </w:r>
    </w:p>
    <w:p>
      <w:pPr>
        <w:pStyle w:val="ListParagraph"/>
        <w:numPr>
          <w:ilvl w:val="0"/>
          <w:numId w:val="122"/>
        </w:numPr>
        <w:tabs>
          <w:tab w:pos="2464" w:val="left" w:leader="none"/>
        </w:tabs>
        <w:spacing w:line="240" w:lineRule="auto" w:before="0" w:after="0"/>
        <w:ind w:left="2463" w:right="401" w:hanging="425"/>
        <w:jc w:val="both"/>
        <w:rPr>
          <w:sz w:val="24"/>
        </w:rPr>
      </w:pPr>
      <w:r>
        <w:rPr>
          <w:sz w:val="24"/>
        </w:rPr>
        <w:t>tādu darījumu noslēgšana, ar kuriem parādnieks nodarījis zaudējumus kreditoriem (nav loģiski, ka atbilstoši spēkā esošajam tiesiskajam regulējumam šādi darījumi, no vienas puses, ir apstrīdami, no </w:t>
      </w:r>
      <w:r>
        <w:rPr>
          <w:spacing w:val="-3"/>
          <w:sz w:val="24"/>
        </w:rPr>
        <w:t>otras </w:t>
      </w:r>
      <w:r>
        <w:rPr>
          <w:sz w:val="24"/>
        </w:rPr>
        <w:t>puses – tie ir ierobežojums saistību dzēšanas procedūras piemērošanai; attiecīgi, saglabājot darījumu apstrīdēšanas institūtu, šāda parādnieka rīcība varētu tikt noteikta nevis kā “sarkanā līnija”, bet gan kā pamats nelabvēlīgāku maksātnespējas procesa noteikumu</w:t>
      </w:r>
      <w:r>
        <w:rPr>
          <w:spacing w:val="-6"/>
          <w:sz w:val="24"/>
        </w:rPr>
        <w:t> </w:t>
      </w:r>
      <w:r>
        <w:rPr>
          <w:sz w:val="24"/>
        </w:rPr>
        <w:t>piemērošanai).</w:t>
      </w:r>
    </w:p>
    <w:p>
      <w:pPr>
        <w:pStyle w:val="BodyText"/>
        <w:jc w:val="left"/>
        <w:rPr>
          <w:sz w:val="20"/>
        </w:rPr>
      </w:pPr>
    </w:p>
    <w:p>
      <w:pPr>
        <w:pStyle w:val="BodyText"/>
        <w:spacing w:before="7"/>
        <w:jc w:val="left"/>
        <w:rPr>
          <w:sz w:val="20"/>
        </w:rPr>
      </w:pPr>
    </w:p>
    <w:p>
      <w:pPr>
        <w:pStyle w:val="Heading4"/>
        <w:numPr>
          <w:ilvl w:val="0"/>
          <w:numId w:val="119"/>
        </w:numPr>
        <w:tabs>
          <w:tab w:pos="1340" w:val="left" w:leader="none"/>
        </w:tabs>
        <w:spacing w:line="240" w:lineRule="auto" w:before="90" w:after="0"/>
        <w:ind w:left="1340" w:right="0" w:hanging="360"/>
        <w:jc w:val="left"/>
        <w:rPr>
          <w:i/>
        </w:rPr>
      </w:pPr>
      <w:bookmarkStart w:name="_TOC_250011" w:id="67"/>
      <w:r>
        <w:rPr>
          <w:i/>
          <w:spacing w:val="-147"/>
          <w:u w:val="thick"/>
        </w:rPr>
        <w:t>P</w:t>
      </w:r>
      <w:r>
        <w:rPr>
          <w:i/>
          <w:spacing w:val="89"/>
        </w:rPr>
        <w:t> </w:t>
      </w:r>
      <w:r>
        <w:rPr>
          <w:i/>
          <w:u w:val="thick"/>
        </w:rPr>
        <w:t>atieso ienākumu</w:t>
      </w:r>
      <w:r>
        <w:rPr>
          <w:i/>
          <w:spacing w:val="2"/>
          <w:u w:val="thick"/>
        </w:rPr>
        <w:t> </w:t>
      </w:r>
      <w:bookmarkEnd w:id="67"/>
      <w:r>
        <w:rPr>
          <w:i/>
          <w:u w:val="thick"/>
        </w:rPr>
        <w:t>slēpšana</w:t>
      </w:r>
    </w:p>
    <w:p>
      <w:pPr>
        <w:pStyle w:val="BodyText"/>
        <w:spacing w:before="8"/>
        <w:jc w:val="left"/>
        <w:rPr>
          <w:b/>
          <w:i/>
          <w:sz w:val="15"/>
        </w:rPr>
      </w:pPr>
    </w:p>
    <w:p>
      <w:pPr>
        <w:pStyle w:val="BodyText"/>
        <w:spacing w:before="90"/>
        <w:ind w:left="620" w:right="398" w:firstLine="427"/>
        <w:jc w:val="left"/>
      </w:pPr>
      <w:r>
        <w:rPr/>
        <w:t>Patieso ienākumu slēpšana ir viena no aktuālākajām Maksātnespējas likuma piemērošanas problēmām. Lai to risinātu, tiek izteikts priekšlikums veikt šādas izmaiņas:</w:t>
      </w:r>
    </w:p>
    <w:p>
      <w:pPr>
        <w:pStyle w:val="BodyText"/>
        <w:jc w:val="left"/>
      </w:pPr>
    </w:p>
    <w:p>
      <w:pPr>
        <w:pStyle w:val="ListParagraph"/>
        <w:numPr>
          <w:ilvl w:val="0"/>
          <w:numId w:val="123"/>
        </w:numPr>
        <w:tabs>
          <w:tab w:pos="1340" w:val="left" w:leader="none"/>
        </w:tabs>
        <w:spacing w:line="240" w:lineRule="auto" w:before="0" w:after="0"/>
        <w:ind w:left="1340" w:right="402" w:hanging="360"/>
        <w:jc w:val="both"/>
        <w:rPr>
          <w:sz w:val="24"/>
        </w:rPr>
      </w:pPr>
      <w:r>
        <w:rPr>
          <w:sz w:val="24"/>
        </w:rPr>
        <w:t>konceptuāli atteikties no minimālā maksājuma sliekšņa, tā vietā dodot priekšroku stingram regulējumam par parādnieka pienākumu veikt maksājumus atbilstoši saviem ienākumiem – piemēram, saglabājot šobrīd likumā noteikto pienākumu kreditoru prasījumu segšanai novirzīt 1/3 no saviem ienākumiem (plašāks pamatojums norādīts pētījuma VI. nodaļas 1.punkta</w:t>
      </w:r>
      <w:r>
        <w:rPr>
          <w:spacing w:val="-1"/>
          <w:sz w:val="24"/>
        </w:rPr>
        <w:t> </w:t>
      </w:r>
      <w:r>
        <w:rPr>
          <w:sz w:val="24"/>
        </w:rPr>
        <w:t>1.apakšpunktā);</w:t>
      </w:r>
    </w:p>
    <w:p>
      <w:pPr>
        <w:pStyle w:val="ListParagraph"/>
        <w:numPr>
          <w:ilvl w:val="0"/>
          <w:numId w:val="123"/>
        </w:numPr>
        <w:tabs>
          <w:tab w:pos="1340" w:val="left" w:leader="none"/>
        </w:tabs>
        <w:spacing w:line="240" w:lineRule="auto" w:before="1" w:after="0"/>
        <w:ind w:left="1340" w:right="403" w:hanging="360"/>
        <w:jc w:val="both"/>
        <w:rPr>
          <w:sz w:val="24"/>
        </w:rPr>
      </w:pPr>
      <w:r>
        <w:rPr>
          <w:sz w:val="24"/>
        </w:rPr>
        <w:t>Maksātnespējas likuma 154.pantā noteikt pienākumu saistību dzēšanas </w:t>
      </w:r>
      <w:r>
        <w:rPr>
          <w:spacing w:val="-3"/>
          <w:sz w:val="24"/>
        </w:rPr>
        <w:t>plānā </w:t>
      </w:r>
      <w:r>
        <w:rPr>
          <w:sz w:val="24"/>
        </w:rPr>
        <w:t>motivēt paredzamo ienākumu apmēru (plašāks pamatojums norādīts pētījuma VI. nodaļas 1.punkta</w:t>
      </w:r>
      <w:r>
        <w:rPr>
          <w:spacing w:val="-3"/>
          <w:sz w:val="24"/>
        </w:rPr>
        <w:t> </w:t>
      </w:r>
      <w:r>
        <w:rPr>
          <w:sz w:val="24"/>
        </w:rPr>
        <w:t>2.apakšpunktā);</w:t>
      </w:r>
    </w:p>
    <w:p>
      <w:pPr>
        <w:pStyle w:val="ListParagraph"/>
        <w:numPr>
          <w:ilvl w:val="0"/>
          <w:numId w:val="123"/>
        </w:numPr>
        <w:tabs>
          <w:tab w:pos="1340" w:val="left" w:leader="none"/>
        </w:tabs>
        <w:spacing w:line="240" w:lineRule="auto" w:before="0" w:after="0"/>
        <w:ind w:left="1340" w:right="403" w:hanging="360"/>
        <w:jc w:val="both"/>
        <w:rPr>
          <w:sz w:val="24"/>
        </w:rPr>
      </w:pPr>
      <w:r>
        <w:rPr>
          <w:sz w:val="24"/>
        </w:rPr>
        <w:t>grozīt Maksātnespējas likuma 160.pantu, nosakot parādniekam pienākumu pēc maksātnespējas procesa administratora vai tiesas pieprasījuma sniegt informāciju par nodarbinātību, ienākumiem, mantisko stāvokli, likumā noteikto ierobežojumu ievērošanu un saistību dzēšanas plāna izpildi (plašāks pamatojums norādīts pētījuma VI. nodaļas 1.punkta</w:t>
      </w:r>
      <w:r>
        <w:rPr>
          <w:spacing w:val="-4"/>
          <w:sz w:val="24"/>
        </w:rPr>
        <w:t> </w:t>
      </w:r>
      <w:r>
        <w:rPr>
          <w:sz w:val="24"/>
        </w:rPr>
        <w:t>3.apakšpunktā);</w:t>
      </w:r>
    </w:p>
    <w:p>
      <w:pPr>
        <w:pStyle w:val="ListParagraph"/>
        <w:numPr>
          <w:ilvl w:val="0"/>
          <w:numId w:val="123"/>
        </w:numPr>
        <w:tabs>
          <w:tab w:pos="1340" w:val="left" w:leader="none"/>
        </w:tabs>
        <w:spacing w:line="240" w:lineRule="auto" w:before="0" w:after="0"/>
        <w:ind w:left="1340" w:right="402" w:hanging="360"/>
        <w:jc w:val="both"/>
        <w:rPr>
          <w:sz w:val="24"/>
        </w:rPr>
      </w:pPr>
      <w:r>
        <w:rPr>
          <w:sz w:val="24"/>
        </w:rPr>
        <w:t>ieviest</w:t>
      </w:r>
      <w:r>
        <w:rPr>
          <w:spacing w:val="-9"/>
          <w:sz w:val="24"/>
        </w:rPr>
        <w:t> </w:t>
      </w:r>
      <w:r>
        <w:rPr>
          <w:sz w:val="24"/>
        </w:rPr>
        <w:t>zvēresta</w:t>
      </w:r>
      <w:r>
        <w:rPr>
          <w:spacing w:val="-6"/>
          <w:sz w:val="24"/>
        </w:rPr>
        <w:t> </w:t>
      </w:r>
      <w:r>
        <w:rPr>
          <w:sz w:val="24"/>
        </w:rPr>
        <w:t>institūtu</w:t>
      </w:r>
      <w:r>
        <w:rPr>
          <w:spacing w:val="-8"/>
          <w:sz w:val="24"/>
        </w:rPr>
        <w:t> </w:t>
      </w:r>
      <w:r>
        <w:rPr>
          <w:sz w:val="24"/>
        </w:rPr>
        <w:t>maksātnespējas</w:t>
      </w:r>
      <w:r>
        <w:rPr>
          <w:spacing w:val="-10"/>
          <w:sz w:val="24"/>
        </w:rPr>
        <w:t> </w:t>
      </w:r>
      <w:r>
        <w:rPr>
          <w:sz w:val="24"/>
        </w:rPr>
        <w:t>tiesībās,</w:t>
      </w:r>
      <w:r>
        <w:rPr>
          <w:spacing w:val="-4"/>
          <w:sz w:val="24"/>
        </w:rPr>
        <w:t> </w:t>
      </w:r>
      <w:r>
        <w:rPr>
          <w:sz w:val="24"/>
        </w:rPr>
        <w:t>kurš</w:t>
      </w:r>
      <w:r>
        <w:rPr>
          <w:spacing w:val="-8"/>
          <w:sz w:val="24"/>
        </w:rPr>
        <w:t> </w:t>
      </w:r>
      <w:r>
        <w:rPr>
          <w:sz w:val="24"/>
        </w:rPr>
        <w:t>pamatā</w:t>
      </w:r>
      <w:r>
        <w:rPr>
          <w:spacing w:val="-6"/>
          <w:sz w:val="24"/>
        </w:rPr>
        <w:t> </w:t>
      </w:r>
      <w:r>
        <w:rPr>
          <w:sz w:val="24"/>
        </w:rPr>
        <w:t>varētu</w:t>
      </w:r>
      <w:r>
        <w:rPr>
          <w:spacing w:val="-8"/>
          <w:sz w:val="24"/>
        </w:rPr>
        <w:t> </w:t>
      </w:r>
      <w:r>
        <w:rPr>
          <w:sz w:val="24"/>
        </w:rPr>
        <w:t>darboties</w:t>
      </w:r>
      <w:r>
        <w:rPr>
          <w:spacing w:val="-8"/>
          <w:sz w:val="24"/>
        </w:rPr>
        <w:t> </w:t>
      </w:r>
      <w:r>
        <w:rPr>
          <w:sz w:val="24"/>
        </w:rPr>
        <w:t>tieši kontekstā ar zvērestu par parādnieka ienākumu apmēru. Piemēram, likumā varētu noteikt, ka pēc kreditora vai tiesas iniciatīvas parādniekam ir jādod zvērests, </w:t>
      </w:r>
      <w:r>
        <w:rPr>
          <w:spacing w:val="-8"/>
          <w:sz w:val="24"/>
        </w:rPr>
        <w:t>ja </w:t>
      </w:r>
      <w:r>
        <w:rPr>
          <w:sz w:val="24"/>
        </w:rPr>
        <w:t>rodas šaubas par parādnieka sniegtās informācijas ticamību (plašāks pamatojums norādīts pētījuma VI. nodaļas 1.punkta</w:t>
      </w:r>
      <w:r>
        <w:rPr>
          <w:spacing w:val="-4"/>
          <w:sz w:val="24"/>
        </w:rPr>
        <w:t> </w:t>
      </w:r>
      <w:r>
        <w:rPr>
          <w:sz w:val="24"/>
        </w:rPr>
        <w:t>4.apakšpunktā);</w:t>
      </w:r>
    </w:p>
    <w:p>
      <w:pPr>
        <w:pStyle w:val="ListParagraph"/>
        <w:numPr>
          <w:ilvl w:val="0"/>
          <w:numId w:val="123"/>
        </w:numPr>
        <w:tabs>
          <w:tab w:pos="1340" w:val="left" w:leader="none"/>
        </w:tabs>
        <w:spacing w:line="240" w:lineRule="auto" w:before="0" w:after="0"/>
        <w:ind w:left="1340" w:right="404" w:hanging="360"/>
        <w:jc w:val="both"/>
        <w:rPr>
          <w:sz w:val="24"/>
        </w:rPr>
      </w:pPr>
      <w:r>
        <w:rPr>
          <w:sz w:val="24"/>
        </w:rPr>
        <w:t>reformēt saistību dzēšanas procedūras termiņa noteikšanas noteikumus, ieviešot tā saucamo</w:t>
      </w:r>
      <w:r>
        <w:rPr>
          <w:spacing w:val="-10"/>
          <w:sz w:val="24"/>
        </w:rPr>
        <w:t> </w:t>
      </w:r>
      <w:r>
        <w:rPr>
          <w:sz w:val="24"/>
        </w:rPr>
        <w:t>“plūstošā”</w:t>
      </w:r>
      <w:r>
        <w:rPr>
          <w:spacing w:val="-17"/>
          <w:sz w:val="24"/>
        </w:rPr>
        <w:t> </w:t>
      </w:r>
      <w:r>
        <w:rPr>
          <w:sz w:val="24"/>
        </w:rPr>
        <w:t>termiņa</w:t>
      </w:r>
      <w:r>
        <w:rPr>
          <w:spacing w:val="-13"/>
          <w:sz w:val="24"/>
        </w:rPr>
        <w:t> </w:t>
      </w:r>
      <w:r>
        <w:rPr>
          <w:sz w:val="24"/>
        </w:rPr>
        <w:t>regulējumu</w:t>
      </w:r>
      <w:r>
        <w:rPr>
          <w:spacing w:val="-14"/>
          <w:sz w:val="24"/>
        </w:rPr>
        <w:t> </w:t>
      </w:r>
      <w:r>
        <w:rPr>
          <w:sz w:val="24"/>
        </w:rPr>
        <w:t>(plašāks</w:t>
      </w:r>
      <w:r>
        <w:rPr>
          <w:spacing w:val="-13"/>
          <w:sz w:val="24"/>
        </w:rPr>
        <w:t> </w:t>
      </w:r>
      <w:r>
        <w:rPr>
          <w:sz w:val="24"/>
        </w:rPr>
        <w:t>pamatojums</w:t>
      </w:r>
      <w:r>
        <w:rPr>
          <w:spacing w:val="-11"/>
          <w:sz w:val="24"/>
        </w:rPr>
        <w:t> </w:t>
      </w:r>
      <w:r>
        <w:rPr>
          <w:sz w:val="24"/>
        </w:rPr>
        <w:t>norādīts</w:t>
      </w:r>
      <w:r>
        <w:rPr>
          <w:spacing w:val="-14"/>
          <w:sz w:val="24"/>
        </w:rPr>
        <w:t> </w:t>
      </w:r>
      <w:r>
        <w:rPr>
          <w:sz w:val="24"/>
        </w:rPr>
        <w:t>pētījuma</w:t>
      </w:r>
      <w:r>
        <w:rPr>
          <w:spacing w:val="-16"/>
          <w:sz w:val="24"/>
        </w:rPr>
        <w:t> </w:t>
      </w:r>
      <w:r>
        <w:rPr>
          <w:sz w:val="24"/>
        </w:rPr>
        <w:t>VI.</w:t>
      </w:r>
    </w:p>
    <w:p>
      <w:pPr>
        <w:spacing w:after="0" w:line="240" w:lineRule="auto"/>
        <w:jc w:val="both"/>
        <w:rPr>
          <w:sz w:val="24"/>
        </w:rPr>
        <w:sectPr>
          <w:pgSz w:w="11910" w:h="16840"/>
          <w:pgMar w:header="0" w:footer="1055" w:top="1340" w:bottom="1240" w:left="1180" w:right="1040"/>
        </w:sectPr>
      </w:pPr>
    </w:p>
    <w:p>
      <w:pPr>
        <w:pStyle w:val="BodyText"/>
        <w:spacing w:before="73"/>
        <w:ind w:left="980" w:right="398"/>
        <w:jc w:val="left"/>
      </w:pPr>
      <w:r>
        <w:rPr/>
        <w:t>nodaļas 1.punkta 5.apakšpunktā, savukārt priekšlikuma saturs konkretizēts 4.priekšlikumu sadaļā).</w:t>
      </w:r>
    </w:p>
    <w:p>
      <w:pPr>
        <w:pStyle w:val="BodyText"/>
        <w:jc w:val="left"/>
        <w:rPr>
          <w:sz w:val="20"/>
        </w:rPr>
      </w:pPr>
    </w:p>
    <w:p>
      <w:pPr>
        <w:pStyle w:val="BodyText"/>
        <w:spacing w:before="7"/>
        <w:jc w:val="left"/>
        <w:rPr>
          <w:sz w:val="20"/>
        </w:rPr>
      </w:pPr>
    </w:p>
    <w:p>
      <w:pPr>
        <w:pStyle w:val="Heading4"/>
        <w:numPr>
          <w:ilvl w:val="0"/>
          <w:numId w:val="119"/>
        </w:numPr>
        <w:tabs>
          <w:tab w:pos="980" w:val="left" w:leader="none"/>
        </w:tabs>
        <w:spacing w:line="240" w:lineRule="auto" w:before="90" w:after="0"/>
        <w:ind w:left="980" w:right="0" w:hanging="360"/>
        <w:jc w:val="left"/>
        <w:rPr>
          <w:i/>
        </w:rPr>
      </w:pPr>
      <w:bookmarkStart w:name="_TOC_250010" w:id="68"/>
      <w:r>
        <w:rPr>
          <w:i/>
          <w:spacing w:val="-214"/>
          <w:u w:val="thick"/>
        </w:rPr>
        <w:t>M</w:t>
      </w:r>
      <w:r>
        <w:rPr>
          <w:i/>
          <w:spacing w:val="156"/>
        </w:rPr>
        <w:t> </w:t>
      </w:r>
      <w:r>
        <w:rPr>
          <w:i/>
          <w:u w:val="thick"/>
        </w:rPr>
        <w:t>otivācijas trūkums gūt lielākus</w:t>
      </w:r>
      <w:r>
        <w:rPr>
          <w:i/>
          <w:spacing w:val="2"/>
          <w:u w:val="thick"/>
        </w:rPr>
        <w:t> </w:t>
      </w:r>
      <w:bookmarkEnd w:id="68"/>
      <w:r>
        <w:rPr>
          <w:i/>
          <w:u w:val="thick"/>
        </w:rPr>
        <w:t>ienākumus</w:t>
      </w:r>
    </w:p>
    <w:p>
      <w:pPr>
        <w:pStyle w:val="BodyText"/>
        <w:spacing w:before="9"/>
        <w:jc w:val="left"/>
        <w:rPr>
          <w:b/>
          <w:i/>
          <w:sz w:val="15"/>
        </w:rPr>
      </w:pPr>
    </w:p>
    <w:p>
      <w:pPr>
        <w:pStyle w:val="ListParagraph"/>
        <w:numPr>
          <w:ilvl w:val="0"/>
          <w:numId w:val="124"/>
        </w:numPr>
        <w:tabs>
          <w:tab w:pos="980" w:val="left" w:leader="none"/>
        </w:tabs>
        <w:spacing w:line="240" w:lineRule="auto" w:before="90" w:after="0"/>
        <w:ind w:left="980" w:right="763" w:hanging="360"/>
        <w:jc w:val="both"/>
        <w:rPr>
          <w:sz w:val="24"/>
        </w:rPr>
      </w:pPr>
      <w:r>
        <w:rPr>
          <w:sz w:val="24"/>
        </w:rPr>
        <w:t>Parādnieka produktivitātes celšana ir viens no centrālajiem fiziskās personas maksātnespējas procesa mērķiem, kas pamatā ir sasniedzama, parādniekam sākot gūt lielākus ienākumus. Vērtējot citu valstu tiesisko regulējumu, secināms, ka parādnieku var motivēt gūt lielākus ienākumus</w:t>
      </w:r>
      <w:r>
        <w:rPr>
          <w:spacing w:val="-5"/>
          <w:sz w:val="24"/>
        </w:rPr>
        <w:t> </w:t>
      </w:r>
      <w:r>
        <w:rPr>
          <w:sz w:val="24"/>
        </w:rPr>
        <w:t>divējādi:</w:t>
      </w:r>
    </w:p>
    <w:p>
      <w:pPr>
        <w:pStyle w:val="ListParagraph"/>
        <w:numPr>
          <w:ilvl w:val="1"/>
          <w:numId w:val="124"/>
        </w:numPr>
        <w:tabs>
          <w:tab w:pos="1340" w:val="left" w:leader="none"/>
        </w:tabs>
        <w:spacing w:line="240" w:lineRule="auto" w:before="0" w:after="0"/>
        <w:ind w:left="1340" w:right="761" w:hanging="360"/>
        <w:jc w:val="both"/>
        <w:rPr>
          <w:sz w:val="24"/>
        </w:rPr>
      </w:pPr>
      <w:r>
        <w:rPr>
          <w:sz w:val="24"/>
        </w:rPr>
        <w:t>tā saucamajā “plūstošo” maksājumu sistēmā (parādniekam saistību dzēšanas procedūras laikā jāveic maksājumi atkarībā no saviem faktiskajiem ienākumiem) - paredzot parādnieka faktisko ienākumu kontroles mehānismus un nelabvēlīgas sekas situācijās, ja parādnieks nav pietiekami pūlējies gūt ienākumus atbilstoši savām spējām un kvalifikācijai (piemēram, Vācija, Igaunija),</w:t>
      </w:r>
    </w:p>
    <w:p>
      <w:pPr>
        <w:pStyle w:val="ListParagraph"/>
        <w:numPr>
          <w:ilvl w:val="1"/>
          <w:numId w:val="124"/>
        </w:numPr>
        <w:tabs>
          <w:tab w:pos="1340" w:val="left" w:leader="none"/>
        </w:tabs>
        <w:spacing w:line="240" w:lineRule="auto" w:before="0" w:after="0"/>
        <w:ind w:left="1340" w:right="761" w:hanging="360"/>
        <w:jc w:val="both"/>
        <w:rPr>
          <w:sz w:val="24"/>
        </w:rPr>
      </w:pPr>
      <w:r>
        <w:rPr>
          <w:sz w:val="24"/>
        </w:rPr>
        <w:t>tā saucamajā fiksēto maksājumu sistēmā parādnieks tiek motivēts gūt lielākus ienākumus nevis ar kontroli un sodošām sankcijām, bet gan tādēļ, </w:t>
      </w:r>
      <w:r>
        <w:rPr>
          <w:spacing w:val="-6"/>
          <w:sz w:val="24"/>
        </w:rPr>
        <w:t>ka </w:t>
      </w:r>
      <w:r>
        <w:rPr>
          <w:sz w:val="24"/>
        </w:rPr>
        <w:t>parādniekam saistību dzēšanas procedūras laikā kreditoru prasījumu segšanai jānovirza fiksēta summa, kas netiek mainīta, ja pieaug parādnieka darba samaksa vai ienākumi no nodarbinātības (piemēram, Dānija,</w:t>
      </w:r>
      <w:r>
        <w:rPr>
          <w:spacing w:val="-6"/>
          <w:sz w:val="24"/>
        </w:rPr>
        <w:t> </w:t>
      </w:r>
      <w:r>
        <w:rPr>
          <w:sz w:val="24"/>
        </w:rPr>
        <w:t>Polija).</w:t>
      </w:r>
    </w:p>
    <w:p>
      <w:pPr>
        <w:pStyle w:val="BodyText"/>
        <w:jc w:val="left"/>
      </w:pPr>
    </w:p>
    <w:p>
      <w:pPr>
        <w:pStyle w:val="ListParagraph"/>
        <w:numPr>
          <w:ilvl w:val="0"/>
          <w:numId w:val="124"/>
        </w:numPr>
        <w:tabs>
          <w:tab w:pos="980" w:val="left" w:leader="none"/>
        </w:tabs>
        <w:spacing w:line="240" w:lineRule="auto" w:before="0" w:after="0"/>
        <w:ind w:left="980" w:right="761" w:hanging="360"/>
        <w:jc w:val="both"/>
        <w:rPr>
          <w:sz w:val="24"/>
        </w:rPr>
      </w:pPr>
      <w:r>
        <w:rPr>
          <w:sz w:val="24"/>
        </w:rPr>
        <w:t>Katrai no minētajām sistēmām ir savi pozitīvie un negatīvie aspekti. Piemēram, “plūstošo” maksājumu sistēmā tiek pēc iespējas pilnīgāk segti kreditoru prasījumi. Taču šāds mehānisms ir efektīvs tikai tad, ja tiek īstenota saprātīga parādnieku kontrole, turklāt parasti parādnieki ir visnotaļ nemotivēti celt savu produktivitāti, kā rezultātā parādnieka finansiālās situācijas rehabilitācija ir visnotaļ</w:t>
      </w:r>
      <w:r>
        <w:rPr>
          <w:spacing w:val="-11"/>
          <w:sz w:val="24"/>
        </w:rPr>
        <w:t> </w:t>
      </w:r>
      <w:r>
        <w:rPr>
          <w:sz w:val="24"/>
        </w:rPr>
        <w:t>nosacīta.</w:t>
      </w:r>
    </w:p>
    <w:p>
      <w:pPr>
        <w:pStyle w:val="BodyText"/>
        <w:jc w:val="left"/>
      </w:pPr>
    </w:p>
    <w:p>
      <w:pPr>
        <w:pStyle w:val="BodyText"/>
        <w:ind w:left="980" w:right="763"/>
      </w:pPr>
      <w:r>
        <w:rPr/>
        <w:t>Savukārt fiksēto maksājumu sistēmā parādnieks, no vienas puses, ir daudz motivētāks paaugstināt savu produktivitāti. Turklāt šāda tiesiskā regulējuma ietvaros faktiski nav nepieciešams īstenot parādnieka ienākumu kontroli saistību dzēšanas procedūras laikā, un tiesai ir salīdzinoši vienkāršāk lemt par parādnieka atbrīvošanu no neizpildītajām parādsaistībām maksātnespējas procedūras noslēgumā. Tomēr šādam regulējumam nenoliedzami ir arī būtiska ēnas puse – proti,</w:t>
      </w:r>
      <w:r>
        <w:rPr>
          <w:spacing w:val="-13"/>
        </w:rPr>
        <w:t> </w:t>
      </w:r>
      <w:r>
        <w:rPr/>
        <w:t>netiek</w:t>
      </w:r>
      <w:r>
        <w:rPr>
          <w:spacing w:val="-12"/>
        </w:rPr>
        <w:t> </w:t>
      </w:r>
      <w:r>
        <w:rPr/>
        <w:t>pēc</w:t>
      </w:r>
      <w:r>
        <w:rPr>
          <w:spacing w:val="-16"/>
        </w:rPr>
        <w:t> </w:t>
      </w:r>
      <w:r>
        <w:rPr/>
        <w:t>iespējas</w:t>
      </w:r>
      <w:r>
        <w:rPr>
          <w:spacing w:val="-10"/>
        </w:rPr>
        <w:t> </w:t>
      </w:r>
      <w:r>
        <w:rPr/>
        <w:t>pilnīgāk</w:t>
      </w:r>
      <w:r>
        <w:rPr>
          <w:spacing w:val="-15"/>
        </w:rPr>
        <w:t> </w:t>
      </w:r>
      <w:r>
        <w:rPr/>
        <w:t>segti</w:t>
      </w:r>
      <w:r>
        <w:rPr>
          <w:spacing w:val="-11"/>
        </w:rPr>
        <w:t> </w:t>
      </w:r>
      <w:r>
        <w:rPr/>
        <w:t>kreditoru</w:t>
      </w:r>
      <w:r>
        <w:rPr>
          <w:spacing w:val="-15"/>
        </w:rPr>
        <w:t> </w:t>
      </w:r>
      <w:r>
        <w:rPr/>
        <w:t>prasījumi.</w:t>
      </w:r>
      <w:r>
        <w:rPr>
          <w:spacing w:val="-10"/>
        </w:rPr>
        <w:t> </w:t>
      </w:r>
      <w:r>
        <w:rPr/>
        <w:t>Turklāt,</w:t>
      </w:r>
      <w:r>
        <w:rPr>
          <w:spacing w:val="-12"/>
        </w:rPr>
        <w:t> </w:t>
      </w:r>
      <w:r>
        <w:rPr/>
        <w:t>pastāvot</w:t>
      </w:r>
      <w:r>
        <w:rPr>
          <w:spacing w:val="-12"/>
        </w:rPr>
        <w:t> </w:t>
      </w:r>
      <w:r>
        <w:rPr/>
        <w:t>šādam regulējumam, ļoti sarežģīti ir noteikt fiksētā maksājuma apmēru, jo pastāv iespēja, ka</w:t>
      </w:r>
      <w:r>
        <w:rPr>
          <w:spacing w:val="-15"/>
        </w:rPr>
        <w:t> </w:t>
      </w:r>
      <w:r>
        <w:rPr/>
        <w:t>tas</w:t>
      </w:r>
      <w:r>
        <w:rPr>
          <w:spacing w:val="-17"/>
        </w:rPr>
        <w:t> </w:t>
      </w:r>
      <w:r>
        <w:rPr/>
        <w:t>tiek</w:t>
      </w:r>
      <w:r>
        <w:rPr>
          <w:spacing w:val="-17"/>
        </w:rPr>
        <w:t> </w:t>
      </w:r>
      <w:r>
        <w:rPr/>
        <w:t>noteikts</w:t>
      </w:r>
      <w:r>
        <w:rPr>
          <w:spacing w:val="-15"/>
        </w:rPr>
        <w:t> </w:t>
      </w:r>
      <w:r>
        <w:rPr/>
        <w:t>vai</w:t>
      </w:r>
      <w:r>
        <w:rPr>
          <w:spacing w:val="-15"/>
        </w:rPr>
        <w:t> </w:t>
      </w:r>
      <w:r>
        <w:rPr/>
        <w:t>nu</w:t>
      </w:r>
      <w:r>
        <w:rPr>
          <w:spacing w:val="-12"/>
        </w:rPr>
        <w:t> </w:t>
      </w:r>
      <w:r>
        <w:rPr/>
        <w:t>pārlieku</w:t>
      </w:r>
      <w:r>
        <w:rPr>
          <w:spacing w:val="-15"/>
        </w:rPr>
        <w:t> </w:t>
      </w:r>
      <w:r>
        <w:rPr/>
        <w:t>optimistiski</w:t>
      </w:r>
      <w:r>
        <w:rPr>
          <w:spacing w:val="-15"/>
        </w:rPr>
        <w:t> </w:t>
      </w:r>
      <w:r>
        <w:rPr/>
        <w:t>(kā</w:t>
      </w:r>
      <w:r>
        <w:rPr>
          <w:spacing w:val="-17"/>
        </w:rPr>
        <w:t> </w:t>
      </w:r>
      <w:r>
        <w:rPr/>
        <w:t>rezultātā</w:t>
      </w:r>
      <w:r>
        <w:rPr>
          <w:spacing w:val="-15"/>
        </w:rPr>
        <w:t> </w:t>
      </w:r>
      <w:r>
        <w:rPr/>
        <w:t>parādnieks</w:t>
      </w:r>
      <w:r>
        <w:rPr>
          <w:spacing w:val="-12"/>
        </w:rPr>
        <w:t> </w:t>
      </w:r>
      <w:r>
        <w:rPr/>
        <w:t>plānu</w:t>
      </w:r>
      <w:r>
        <w:rPr>
          <w:spacing w:val="-12"/>
        </w:rPr>
        <w:t> </w:t>
      </w:r>
      <w:r>
        <w:rPr/>
        <w:t>nespēj pildīt), vai arī – pārlieku piesardzīgi (kā rezultātā kreditori nesaņem samērīgu saistību izpildījumu).</w:t>
      </w:r>
    </w:p>
    <w:p>
      <w:pPr>
        <w:pStyle w:val="BodyText"/>
        <w:jc w:val="left"/>
      </w:pPr>
    </w:p>
    <w:p>
      <w:pPr>
        <w:pStyle w:val="ListParagraph"/>
        <w:numPr>
          <w:ilvl w:val="0"/>
          <w:numId w:val="124"/>
        </w:numPr>
        <w:tabs>
          <w:tab w:pos="980" w:val="left" w:leader="none"/>
        </w:tabs>
        <w:spacing w:line="240" w:lineRule="auto" w:before="1" w:after="0"/>
        <w:ind w:left="980" w:right="762" w:hanging="360"/>
        <w:jc w:val="both"/>
        <w:rPr>
          <w:sz w:val="24"/>
        </w:rPr>
      </w:pPr>
      <w:r>
        <w:rPr>
          <w:sz w:val="24"/>
        </w:rPr>
        <w:t>Tādējādi izšķiršanās par labu vienam no šiem risinājumiem lielā mērā ir saistīta ar to, ko katras valsts tiesību politikas veidotājs atzīst par būtiskāku – </w:t>
      </w:r>
      <w:r>
        <w:rPr>
          <w:spacing w:val="-3"/>
          <w:sz w:val="24"/>
        </w:rPr>
        <w:t>vienkāršot </w:t>
      </w:r>
      <w:r>
        <w:rPr>
          <w:sz w:val="24"/>
        </w:rPr>
        <w:t>saistību dzēšanas procedūras norisi un paaugstināt parādnieka produktivitāti (tādējādi gūstot lielāku sabiedrisko labumu no fiziskās personas maksātnespējas procesa institūta) vai pēc iespējas pilnīgāk segt parādnieka saistības (tādējādi aizsargājot kreditoru</w:t>
      </w:r>
      <w:r>
        <w:rPr>
          <w:spacing w:val="-1"/>
          <w:sz w:val="24"/>
        </w:rPr>
        <w:t> </w:t>
      </w:r>
      <w:r>
        <w:rPr>
          <w:sz w:val="24"/>
        </w:rPr>
        <w:t>intereses).</w:t>
      </w:r>
    </w:p>
    <w:p>
      <w:pPr>
        <w:pStyle w:val="BodyText"/>
        <w:jc w:val="left"/>
      </w:pPr>
    </w:p>
    <w:p>
      <w:pPr>
        <w:pStyle w:val="ListParagraph"/>
        <w:numPr>
          <w:ilvl w:val="0"/>
          <w:numId w:val="124"/>
        </w:numPr>
        <w:tabs>
          <w:tab w:pos="980" w:val="left" w:leader="none"/>
        </w:tabs>
        <w:spacing w:line="240" w:lineRule="auto" w:before="0" w:after="0"/>
        <w:ind w:left="980" w:right="761" w:hanging="360"/>
        <w:jc w:val="both"/>
        <w:rPr>
          <w:sz w:val="24"/>
        </w:rPr>
      </w:pPr>
      <w:r>
        <w:rPr>
          <w:sz w:val="24"/>
        </w:rPr>
        <w:t>Maksātnespējas likumā robežšķirtne starp abām sistēmām nav skaidri novilkta, taču, sistēmiski iztulkojot tiesību normas, secināms, ka likumdevējs devis priekšroku tā saucamajai “plūstošo” maksājumu sistēmai, tas ir,</w:t>
      </w:r>
      <w:r>
        <w:rPr>
          <w:spacing w:val="25"/>
          <w:sz w:val="24"/>
        </w:rPr>
        <w:t> </w:t>
      </w:r>
      <w:r>
        <w:rPr>
          <w:sz w:val="24"/>
        </w:rPr>
        <w:t>kreditoru</w:t>
      </w:r>
    </w:p>
    <w:p>
      <w:pPr>
        <w:spacing w:after="0" w:line="240" w:lineRule="auto"/>
        <w:jc w:val="both"/>
        <w:rPr>
          <w:sz w:val="24"/>
        </w:rPr>
        <w:sectPr>
          <w:pgSz w:w="11910" w:h="16840"/>
          <w:pgMar w:header="0" w:footer="1055" w:top="1340" w:bottom="1240" w:left="1180" w:right="1040"/>
        </w:sectPr>
      </w:pPr>
    </w:p>
    <w:p>
      <w:pPr>
        <w:pStyle w:val="BodyText"/>
        <w:spacing w:before="73"/>
        <w:ind w:left="1340" w:right="400"/>
      </w:pPr>
      <w:r>
        <w:rPr/>
        <w:t>prasījumu segšanai novirzāmo summu pakārtojot faktiskajiem parādnieka ienākumiem.</w:t>
      </w:r>
      <w:r>
        <w:rPr>
          <w:spacing w:val="-13"/>
        </w:rPr>
        <w:t> </w:t>
      </w:r>
      <w:r>
        <w:rPr/>
        <w:t>Vienlaikus</w:t>
      </w:r>
      <w:r>
        <w:rPr>
          <w:spacing w:val="-10"/>
        </w:rPr>
        <w:t> </w:t>
      </w:r>
      <w:r>
        <w:rPr/>
        <w:t>secināms,</w:t>
      </w:r>
      <w:r>
        <w:rPr>
          <w:spacing w:val="-13"/>
        </w:rPr>
        <w:t> </w:t>
      </w:r>
      <w:r>
        <w:rPr/>
        <w:t>ka,</w:t>
      </w:r>
      <w:r>
        <w:rPr>
          <w:spacing w:val="-12"/>
        </w:rPr>
        <w:t> </w:t>
      </w:r>
      <w:r>
        <w:rPr/>
        <w:t>lai</w:t>
      </w:r>
      <w:r>
        <w:rPr>
          <w:spacing w:val="-11"/>
        </w:rPr>
        <w:t> </w:t>
      </w:r>
      <w:r>
        <w:rPr/>
        <w:t>arī</w:t>
      </w:r>
      <w:r>
        <w:rPr>
          <w:spacing w:val="-14"/>
        </w:rPr>
        <w:t> </w:t>
      </w:r>
      <w:r>
        <w:rPr/>
        <w:t>Maksātnespējas</w:t>
      </w:r>
      <w:r>
        <w:rPr>
          <w:spacing w:val="-12"/>
        </w:rPr>
        <w:t> </w:t>
      </w:r>
      <w:r>
        <w:rPr/>
        <w:t>likuma</w:t>
      </w:r>
      <w:r>
        <w:rPr>
          <w:spacing w:val="-12"/>
        </w:rPr>
        <w:t> </w:t>
      </w:r>
      <w:r>
        <w:rPr/>
        <w:t>160.panta</w:t>
      </w:r>
      <w:r>
        <w:rPr>
          <w:spacing w:val="-15"/>
        </w:rPr>
        <w:t> </w:t>
      </w:r>
      <w:r>
        <w:rPr/>
        <w:t>otrā daļa paredz parādniekam pienākumu saistību dzēšanas procedūras laikā gūt ienākumus atbilstoši savām spējām, Maksātnespējas likumā nav paredzēti šī pienākuma izpildes kontroles mehānismi, kā arī faktiski nav paredzētas tiešas nelabvēlīgas sekas šī pienākuma neizpildes</w:t>
      </w:r>
      <w:r>
        <w:rPr>
          <w:spacing w:val="-5"/>
        </w:rPr>
        <w:t> </w:t>
      </w:r>
      <w:r>
        <w:rPr/>
        <w:t>gadījumā.</w:t>
      </w:r>
    </w:p>
    <w:p>
      <w:pPr>
        <w:pStyle w:val="BodyText"/>
        <w:jc w:val="left"/>
      </w:pPr>
    </w:p>
    <w:p>
      <w:pPr>
        <w:pStyle w:val="ListParagraph"/>
        <w:numPr>
          <w:ilvl w:val="0"/>
          <w:numId w:val="124"/>
        </w:numPr>
        <w:tabs>
          <w:tab w:pos="1340" w:val="left" w:leader="none"/>
        </w:tabs>
        <w:spacing w:line="240" w:lineRule="auto" w:before="0" w:after="0"/>
        <w:ind w:left="1340" w:right="405" w:hanging="360"/>
        <w:jc w:val="left"/>
        <w:rPr>
          <w:sz w:val="24"/>
        </w:rPr>
      </w:pPr>
      <w:r>
        <w:rPr>
          <w:sz w:val="24"/>
        </w:rPr>
        <w:t>Attiecīgi, ja Maksātnespējas likumā tiek saglabātā “plūstošo” maksājumu sistēma, lai motivētu parādnieku gūt lielākus ienākumus, ir</w:t>
      </w:r>
      <w:r>
        <w:rPr>
          <w:spacing w:val="-1"/>
          <w:sz w:val="24"/>
        </w:rPr>
        <w:t> </w:t>
      </w:r>
      <w:r>
        <w:rPr>
          <w:sz w:val="24"/>
        </w:rPr>
        <w:t>vēlams:</w:t>
      </w:r>
    </w:p>
    <w:p>
      <w:pPr>
        <w:pStyle w:val="BodyText"/>
        <w:jc w:val="left"/>
      </w:pPr>
    </w:p>
    <w:p>
      <w:pPr>
        <w:pStyle w:val="ListParagraph"/>
        <w:numPr>
          <w:ilvl w:val="1"/>
          <w:numId w:val="124"/>
        </w:numPr>
        <w:tabs>
          <w:tab w:pos="1753" w:val="left" w:leader="none"/>
        </w:tabs>
        <w:spacing w:line="240" w:lineRule="auto" w:before="0" w:after="0"/>
        <w:ind w:left="1752" w:right="402" w:hanging="425"/>
        <w:jc w:val="both"/>
        <w:rPr>
          <w:sz w:val="24"/>
        </w:rPr>
      </w:pPr>
      <w:r>
        <w:rPr>
          <w:sz w:val="24"/>
        </w:rPr>
        <w:t>pārvērtēt to, vai ir nepieciešams saglabāt saistību dzēšanas plānu kā tiesību institūtu,</w:t>
      </w:r>
      <w:r>
        <w:rPr>
          <w:spacing w:val="-16"/>
          <w:sz w:val="24"/>
        </w:rPr>
        <w:t> </w:t>
      </w:r>
      <w:r>
        <w:rPr>
          <w:sz w:val="24"/>
        </w:rPr>
        <w:t>ņemot</w:t>
      </w:r>
      <w:r>
        <w:rPr>
          <w:spacing w:val="-13"/>
          <w:sz w:val="24"/>
        </w:rPr>
        <w:t> </w:t>
      </w:r>
      <w:r>
        <w:rPr>
          <w:sz w:val="24"/>
        </w:rPr>
        <w:t>vērā</w:t>
      </w:r>
      <w:r>
        <w:rPr>
          <w:spacing w:val="-17"/>
          <w:sz w:val="24"/>
        </w:rPr>
        <w:t> </w:t>
      </w:r>
      <w:r>
        <w:rPr>
          <w:sz w:val="24"/>
        </w:rPr>
        <w:t>to,</w:t>
      </w:r>
      <w:r>
        <w:rPr>
          <w:spacing w:val="-13"/>
          <w:sz w:val="24"/>
        </w:rPr>
        <w:t> </w:t>
      </w:r>
      <w:r>
        <w:rPr>
          <w:sz w:val="24"/>
        </w:rPr>
        <w:t>ka</w:t>
      </w:r>
      <w:r>
        <w:rPr>
          <w:spacing w:val="-15"/>
          <w:sz w:val="24"/>
        </w:rPr>
        <w:t> </w:t>
      </w:r>
      <w:r>
        <w:rPr>
          <w:sz w:val="24"/>
        </w:rPr>
        <w:t>parādnieku</w:t>
      </w:r>
      <w:r>
        <w:rPr>
          <w:spacing w:val="-13"/>
          <w:sz w:val="24"/>
        </w:rPr>
        <w:t> </w:t>
      </w:r>
      <w:r>
        <w:rPr>
          <w:sz w:val="24"/>
        </w:rPr>
        <w:t>apziņā</w:t>
      </w:r>
      <w:r>
        <w:rPr>
          <w:spacing w:val="-13"/>
          <w:sz w:val="24"/>
        </w:rPr>
        <w:t> </w:t>
      </w:r>
      <w:r>
        <w:rPr>
          <w:sz w:val="24"/>
        </w:rPr>
        <w:t>saistību</w:t>
      </w:r>
      <w:r>
        <w:rPr>
          <w:spacing w:val="-13"/>
          <w:sz w:val="24"/>
        </w:rPr>
        <w:t> </w:t>
      </w:r>
      <w:r>
        <w:rPr>
          <w:sz w:val="24"/>
        </w:rPr>
        <w:t>dzēšanas</w:t>
      </w:r>
      <w:r>
        <w:rPr>
          <w:spacing w:val="-16"/>
          <w:sz w:val="24"/>
        </w:rPr>
        <w:t> </w:t>
      </w:r>
      <w:r>
        <w:rPr>
          <w:sz w:val="24"/>
        </w:rPr>
        <w:t>plāns</w:t>
      </w:r>
      <w:r>
        <w:rPr>
          <w:spacing w:val="-12"/>
          <w:sz w:val="24"/>
        </w:rPr>
        <w:t> </w:t>
      </w:r>
      <w:r>
        <w:rPr>
          <w:sz w:val="24"/>
        </w:rPr>
        <w:t>lielā</w:t>
      </w:r>
      <w:r>
        <w:rPr>
          <w:spacing w:val="-16"/>
          <w:sz w:val="24"/>
        </w:rPr>
        <w:t> </w:t>
      </w:r>
      <w:r>
        <w:rPr>
          <w:sz w:val="24"/>
        </w:rPr>
        <w:t>mērā darbojas kā gūstamo ienākumu un kreditoriem maksājamo summu “rāmis”. Iespējams, ka parādnieks var veikt maksājumus kreditoriem, pamatojoties uz likumā noteikto pienākumu saistību dzēšanas procedūras laikā kreditoru prasījumu segšanai novirzīt noteiktu daļu no saviem ienākumiem (šāds tiesiskais regulējums ir Igaunijā un</w:t>
      </w:r>
      <w:r>
        <w:rPr>
          <w:spacing w:val="3"/>
          <w:sz w:val="24"/>
        </w:rPr>
        <w:t> </w:t>
      </w:r>
      <w:r>
        <w:rPr>
          <w:sz w:val="24"/>
        </w:rPr>
        <w:t>Vācijā).</w:t>
      </w:r>
    </w:p>
    <w:p>
      <w:pPr>
        <w:pStyle w:val="ListParagraph"/>
        <w:numPr>
          <w:ilvl w:val="1"/>
          <w:numId w:val="124"/>
        </w:numPr>
        <w:tabs>
          <w:tab w:pos="1753" w:val="left" w:leader="none"/>
        </w:tabs>
        <w:spacing w:line="240" w:lineRule="auto" w:before="1" w:after="0"/>
        <w:ind w:left="1752" w:right="402" w:hanging="425"/>
        <w:jc w:val="both"/>
        <w:rPr>
          <w:sz w:val="24"/>
        </w:rPr>
      </w:pPr>
      <w:r>
        <w:rPr>
          <w:sz w:val="24"/>
        </w:rPr>
        <w:t>īstenot saistību dzēšanas procedūras termiņa regulējuma reformu, jo atbilstoši spēkā esošajām tiesību normām parādnieks ir pilnīgi demotivēts sākt gūt lielākus ienākumus. Piemēram, ja parādniekam ir saistības virs EUR 150 000, neatkarīgi no tā, vai kreditoru prasījumu segšanai tiks novirzīti minimāli maksājumi</w:t>
      </w:r>
      <w:r>
        <w:rPr>
          <w:spacing w:val="-12"/>
          <w:sz w:val="24"/>
        </w:rPr>
        <w:t> </w:t>
      </w:r>
      <w:r>
        <w:rPr>
          <w:sz w:val="24"/>
        </w:rPr>
        <w:t>(EUR</w:t>
      </w:r>
      <w:r>
        <w:rPr>
          <w:spacing w:val="-12"/>
          <w:sz w:val="24"/>
        </w:rPr>
        <w:t> </w:t>
      </w:r>
      <w:r>
        <w:rPr>
          <w:sz w:val="24"/>
        </w:rPr>
        <w:t>143,33)</w:t>
      </w:r>
      <w:r>
        <w:rPr>
          <w:spacing w:val="-11"/>
          <w:sz w:val="24"/>
        </w:rPr>
        <w:t> </w:t>
      </w:r>
      <w:r>
        <w:rPr>
          <w:sz w:val="24"/>
        </w:rPr>
        <w:t>vai</w:t>
      </w:r>
      <w:r>
        <w:rPr>
          <w:spacing w:val="-14"/>
          <w:sz w:val="24"/>
        </w:rPr>
        <w:t> </w:t>
      </w:r>
      <w:r>
        <w:rPr>
          <w:sz w:val="24"/>
        </w:rPr>
        <w:t>EUR</w:t>
      </w:r>
      <w:r>
        <w:rPr>
          <w:spacing w:val="-12"/>
          <w:sz w:val="24"/>
        </w:rPr>
        <w:t> </w:t>
      </w:r>
      <w:r>
        <w:rPr>
          <w:sz w:val="24"/>
        </w:rPr>
        <w:t>800</w:t>
      </w:r>
      <w:r>
        <w:rPr>
          <w:spacing w:val="-11"/>
          <w:sz w:val="24"/>
        </w:rPr>
        <w:t> </w:t>
      </w:r>
      <w:r>
        <w:rPr>
          <w:sz w:val="24"/>
        </w:rPr>
        <w:t>mēnesī,</w:t>
      </w:r>
      <w:r>
        <w:rPr>
          <w:spacing w:val="-12"/>
          <w:sz w:val="24"/>
        </w:rPr>
        <w:t> </w:t>
      </w:r>
      <w:r>
        <w:rPr>
          <w:sz w:val="24"/>
        </w:rPr>
        <w:t>saistību</w:t>
      </w:r>
      <w:r>
        <w:rPr>
          <w:spacing w:val="-12"/>
          <w:sz w:val="24"/>
        </w:rPr>
        <w:t> </w:t>
      </w:r>
      <w:r>
        <w:rPr>
          <w:sz w:val="24"/>
        </w:rPr>
        <w:t>dzēšanas</w:t>
      </w:r>
      <w:r>
        <w:rPr>
          <w:spacing w:val="-11"/>
          <w:sz w:val="24"/>
        </w:rPr>
        <w:t> </w:t>
      </w:r>
      <w:r>
        <w:rPr>
          <w:sz w:val="24"/>
        </w:rPr>
        <w:t>plāna</w:t>
      </w:r>
      <w:r>
        <w:rPr>
          <w:spacing w:val="-12"/>
          <w:sz w:val="24"/>
        </w:rPr>
        <w:t> </w:t>
      </w:r>
      <w:r>
        <w:rPr>
          <w:spacing w:val="-3"/>
          <w:sz w:val="24"/>
        </w:rPr>
        <w:t>termiņš </w:t>
      </w:r>
      <w:r>
        <w:rPr>
          <w:sz w:val="24"/>
        </w:rPr>
        <w:t>būs 3 gadi. Domājams, parādnieks būtu daudz motivētāks gūt lielākus ienākumus, pastāvot tā saucamajam “plūstošajam” termiņam, kad tiesa var saīsināt vai pagarināt sākotnēji noteikto saistību dzēšanas procedūras termiņu, tostarp vērtējot to, vai parādnieks saistību dzēšanas procedūras laikā ir guvis ienākumus atbilstoši savām spējām un kvalifikācijai (plašāks pamatojums norādīts VI. nodaļas</w:t>
      </w:r>
      <w:r>
        <w:rPr>
          <w:spacing w:val="-1"/>
          <w:sz w:val="24"/>
        </w:rPr>
        <w:t> </w:t>
      </w:r>
      <w:r>
        <w:rPr>
          <w:sz w:val="24"/>
        </w:rPr>
        <w:t>2.punktā).</w:t>
      </w:r>
    </w:p>
    <w:p>
      <w:pPr>
        <w:pStyle w:val="BodyText"/>
        <w:jc w:val="left"/>
        <w:rPr>
          <w:sz w:val="20"/>
        </w:rPr>
      </w:pPr>
    </w:p>
    <w:p>
      <w:pPr>
        <w:pStyle w:val="BodyText"/>
        <w:spacing w:before="7"/>
        <w:jc w:val="left"/>
        <w:rPr>
          <w:sz w:val="20"/>
        </w:rPr>
      </w:pPr>
    </w:p>
    <w:p>
      <w:pPr>
        <w:pStyle w:val="Heading4"/>
        <w:numPr>
          <w:ilvl w:val="0"/>
          <w:numId w:val="119"/>
        </w:numPr>
        <w:tabs>
          <w:tab w:pos="1340" w:val="left" w:leader="none"/>
        </w:tabs>
        <w:spacing w:line="240" w:lineRule="auto" w:before="90" w:after="0"/>
        <w:ind w:left="1340" w:right="0" w:hanging="360"/>
        <w:jc w:val="left"/>
        <w:rPr>
          <w:i/>
        </w:rPr>
      </w:pPr>
      <w:bookmarkStart w:name="_TOC_250009" w:id="69"/>
      <w:r>
        <w:rPr>
          <w:i/>
          <w:spacing w:val="-134"/>
          <w:u w:val="thick"/>
        </w:rPr>
        <w:t>S</w:t>
      </w:r>
      <w:r>
        <w:rPr>
          <w:i/>
          <w:spacing w:val="77"/>
        </w:rPr>
        <w:t> </w:t>
      </w:r>
      <w:r>
        <w:rPr>
          <w:i/>
          <w:u w:val="thick"/>
        </w:rPr>
        <w:t>aistību dzēšanas plāna</w:t>
      </w:r>
      <w:r>
        <w:rPr>
          <w:i/>
          <w:spacing w:val="-3"/>
          <w:u w:val="thick"/>
        </w:rPr>
        <w:t> </w:t>
      </w:r>
      <w:bookmarkEnd w:id="69"/>
      <w:r>
        <w:rPr>
          <w:i/>
          <w:u w:val="thick"/>
        </w:rPr>
        <w:t>termiņš</w:t>
      </w:r>
    </w:p>
    <w:p>
      <w:pPr>
        <w:pStyle w:val="BodyText"/>
        <w:spacing w:before="8"/>
        <w:jc w:val="left"/>
        <w:rPr>
          <w:b/>
          <w:i/>
          <w:sz w:val="15"/>
        </w:rPr>
      </w:pPr>
    </w:p>
    <w:p>
      <w:pPr>
        <w:pStyle w:val="ListParagraph"/>
        <w:numPr>
          <w:ilvl w:val="0"/>
          <w:numId w:val="125"/>
        </w:numPr>
        <w:tabs>
          <w:tab w:pos="1328" w:val="left" w:leader="none"/>
        </w:tabs>
        <w:spacing w:line="240" w:lineRule="auto" w:before="90" w:after="0"/>
        <w:ind w:left="1327" w:right="402" w:hanging="281"/>
        <w:jc w:val="both"/>
        <w:rPr>
          <w:sz w:val="24"/>
        </w:rPr>
      </w:pPr>
      <w:r>
        <w:rPr>
          <w:sz w:val="24"/>
        </w:rPr>
        <w:t>Kā liecina dažādi starptautiski pētījumi, gari saistību dzēšanas procedūras termiņi nesniedz ekonomisko atdevi un pat demotivē parādniekus. Tādēļ, lai arī Latvijā </w:t>
      </w:r>
      <w:r>
        <w:rPr>
          <w:spacing w:val="-6"/>
          <w:sz w:val="24"/>
        </w:rPr>
        <w:t>ir </w:t>
      </w:r>
      <w:r>
        <w:rPr>
          <w:sz w:val="24"/>
        </w:rPr>
        <w:t>vieni</w:t>
      </w:r>
      <w:r>
        <w:rPr>
          <w:spacing w:val="-13"/>
          <w:sz w:val="24"/>
        </w:rPr>
        <w:t> </w:t>
      </w:r>
      <w:r>
        <w:rPr>
          <w:sz w:val="24"/>
        </w:rPr>
        <w:t>no</w:t>
      </w:r>
      <w:r>
        <w:rPr>
          <w:spacing w:val="-12"/>
          <w:sz w:val="24"/>
        </w:rPr>
        <w:t> </w:t>
      </w:r>
      <w:r>
        <w:rPr>
          <w:sz w:val="24"/>
        </w:rPr>
        <w:t>īsākajiem</w:t>
      </w:r>
      <w:r>
        <w:rPr>
          <w:spacing w:val="-12"/>
          <w:sz w:val="24"/>
        </w:rPr>
        <w:t> </w:t>
      </w:r>
      <w:r>
        <w:rPr>
          <w:sz w:val="24"/>
        </w:rPr>
        <w:t>saistību</w:t>
      </w:r>
      <w:r>
        <w:rPr>
          <w:spacing w:val="-12"/>
          <w:sz w:val="24"/>
        </w:rPr>
        <w:t> </w:t>
      </w:r>
      <w:r>
        <w:rPr>
          <w:sz w:val="24"/>
        </w:rPr>
        <w:t>dzēšanas</w:t>
      </w:r>
      <w:r>
        <w:rPr>
          <w:spacing w:val="-13"/>
          <w:sz w:val="24"/>
        </w:rPr>
        <w:t> </w:t>
      </w:r>
      <w:r>
        <w:rPr>
          <w:sz w:val="24"/>
        </w:rPr>
        <w:t>procedūras</w:t>
      </w:r>
      <w:r>
        <w:rPr>
          <w:spacing w:val="-12"/>
          <w:sz w:val="24"/>
        </w:rPr>
        <w:t> </w:t>
      </w:r>
      <w:r>
        <w:rPr>
          <w:sz w:val="24"/>
        </w:rPr>
        <w:t>termiņiem,</w:t>
      </w:r>
      <w:r>
        <w:rPr>
          <w:spacing w:val="-12"/>
          <w:sz w:val="24"/>
        </w:rPr>
        <w:t> </w:t>
      </w:r>
      <w:r>
        <w:rPr>
          <w:sz w:val="24"/>
        </w:rPr>
        <w:t>nav</w:t>
      </w:r>
      <w:r>
        <w:rPr>
          <w:spacing w:val="-12"/>
          <w:sz w:val="24"/>
        </w:rPr>
        <w:t> </w:t>
      </w:r>
      <w:r>
        <w:rPr>
          <w:sz w:val="24"/>
        </w:rPr>
        <w:t>saskatāms</w:t>
      </w:r>
      <w:r>
        <w:rPr>
          <w:spacing w:val="-10"/>
          <w:sz w:val="24"/>
        </w:rPr>
        <w:t> </w:t>
      </w:r>
      <w:r>
        <w:rPr>
          <w:sz w:val="24"/>
        </w:rPr>
        <w:t>racionāls pamats grozīt Maksātnespējas likumā nostiprināto pamatnostādni par iespēju parādniekam dzēst saistības fiziskās personas maksātnespējas procesā, saistību dzēšanas procedūras laikā veicot kreditoriem maksājumus amplitūdā no 6 mēnešiem līdz 3 gadiem.</w:t>
      </w:r>
    </w:p>
    <w:p>
      <w:pPr>
        <w:pStyle w:val="BodyText"/>
        <w:jc w:val="left"/>
      </w:pPr>
    </w:p>
    <w:p>
      <w:pPr>
        <w:pStyle w:val="ListParagraph"/>
        <w:numPr>
          <w:ilvl w:val="0"/>
          <w:numId w:val="125"/>
        </w:numPr>
        <w:tabs>
          <w:tab w:pos="1328" w:val="left" w:leader="none"/>
        </w:tabs>
        <w:spacing w:line="240" w:lineRule="auto" w:before="1" w:after="0"/>
        <w:ind w:left="1327" w:right="402" w:hanging="281"/>
        <w:jc w:val="both"/>
        <w:rPr>
          <w:sz w:val="24"/>
        </w:rPr>
      </w:pPr>
      <w:r>
        <w:rPr>
          <w:sz w:val="24"/>
        </w:rPr>
        <w:t>Tomēr, ņemot vērā Latvijai raksturīgo augsto “ēnu” ekonomikas īpatsvaru un lielo gadījumu skaitu, kuros parādnieki esošā regulējuma ietvaros saistību dzēšanas procedūras laikā veic kreditoriem maksājumus minimālā apmērā, saistību</w:t>
      </w:r>
      <w:r>
        <w:rPr>
          <w:spacing w:val="-36"/>
          <w:sz w:val="24"/>
        </w:rPr>
        <w:t> </w:t>
      </w:r>
      <w:r>
        <w:rPr>
          <w:sz w:val="24"/>
        </w:rPr>
        <w:t>dzēšanas procedūras termiņu būtu vēlams izmantot kā vienu no instrumentiem, lai veicinātu parādnieku</w:t>
      </w:r>
      <w:r>
        <w:rPr>
          <w:spacing w:val="1"/>
          <w:sz w:val="24"/>
        </w:rPr>
        <w:t> </w:t>
      </w:r>
      <w:r>
        <w:rPr>
          <w:sz w:val="24"/>
        </w:rPr>
        <w:t>godprātību.</w:t>
      </w:r>
    </w:p>
    <w:p>
      <w:pPr>
        <w:pStyle w:val="BodyText"/>
        <w:jc w:val="left"/>
      </w:pPr>
    </w:p>
    <w:p>
      <w:pPr>
        <w:pStyle w:val="ListParagraph"/>
        <w:numPr>
          <w:ilvl w:val="0"/>
          <w:numId w:val="125"/>
        </w:numPr>
        <w:tabs>
          <w:tab w:pos="1328" w:val="left" w:leader="none"/>
        </w:tabs>
        <w:spacing w:line="240" w:lineRule="auto" w:before="0" w:after="0"/>
        <w:ind w:left="1327" w:right="401" w:hanging="281"/>
        <w:jc w:val="both"/>
        <w:rPr>
          <w:sz w:val="24"/>
        </w:rPr>
      </w:pPr>
      <w:r>
        <w:rPr>
          <w:sz w:val="24"/>
        </w:rPr>
        <w:t>Tādējādi būtu izvērtējama nepieciešamība reformēt regulējumu par saistību dzēšanas plāna termiņu (plašāks izteikto priekšlikumu pamatojums norādīts VI. nodaļas</w:t>
      </w:r>
      <w:r>
        <w:rPr>
          <w:spacing w:val="-3"/>
          <w:sz w:val="24"/>
        </w:rPr>
        <w:t> </w:t>
      </w:r>
      <w:r>
        <w:rPr>
          <w:sz w:val="24"/>
        </w:rPr>
        <w:t>3.1.punktā):</w:t>
      </w:r>
    </w:p>
    <w:p>
      <w:pPr>
        <w:spacing w:after="0" w:line="240" w:lineRule="auto"/>
        <w:jc w:val="both"/>
        <w:rPr>
          <w:sz w:val="24"/>
        </w:rPr>
        <w:sectPr>
          <w:pgSz w:w="11910" w:h="16840"/>
          <w:pgMar w:header="0" w:footer="1055" w:top="1340" w:bottom="1240" w:left="1180" w:right="1040"/>
        </w:sectPr>
      </w:pPr>
    </w:p>
    <w:p>
      <w:pPr>
        <w:pStyle w:val="ListParagraph"/>
        <w:numPr>
          <w:ilvl w:val="1"/>
          <w:numId w:val="125"/>
        </w:numPr>
        <w:tabs>
          <w:tab w:pos="1679" w:val="left" w:leader="none"/>
        </w:tabs>
        <w:spacing w:line="240" w:lineRule="auto" w:before="73" w:after="0"/>
        <w:ind w:left="1678" w:right="763" w:hanging="360"/>
        <w:jc w:val="both"/>
        <w:rPr>
          <w:sz w:val="24"/>
        </w:rPr>
      </w:pPr>
      <w:r>
        <w:rPr>
          <w:sz w:val="24"/>
        </w:rPr>
        <w:t>saglabāt noteikumu, ka saistību dzēšanas procedūras termiņš ir seši mēneši, ja parādnieks tās laikā sedz vismaz 50 procentus no kopējām saistībām, kuras paliek pēc bankrota procedūras</w:t>
      </w:r>
      <w:r>
        <w:rPr>
          <w:spacing w:val="-4"/>
          <w:sz w:val="24"/>
        </w:rPr>
        <w:t> </w:t>
      </w:r>
      <w:r>
        <w:rPr>
          <w:sz w:val="24"/>
        </w:rPr>
        <w:t>pabeigšanas;</w:t>
      </w:r>
    </w:p>
    <w:p>
      <w:pPr>
        <w:pStyle w:val="ListParagraph"/>
        <w:numPr>
          <w:ilvl w:val="1"/>
          <w:numId w:val="125"/>
        </w:numPr>
        <w:tabs>
          <w:tab w:pos="1679" w:val="left" w:leader="none"/>
        </w:tabs>
        <w:spacing w:line="240" w:lineRule="auto" w:before="0" w:after="0"/>
        <w:ind w:left="1678" w:right="764" w:hanging="360"/>
        <w:jc w:val="both"/>
        <w:rPr>
          <w:sz w:val="24"/>
        </w:rPr>
      </w:pPr>
      <w:r>
        <w:rPr>
          <w:sz w:val="24"/>
        </w:rPr>
        <w:t>ja parādnieks nespēj segt saistības norādītajā apmērā (50 procenti </w:t>
      </w:r>
      <w:r>
        <w:rPr>
          <w:spacing w:val="-6"/>
          <w:sz w:val="24"/>
        </w:rPr>
        <w:t>no </w:t>
      </w:r>
      <w:r>
        <w:rPr>
          <w:sz w:val="24"/>
        </w:rPr>
        <w:t>kopējām saistībām, kuras paliek pēc bankrota procedūras pabeigšanas), saistību dzēšanas procedūras termiņš neatkarīgi no saistību apmēra un plānotajiem parādnieka ienākumiem ir 3</w:t>
      </w:r>
      <w:r>
        <w:rPr>
          <w:spacing w:val="1"/>
          <w:sz w:val="24"/>
        </w:rPr>
        <w:t> </w:t>
      </w:r>
      <w:r>
        <w:rPr>
          <w:sz w:val="24"/>
        </w:rPr>
        <w:t>gadi;</w:t>
      </w:r>
    </w:p>
    <w:p>
      <w:pPr>
        <w:pStyle w:val="ListParagraph"/>
        <w:numPr>
          <w:ilvl w:val="1"/>
          <w:numId w:val="125"/>
        </w:numPr>
        <w:tabs>
          <w:tab w:pos="1679" w:val="left" w:leader="none"/>
        </w:tabs>
        <w:spacing w:line="237" w:lineRule="auto" w:before="3" w:after="0"/>
        <w:ind w:left="1678" w:right="761" w:hanging="360"/>
        <w:jc w:val="both"/>
        <w:rPr>
          <w:sz w:val="16"/>
        </w:rPr>
      </w:pPr>
      <w:r>
        <w:rPr>
          <w:sz w:val="24"/>
        </w:rPr>
        <w:t>ja parādnieks pienācīgi pilda Maksātnespējas likumā noteiktos pienākumus (strādā savai kvalifikācijai atbilstošu darbu un saņem atbilstošu</w:t>
      </w:r>
      <w:r>
        <w:rPr>
          <w:spacing w:val="-39"/>
          <w:sz w:val="24"/>
        </w:rPr>
        <w:t> </w:t>
      </w:r>
      <w:r>
        <w:rPr>
          <w:sz w:val="24"/>
        </w:rPr>
        <w:t>atalgojumu, no kā godprātīgi veic noteikta apmēra maksājumus kreditoriem), tiesa termiņu var samazināt līdz vienam gadam, savukārt pretējā gadījumā – pagarināt līdz 5 gadu termiņam.</w:t>
      </w:r>
      <w:r>
        <w:rPr>
          <w:position w:val="9"/>
          <w:sz w:val="16"/>
        </w:rPr>
        <w:t>529</w:t>
      </w:r>
    </w:p>
    <w:p>
      <w:pPr>
        <w:pStyle w:val="BodyText"/>
        <w:jc w:val="left"/>
        <w:rPr>
          <w:sz w:val="20"/>
        </w:rPr>
      </w:pPr>
    </w:p>
    <w:p>
      <w:pPr>
        <w:pStyle w:val="BodyText"/>
        <w:spacing w:before="3"/>
        <w:jc w:val="left"/>
        <w:rPr>
          <w:sz w:val="20"/>
        </w:rPr>
      </w:pPr>
    </w:p>
    <w:p>
      <w:pPr>
        <w:pStyle w:val="ListParagraph"/>
        <w:numPr>
          <w:ilvl w:val="0"/>
          <w:numId w:val="119"/>
        </w:numPr>
        <w:tabs>
          <w:tab w:pos="980" w:val="left" w:leader="none"/>
        </w:tabs>
        <w:spacing w:line="240" w:lineRule="auto" w:before="90" w:after="0"/>
        <w:ind w:left="980" w:right="0" w:hanging="360"/>
        <w:jc w:val="left"/>
        <w:rPr>
          <w:b/>
          <w:i/>
          <w:sz w:val="24"/>
        </w:rPr>
      </w:pPr>
      <w:r>
        <w:rPr>
          <w:b/>
          <w:i/>
          <w:spacing w:val="-161"/>
          <w:sz w:val="24"/>
          <w:u w:val="thick"/>
        </w:rPr>
        <w:t>K</w:t>
      </w:r>
      <w:r>
        <w:rPr>
          <w:b/>
          <w:i/>
          <w:spacing w:val="101"/>
          <w:sz w:val="24"/>
        </w:rPr>
        <w:t> </w:t>
      </w:r>
      <w:r>
        <w:rPr>
          <w:b/>
          <w:i/>
          <w:sz w:val="24"/>
          <w:u w:val="thick"/>
        </w:rPr>
        <w:t>reditoru prasījumu segšanai novirzāmā summa saistību dzēšanas</w:t>
      </w:r>
      <w:r>
        <w:rPr>
          <w:b/>
          <w:i/>
          <w:spacing w:val="1"/>
          <w:sz w:val="24"/>
          <w:u w:val="thick"/>
        </w:rPr>
        <w:t> </w:t>
      </w:r>
      <w:r>
        <w:rPr>
          <w:b/>
          <w:i/>
          <w:sz w:val="24"/>
          <w:u w:val="thick"/>
        </w:rPr>
        <w:t>procedūras</w:t>
      </w:r>
    </w:p>
    <w:p>
      <w:pPr>
        <w:spacing w:before="0"/>
        <w:ind w:left="980" w:right="0" w:firstLine="0"/>
        <w:jc w:val="left"/>
        <w:rPr>
          <w:b/>
          <w:i/>
          <w:sz w:val="24"/>
        </w:rPr>
      </w:pPr>
      <w:r>
        <w:rPr>
          <w:b/>
          <w:i/>
          <w:spacing w:val="-67"/>
          <w:sz w:val="24"/>
          <w:u w:val="thick"/>
        </w:rPr>
        <w:t>l</w:t>
      </w:r>
      <w:r>
        <w:rPr>
          <w:b/>
          <w:i/>
          <w:spacing w:val="6"/>
          <w:sz w:val="24"/>
          <w:u w:val="thick"/>
        </w:rPr>
        <w:t> </w:t>
      </w:r>
      <w:r>
        <w:rPr>
          <w:b/>
          <w:i/>
          <w:sz w:val="24"/>
          <w:u w:val="thick"/>
        </w:rPr>
        <w:t>aikā</w:t>
      </w:r>
    </w:p>
    <w:p>
      <w:pPr>
        <w:pStyle w:val="BodyText"/>
        <w:spacing w:before="9"/>
        <w:jc w:val="left"/>
        <w:rPr>
          <w:b/>
          <w:i/>
          <w:sz w:val="15"/>
        </w:rPr>
      </w:pPr>
    </w:p>
    <w:p>
      <w:pPr>
        <w:pStyle w:val="ListParagraph"/>
        <w:numPr>
          <w:ilvl w:val="0"/>
          <w:numId w:val="126"/>
        </w:numPr>
        <w:tabs>
          <w:tab w:pos="1254" w:val="left" w:leader="none"/>
        </w:tabs>
        <w:spacing w:line="240" w:lineRule="auto" w:before="90" w:after="0"/>
        <w:ind w:left="1253" w:right="761" w:hanging="634"/>
        <w:jc w:val="both"/>
        <w:rPr>
          <w:sz w:val="24"/>
        </w:rPr>
      </w:pPr>
      <w:r>
        <w:rPr>
          <w:sz w:val="24"/>
        </w:rPr>
        <w:t>Pētījuma rezultāti nepārprotami apliecina, ka ir nepieciešams precīzāk noteikt, kādu apmēru no saviem ienākumiem parādniekam ir jānovirza kreditoru prasījumu segšanai. Proti, spēkā esošajā tiesiskajā regulējumā trūkst konsekvences minētajā jautājumā (attiecīgi arī tiesu prakse ir ļoti dažāda). Turklāt vienīgā tiesību norma, kas parādniekam noteic pienākumu novirzīt kreditoru</w:t>
      </w:r>
      <w:r>
        <w:rPr>
          <w:spacing w:val="-12"/>
          <w:sz w:val="24"/>
        </w:rPr>
        <w:t> </w:t>
      </w:r>
      <w:r>
        <w:rPr>
          <w:sz w:val="24"/>
        </w:rPr>
        <w:t>prasījumu</w:t>
      </w:r>
      <w:r>
        <w:rPr>
          <w:spacing w:val="-8"/>
          <w:sz w:val="24"/>
        </w:rPr>
        <w:t> </w:t>
      </w:r>
      <w:r>
        <w:rPr>
          <w:sz w:val="24"/>
        </w:rPr>
        <w:t>segšanai</w:t>
      </w:r>
      <w:r>
        <w:rPr>
          <w:spacing w:val="-10"/>
          <w:sz w:val="24"/>
        </w:rPr>
        <w:t> </w:t>
      </w:r>
      <w:r>
        <w:rPr>
          <w:sz w:val="24"/>
        </w:rPr>
        <w:t>1/3</w:t>
      </w:r>
      <w:r>
        <w:rPr>
          <w:spacing w:val="-9"/>
          <w:sz w:val="24"/>
        </w:rPr>
        <w:t> </w:t>
      </w:r>
      <w:r>
        <w:rPr>
          <w:sz w:val="24"/>
        </w:rPr>
        <w:t>daļu</w:t>
      </w:r>
      <w:r>
        <w:rPr>
          <w:spacing w:val="-10"/>
          <w:sz w:val="24"/>
        </w:rPr>
        <w:t> </w:t>
      </w:r>
      <w:r>
        <w:rPr>
          <w:sz w:val="24"/>
        </w:rPr>
        <w:t>no</w:t>
      </w:r>
      <w:r>
        <w:rPr>
          <w:spacing w:val="-10"/>
          <w:sz w:val="24"/>
        </w:rPr>
        <w:t> </w:t>
      </w:r>
      <w:r>
        <w:rPr>
          <w:sz w:val="24"/>
        </w:rPr>
        <w:t>saviem</w:t>
      </w:r>
      <w:r>
        <w:rPr>
          <w:spacing w:val="-11"/>
          <w:sz w:val="24"/>
        </w:rPr>
        <w:t> </w:t>
      </w:r>
      <w:r>
        <w:rPr>
          <w:sz w:val="24"/>
        </w:rPr>
        <w:t>ienākumiem,</w:t>
      </w:r>
      <w:r>
        <w:rPr>
          <w:spacing w:val="-10"/>
          <w:sz w:val="24"/>
        </w:rPr>
        <w:t> </w:t>
      </w:r>
      <w:r>
        <w:rPr>
          <w:sz w:val="24"/>
        </w:rPr>
        <w:t>ir</w:t>
      </w:r>
      <w:r>
        <w:rPr>
          <w:spacing w:val="-10"/>
          <w:sz w:val="24"/>
        </w:rPr>
        <w:t> </w:t>
      </w:r>
      <w:r>
        <w:rPr>
          <w:sz w:val="24"/>
        </w:rPr>
        <w:t>Maksātnespējas likuma 155.panta ceturtā daļa, kas regulē jautājumu par saistību dzēšanas plāna termiņu. Ņemot vērā to, ka jautājums par kreditoru prasījumu segšanai novirzāmo summu ir viens no centrālajiem saistību dzēšanas procedūras instrumentiem, to vēlams regulēt speciālā tiesību normā, nevis pastarpināti caur saistību dzēšanas procedūras termiņa jautājumu. Jāatzīmē arī tas, ka Maksātnespējas likuma regulējums jautājumā par kreditoru prasījumu segšanai novirzāmo</w:t>
      </w:r>
      <w:r>
        <w:rPr>
          <w:spacing w:val="-16"/>
          <w:sz w:val="24"/>
        </w:rPr>
        <w:t> </w:t>
      </w:r>
      <w:r>
        <w:rPr>
          <w:sz w:val="24"/>
        </w:rPr>
        <w:t>summu</w:t>
      </w:r>
      <w:r>
        <w:rPr>
          <w:spacing w:val="-15"/>
          <w:sz w:val="24"/>
        </w:rPr>
        <w:t> </w:t>
      </w:r>
      <w:r>
        <w:rPr>
          <w:sz w:val="24"/>
        </w:rPr>
        <w:t>nav</w:t>
      </w:r>
      <w:r>
        <w:rPr>
          <w:spacing w:val="-15"/>
          <w:sz w:val="24"/>
        </w:rPr>
        <w:t> </w:t>
      </w:r>
      <w:r>
        <w:rPr>
          <w:sz w:val="24"/>
        </w:rPr>
        <w:t>salāgots</w:t>
      </w:r>
      <w:r>
        <w:rPr>
          <w:spacing w:val="-16"/>
          <w:sz w:val="24"/>
        </w:rPr>
        <w:t> </w:t>
      </w:r>
      <w:r>
        <w:rPr>
          <w:sz w:val="24"/>
        </w:rPr>
        <w:t>nedz</w:t>
      </w:r>
      <w:r>
        <w:rPr>
          <w:spacing w:val="-13"/>
          <w:sz w:val="24"/>
        </w:rPr>
        <w:t> </w:t>
      </w:r>
      <w:r>
        <w:rPr>
          <w:sz w:val="24"/>
        </w:rPr>
        <w:t>ar</w:t>
      </w:r>
      <w:r>
        <w:rPr>
          <w:spacing w:val="-18"/>
          <w:sz w:val="24"/>
        </w:rPr>
        <w:t> </w:t>
      </w:r>
      <w:r>
        <w:rPr>
          <w:sz w:val="24"/>
        </w:rPr>
        <w:t>Civilprocesa</w:t>
      </w:r>
      <w:r>
        <w:rPr>
          <w:spacing w:val="-16"/>
          <w:sz w:val="24"/>
        </w:rPr>
        <w:t> </w:t>
      </w:r>
      <w:r>
        <w:rPr>
          <w:sz w:val="24"/>
        </w:rPr>
        <w:t>594.panta</w:t>
      </w:r>
      <w:r>
        <w:rPr>
          <w:spacing w:val="-11"/>
          <w:sz w:val="24"/>
        </w:rPr>
        <w:t> </w:t>
      </w:r>
      <w:r>
        <w:rPr>
          <w:sz w:val="24"/>
        </w:rPr>
        <w:t>regulējumu,</w:t>
      </w:r>
      <w:r>
        <w:rPr>
          <w:spacing w:val="-12"/>
          <w:sz w:val="24"/>
        </w:rPr>
        <w:t> </w:t>
      </w:r>
      <w:r>
        <w:rPr>
          <w:sz w:val="24"/>
        </w:rPr>
        <w:t>nedz arī starptautiskās prakses ieteikumu ņemt vērā parādnieka finansiālo</w:t>
      </w:r>
      <w:r>
        <w:rPr>
          <w:spacing w:val="-7"/>
          <w:sz w:val="24"/>
        </w:rPr>
        <w:t> </w:t>
      </w:r>
      <w:r>
        <w:rPr>
          <w:sz w:val="24"/>
        </w:rPr>
        <w:t>situāciju.</w:t>
      </w:r>
    </w:p>
    <w:p>
      <w:pPr>
        <w:pStyle w:val="BodyText"/>
        <w:jc w:val="left"/>
      </w:pPr>
    </w:p>
    <w:p>
      <w:pPr>
        <w:pStyle w:val="ListParagraph"/>
        <w:numPr>
          <w:ilvl w:val="0"/>
          <w:numId w:val="126"/>
        </w:numPr>
        <w:tabs>
          <w:tab w:pos="1254" w:val="left" w:leader="none"/>
        </w:tabs>
        <w:spacing w:line="240" w:lineRule="auto" w:before="0" w:after="0"/>
        <w:ind w:left="1253" w:right="764" w:hanging="634"/>
        <w:jc w:val="both"/>
        <w:rPr>
          <w:sz w:val="24"/>
        </w:rPr>
      </w:pPr>
      <w:r>
        <w:rPr>
          <w:sz w:val="24"/>
        </w:rPr>
        <w:t>Tādējādi</w:t>
      </w:r>
      <w:r>
        <w:rPr>
          <w:spacing w:val="-6"/>
          <w:sz w:val="24"/>
        </w:rPr>
        <w:t> </w:t>
      </w:r>
      <w:r>
        <w:rPr>
          <w:sz w:val="24"/>
        </w:rPr>
        <w:t>būtu</w:t>
      </w:r>
      <w:r>
        <w:rPr>
          <w:spacing w:val="-6"/>
          <w:sz w:val="24"/>
        </w:rPr>
        <w:t> </w:t>
      </w:r>
      <w:r>
        <w:rPr>
          <w:sz w:val="24"/>
        </w:rPr>
        <w:t>izvērtējama</w:t>
      </w:r>
      <w:r>
        <w:rPr>
          <w:spacing w:val="-5"/>
          <w:sz w:val="24"/>
        </w:rPr>
        <w:t> </w:t>
      </w:r>
      <w:r>
        <w:rPr>
          <w:sz w:val="24"/>
        </w:rPr>
        <w:t>nepieciešamība</w:t>
      </w:r>
      <w:r>
        <w:rPr>
          <w:spacing w:val="-6"/>
          <w:sz w:val="24"/>
        </w:rPr>
        <w:t> </w:t>
      </w:r>
      <w:r>
        <w:rPr>
          <w:sz w:val="24"/>
        </w:rPr>
        <w:t>veikt</w:t>
      </w:r>
      <w:r>
        <w:rPr>
          <w:spacing w:val="-6"/>
          <w:sz w:val="24"/>
        </w:rPr>
        <w:t> </w:t>
      </w:r>
      <w:r>
        <w:rPr>
          <w:sz w:val="24"/>
        </w:rPr>
        <w:t>šādas</w:t>
      </w:r>
      <w:r>
        <w:rPr>
          <w:spacing w:val="-6"/>
          <w:sz w:val="24"/>
        </w:rPr>
        <w:t> </w:t>
      </w:r>
      <w:r>
        <w:rPr>
          <w:sz w:val="24"/>
        </w:rPr>
        <w:t>izmaiņas</w:t>
      </w:r>
      <w:r>
        <w:rPr>
          <w:spacing w:val="-5"/>
          <w:sz w:val="24"/>
        </w:rPr>
        <w:t> </w:t>
      </w:r>
      <w:r>
        <w:rPr>
          <w:sz w:val="24"/>
        </w:rPr>
        <w:t>(plašāks</w:t>
      </w:r>
      <w:r>
        <w:rPr>
          <w:spacing w:val="-6"/>
          <w:sz w:val="24"/>
        </w:rPr>
        <w:t> </w:t>
      </w:r>
      <w:r>
        <w:rPr>
          <w:sz w:val="24"/>
        </w:rPr>
        <w:t>izteikto priekšlikumu pamatojums norādīts pētījuma VI. nodaļas</w:t>
      </w:r>
      <w:r>
        <w:rPr>
          <w:spacing w:val="-3"/>
          <w:sz w:val="24"/>
        </w:rPr>
        <w:t> </w:t>
      </w:r>
      <w:r>
        <w:rPr>
          <w:sz w:val="24"/>
        </w:rPr>
        <w:t>3.2.punktā):</w:t>
      </w:r>
    </w:p>
    <w:p>
      <w:pPr>
        <w:pStyle w:val="ListParagraph"/>
        <w:numPr>
          <w:ilvl w:val="1"/>
          <w:numId w:val="126"/>
        </w:numPr>
        <w:tabs>
          <w:tab w:pos="1679" w:val="left" w:leader="none"/>
        </w:tabs>
        <w:spacing w:line="240" w:lineRule="auto" w:before="0" w:after="0"/>
        <w:ind w:left="1678" w:right="765" w:hanging="425"/>
        <w:jc w:val="both"/>
        <w:rPr>
          <w:sz w:val="24"/>
        </w:rPr>
      </w:pPr>
      <w:r>
        <w:rPr>
          <w:sz w:val="24"/>
        </w:rPr>
        <w:t>speciālā tiesību normā regulēt jautājumu par kreditoru prasījumu </w:t>
      </w:r>
      <w:r>
        <w:rPr>
          <w:spacing w:val="-3"/>
          <w:sz w:val="24"/>
        </w:rPr>
        <w:t>segšanai </w:t>
      </w:r>
      <w:r>
        <w:rPr>
          <w:sz w:val="24"/>
        </w:rPr>
        <w:t>novirzāmo parādnieka ienākumu</w:t>
      </w:r>
      <w:r>
        <w:rPr>
          <w:spacing w:val="-3"/>
          <w:sz w:val="24"/>
        </w:rPr>
        <w:t> </w:t>
      </w:r>
      <w:r>
        <w:rPr>
          <w:sz w:val="24"/>
        </w:rPr>
        <w:t>daļu;</w:t>
      </w:r>
    </w:p>
    <w:p>
      <w:pPr>
        <w:pStyle w:val="ListParagraph"/>
        <w:numPr>
          <w:ilvl w:val="1"/>
          <w:numId w:val="126"/>
        </w:numPr>
        <w:tabs>
          <w:tab w:pos="1679" w:val="left" w:leader="none"/>
        </w:tabs>
        <w:spacing w:line="240" w:lineRule="auto" w:before="0" w:after="0"/>
        <w:ind w:left="1678" w:right="761" w:hanging="425"/>
        <w:jc w:val="both"/>
        <w:rPr>
          <w:sz w:val="24"/>
        </w:rPr>
      </w:pPr>
      <w:r>
        <w:rPr>
          <w:sz w:val="24"/>
        </w:rPr>
        <w:t>minēto regulējumu noteikt, ņemot vērā Civilprocesa 594.panta</w:t>
      </w:r>
      <w:r>
        <w:rPr>
          <w:spacing w:val="-19"/>
          <w:sz w:val="24"/>
        </w:rPr>
        <w:t> </w:t>
      </w:r>
      <w:r>
        <w:rPr>
          <w:sz w:val="24"/>
        </w:rPr>
        <w:t>noteikumus, kā arī 2016. gada 22. novembra Eiropas Komisijas Priekšlikuma direktīvai par preventīvās pārstrukturēšanas regulējumu, otro iespēju un pārstrukturēšanas, maksātnespējas un saistību dzēšanas procedūru efektivitātes palielināšanas pasākumiem un ar ko groza Direktīvas 2012/30/ES 19.panta otro daļu. Respektīvi, kreditoru prasījumu segšanai novirzāmā</w:t>
      </w:r>
      <w:r>
        <w:rPr>
          <w:spacing w:val="-15"/>
          <w:sz w:val="24"/>
        </w:rPr>
        <w:t> </w:t>
      </w:r>
      <w:r>
        <w:rPr>
          <w:sz w:val="24"/>
        </w:rPr>
        <w:t>summa</w:t>
      </w:r>
      <w:r>
        <w:rPr>
          <w:spacing w:val="-15"/>
          <w:sz w:val="24"/>
        </w:rPr>
        <w:t> </w:t>
      </w:r>
      <w:r>
        <w:rPr>
          <w:sz w:val="24"/>
        </w:rPr>
        <w:t>jāsamēro</w:t>
      </w:r>
      <w:r>
        <w:rPr>
          <w:spacing w:val="-12"/>
          <w:sz w:val="24"/>
        </w:rPr>
        <w:t> </w:t>
      </w:r>
      <w:r>
        <w:rPr>
          <w:sz w:val="24"/>
        </w:rPr>
        <w:t>ar</w:t>
      </w:r>
      <w:r>
        <w:rPr>
          <w:spacing w:val="-12"/>
          <w:sz w:val="24"/>
        </w:rPr>
        <w:t> </w:t>
      </w:r>
      <w:r>
        <w:rPr>
          <w:sz w:val="24"/>
        </w:rPr>
        <w:t>parādnieka</w:t>
      </w:r>
      <w:r>
        <w:rPr>
          <w:spacing w:val="-11"/>
          <w:sz w:val="24"/>
        </w:rPr>
        <w:t> </w:t>
      </w:r>
      <w:r>
        <w:rPr>
          <w:sz w:val="24"/>
        </w:rPr>
        <w:t>ģimenes</w:t>
      </w:r>
      <w:r>
        <w:rPr>
          <w:spacing w:val="-12"/>
          <w:sz w:val="24"/>
        </w:rPr>
        <w:t> </w:t>
      </w:r>
      <w:r>
        <w:rPr>
          <w:sz w:val="24"/>
        </w:rPr>
        <w:t>stāvokli</w:t>
      </w:r>
      <w:r>
        <w:rPr>
          <w:spacing w:val="-12"/>
          <w:sz w:val="24"/>
        </w:rPr>
        <w:t> </w:t>
      </w:r>
      <w:r>
        <w:rPr>
          <w:sz w:val="24"/>
        </w:rPr>
        <w:t>(apgādībā</w:t>
      </w:r>
      <w:r>
        <w:rPr>
          <w:spacing w:val="-12"/>
          <w:sz w:val="24"/>
        </w:rPr>
        <w:t> </w:t>
      </w:r>
      <w:r>
        <w:rPr>
          <w:sz w:val="24"/>
        </w:rPr>
        <w:t>esošo personu skaitu) un ienākumu</w:t>
      </w:r>
      <w:r>
        <w:rPr>
          <w:spacing w:val="-1"/>
          <w:sz w:val="24"/>
        </w:rPr>
        <w:t> </w:t>
      </w:r>
      <w:r>
        <w:rPr>
          <w:sz w:val="24"/>
        </w:rPr>
        <w:t>apmēru.</w:t>
      </w:r>
    </w:p>
    <w:p>
      <w:pPr>
        <w:pStyle w:val="BodyText"/>
        <w:jc w:val="left"/>
      </w:pPr>
    </w:p>
    <w:p>
      <w:pPr>
        <w:pStyle w:val="ListParagraph"/>
        <w:numPr>
          <w:ilvl w:val="0"/>
          <w:numId w:val="126"/>
        </w:numPr>
        <w:tabs>
          <w:tab w:pos="1254" w:val="left" w:leader="none"/>
        </w:tabs>
        <w:spacing w:line="240" w:lineRule="auto" w:before="0" w:after="0"/>
        <w:ind w:left="1253" w:right="763" w:hanging="634"/>
        <w:jc w:val="both"/>
        <w:rPr>
          <w:sz w:val="24"/>
        </w:rPr>
      </w:pPr>
      <w:r>
        <w:rPr>
          <w:sz w:val="24"/>
        </w:rPr>
        <w:t>Papildus atzīmējams vēl kāds aspekts. Un tieši – lai arī spēkā esošais fiziskās personas</w:t>
      </w:r>
      <w:r>
        <w:rPr>
          <w:spacing w:val="-13"/>
          <w:sz w:val="24"/>
        </w:rPr>
        <w:t> </w:t>
      </w:r>
      <w:r>
        <w:rPr>
          <w:sz w:val="24"/>
        </w:rPr>
        <w:t>maksātnespējas</w:t>
      </w:r>
      <w:r>
        <w:rPr>
          <w:spacing w:val="-8"/>
          <w:sz w:val="24"/>
        </w:rPr>
        <w:t> </w:t>
      </w:r>
      <w:r>
        <w:rPr>
          <w:sz w:val="24"/>
        </w:rPr>
        <w:t>procesa</w:t>
      </w:r>
      <w:r>
        <w:rPr>
          <w:spacing w:val="-12"/>
          <w:sz w:val="24"/>
        </w:rPr>
        <w:t> </w:t>
      </w:r>
      <w:r>
        <w:rPr>
          <w:sz w:val="24"/>
        </w:rPr>
        <w:t>tiesiskais</w:t>
      </w:r>
      <w:r>
        <w:rPr>
          <w:spacing w:val="-13"/>
          <w:sz w:val="24"/>
        </w:rPr>
        <w:t> </w:t>
      </w:r>
      <w:r>
        <w:rPr>
          <w:sz w:val="24"/>
        </w:rPr>
        <w:t>regulējums</w:t>
      </w:r>
      <w:r>
        <w:rPr>
          <w:spacing w:val="-11"/>
          <w:sz w:val="24"/>
        </w:rPr>
        <w:t> </w:t>
      </w:r>
      <w:r>
        <w:rPr>
          <w:sz w:val="24"/>
        </w:rPr>
        <w:t>ir</w:t>
      </w:r>
      <w:r>
        <w:rPr>
          <w:spacing w:val="-16"/>
          <w:sz w:val="24"/>
        </w:rPr>
        <w:t> </w:t>
      </w:r>
      <w:r>
        <w:rPr>
          <w:sz w:val="24"/>
        </w:rPr>
        <w:t>viens</w:t>
      </w:r>
      <w:r>
        <w:rPr>
          <w:spacing w:val="-12"/>
          <w:sz w:val="24"/>
        </w:rPr>
        <w:t> </w:t>
      </w:r>
      <w:r>
        <w:rPr>
          <w:sz w:val="24"/>
        </w:rPr>
        <w:t>no</w:t>
      </w:r>
      <w:r>
        <w:rPr>
          <w:spacing w:val="-13"/>
          <w:sz w:val="24"/>
        </w:rPr>
        <w:t> </w:t>
      </w:r>
      <w:r>
        <w:rPr>
          <w:sz w:val="24"/>
        </w:rPr>
        <w:t>liberālākajiem</w:t>
      </w:r>
    </w:p>
    <w:p>
      <w:pPr>
        <w:pStyle w:val="BodyText"/>
        <w:spacing w:before="6"/>
        <w:jc w:val="left"/>
        <w:rPr>
          <w:sz w:val="12"/>
        </w:rPr>
      </w:pPr>
      <w:r>
        <w:rPr/>
        <w:pict>
          <v:shape style="position:absolute;margin-left:72pt;margin-top:9.493546pt;width:144pt;height:.1pt;mso-position-horizontal-relative:page;mso-position-vertical-relative:paragraph;z-index:-251429888;mso-wrap-distance-left:0;mso-wrap-distance-right:0" coordorigin="1440,190" coordsize="2880,0" path="m1440,190l4320,190e" filled="false" stroked="true" strokeweight=".600037pt" strokecolor="#000000">
            <v:path arrowok="t"/>
            <v:stroke dashstyle="solid"/>
            <w10:wrap type="topAndBottom"/>
          </v:shape>
        </w:pict>
      </w:r>
    </w:p>
    <w:p>
      <w:pPr>
        <w:spacing w:before="70"/>
        <w:ind w:left="260" w:right="765" w:firstLine="0"/>
        <w:jc w:val="both"/>
        <w:rPr>
          <w:sz w:val="20"/>
        </w:rPr>
      </w:pPr>
      <w:r>
        <w:rPr>
          <w:position w:val="7"/>
          <w:sz w:val="13"/>
        </w:rPr>
        <w:t>529 </w:t>
      </w:r>
      <w:r>
        <w:rPr>
          <w:sz w:val="20"/>
        </w:rPr>
        <w:t>Priekšlikums pilnībā atbilst 2016. gada 22. novembra Eiropas Komisijas Priekšlikumam direktīvai par preventīvās pārstrukturēšanas regulējumu, otro iespēju un pārstrukturēšanas, maksātnespējas un saistību dzēšanas</w:t>
      </w:r>
      <w:r>
        <w:rPr>
          <w:spacing w:val="-13"/>
          <w:sz w:val="20"/>
        </w:rPr>
        <w:t> </w:t>
      </w:r>
      <w:r>
        <w:rPr>
          <w:sz w:val="20"/>
        </w:rPr>
        <w:t>procedūru</w:t>
      </w:r>
      <w:r>
        <w:rPr>
          <w:spacing w:val="-12"/>
          <w:sz w:val="20"/>
        </w:rPr>
        <w:t> </w:t>
      </w:r>
      <w:r>
        <w:rPr>
          <w:sz w:val="20"/>
        </w:rPr>
        <w:t>efektivitātes</w:t>
      </w:r>
      <w:r>
        <w:rPr>
          <w:spacing w:val="-14"/>
          <w:sz w:val="20"/>
        </w:rPr>
        <w:t> </w:t>
      </w:r>
      <w:r>
        <w:rPr>
          <w:sz w:val="20"/>
        </w:rPr>
        <w:t>palielināšanas</w:t>
      </w:r>
      <w:r>
        <w:rPr>
          <w:spacing w:val="-14"/>
          <w:sz w:val="20"/>
        </w:rPr>
        <w:t> </w:t>
      </w:r>
      <w:r>
        <w:rPr>
          <w:sz w:val="20"/>
        </w:rPr>
        <w:t>pasākumiem</w:t>
      </w:r>
      <w:r>
        <w:rPr>
          <w:spacing w:val="-11"/>
          <w:sz w:val="20"/>
        </w:rPr>
        <w:t> </w:t>
      </w:r>
      <w:r>
        <w:rPr>
          <w:sz w:val="20"/>
        </w:rPr>
        <w:t>un</w:t>
      </w:r>
      <w:r>
        <w:rPr>
          <w:spacing w:val="-12"/>
          <w:sz w:val="20"/>
        </w:rPr>
        <w:t> </w:t>
      </w:r>
      <w:r>
        <w:rPr>
          <w:sz w:val="20"/>
        </w:rPr>
        <w:t>ar</w:t>
      </w:r>
      <w:r>
        <w:rPr>
          <w:spacing w:val="-14"/>
          <w:sz w:val="20"/>
        </w:rPr>
        <w:t> </w:t>
      </w:r>
      <w:r>
        <w:rPr>
          <w:sz w:val="20"/>
        </w:rPr>
        <w:t>ko</w:t>
      </w:r>
      <w:r>
        <w:rPr>
          <w:spacing w:val="-10"/>
          <w:sz w:val="20"/>
        </w:rPr>
        <w:t> </w:t>
      </w:r>
      <w:r>
        <w:rPr>
          <w:sz w:val="20"/>
        </w:rPr>
        <w:t>groza</w:t>
      </w:r>
      <w:r>
        <w:rPr>
          <w:spacing w:val="-12"/>
          <w:sz w:val="20"/>
        </w:rPr>
        <w:t> </w:t>
      </w:r>
      <w:r>
        <w:rPr>
          <w:sz w:val="20"/>
        </w:rPr>
        <w:t>Direktīvu</w:t>
      </w:r>
      <w:r>
        <w:rPr>
          <w:spacing w:val="-16"/>
          <w:sz w:val="20"/>
        </w:rPr>
        <w:t> </w:t>
      </w:r>
      <w:r>
        <w:rPr>
          <w:sz w:val="20"/>
        </w:rPr>
        <w:t>2012/30/ES</w:t>
      </w:r>
      <w:r>
        <w:rPr>
          <w:spacing w:val="-12"/>
          <w:sz w:val="20"/>
        </w:rPr>
        <w:t> </w:t>
      </w:r>
      <w:r>
        <w:rPr>
          <w:sz w:val="20"/>
        </w:rPr>
        <w:t>22.pantam.</w:t>
      </w:r>
    </w:p>
    <w:p>
      <w:pPr>
        <w:spacing w:after="0"/>
        <w:jc w:val="both"/>
        <w:rPr>
          <w:sz w:val="20"/>
        </w:rPr>
        <w:sectPr>
          <w:pgSz w:w="11910" w:h="16840"/>
          <w:pgMar w:header="0" w:footer="1055" w:top="1340" w:bottom="1240" w:left="1180" w:right="1040"/>
        </w:sectPr>
      </w:pPr>
    </w:p>
    <w:p>
      <w:pPr>
        <w:pStyle w:val="BodyText"/>
        <w:spacing w:before="73"/>
        <w:ind w:left="1613" w:right="401"/>
      </w:pPr>
      <w:r>
        <w:rPr/>
        <w:t>Eiropas Savienībā, tas tomēr nav sabalansēts ar to parādnieku finansiālajām spējām, kuri gūst nelielus vai zemus ienākumus, jo neatkarīgi no parādnieka ienākumu apmēra paredz pienākumu saistību dzēšanas procedūras laikā kreditoru prasījumu segšanai novirzīt līdzekļus ne mazāk kā vienas trešdaļas apmērā no vienas minimālās mēnešalgas mēnesī pirms nodokļu samaksas.</w:t>
      </w:r>
    </w:p>
    <w:p>
      <w:pPr>
        <w:pStyle w:val="BodyText"/>
        <w:jc w:val="left"/>
      </w:pPr>
    </w:p>
    <w:p>
      <w:pPr>
        <w:pStyle w:val="BodyText"/>
        <w:ind w:left="1613" w:right="400"/>
        <w:rPr>
          <w:sz w:val="16"/>
        </w:rPr>
      </w:pPr>
      <w:r>
        <w:rPr/>
        <w:t>Šāda likuma prasība nenoliedzami atbilst Maksātnespējas likuma 5.panta pirmajā daļā noteiktajam fiziskās personas maksātnespējas procesa mērķim pēc iespējas pilnīgāk apmierināt kreditoru prasījumus no parādnieka mantas, kā arī Maksātnespējas likuma 6.panta 4.punktā noteiktajam saistību </w:t>
      </w:r>
      <w:r>
        <w:rPr>
          <w:spacing w:val="-3"/>
        </w:rPr>
        <w:t>izpildes </w:t>
      </w:r>
      <w:r>
        <w:rPr/>
        <w:t>principam. Parasti šāds likuma uzstādījums tiek attaisnots ar to, ka, nesedzot kreditoru prasījumus pēc iespējas pilnīgāk, paaugstināsies kredītresursu izmantošanas izmaksas un samazināsies kredītlīdzekļu pieejamība, tādējādi negatīvi ietekmējot valsts ekonomisko izaugsmi un citu sabiedrības locekļu finansiālo situāciju. Taču, kā to atzīmē, piemēram, Lielbritānijas tiesību zinātnieks </w:t>
      </w:r>
      <w:r>
        <w:rPr>
          <w:i/>
        </w:rPr>
        <w:t>Joseph Spooner</w:t>
      </w:r>
      <w:r>
        <w:rPr/>
        <w:t>, trūkst empīrisku pētījumu, kas apliecinātu to, ka pastāv tiešs sakars starp iespēju dzēst saistības fiziskās personas</w:t>
      </w:r>
      <w:r>
        <w:rPr>
          <w:spacing w:val="-39"/>
        </w:rPr>
        <w:t> </w:t>
      </w:r>
      <w:r>
        <w:rPr/>
        <w:t>maksātnespējas procesa ietvaros un kredītresursu pieejamību un izmaksām. Gluži pretēji – līdzšinējie pētījumi drīzāk apliecina to, ka iespējas neesamība dzēst saistības atstāj ievērojami negatīvāku iespaidu uz fizisko personu uzvedību nekā saistību dzēšana uz kredītdevēju</w:t>
      </w:r>
      <w:r>
        <w:rPr>
          <w:spacing w:val="2"/>
        </w:rPr>
        <w:t> </w:t>
      </w:r>
      <w:r>
        <w:rPr/>
        <w:t>aktivitāti.</w:t>
      </w:r>
      <w:r>
        <w:rPr>
          <w:position w:val="9"/>
          <w:sz w:val="16"/>
        </w:rPr>
        <w:t>530</w:t>
      </w:r>
    </w:p>
    <w:p>
      <w:pPr>
        <w:pStyle w:val="BodyText"/>
        <w:spacing w:before="10"/>
        <w:jc w:val="left"/>
        <w:rPr>
          <w:sz w:val="22"/>
        </w:rPr>
      </w:pPr>
    </w:p>
    <w:p>
      <w:pPr>
        <w:pStyle w:val="BodyText"/>
        <w:spacing w:line="237" w:lineRule="auto" w:before="1"/>
        <w:ind w:left="1613" w:right="401"/>
        <w:rPr>
          <w:sz w:val="16"/>
        </w:rPr>
      </w:pPr>
      <w:r>
        <w:rPr/>
        <w:t>Jāpiebilst, ka arī jaunākā </w:t>
      </w:r>
      <w:r>
        <w:rPr>
          <w:i/>
        </w:rPr>
        <w:t>Doing Business </w:t>
      </w:r>
      <w:r>
        <w:rPr/>
        <w:t>ziņojuma dati vedina pārvērtēt to, vai maksātnespējas tiesiskajam regulējumam ir tik tieša saikne ar kredītresursu pieejamību un izmaksām, kā tas nereti tiek apgalvots. Piemēram, kā izriet no </w:t>
      </w:r>
      <w:r>
        <w:rPr>
          <w:i/>
        </w:rPr>
        <w:t>Doing Business </w:t>
      </w:r>
      <w:r>
        <w:rPr/>
        <w:t>2018 ziņojuma, Japāna ir 1.vietā pasaulē pēc maksātnespējas procesa efektivitātes kritērija, bet tikai 77.vietā pēc kredītresursu pieejamības kritērija. Savukārt Latvija minētajā ziņojumā ir ierindota 53.vietā pēc maksātnespējas procesa efektivitātes kritērija, bet 12.vietā pēc kredītresursu pieejamības kritērija. Līdz ar to nesalīdzināmi sliktāks reitings maksātnespējas procesa</w:t>
      </w:r>
      <w:r>
        <w:rPr>
          <w:spacing w:val="-12"/>
        </w:rPr>
        <w:t> </w:t>
      </w:r>
      <w:r>
        <w:rPr/>
        <w:t>efektivitātes</w:t>
      </w:r>
      <w:r>
        <w:rPr>
          <w:spacing w:val="-12"/>
        </w:rPr>
        <w:t> </w:t>
      </w:r>
      <w:r>
        <w:rPr/>
        <w:t>jomā</w:t>
      </w:r>
      <w:r>
        <w:rPr>
          <w:spacing w:val="-12"/>
        </w:rPr>
        <w:t> </w:t>
      </w:r>
      <w:r>
        <w:rPr/>
        <w:t>(53.</w:t>
      </w:r>
      <w:r>
        <w:rPr>
          <w:spacing w:val="-12"/>
        </w:rPr>
        <w:t> </w:t>
      </w:r>
      <w:r>
        <w:rPr/>
        <w:t>vieta</w:t>
      </w:r>
      <w:r>
        <w:rPr>
          <w:spacing w:val="-15"/>
        </w:rPr>
        <w:t> </w:t>
      </w:r>
      <w:r>
        <w:rPr/>
        <w:t>pret</w:t>
      </w:r>
      <w:r>
        <w:rPr>
          <w:spacing w:val="-12"/>
        </w:rPr>
        <w:t> </w:t>
      </w:r>
      <w:r>
        <w:rPr/>
        <w:t>1.vietu)</w:t>
      </w:r>
      <w:r>
        <w:rPr>
          <w:spacing w:val="-10"/>
        </w:rPr>
        <w:t> </w:t>
      </w:r>
      <w:r>
        <w:rPr/>
        <w:t>Latvijai</w:t>
      </w:r>
      <w:r>
        <w:rPr>
          <w:spacing w:val="-14"/>
        </w:rPr>
        <w:t> </w:t>
      </w:r>
      <w:r>
        <w:rPr/>
        <w:t>tomēr</w:t>
      </w:r>
      <w:r>
        <w:rPr>
          <w:spacing w:val="-15"/>
        </w:rPr>
        <w:t> </w:t>
      </w:r>
      <w:r>
        <w:rPr/>
        <w:t>nav</w:t>
      </w:r>
      <w:r>
        <w:rPr>
          <w:spacing w:val="-10"/>
        </w:rPr>
        <w:t> </w:t>
      </w:r>
      <w:r>
        <w:rPr/>
        <w:t>bijis</w:t>
      </w:r>
      <w:r>
        <w:rPr>
          <w:spacing w:val="-10"/>
        </w:rPr>
        <w:t> </w:t>
      </w:r>
      <w:r>
        <w:rPr/>
        <w:t>šķērslis būt ievērojami pārākai par Japānu kredītresursu pieejamības ziņā (12.vieta pret 77.vietu).</w:t>
      </w:r>
      <w:r>
        <w:rPr>
          <w:position w:val="9"/>
          <w:sz w:val="16"/>
        </w:rPr>
        <w:t>531</w:t>
      </w:r>
    </w:p>
    <w:p>
      <w:pPr>
        <w:pStyle w:val="BodyText"/>
        <w:spacing w:before="1"/>
        <w:jc w:val="left"/>
        <w:rPr>
          <w:sz w:val="25"/>
        </w:rPr>
      </w:pPr>
    </w:p>
    <w:p>
      <w:pPr>
        <w:pStyle w:val="BodyText"/>
        <w:ind w:left="1613" w:right="401"/>
      </w:pPr>
      <w:r>
        <w:rPr/>
        <w:t>Minētie dati liecina, ka mazāka kreditoru atdeve no maksātnespējas procesa nenoliedzami</w:t>
      </w:r>
      <w:r>
        <w:rPr>
          <w:spacing w:val="-13"/>
        </w:rPr>
        <w:t> </w:t>
      </w:r>
      <w:r>
        <w:rPr/>
        <w:t>nodara</w:t>
      </w:r>
      <w:r>
        <w:rPr>
          <w:spacing w:val="-16"/>
        </w:rPr>
        <w:t> </w:t>
      </w:r>
      <w:r>
        <w:rPr/>
        <w:t>zaudējumus</w:t>
      </w:r>
      <w:r>
        <w:rPr>
          <w:spacing w:val="-12"/>
        </w:rPr>
        <w:t> </w:t>
      </w:r>
      <w:r>
        <w:rPr/>
        <w:t>kreditoriem,</w:t>
      </w:r>
      <w:r>
        <w:rPr>
          <w:spacing w:val="-13"/>
        </w:rPr>
        <w:t> </w:t>
      </w:r>
      <w:r>
        <w:rPr/>
        <w:t>taču</w:t>
      </w:r>
      <w:r>
        <w:rPr>
          <w:spacing w:val="-12"/>
        </w:rPr>
        <w:t> </w:t>
      </w:r>
      <w:r>
        <w:rPr/>
        <w:t>neatstāj</w:t>
      </w:r>
      <w:r>
        <w:rPr>
          <w:spacing w:val="-13"/>
        </w:rPr>
        <w:t> </w:t>
      </w:r>
      <w:r>
        <w:rPr/>
        <w:t>tik</w:t>
      </w:r>
      <w:r>
        <w:rPr>
          <w:spacing w:val="-13"/>
        </w:rPr>
        <w:t> </w:t>
      </w:r>
      <w:r>
        <w:rPr/>
        <w:t>negatīvu</w:t>
      </w:r>
      <w:r>
        <w:rPr>
          <w:spacing w:val="-12"/>
        </w:rPr>
        <w:t> </w:t>
      </w:r>
      <w:r>
        <w:rPr/>
        <w:t>iespaidu uz</w:t>
      </w:r>
      <w:r>
        <w:rPr>
          <w:spacing w:val="-10"/>
        </w:rPr>
        <w:t> </w:t>
      </w:r>
      <w:r>
        <w:rPr/>
        <w:t>kredītresursu</w:t>
      </w:r>
      <w:r>
        <w:rPr>
          <w:spacing w:val="-10"/>
        </w:rPr>
        <w:t> </w:t>
      </w:r>
      <w:r>
        <w:rPr/>
        <w:t>pieejamību</w:t>
      </w:r>
      <w:r>
        <w:rPr>
          <w:spacing w:val="-11"/>
        </w:rPr>
        <w:t> </w:t>
      </w:r>
      <w:r>
        <w:rPr/>
        <w:t>un</w:t>
      </w:r>
      <w:r>
        <w:rPr>
          <w:spacing w:val="-10"/>
        </w:rPr>
        <w:t> </w:t>
      </w:r>
      <w:r>
        <w:rPr/>
        <w:t>izmaksām.</w:t>
      </w:r>
      <w:r>
        <w:rPr>
          <w:spacing w:val="-11"/>
        </w:rPr>
        <w:t> </w:t>
      </w:r>
      <w:r>
        <w:rPr/>
        <w:t>Attiecīgi</w:t>
      </w:r>
      <w:r>
        <w:rPr>
          <w:spacing w:val="-10"/>
        </w:rPr>
        <w:t> </w:t>
      </w:r>
      <w:r>
        <w:rPr/>
        <w:t>tiesību</w:t>
      </w:r>
      <w:r>
        <w:rPr>
          <w:spacing w:val="-11"/>
        </w:rPr>
        <w:t> </w:t>
      </w:r>
      <w:r>
        <w:rPr/>
        <w:t>politikas</w:t>
      </w:r>
      <w:r>
        <w:rPr>
          <w:spacing w:val="-10"/>
        </w:rPr>
        <w:t> </w:t>
      </w:r>
      <w:r>
        <w:rPr/>
        <w:t>veidotājiem būtu nepieciešams pārvērtēt to, ciktāl Maksātnespējas likuma noteikumi, kas </w:t>
      </w:r>
      <w:r>
        <w:rPr>
          <w:spacing w:val="-8"/>
        </w:rPr>
        <w:t>ir </w:t>
      </w:r>
      <w:r>
        <w:rPr/>
        <w:t>vērsti</w:t>
      </w:r>
      <w:r>
        <w:rPr>
          <w:spacing w:val="-2"/>
        </w:rPr>
        <w:t> </w:t>
      </w:r>
      <w:r>
        <w:rPr/>
        <w:t>uz</w:t>
      </w:r>
      <w:r>
        <w:rPr>
          <w:spacing w:val="-4"/>
        </w:rPr>
        <w:t> </w:t>
      </w:r>
      <w:r>
        <w:rPr/>
        <w:t>pēc</w:t>
      </w:r>
      <w:r>
        <w:rPr>
          <w:spacing w:val="-9"/>
        </w:rPr>
        <w:t> </w:t>
      </w:r>
      <w:r>
        <w:rPr/>
        <w:t>iespējas</w:t>
      </w:r>
      <w:r>
        <w:rPr>
          <w:spacing w:val="-7"/>
        </w:rPr>
        <w:t> </w:t>
      </w:r>
      <w:r>
        <w:rPr/>
        <w:t>pilnīgāku</w:t>
      </w:r>
      <w:r>
        <w:rPr>
          <w:spacing w:val="-5"/>
        </w:rPr>
        <w:t> </w:t>
      </w:r>
      <w:r>
        <w:rPr/>
        <w:t>kreditoru</w:t>
      </w:r>
      <w:r>
        <w:rPr>
          <w:spacing w:val="-8"/>
        </w:rPr>
        <w:t> </w:t>
      </w:r>
      <w:r>
        <w:rPr/>
        <w:t>prasījumu</w:t>
      </w:r>
      <w:r>
        <w:rPr>
          <w:spacing w:val="-5"/>
        </w:rPr>
        <w:t> </w:t>
      </w:r>
      <w:r>
        <w:rPr/>
        <w:t>segšanu,</w:t>
      </w:r>
      <w:r>
        <w:rPr>
          <w:spacing w:val="-5"/>
        </w:rPr>
        <w:t> </w:t>
      </w:r>
      <w:r>
        <w:rPr/>
        <w:t>saprātīgi</w:t>
      </w:r>
      <w:r>
        <w:rPr>
          <w:spacing w:val="-5"/>
        </w:rPr>
        <w:t> </w:t>
      </w:r>
      <w:r>
        <w:rPr/>
        <w:t>sabalansē kreditoru intereses ar parādnieku interesēm un valsts ekonomiskās attīstības ilgtermiņa</w:t>
      </w:r>
      <w:r>
        <w:rPr>
          <w:spacing w:val="-4"/>
        </w:rPr>
        <w:t> </w:t>
      </w:r>
      <w:r>
        <w:rPr/>
        <w:t>perspektīvu.</w:t>
      </w:r>
    </w:p>
    <w:p>
      <w:pPr>
        <w:pStyle w:val="BodyText"/>
        <w:jc w:val="left"/>
        <w:rPr>
          <w:sz w:val="20"/>
        </w:rPr>
      </w:pPr>
    </w:p>
    <w:p>
      <w:pPr>
        <w:pStyle w:val="BodyText"/>
        <w:jc w:val="left"/>
        <w:rPr>
          <w:sz w:val="20"/>
        </w:rPr>
      </w:pPr>
    </w:p>
    <w:p>
      <w:pPr>
        <w:pStyle w:val="BodyText"/>
        <w:jc w:val="left"/>
        <w:rPr>
          <w:sz w:val="20"/>
        </w:rPr>
      </w:pPr>
    </w:p>
    <w:p>
      <w:pPr>
        <w:pStyle w:val="BodyText"/>
        <w:jc w:val="left"/>
        <w:rPr>
          <w:sz w:val="26"/>
        </w:rPr>
      </w:pPr>
      <w:r>
        <w:rPr/>
        <w:pict>
          <v:shape style="position:absolute;margin-left:90pt;margin-top:17.242538pt;width:144pt;height:.1pt;mso-position-horizontal-relative:page;mso-position-vertical-relative:paragraph;z-index:-251428864;mso-wrap-distance-left:0;mso-wrap-distance-right:0" coordorigin="1800,345" coordsize="2880,0" path="m1800,345l4680,345e" filled="false" stroked="true" strokeweight=".599991pt" strokecolor="#000000">
            <v:path arrowok="t"/>
            <v:stroke dashstyle="solid"/>
            <w10:wrap type="topAndBottom"/>
          </v:shape>
        </w:pict>
      </w:r>
    </w:p>
    <w:p>
      <w:pPr>
        <w:spacing w:line="249" w:lineRule="auto" w:before="58"/>
        <w:ind w:left="620" w:right="398" w:firstLine="0"/>
        <w:jc w:val="left"/>
        <w:rPr>
          <w:sz w:val="20"/>
        </w:rPr>
      </w:pPr>
      <w:r>
        <w:rPr>
          <w:position w:val="9"/>
          <w:sz w:val="16"/>
        </w:rPr>
        <w:t>530 </w:t>
      </w:r>
      <w:r>
        <w:rPr>
          <w:sz w:val="20"/>
        </w:rPr>
        <w:t>Sk.: Spooner J. Seeking Shelter in Personal Insolvency Law: Recession, Eviction, and Bankruptcy’s Social Safety Net. Journal of Law and Society, September 2017, Volume 44, Number 3, p.387-390.</w:t>
      </w:r>
    </w:p>
    <w:p>
      <w:pPr>
        <w:tabs>
          <w:tab w:pos="1972" w:val="left" w:leader="none"/>
          <w:tab w:pos="2306" w:val="left" w:leader="none"/>
          <w:tab w:pos="2894" w:val="left" w:leader="none"/>
          <w:tab w:pos="3684" w:val="left" w:leader="none"/>
          <w:tab w:pos="4433" w:val="left" w:leader="none"/>
          <w:tab w:pos="5160" w:val="left" w:leader="none"/>
          <w:tab w:pos="5887" w:val="left" w:leader="none"/>
          <w:tab w:pos="6804" w:val="left" w:leader="none"/>
          <w:tab w:pos="7531" w:val="left" w:leader="none"/>
          <w:tab w:pos="8501" w:val="left" w:leader="none"/>
        </w:tabs>
        <w:spacing w:line="240" w:lineRule="exact" w:before="22"/>
        <w:ind w:left="620" w:right="404" w:firstLine="0"/>
        <w:jc w:val="left"/>
        <w:rPr>
          <w:sz w:val="20"/>
        </w:rPr>
      </w:pPr>
      <w:r>
        <w:rPr>
          <w:position w:val="9"/>
          <w:sz w:val="16"/>
        </w:rPr>
        <w:t>531 </w:t>
      </w:r>
      <w:r>
        <w:rPr>
          <w:sz w:val="20"/>
        </w:rPr>
        <w:t>Sk.: Doing Business 2018. 15th Edition. Washington: International Bank for Reconstruction and Development</w:t>
        <w:tab/>
        <w:t>/</w:t>
        <w:tab/>
        <w:t>The</w:t>
        <w:tab/>
        <w:t>World</w:t>
        <w:tab/>
        <w:t>Bank,</w:t>
        <w:tab/>
        <w:t>2018,</w:t>
        <w:tab/>
        <w:t>p.169</w:t>
        <w:tab/>
        <w:t>(Japan),</w:t>
        <w:tab/>
        <w:t>p.173</w:t>
        <w:tab/>
        <w:t>(Latvia).</w:t>
        <w:tab/>
      </w:r>
      <w:r>
        <w:rPr>
          <w:w w:val="95"/>
          <w:sz w:val="20"/>
        </w:rPr>
        <w:t>Pieejams:</w:t>
      </w:r>
    </w:p>
    <w:p>
      <w:pPr>
        <w:tabs>
          <w:tab w:pos="7150" w:val="left" w:leader="none"/>
          <w:tab w:pos="8454" w:val="left" w:leader="none"/>
        </w:tabs>
        <w:spacing w:line="242" w:lineRule="auto" w:before="0"/>
        <w:ind w:left="620" w:right="404" w:firstLine="0"/>
        <w:jc w:val="left"/>
        <w:rPr>
          <w:sz w:val="20"/>
        </w:rPr>
      </w:pPr>
      <w:hyperlink r:id="rId99">
        <w:r>
          <w:rPr>
            <w:color w:val="0562C1"/>
            <w:sz w:val="20"/>
            <w:u w:val="single" w:color="0562C1"/>
          </w:rPr>
          <w:t>http://www.doingbusiness.org/reports/global-reports/doing-business-2018</w:t>
        </w:r>
        <w:r>
          <w:rPr>
            <w:sz w:val="20"/>
          </w:rPr>
          <w:t>.</w:t>
        </w:r>
      </w:hyperlink>
      <w:r>
        <w:rPr>
          <w:sz w:val="20"/>
        </w:rPr>
        <w:tab/>
      </w:r>
      <w:r>
        <w:rPr>
          <w:rFonts w:ascii="Symbol" w:hAnsi="Symbol"/>
          <w:sz w:val="20"/>
        </w:rPr>
        <w:t></w:t>
      </w:r>
      <w:r>
        <w:rPr>
          <w:sz w:val="20"/>
        </w:rPr>
        <w:t>aplūkots</w:t>
        <w:tab/>
      </w:r>
      <w:r>
        <w:rPr>
          <w:w w:val="95"/>
          <w:sz w:val="20"/>
        </w:rPr>
        <w:t>2018.gada </w:t>
      </w:r>
      <w:r>
        <w:rPr>
          <w:sz w:val="20"/>
        </w:rPr>
        <w:t>20.septembrī</w:t>
      </w:r>
      <w:r>
        <w:rPr>
          <w:rFonts w:ascii="Symbol" w:hAnsi="Symbol"/>
          <w:sz w:val="20"/>
        </w:rPr>
        <w:t></w:t>
      </w:r>
      <w:r>
        <w:rPr>
          <w:sz w:val="20"/>
        </w:rPr>
        <w:t>.</w:t>
      </w:r>
    </w:p>
    <w:p>
      <w:pPr>
        <w:spacing w:after="0" w:line="242" w:lineRule="auto"/>
        <w:jc w:val="left"/>
        <w:rPr>
          <w:sz w:val="20"/>
        </w:rPr>
        <w:sectPr>
          <w:pgSz w:w="11910" w:h="16840"/>
          <w:pgMar w:header="0" w:footer="1055" w:top="1340" w:bottom="1240" w:left="1180" w:right="1040"/>
        </w:sectPr>
      </w:pPr>
    </w:p>
    <w:p>
      <w:pPr>
        <w:pStyle w:val="Heading4"/>
        <w:numPr>
          <w:ilvl w:val="0"/>
          <w:numId w:val="119"/>
        </w:numPr>
        <w:tabs>
          <w:tab w:pos="980" w:val="left" w:leader="none"/>
        </w:tabs>
        <w:spacing w:line="240" w:lineRule="auto" w:before="78" w:after="0"/>
        <w:ind w:left="980" w:right="0" w:hanging="360"/>
        <w:jc w:val="left"/>
        <w:rPr>
          <w:i/>
        </w:rPr>
      </w:pPr>
      <w:bookmarkStart w:name="_TOC_250008" w:id="70"/>
      <w:r>
        <w:rPr>
          <w:i/>
          <w:spacing w:val="-174"/>
          <w:u w:val="thick"/>
        </w:rPr>
        <w:t>N</w:t>
      </w:r>
      <w:r>
        <w:rPr>
          <w:i/>
          <w:spacing w:val="116"/>
        </w:rPr>
        <w:t> </w:t>
      </w:r>
      <w:r>
        <w:rPr>
          <w:i/>
          <w:u w:val="thick"/>
        </w:rPr>
        <w:t>eapdomīga vai pārmērīga saistību</w:t>
      </w:r>
      <w:r>
        <w:rPr>
          <w:i/>
          <w:spacing w:val="-3"/>
          <w:u w:val="thick"/>
        </w:rPr>
        <w:t> </w:t>
      </w:r>
      <w:bookmarkEnd w:id="70"/>
      <w:r>
        <w:rPr>
          <w:i/>
          <w:u w:val="thick"/>
        </w:rPr>
        <w:t>uzņemšanās</w:t>
      </w:r>
    </w:p>
    <w:p>
      <w:pPr>
        <w:pStyle w:val="BodyText"/>
        <w:spacing w:before="9"/>
        <w:jc w:val="left"/>
        <w:rPr>
          <w:b/>
          <w:i/>
          <w:sz w:val="15"/>
        </w:rPr>
      </w:pPr>
    </w:p>
    <w:p>
      <w:pPr>
        <w:pStyle w:val="ListParagraph"/>
        <w:numPr>
          <w:ilvl w:val="0"/>
          <w:numId w:val="127"/>
        </w:numPr>
        <w:tabs>
          <w:tab w:pos="1254" w:val="left" w:leader="none"/>
        </w:tabs>
        <w:spacing w:line="240" w:lineRule="auto" w:before="90" w:after="0"/>
        <w:ind w:left="1253" w:right="761" w:hanging="634"/>
        <w:jc w:val="both"/>
        <w:rPr>
          <w:sz w:val="24"/>
        </w:rPr>
      </w:pPr>
      <w:r>
        <w:rPr>
          <w:sz w:val="24"/>
        </w:rPr>
        <w:t>Kā liecina tiesu prakses analīze, atsevišķos gadījumos tiesas, konstatējot neapdomīgu vai pārmērīgu saistību uzņemšanos, izbeidz maksātnespējas procesu, nepiemērojot saistību dzēšanas procedūru, pamatojot šādu nolēmumu ar</w:t>
      </w:r>
      <w:r>
        <w:rPr>
          <w:spacing w:val="-18"/>
          <w:sz w:val="24"/>
        </w:rPr>
        <w:t> </w:t>
      </w:r>
      <w:r>
        <w:rPr>
          <w:sz w:val="24"/>
        </w:rPr>
        <w:t>Maksātnespējas</w:t>
      </w:r>
      <w:r>
        <w:rPr>
          <w:spacing w:val="-15"/>
          <w:sz w:val="24"/>
        </w:rPr>
        <w:t> </w:t>
      </w:r>
      <w:r>
        <w:rPr>
          <w:sz w:val="24"/>
        </w:rPr>
        <w:t>likuma</w:t>
      </w:r>
      <w:r>
        <w:rPr>
          <w:spacing w:val="-13"/>
          <w:sz w:val="24"/>
        </w:rPr>
        <w:t> </w:t>
      </w:r>
      <w:r>
        <w:rPr>
          <w:sz w:val="24"/>
        </w:rPr>
        <w:t>153.panta</w:t>
      </w:r>
      <w:r>
        <w:rPr>
          <w:spacing w:val="-15"/>
          <w:sz w:val="24"/>
        </w:rPr>
        <w:t> </w:t>
      </w:r>
      <w:r>
        <w:rPr>
          <w:sz w:val="24"/>
        </w:rPr>
        <w:t>1.punktu.</w:t>
      </w:r>
      <w:r>
        <w:rPr>
          <w:spacing w:val="-16"/>
          <w:sz w:val="24"/>
        </w:rPr>
        <w:t> </w:t>
      </w:r>
      <w:r>
        <w:rPr>
          <w:sz w:val="24"/>
        </w:rPr>
        <w:t>Tomēr</w:t>
      </w:r>
      <w:r>
        <w:rPr>
          <w:spacing w:val="-15"/>
          <w:sz w:val="24"/>
        </w:rPr>
        <w:t> </w:t>
      </w:r>
      <w:r>
        <w:rPr>
          <w:sz w:val="24"/>
        </w:rPr>
        <w:t>tiesu</w:t>
      </w:r>
      <w:r>
        <w:rPr>
          <w:spacing w:val="-15"/>
          <w:sz w:val="24"/>
        </w:rPr>
        <w:t> </w:t>
      </w:r>
      <w:r>
        <w:rPr>
          <w:sz w:val="24"/>
        </w:rPr>
        <w:t>prakse</w:t>
      </w:r>
      <w:r>
        <w:rPr>
          <w:spacing w:val="-15"/>
          <w:sz w:val="24"/>
        </w:rPr>
        <w:t> </w:t>
      </w:r>
      <w:r>
        <w:rPr>
          <w:sz w:val="24"/>
        </w:rPr>
        <w:t>šajā</w:t>
      </w:r>
      <w:r>
        <w:rPr>
          <w:spacing w:val="-15"/>
          <w:sz w:val="24"/>
        </w:rPr>
        <w:t> </w:t>
      </w:r>
      <w:r>
        <w:rPr>
          <w:sz w:val="24"/>
        </w:rPr>
        <w:t>jautājumā ir ļoti neviennozīmīga, turklāt rodas jautājums, vai pilnīgi visās situācijās neapdomīga</w:t>
      </w:r>
      <w:r>
        <w:rPr>
          <w:spacing w:val="-16"/>
          <w:sz w:val="24"/>
        </w:rPr>
        <w:t> </w:t>
      </w:r>
      <w:r>
        <w:rPr>
          <w:sz w:val="24"/>
        </w:rPr>
        <w:t>un</w:t>
      </w:r>
      <w:r>
        <w:rPr>
          <w:spacing w:val="-10"/>
          <w:sz w:val="24"/>
        </w:rPr>
        <w:t> </w:t>
      </w:r>
      <w:r>
        <w:rPr>
          <w:sz w:val="24"/>
        </w:rPr>
        <w:t>pārmērīga</w:t>
      </w:r>
      <w:r>
        <w:rPr>
          <w:spacing w:val="-13"/>
          <w:sz w:val="24"/>
        </w:rPr>
        <w:t> </w:t>
      </w:r>
      <w:r>
        <w:rPr>
          <w:sz w:val="24"/>
        </w:rPr>
        <w:t>saistību</w:t>
      </w:r>
      <w:r>
        <w:rPr>
          <w:spacing w:val="-12"/>
          <w:sz w:val="24"/>
        </w:rPr>
        <w:t> </w:t>
      </w:r>
      <w:r>
        <w:rPr>
          <w:sz w:val="24"/>
        </w:rPr>
        <w:t>uzņemšanās</w:t>
      </w:r>
      <w:r>
        <w:rPr>
          <w:spacing w:val="-15"/>
          <w:sz w:val="24"/>
        </w:rPr>
        <w:t> </w:t>
      </w:r>
      <w:r>
        <w:rPr>
          <w:sz w:val="24"/>
        </w:rPr>
        <w:t>ir</w:t>
      </w:r>
      <w:r>
        <w:rPr>
          <w:spacing w:val="-9"/>
          <w:sz w:val="24"/>
        </w:rPr>
        <w:t> </w:t>
      </w:r>
      <w:r>
        <w:rPr>
          <w:sz w:val="24"/>
        </w:rPr>
        <w:t>tik</w:t>
      </w:r>
      <w:r>
        <w:rPr>
          <w:spacing w:val="-12"/>
          <w:sz w:val="24"/>
        </w:rPr>
        <w:t> </w:t>
      </w:r>
      <w:r>
        <w:rPr>
          <w:sz w:val="24"/>
        </w:rPr>
        <w:t>smags</w:t>
      </w:r>
      <w:r>
        <w:rPr>
          <w:spacing w:val="-11"/>
          <w:sz w:val="24"/>
        </w:rPr>
        <w:t> </w:t>
      </w:r>
      <w:r>
        <w:rPr>
          <w:sz w:val="24"/>
        </w:rPr>
        <w:t>pārkāpums,</w:t>
      </w:r>
      <w:r>
        <w:rPr>
          <w:spacing w:val="-12"/>
          <w:sz w:val="24"/>
        </w:rPr>
        <w:t> </w:t>
      </w:r>
      <w:r>
        <w:rPr>
          <w:sz w:val="24"/>
        </w:rPr>
        <w:t>lai</w:t>
      </w:r>
      <w:r>
        <w:rPr>
          <w:spacing w:val="-12"/>
          <w:sz w:val="24"/>
        </w:rPr>
        <w:t> </w:t>
      </w:r>
      <w:r>
        <w:rPr>
          <w:sz w:val="24"/>
        </w:rPr>
        <w:t>liegtu parādniekam iespēju saistības dzēst fiziskās personas maksātnespējas</w:t>
      </w:r>
      <w:r>
        <w:rPr>
          <w:spacing w:val="-7"/>
          <w:sz w:val="24"/>
        </w:rPr>
        <w:t> </w:t>
      </w:r>
      <w:r>
        <w:rPr>
          <w:sz w:val="24"/>
        </w:rPr>
        <w:t>procesā.</w:t>
      </w:r>
    </w:p>
    <w:p>
      <w:pPr>
        <w:pStyle w:val="BodyText"/>
        <w:jc w:val="left"/>
      </w:pPr>
    </w:p>
    <w:p>
      <w:pPr>
        <w:pStyle w:val="ListParagraph"/>
        <w:numPr>
          <w:ilvl w:val="0"/>
          <w:numId w:val="127"/>
        </w:numPr>
        <w:tabs>
          <w:tab w:pos="1254" w:val="left" w:leader="none"/>
        </w:tabs>
        <w:spacing w:line="240" w:lineRule="auto" w:before="0" w:after="0"/>
        <w:ind w:left="1253" w:right="761" w:hanging="634"/>
        <w:jc w:val="both"/>
        <w:rPr>
          <w:sz w:val="24"/>
        </w:rPr>
      </w:pPr>
      <w:r>
        <w:rPr>
          <w:sz w:val="24"/>
        </w:rPr>
        <w:t>Proti, ir būtiski nošķirt gadījumus, kuros neapdomīga/pārmērīga saistību uzņemšanās ir vērtējama kā parādnieka kļūda (piemēram, vieglprātība,</w:t>
      </w:r>
      <w:r>
        <w:rPr>
          <w:spacing w:val="-31"/>
          <w:sz w:val="24"/>
        </w:rPr>
        <w:t> </w:t>
      </w:r>
      <w:r>
        <w:rPr>
          <w:sz w:val="24"/>
        </w:rPr>
        <w:t>zināšanu trūkums finanšu pārvaldības jautājumos), bet kuros – apzināta rīcība (saistību uzņemšanās bez nolūka tās pildīt u.tml.). Pirmajā gadījumā, parādniekam būtu dodama iespēja dzēst saistības fiziskās personas maksātnespējas procesā, taču piemērojot nelabvēlīgākus maksātnespējas procesa noteikumus (garāks saistību dzēšanas procedūras termiņš, papildus ierobežojumi maksātnespējas procesa laikā un arī pēc saistību dzēšanas). Savukārt, ja parādnieks apzināti uzņēmies pārmērīgas saistības (piemēram, bez nolūka tās pildīt), tas ir uzskatāms par tik būtisku pārkāpumu, lai ar speciālu tiesību normu Maksātnespējas likuma 153.pantā noteiktu to kā vienu no saistību dzēšanas procedūras ierobežojumiem (plašāks pamatojums norādīts pētījuma VI. nodaļas</w:t>
      </w:r>
      <w:r>
        <w:rPr>
          <w:spacing w:val="-2"/>
          <w:sz w:val="24"/>
        </w:rPr>
        <w:t> </w:t>
      </w:r>
      <w:r>
        <w:rPr>
          <w:sz w:val="24"/>
        </w:rPr>
        <w:t>4.punktā).</w:t>
      </w:r>
    </w:p>
    <w:p>
      <w:pPr>
        <w:pStyle w:val="BodyText"/>
        <w:jc w:val="left"/>
      </w:pPr>
    </w:p>
    <w:p>
      <w:pPr>
        <w:pStyle w:val="ListParagraph"/>
        <w:numPr>
          <w:ilvl w:val="0"/>
          <w:numId w:val="127"/>
        </w:numPr>
        <w:tabs>
          <w:tab w:pos="1254" w:val="left" w:leader="none"/>
        </w:tabs>
        <w:spacing w:line="240" w:lineRule="auto" w:before="0" w:after="0"/>
        <w:ind w:left="1253" w:right="763" w:hanging="634"/>
        <w:jc w:val="both"/>
        <w:rPr>
          <w:sz w:val="24"/>
        </w:rPr>
      </w:pPr>
      <w:r>
        <w:rPr>
          <w:sz w:val="24"/>
        </w:rPr>
        <w:t>Attiecīgi, ja šāds priekšlikums tiek atbalstīts, nepieciešams izstrādāt tiesiskā regulējuma paketi (nelabvēlīgāku maksātnespējas procesa noteikumu kopumu), kura tiek piemērota mazāk nozīmīgu pārkāpumu gadījumos, kā arī konkretizēt Maksātnespējas likuma 153.panta 1.punktu, jo tas ir formulēts pārlieku</w:t>
      </w:r>
      <w:r>
        <w:rPr>
          <w:spacing w:val="-3"/>
          <w:sz w:val="24"/>
        </w:rPr>
        <w:t> </w:t>
      </w:r>
      <w:r>
        <w:rPr>
          <w:sz w:val="24"/>
        </w:rPr>
        <w:t>plaši.</w:t>
      </w:r>
    </w:p>
    <w:p>
      <w:pPr>
        <w:pStyle w:val="BodyText"/>
        <w:jc w:val="left"/>
      </w:pPr>
    </w:p>
    <w:p>
      <w:pPr>
        <w:pStyle w:val="ListParagraph"/>
        <w:numPr>
          <w:ilvl w:val="0"/>
          <w:numId w:val="127"/>
        </w:numPr>
        <w:tabs>
          <w:tab w:pos="1254" w:val="left" w:leader="none"/>
        </w:tabs>
        <w:spacing w:line="240" w:lineRule="auto" w:before="0" w:after="0"/>
        <w:ind w:left="1253" w:right="760" w:hanging="634"/>
        <w:jc w:val="both"/>
        <w:rPr>
          <w:sz w:val="24"/>
        </w:rPr>
      </w:pPr>
      <w:r>
        <w:rPr>
          <w:sz w:val="24"/>
        </w:rPr>
        <w:t>Papildus būtu vēlams ieviest tiesisko regulējumu, kas risinātu situācijas, kad parādnieks sākotnēji ir uzņēmies saistības labā ticībā, taču, iestājoties nelabvēlīgu apstākļu kopumam un apjaušot savu nespēju izpildīt saistības, sācis dzīvot izšķērdīgi, tostarp arī šāda dzīves veida nodrošināšanai izmantojot, piemēram, patēriņa kredītlīdzekļus. Proti, nav samērīgi šādās situācijās liegt parādniekam godprātīgi nodibinātu saistību dzēšanu fiziskās personas maksātnespējas procesā, apzinoties, ka tādā gadījumā parādnieks visdrīzāk nonāk “pelēkajā zonā” un piedzīvo sociālo un ekonomisko atstumtību. Daudz pragmatiskāks šādas situācijas risinājums būtu tiesiskais regulējums, kas paredzētu parādniekam tiesības fiziskās personas maksātnespējas procesā dzēst labā ticībā nodibinātās saistības, savukārt apzināti negodprātīgi nodibinātās saistības atstātu ārpus fiziskās personas maksātnespējas procesa</w:t>
      </w:r>
      <w:r>
        <w:rPr>
          <w:spacing w:val="-7"/>
          <w:sz w:val="24"/>
        </w:rPr>
        <w:t> </w:t>
      </w:r>
      <w:r>
        <w:rPr>
          <w:sz w:val="24"/>
        </w:rPr>
        <w:t>tvēruma.</w:t>
      </w:r>
    </w:p>
    <w:p>
      <w:pPr>
        <w:pStyle w:val="BodyText"/>
        <w:jc w:val="left"/>
        <w:rPr>
          <w:sz w:val="20"/>
        </w:rPr>
      </w:pPr>
    </w:p>
    <w:p>
      <w:pPr>
        <w:pStyle w:val="BodyText"/>
        <w:spacing w:before="8"/>
        <w:jc w:val="left"/>
        <w:rPr>
          <w:sz w:val="20"/>
        </w:rPr>
      </w:pPr>
    </w:p>
    <w:p>
      <w:pPr>
        <w:pStyle w:val="Heading4"/>
        <w:numPr>
          <w:ilvl w:val="0"/>
          <w:numId w:val="119"/>
        </w:numPr>
        <w:tabs>
          <w:tab w:pos="980" w:val="left" w:leader="none"/>
        </w:tabs>
        <w:spacing w:line="240" w:lineRule="auto" w:before="90" w:after="0"/>
        <w:ind w:left="980" w:right="875" w:hanging="360"/>
        <w:jc w:val="left"/>
        <w:rPr>
          <w:i/>
        </w:rPr>
      </w:pPr>
      <w:bookmarkStart w:name="_TOC_250007" w:id="71"/>
      <w:r>
        <w:rPr>
          <w:i/>
          <w:spacing w:val="-147"/>
          <w:u w:val="thick"/>
        </w:rPr>
        <w:t>P</w:t>
      </w:r>
      <w:r>
        <w:rPr>
          <w:i/>
          <w:spacing w:val="85"/>
        </w:rPr>
        <w:t> </w:t>
      </w:r>
      <w:r>
        <w:rPr>
          <w:i/>
          <w:u w:val="thick"/>
        </w:rPr>
        <w:t>arādnieka negodprātība plašākā nozīmē (mantas slēpšana vai nobēdzināšana, </w:t>
      </w:r>
      <w:r>
        <w:rPr>
          <w:spacing w:val="-134"/>
          <w:u w:val="thick"/>
        </w:rPr>
        <w:t>n</w:t>
      </w:r>
      <w:r>
        <w:rPr>
          <w:spacing w:val="76"/>
        </w:rPr>
        <w:t> </w:t>
      </w:r>
      <w:r>
        <w:rPr>
          <w:i/>
          <w:u w:val="thick"/>
        </w:rPr>
        <w:t>epatiesas informācijas sniegšana</w:t>
      </w:r>
      <w:r>
        <w:rPr>
          <w:i/>
          <w:spacing w:val="-3"/>
          <w:u w:val="thick"/>
        </w:rPr>
        <w:t> </w:t>
      </w:r>
      <w:bookmarkEnd w:id="71"/>
      <w:r>
        <w:rPr>
          <w:i/>
          <w:u w:val="thick"/>
        </w:rPr>
        <w:t>u.c.)</w:t>
      </w:r>
    </w:p>
    <w:p>
      <w:pPr>
        <w:pStyle w:val="BodyText"/>
        <w:spacing w:before="8"/>
        <w:jc w:val="left"/>
        <w:rPr>
          <w:b/>
          <w:i/>
          <w:sz w:val="15"/>
        </w:rPr>
      </w:pPr>
    </w:p>
    <w:p>
      <w:pPr>
        <w:pStyle w:val="ListParagraph"/>
        <w:numPr>
          <w:ilvl w:val="0"/>
          <w:numId w:val="128"/>
        </w:numPr>
        <w:tabs>
          <w:tab w:pos="1254" w:val="left" w:leader="none"/>
        </w:tabs>
        <w:spacing w:line="240" w:lineRule="auto" w:before="90" w:after="0"/>
        <w:ind w:left="1253" w:right="761" w:hanging="634"/>
        <w:jc w:val="both"/>
        <w:rPr>
          <w:sz w:val="24"/>
        </w:rPr>
      </w:pPr>
      <w:r>
        <w:rPr>
          <w:sz w:val="24"/>
        </w:rPr>
        <w:t>Viens</w:t>
      </w:r>
      <w:r>
        <w:rPr>
          <w:spacing w:val="-11"/>
          <w:sz w:val="24"/>
        </w:rPr>
        <w:t> </w:t>
      </w:r>
      <w:r>
        <w:rPr>
          <w:sz w:val="24"/>
        </w:rPr>
        <w:t>no</w:t>
      </w:r>
      <w:r>
        <w:rPr>
          <w:spacing w:val="-11"/>
          <w:sz w:val="24"/>
        </w:rPr>
        <w:t> </w:t>
      </w:r>
      <w:r>
        <w:rPr>
          <w:sz w:val="24"/>
        </w:rPr>
        <w:t>būtiskākajiem</w:t>
      </w:r>
      <w:r>
        <w:rPr>
          <w:spacing w:val="-11"/>
          <w:sz w:val="24"/>
        </w:rPr>
        <w:t> </w:t>
      </w:r>
      <w:r>
        <w:rPr>
          <w:sz w:val="24"/>
        </w:rPr>
        <w:t>instrumentiem</w:t>
      </w:r>
      <w:r>
        <w:rPr>
          <w:spacing w:val="-11"/>
          <w:sz w:val="24"/>
        </w:rPr>
        <w:t> </w:t>
      </w:r>
      <w:r>
        <w:rPr>
          <w:sz w:val="24"/>
        </w:rPr>
        <w:t>pret</w:t>
      </w:r>
      <w:r>
        <w:rPr>
          <w:spacing w:val="-11"/>
          <w:sz w:val="24"/>
        </w:rPr>
        <w:t> </w:t>
      </w:r>
      <w:r>
        <w:rPr>
          <w:sz w:val="24"/>
        </w:rPr>
        <w:t>parādnieku</w:t>
      </w:r>
      <w:r>
        <w:rPr>
          <w:spacing w:val="-11"/>
          <w:sz w:val="24"/>
        </w:rPr>
        <w:t> </w:t>
      </w:r>
      <w:r>
        <w:rPr>
          <w:sz w:val="24"/>
        </w:rPr>
        <w:t>negodprātību</w:t>
      </w:r>
      <w:r>
        <w:rPr>
          <w:spacing w:val="-10"/>
          <w:sz w:val="24"/>
        </w:rPr>
        <w:t> </w:t>
      </w:r>
      <w:r>
        <w:rPr>
          <w:sz w:val="24"/>
        </w:rPr>
        <w:t>ir</w:t>
      </w:r>
      <w:r>
        <w:rPr>
          <w:spacing w:val="-11"/>
          <w:sz w:val="24"/>
        </w:rPr>
        <w:t> </w:t>
      </w:r>
      <w:r>
        <w:rPr>
          <w:sz w:val="24"/>
        </w:rPr>
        <w:t>tiesiskais regulējums, kas noteic ierobežojumus saistību dzēšanas procedūrai, jo tieši saistību dzēšana ir tas “produkts”, ko parādnieks vēlas saņemt, uzsākot fiziskās personas maksātnespējas procesu. Tiesu prakses analīze apliecina, ka Maksātnespējas likuma 153.pants tiek piemērots ļoti nevienveidīgi –</w:t>
      </w:r>
      <w:r>
        <w:rPr>
          <w:spacing w:val="-23"/>
          <w:sz w:val="24"/>
        </w:rPr>
        <w:t> </w:t>
      </w:r>
      <w:r>
        <w:rPr>
          <w:sz w:val="24"/>
        </w:rPr>
        <w:t>no ļoti</w:t>
      </w:r>
    </w:p>
    <w:p>
      <w:pPr>
        <w:spacing w:after="0" w:line="240" w:lineRule="auto"/>
        <w:jc w:val="both"/>
        <w:rPr>
          <w:sz w:val="24"/>
        </w:rPr>
        <w:sectPr>
          <w:pgSz w:w="11910" w:h="16840"/>
          <w:pgMar w:header="0" w:footer="1055" w:top="1340" w:bottom="1240" w:left="1180" w:right="1040"/>
        </w:sectPr>
      </w:pPr>
    </w:p>
    <w:p>
      <w:pPr>
        <w:pStyle w:val="BodyText"/>
        <w:spacing w:before="73"/>
        <w:ind w:left="1613" w:right="403"/>
      </w:pPr>
      <w:r>
        <w:rPr/>
        <w:t>šaura un formāla vērtējuma līdz izteikti paplašinātam iztulkojumam. Taču maksātnespējas procesa efektivitātes un tiesiskās noteiktības labad nedz izteikti šauri, nedz paplašināti saistību dzēšanas procedūras ierobežojumu iztulkojumi nav vēlami. Tādējādi būtu vēlams Maksātnespējas likuma 153.pantā iekļaut konkrētākas tiesību normas (pēc iespējas samazinot dažādas interpretācijas iespējas), salāgojot saistību dzēšanas procedūras ierobežojumus ar praksē konstatētajām parādnieku negodprātības izpausmēm, kuras ir vērtējamas kā tik būtiskas, lai liegtu parādniekam iespēju dzēst saistības.</w:t>
      </w:r>
    </w:p>
    <w:p>
      <w:pPr>
        <w:pStyle w:val="BodyText"/>
        <w:jc w:val="left"/>
      </w:pPr>
    </w:p>
    <w:p>
      <w:pPr>
        <w:pStyle w:val="ListParagraph"/>
        <w:numPr>
          <w:ilvl w:val="0"/>
          <w:numId w:val="128"/>
        </w:numPr>
        <w:tabs>
          <w:tab w:pos="1614" w:val="left" w:leader="none"/>
        </w:tabs>
        <w:spacing w:line="240" w:lineRule="auto" w:before="0" w:after="0"/>
        <w:ind w:left="1613" w:right="401" w:hanging="634"/>
        <w:jc w:val="both"/>
        <w:rPr>
          <w:sz w:val="24"/>
        </w:rPr>
      </w:pPr>
      <w:r>
        <w:rPr>
          <w:sz w:val="24"/>
        </w:rPr>
        <w:t>Lai mazinātu to gadījumu skaitu, kad parādniekam tiek liegta saistību dzēšana salīdzinoši maznozīmīgu pārkāpumu gadījumā, būtu vēlams paredzēt tiesām lielāku rīcības brīvību Maksātnespējas likuma 153.pantā noteikto ierobežojumu piemērošanā (Japānas pieeja). Respektīvi būtu vēlams Maksātnespējas likuma 153.pantā</w:t>
      </w:r>
      <w:r>
        <w:rPr>
          <w:spacing w:val="-10"/>
          <w:sz w:val="24"/>
        </w:rPr>
        <w:t> </w:t>
      </w:r>
      <w:r>
        <w:rPr>
          <w:sz w:val="24"/>
        </w:rPr>
        <w:t>vārdus</w:t>
      </w:r>
      <w:r>
        <w:rPr>
          <w:spacing w:val="-6"/>
          <w:sz w:val="24"/>
        </w:rPr>
        <w:t> </w:t>
      </w:r>
      <w:r>
        <w:rPr>
          <w:sz w:val="24"/>
        </w:rPr>
        <w:t>“</w:t>
      </w:r>
      <w:r>
        <w:rPr>
          <w:i/>
          <w:sz w:val="24"/>
        </w:rPr>
        <w:t>saistību</w:t>
      </w:r>
      <w:r>
        <w:rPr>
          <w:i/>
          <w:spacing w:val="-6"/>
          <w:sz w:val="24"/>
        </w:rPr>
        <w:t> </w:t>
      </w:r>
      <w:r>
        <w:rPr>
          <w:i/>
          <w:sz w:val="24"/>
        </w:rPr>
        <w:t>dzēšanas</w:t>
      </w:r>
      <w:r>
        <w:rPr>
          <w:i/>
          <w:spacing w:val="-7"/>
          <w:sz w:val="24"/>
        </w:rPr>
        <w:t> </w:t>
      </w:r>
      <w:r>
        <w:rPr>
          <w:i/>
          <w:sz w:val="24"/>
        </w:rPr>
        <w:t>procedūru</w:t>
      </w:r>
      <w:r>
        <w:rPr>
          <w:i/>
          <w:spacing w:val="-6"/>
          <w:sz w:val="24"/>
        </w:rPr>
        <w:t> </w:t>
      </w:r>
      <w:r>
        <w:rPr>
          <w:i/>
          <w:sz w:val="24"/>
        </w:rPr>
        <w:t>nepiemēro</w:t>
      </w:r>
      <w:r>
        <w:rPr>
          <w:i/>
          <w:spacing w:val="-6"/>
          <w:sz w:val="24"/>
        </w:rPr>
        <w:t> </w:t>
      </w:r>
      <w:r>
        <w:rPr>
          <w:i/>
          <w:sz w:val="24"/>
        </w:rPr>
        <w:t>vai</w:t>
      </w:r>
      <w:r>
        <w:rPr>
          <w:i/>
          <w:spacing w:val="-6"/>
          <w:sz w:val="24"/>
        </w:rPr>
        <w:t> </w:t>
      </w:r>
      <w:r>
        <w:rPr>
          <w:i/>
          <w:sz w:val="24"/>
        </w:rPr>
        <w:t>to</w:t>
      </w:r>
      <w:r>
        <w:rPr>
          <w:i/>
          <w:spacing w:val="-5"/>
          <w:sz w:val="24"/>
        </w:rPr>
        <w:t> </w:t>
      </w:r>
      <w:r>
        <w:rPr>
          <w:i/>
          <w:sz w:val="24"/>
        </w:rPr>
        <w:t>pārtrauc</w:t>
      </w:r>
      <w:r>
        <w:rPr>
          <w:i/>
          <w:spacing w:val="-6"/>
          <w:sz w:val="24"/>
        </w:rPr>
        <w:t> </w:t>
      </w:r>
      <w:r>
        <w:rPr>
          <w:i/>
          <w:sz w:val="24"/>
        </w:rPr>
        <w:t>šādos </w:t>
      </w:r>
      <w:r>
        <w:rPr>
          <w:i/>
          <w:sz w:val="24"/>
        </w:rPr>
        <w:t>gadījumos</w:t>
      </w:r>
      <w:r>
        <w:rPr>
          <w:sz w:val="24"/>
        </w:rPr>
        <w:t>” aizstāt ar “</w:t>
      </w:r>
      <w:r>
        <w:rPr>
          <w:i/>
          <w:sz w:val="24"/>
        </w:rPr>
        <w:t>saistību dzēšanas procedūru</w:t>
      </w:r>
      <w:r>
        <w:rPr>
          <w:i/>
          <w:sz w:val="24"/>
          <w:u w:val="single"/>
        </w:rPr>
        <w:t> var</w:t>
      </w:r>
      <w:r>
        <w:rPr>
          <w:i/>
          <w:sz w:val="24"/>
        </w:rPr>
        <w:t> nepiemērot vai to </w:t>
      </w:r>
      <w:r>
        <w:rPr>
          <w:i/>
          <w:sz w:val="24"/>
        </w:rPr>
        <w:t>pārtraukt šādos</w:t>
      </w:r>
      <w:r>
        <w:rPr>
          <w:i/>
          <w:spacing w:val="-1"/>
          <w:sz w:val="24"/>
        </w:rPr>
        <w:t> </w:t>
      </w:r>
      <w:r>
        <w:rPr>
          <w:i/>
          <w:sz w:val="24"/>
        </w:rPr>
        <w:t>gadījumos</w:t>
      </w:r>
      <w:r>
        <w:rPr>
          <w:sz w:val="24"/>
        </w:rPr>
        <w:t>”.</w:t>
      </w:r>
    </w:p>
    <w:p>
      <w:pPr>
        <w:pStyle w:val="BodyText"/>
        <w:jc w:val="left"/>
      </w:pPr>
    </w:p>
    <w:p>
      <w:pPr>
        <w:pStyle w:val="ListParagraph"/>
        <w:numPr>
          <w:ilvl w:val="0"/>
          <w:numId w:val="128"/>
        </w:numPr>
        <w:tabs>
          <w:tab w:pos="1614" w:val="left" w:leader="none"/>
        </w:tabs>
        <w:spacing w:line="240" w:lineRule="auto" w:before="1" w:after="0"/>
        <w:ind w:left="1613" w:right="401" w:hanging="634"/>
        <w:jc w:val="both"/>
        <w:rPr>
          <w:sz w:val="24"/>
        </w:rPr>
      </w:pPr>
      <w:r>
        <w:rPr>
          <w:sz w:val="24"/>
        </w:rPr>
        <w:t>Papildus minētajam būtu izvērtējama nepieciešamība veikt šādas likuma izmaiņas (plašāks pamatojums norādīts pētījuma VI. nodaļas</w:t>
      </w:r>
      <w:r>
        <w:rPr>
          <w:spacing w:val="-5"/>
          <w:sz w:val="24"/>
        </w:rPr>
        <w:t> </w:t>
      </w:r>
      <w:r>
        <w:rPr>
          <w:sz w:val="24"/>
        </w:rPr>
        <w:t>5.punktā):</w:t>
      </w:r>
    </w:p>
    <w:p>
      <w:pPr>
        <w:pStyle w:val="BodyText"/>
        <w:jc w:val="left"/>
      </w:pPr>
    </w:p>
    <w:p>
      <w:pPr>
        <w:pStyle w:val="ListParagraph"/>
        <w:numPr>
          <w:ilvl w:val="1"/>
          <w:numId w:val="128"/>
        </w:numPr>
        <w:tabs>
          <w:tab w:pos="2039" w:val="left" w:leader="none"/>
        </w:tabs>
        <w:spacing w:line="240" w:lineRule="auto" w:before="0" w:after="0"/>
        <w:ind w:left="2038" w:right="402" w:hanging="425"/>
        <w:jc w:val="both"/>
        <w:rPr>
          <w:sz w:val="24"/>
        </w:rPr>
      </w:pPr>
      <w:r>
        <w:rPr>
          <w:sz w:val="24"/>
        </w:rPr>
        <w:t>paredzēt plašāku informācijas pieejamību, piemēram, grozīt Kredītiestāžu likumu un Notariāta likumu, nosakot kredītiestādēm un zvērinātiem notāriem pienākumu sniegt tiesai vai maksātnespējas procesa administratoram informāciju, kas nepieciešama fiziskās personas maksātnespējas</w:t>
      </w:r>
      <w:r>
        <w:rPr>
          <w:spacing w:val="-1"/>
          <w:sz w:val="24"/>
        </w:rPr>
        <w:t> </w:t>
      </w:r>
      <w:r>
        <w:rPr>
          <w:sz w:val="24"/>
        </w:rPr>
        <w:t>procesā,</w:t>
      </w:r>
    </w:p>
    <w:p>
      <w:pPr>
        <w:pStyle w:val="ListParagraph"/>
        <w:numPr>
          <w:ilvl w:val="1"/>
          <w:numId w:val="128"/>
        </w:numPr>
        <w:tabs>
          <w:tab w:pos="2039" w:val="left" w:leader="none"/>
        </w:tabs>
        <w:spacing w:line="240" w:lineRule="auto" w:before="0" w:after="0"/>
        <w:ind w:left="2038" w:right="404" w:hanging="425"/>
        <w:jc w:val="both"/>
        <w:rPr>
          <w:sz w:val="24"/>
        </w:rPr>
      </w:pPr>
      <w:r>
        <w:rPr>
          <w:sz w:val="24"/>
        </w:rPr>
        <w:t>paredzēt</w:t>
      </w:r>
      <w:r>
        <w:rPr>
          <w:spacing w:val="-12"/>
          <w:sz w:val="24"/>
        </w:rPr>
        <w:t> </w:t>
      </w:r>
      <w:r>
        <w:rPr>
          <w:sz w:val="24"/>
        </w:rPr>
        <w:t>iespēju</w:t>
      </w:r>
      <w:r>
        <w:rPr>
          <w:spacing w:val="-12"/>
          <w:sz w:val="24"/>
        </w:rPr>
        <w:t> </w:t>
      </w:r>
      <w:r>
        <w:rPr>
          <w:sz w:val="24"/>
        </w:rPr>
        <w:t>atcelt</w:t>
      </w:r>
      <w:r>
        <w:rPr>
          <w:spacing w:val="-10"/>
          <w:sz w:val="24"/>
        </w:rPr>
        <w:t> </w:t>
      </w:r>
      <w:r>
        <w:rPr>
          <w:sz w:val="24"/>
        </w:rPr>
        <w:t>tiesas</w:t>
      </w:r>
      <w:r>
        <w:rPr>
          <w:spacing w:val="-12"/>
          <w:sz w:val="24"/>
        </w:rPr>
        <w:t> </w:t>
      </w:r>
      <w:r>
        <w:rPr>
          <w:sz w:val="24"/>
        </w:rPr>
        <w:t>lēmumu</w:t>
      </w:r>
      <w:r>
        <w:rPr>
          <w:spacing w:val="-12"/>
          <w:sz w:val="24"/>
        </w:rPr>
        <w:t> </w:t>
      </w:r>
      <w:r>
        <w:rPr>
          <w:sz w:val="24"/>
        </w:rPr>
        <w:t>par</w:t>
      </w:r>
      <w:r>
        <w:rPr>
          <w:spacing w:val="-12"/>
          <w:sz w:val="24"/>
        </w:rPr>
        <w:t> </w:t>
      </w:r>
      <w:r>
        <w:rPr>
          <w:sz w:val="24"/>
        </w:rPr>
        <w:t>saistību</w:t>
      </w:r>
      <w:r>
        <w:rPr>
          <w:spacing w:val="-12"/>
          <w:sz w:val="24"/>
        </w:rPr>
        <w:t> </w:t>
      </w:r>
      <w:r>
        <w:rPr>
          <w:sz w:val="24"/>
        </w:rPr>
        <w:t>dzēšanu</w:t>
      </w:r>
      <w:r>
        <w:rPr>
          <w:spacing w:val="-12"/>
          <w:sz w:val="24"/>
        </w:rPr>
        <w:t> </w:t>
      </w:r>
      <w:r>
        <w:rPr>
          <w:sz w:val="24"/>
        </w:rPr>
        <w:t>(piemēram,</w:t>
      </w:r>
      <w:r>
        <w:rPr>
          <w:spacing w:val="-12"/>
          <w:sz w:val="24"/>
        </w:rPr>
        <w:t> </w:t>
      </w:r>
      <w:r>
        <w:rPr>
          <w:sz w:val="24"/>
        </w:rPr>
        <w:t>ja</w:t>
      </w:r>
      <w:r>
        <w:rPr>
          <w:spacing w:val="-11"/>
          <w:sz w:val="24"/>
        </w:rPr>
        <w:t> </w:t>
      </w:r>
      <w:r>
        <w:rPr>
          <w:sz w:val="24"/>
        </w:rPr>
        <w:t>pēc saistību dzēšanas tiek iegūta informācija, ka parādnieks maksātnespējas procesa</w:t>
      </w:r>
      <w:r>
        <w:rPr>
          <w:spacing w:val="-10"/>
          <w:sz w:val="24"/>
        </w:rPr>
        <w:t> </w:t>
      </w:r>
      <w:r>
        <w:rPr>
          <w:sz w:val="24"/>
        </w:rPr>
        <w:t>laikā</w:t>
      </w:r>
      <w:r>
        <w:rPr>
          <w:spacing w:val="-9"/>
          <w:sz w:val="24"/>
        </w:rPr>
        <w:t> </w:t>
      </w:r>
      <w:r>
        <w:rPr>
          <w:sz w:val="24"/>
        </w:rPr>
        <w:t>ir</w:t>
      </w:r>
      <w:r>
        <w:rPr>
          <w:spacing w:val="-9"/>
          <w:sz w:val="24"/>
        </w:rPr>
        <w:t> </w:t>
      </w:r>
      <w:r>
        <w:rPr>
          <w:sz w:val="24"/>
        </w:rPr>
        <w:t>slēpis</w:t>
      </w:r>
      <w:r>
        <w:rPr>
          <w:spacing w:val="-9"/>
          <w:sz w:val="24"/>
        </w:rPr>
        <w:t> </w:t>
      </w:r>
      <w:r>
        <w:rPr>
          <w:sz w:val="24"/>
        </w:rPr>
        <w:t>mantu</w:t>
      </w:r>
      <w:r>
        <w:rPr>
          <w:spacing w:val="-9"/>
          <w:sz w:val="24"/>
        </w:rPr>
        <w:t> </w:t>
      </w:r>
      <w:r>
        <w:rPr>
          <w:sz w:val="24"/>
        </w:rPr>
        <w:t>vai</w:t>
      </w:r>
      <w:r>
        <w:rPr>
          <w:spacing w:val="-11"/>
          <w:sz w:val="24"/>
        </w:rPr>
        <w:t> </w:t>
      </w:r>
      <w:r>
        <w:rPr>
          <w:sz w:val="24"/>
        </w:rPr>
        <w:t>patiesos</w:t>
      </w:r>
      <w:r>
        <w:rPr>
          <w:spacing w:val="-10"/>
          <w:sz w:val="24"/>
        </w:rPr>
        <w:t> </w:t>
      </w:r>
      <w:r>
        <w:rPr>
          <w:sz w:val="24"/>
        </w:rPr>
        <w:t>ienākumus,</w:t>
      </w:r>
      <w:r>
        <w:rPr>
          <w:spacing w:val="-9"/>
          <w:sz w:val="24"/>
        </w:rPr>
        <w:t> </w:t>
      </w:r>
      <w:r>
        <w:rPr>
          <w:sz w:val="24"/>
        </w:rPr>
        <w:t>radot</w:t>
      </w:r>
      <w:r>
        <w:rPr>
          <w:spacing w:val="-9"/>
          <w:sz w:val="24"/>
        </w:rPr>
        <w:t> </w:t>
      </w:r>
      <w:r>
        <w:rPr>
          <w:sz w:val="24"/>
        </w:rPr>
        <w:t>būtisku</w:t>
      </w:r>
      <w:r>
        <w:rPr>
          <w:spacing w:val="-9"/>
          <w:sz w:val="24"/>
        </w:rPr>
        <w:t> </w:t>
      </w:r>
      <w:r>
        <w:rPr>
          <w:sz w:val="24"/>
        </w:rPr>
        <w:t>kreditora interešu</w:t>
      </w:r>
      <w:r>
        <w:rPr>
          <w:spacing w:val="-1"/>
          <w:sz w:val="24"/>
        </w:rPr>
        <w:t> </w:t>
      </w:r>
      <w:r>
        <w:rPr>
          <w:sz w:val="24"/>
        </w:rPr>
        <w:t>aizskārumu),</w:t>
      </w:r>
    </w:p>
    <w:p>
      <w:pPr>
        <w:pStyle w:val="ListParagraph"/>
        <w:numPr>
          <w:ilvl w:val="1"/>
          <w:numId w:val="128"/>
        </w:numPr>
        <w:tabs>
          <w:tab w:pos="2039" w:val="left" w:leader="none"/>
        </w:tabs>
        <w:spacing w:line="240" w:lineRule="auto" w:before="0" w:after="0"/>
        <w:ind w:left="2038" w:right="402" w:hanging="425"/>
        <w:jc w:val="both"/>
        <w:rPr>
          <w:sz w:val="24"/>
        </w:rPr>
      </w:pPr>
      <w:r>
        <w:rPr>
          <w:sz w:val="24"/>
        </w:rPr>
        <w:t>grozīt Maksātnespējas likuma 130.panta 5.punktu, nosakot, ka </w:t>
      </w:r>
      <w:r>
        <w:rPr>
          <w:spacing w:val="-3"/>
          <w:sz w:val="24"/>
        </w:rPr>
        <w:t>fiziskās </w:t>
      </w:r>
      <w:r>
        <w:rPr>
          <w:sz w:val="24"/>
        </w:rPr>
        <w:t>personas maksātnespējas process nav piemērojams vai pārtraucams personai,</w:t>
      </w:r>
      <w:r>
        <w:rPr>
          <w:spacing w:val="-7"/>
          <w:sz w:val="24"/>
        </w:rPr>
        <w:t> </w:t>
      </w:r>
      <w:r>
        <w:rPr>
          <w:sz w:val="24"/>
        </w:rPr>
        <w:t>kurai</w:t>
      </w:r>
      <w:r>
        <w:rPr>
          <w:spacing w:val="-6"/>
          <w:sz w:val="24"/>
        </w:rPr>
        <w:t> </w:t>
      </w:r>
      <w:r>
        <w:rPr>
          <w:sz w:val="24"/>
        </w:rPr>
        <w:t>pēdējo</w:t>
      </w:r>
      <w:r>
        <w:rPr>
          <w:spacing w:val="-6"/>
          <w:sz w:val="24"/>
        </w:rPr>
        <w:t> </w:t>
      </w:r>
      <w:r>
        <w:rPr>
          <w:sz w:val="24"/>
        </w:rPr>
        <w:t>trīs</w:t>
      </w:r>
      <w:r>
        <w:rPr>
          <w:spacing w:val="-6"/>
          <w:sz w:val="24"/>
        </w:rPr>
        <w:t> </w:t>
      </w:r>
      <w:r>
        <w:rPr>
          <w:sz w:val="24"/>
        </w:rPr>
        <w:t>gadu</w:t>
      </w:r>
      <w:r>
        <w:rPr>
          <w:spacing w:val="-5"/>
          <w:sz w:val="24"/>
        </w:rPr>
        <w:t> </w:t>
      </w:r>
      <w:r>
        <w:rPr>
          <w:sz w:val="24"/>
        </w:rPr>
        <w:t>(spēkā</w:t>
      </w:r>
      <w:r>
        <w:rPr>
          <w:spacing w:val="-6"/>
          <w:sz w:val="24"/>
        </w:rPr>
        <w:t> </w:t>
      </w:r>
      <w:r>
        <w:rPr>
          <w:sz w:val="24"/>
        </w:rPr>
        <w:t>esošā</w:t>
      </w:r>
      <w:r>
        <w:rPr>
          <w:spacing w:val="-2"/>
          <w:sz w:val="24"/>
        </w:rPr>
        <w:t> </w:t>
      </w:r>
      <w:r>
        <w:rPr>
          <w:sz w:val="24"/>
        </w:rPr>
        <w:t>redakcija</w:t>
      </w:r>
      <w:r>
        <w:rPr>
          <w:spacing w:val="-6"/>
          <w:sz w:val="24"/>
        </w:rPr>
        <w:t> </w:t>
      </w:r>
      <w:r>
        <w:rPr>
          <w:sz w:val="24"/>
        </w:rPr>
        <w:t>noteic</w:t>
      </w:r>
      <w:r>
        <w:rPr>
          <w:spacing w:val="-7"/>
          <w:sz w:val="24"/>
        </w:rPr>
        <w:t> </w:t>
      </w:r>
      <w:r>
        <w:rPr>
          <w:sz w:val="24"/>
        </w:rPr>
        <w:t>-</w:t>
      </w:r>
      <w:r>
        <w:rPr>
          <w:spacing w:val="-5"/>
          <w:sz w:val="24"/>
        </w:rPr>
        <w:t> </w:t>
      </w:r>
      <w:r>
        <w:rPr>
          <w:sz w:val="24"/>
        </w:rPr>
        <w:t>pēdējā</w:t>
      </w:r>
      <w:r>
        <w:rPr>
          <w:spacing w:val="-2"/>
          <w:sz w:val="24"/>
        </w:rPr>
        <w:t> </w:t>
      </w:r>
      <w:r>
        <w:rPr>
          <w:sz w:val="24"/>
        </w:rPr>
        <w:t>gada) laikā pirms fiziskās personas maksātnespējas procesa pasludināšanas ir izbeigts fiziskās personas maksātnespējas process, nedzēšot</w:t>
      </w:r>
      <w:r>
        <w:rPr>
          <w:spacing w:val="-3"/>
          <w:sz w:val="24"/>
        </w:rPr>
        <w:t> </w:t>
      </w:r>
      <w:r>
        <w:rPr>
          <w:sz w:val="24"/>
        </w:rPr>
        <w:t>saistības,</w:t>
      </w:r>
    </w:p>
    <w:p>
      <w:pPr>
        <w:pStyle w:val="ListParagraph"/>
        <w:numPr>
          <w:ilvl w:val="1"/>
          <w:numId w:val="128"/>
        </w:numPr>
        <w:tabs>
          <w:tab w:pos="2039" w:val="left" w:leader="none"/>
        </w:tabs>
        <w:spacing w:line="240" w:lineRule="auto" w:before="0" w:after="0"/>
        <w:ind w:left="2038" w:right="402" w:hanging="425"/>
        <w:jc w:val="both"/>
        <w:rPr>
          <w:sz w:val="24"/>
        </w:rPr>
      </w:pPr>
      <w:r>
        <w:rPr>
          <w:sz w:val="24"/>
        </w:rPr>
        <w:t>pārskatīt darījumu apstrīdēšanas noteikumus, paredzot speciālu regulējumu mantojuma jautājumiem, laulāto mantas sadalei, uzturlīdzekļu maksājumiem, dāvinājumiem. Tostarp būtu vēlams pagarināt “aizdomu periodu” līdz 5 gadiem darījumiem ar tuviem radiniekiem (ieinteresētajām personām).</w:t>
      </w:r>
    </w:p>
    <w:p>
      <w:pPr>
        <w:pStyle w:val="BodyText"/>
        <w:jc w:val="left"/>
        <w:rPr>
          <w:sz w:val="20"/>
        </w:rPr>
      </w:pPr>
    </w:p>
    <w:p>
      <w:pPr>
        <w:pStyle w:val="BodyText"/>
        <w:spacing w:before="7"/>
        <w:jc w:val="left"/>
        <w:rPr>
          <w:sz w:val="20"/>
        </w:rPr>
      </w:pPr>
    </w:p>
    <w:p>
      <w:pPr>
        <w:pStyle w:val="Heading4"/>
        <w:numPr>
          <w:ilvl w:val="0"/>
          <w:numId w:val="119"/>
        </w:numPr>
        <w:tabs>
          <w:tab w:pos="1340" w:val="left" w:leader="none"/>
        </w:tabs>
        <w:spacing w:line="240" w:lineRule="auto" w:before="90" w:after="0"/>
        <w:ind w:left="1340" w:right="0" w:hanging="360"/>
        <w:jc w:val="left"/>
        <w:rPr>
          <w:i/>
        </w:rPr>
      </w:pPr>
      <w:bookmarkStart w:name="_TOC_250006" w:id="72"/>
      <w:r>
        <w:rPr>
          <w:i/>
          <w:spacing w:val="-161"/>
          <w:u w:val="thick"/>
        </w:rPr>
        <w:t>A</w:t>
      </w:r>
      <w:r>
        <w:rPr>
          <w:i/>
          <w:spacing w:val="102"/>
        </w:rPr>
        <w:t> </w:t>
      </w:r>
      <w:r>
        <w:rPr>
          <w:i/>
          <w:u w:val="thick"/>
        </w:rPr>
        <w:t>tvieglotās maksātnespējas procedūras</w:t>
      </w:r>
      <w:r>
        <w:rPr>
          <w:i/>
          <w:spacing w:val="-3"/>
          <w:u w:val="thick"/>
        </w:rPr>
        <w:t> </w:t>
      </w:r>
      <w:bookmarkEnd w:id="72"/>
      <w:r>
        <w:rPr>
          <w:i/>
          <w:u w:val="thick"/>
        </w:rPr>
        <w:t>ieviešana</w:t>
      </w:r>
    </w:p>
    <w:p>
      <w:pPr>
        <w:pStyle w:val="BodyText"/>
        <w:spacing w:before="9"/>
        <w:jc w:val="left"/>
        <w:rPr>
          <w:b/>
          <w:i/>
          <w:sz w:val="15"/>
        </w:rPr>
      </w:pPr>
    </w:p>
    <w:p>
      <w:pPr>
        <w:pStyle w:val="ListParagraph"/>
        <w:numPr>
          <w:ilvl w:val="0"/>
          <w:numId w:val="129"/>
        </w:numPr>
        <w:tabs>
          <w:tab w:pos="1614" w:val="left" w:leader="none"/>
        </w:tabs>
        <w:spacing w:line="240" w:lineRule="auto" w:before="90" w:after="0"/>
        <w:ind w:left="1613" w:right="402" w:hanging="634"/>
        <w:jc w:val="both"/>
        <w:rPr>
          <w:sz w:val="24"/>
        </w:rPr>
      </w:pPr>
      <w:r>
        <w:rPr>
          <w:sz w:val="24"/>
        </w:rPr>
        <w:t>Mūsdienās specializēta maksātnespējas procedūra personām bez mantas un ienākumiem tiek uzskatīta par progresivitātes apliecinājumu un labāko praksi maksātnespējas jomā. Latvijā pagaidām ir ļoti neviennozīmīgs viedoklis par iespēju</w:t>
      </w:r>
      <w:r>
        <w:rPr>
          <w:spacing w:val="-8"/>
          <w:sz w:val="24"/>
        </w:rPr>
        <w:t> </w:t>
      </w:r>
      <w:r>
        <w:rPr>
          <w:sz w:val="24"/>
        </w:rPr>
        <w:t>ieviest</w:t>
      </w:r>
      <w:r>
        <w:rPr>
          <w:spacing w:val="-5"/>
          <w:sz w:val="24"/>
        </w:rPr>
        <w:t> </w:t>
      </w:r>
      <w:r>
        <w:rPr>
          <w:sz w:val="24"/>
        </w:rPr>
        <w:t>atviegloto</w:t>
      </w:r>
      <w:r>
        <w:rPr>
          <w:spacing w:val="-3"/>
          <w:sz w:val="24"/>
        </w:rPr>
        <w:t> </w:t>
      </w:r>
      <w:r>
        <w:rPr>
          <w:sz w:val="24"/>
        </w:rPr>
        <w:t>procedūru</w:t>
      </w:r>
      <w:r>
        <w:rPr>
          <w:spacing w:val="-7"/>
          <w:sz w:val="24"/>
        </w:rPr>
        <w:t> </w:t>
      </w:r>
      <w:r>
        <w:rPr>
          <w:sz w:val="24"/>
        </w:rPr>
        <w:t>fiziskās</w:t>
      </w:r>
      <w:r>
        <w:rPr>
          <w:spacing w:val="-7"/>
          <w:sz w:val="24"/>
        </w:rPr>
        <w:t> </w:t>
      </w:r>
      <w:r>
        <w:rPr>
          <w:sz w:val="24"/>
        </w:rPr>
        <w:t>personas</w:t>
      </w:r>
      <w:r>
        <w:rPr>
          <w:spacing w:val="-8"/>
          <w:sz w:val="24"/>
        </w:rPr>
        <w:t> </w:t>
      </w:r>
      <w:r>
        <w:rPr>
          <w:sz w:val="24"/>
        </w:rPr>
        <w:t>maksātnespējas</w:t>
      </w:r>
      <w:r>
        <w:rPr>
          <w:spacing w:val="-7"/>
          <w:sz w:val="24"/>
        </w:rPr>
        <w:t> </w:t>
      </w:r>
      <w:r>
        <w:rPr>
          <w:sz w:val="24"/>
        </w:rPr>
        <w:t>procesam. Tomēr mūsdienu ekonomiskā un sociālā realitāte skaidri apliecina to, ka ir samērā augsts tādu personu skaits, kuras zemo ienākumu un mantas neesamības dēļ nespēj pildīt savas saistības un tādēļ zaudē motivāciju paaugstināt</w:t>
      </w:r>
      <w:r>
        <w:rPr>
          <w:spacing w:val="4"/>
          <w:sz w:val="24"/>
        </w:rPr>
        <w:t> </w:t>
      </w:r>
      <w:r>
        <w:rPr>
          <w:sz w:val="24"/>
        </w:rPr>
        <w:t>savu</w:t>
      </w:r>
    </w:p>
    <w:p>
      <w:pPr>
        <w:spacing w:after="0" w:line="240" w:lineRule="auto"/>
        <w:jc w:val="both"/>
        <w:rPr>
          <w:sz w:val="24"/>
        </w:rPr>
        <w:sectPr>
          <w:pgSz w:w="11910" w:h="16840"/>
          <w:pgMar w:header="0" w:footer="1055" w:top="1340" w:bottom="1240" w:left="1180" w:right="1040"/>
        </w:sectPr>
      </w:pPr>
    </w:p>
    <w:p>
      <w:pPr>
        <w:pStyle w:val="BodyText"/>
        <w:spacing w:before="73"/>
        <w:ind w:left="1253" w:right="760"/>
      </w:pPr>
      <w:r>
        <w:rPr/>
        <w:t>produktivitāti, tā rezultātā nonākot vēl lielākā sociālā un ekonomiskā</w:t>
      </w:r>
      <w:r>
        <w:rPr>
          <w:spacing w:val="-16"/>
        </w:rPr>
        <w:t> </w:t>
      </w:r>
      <w:r>
        <w:rPr/>
        <w:t>atstumtībā vai “ēnu ekonomikas” sektorā. Tādējādi ir pietiekami daudz “par” argumentu atvieglotās</w:t>
      </w:r>
      <w:r>
        <w:rPr>
          <w:spacing w:val="-16"/>
        </w:rPr>
        <w:t> </w:t>
      </w:r>
      <w:r>
        <w:rPr/>
        <w:t>maksātnespējas</w:t>
      </w:r>
      <w:r>
        <w:rPr>
          <w:spacing w:val="-18"/>
        </w:rPr>
        <w:t> </w:t>
      </w:r>
      <w:r>
        <w:rPr/>
        <w:t>procedūras</w:t>
      </w:r>
      <w:r>
        <w:rPr>
          <w:spacing w:val="-15"/>
        </w:rPr>
        <w:t> </w:t>
      </w:r>
      <w:r>
        <w:rPr/>
        <w:t>ieviešanai.</w:t>
      </w:r>
      <w:r>
        <w:rPr>
          <w:spacing w:val="-13"/>
        </w:rPr>
        <w:t> </w:t>
      </w:r>
      <w:r>
        <w:rPr/>
        <w:t>Vienlaikus,</w:t>
      </w:r>
      <w:r>
        <w:rPr>
          <w:spacing w:val="-15"/>
        </w:rPr>
        <w:t> </w:t>
      </w:r>
      <w:r>
        <w:rPr/>
        <w:t>ņemot</w:t>
      </w:r>
      <w:r>
        <w:rPr>
          <w:spacing w:val="-16"/>
        </w:rPr>
        <w:t> </w:t>
      </w:r>
      <w:r>
        <w:rPr/>
        <w:t>vērā</w:t>
      </w:r>
      <w:r>
        <w:rPr>
          <w:spacing w:val="-17"/>
        </w:rPr>
        <w:t> </w:t>
      </w:r>
      <w:r>
        <w:rPr/>
        <w:t>augsto negodprātīgu parādnieku īpatsvaru “standarta” maksātnespējas procedūrās, atvieglotā procedūra ir ieviešama, vismaz sākotnēji ievērojot piesardzības principu. Piemēram, šāda procedūra varētu tikt attiecināta tikai uz tādiem parādniekiem, kuru saistības ir zem EUR 5 000,00 sliekšņa, paredzot arī salīdzinoši stingrākus parādnieka godprātības vērtēšanas kritērijus (plašāks pamatojums norādīts pētījuma VI. nodaļas 6.punktā).</w:t>
      </w:r>
    </w:p>
    <w:p>
      <w:pPr>
        <w:pStyle w:val="BodyText"/>
        <w:jc w:val="left"/>
      </w:pPr>
    </w:p>
    <w:p>
      <w:pPr>
        <w:pStyle w:val="ListParagraph"/>
        <w:numPr>
          <w:ilvl w:val="0"/>
          <w:numId w:val="129"/>
        </w:numPr>
        <w:tabs>
          <w:tab w:pos="1254" w:val="left" w:leader="none"/>
        </w:tabs>
        <w:spacing w:line="240" w:lineRule="auto" w:before="0" w:after="0"/>
        <w:ind w:left="1253" w:right="761" w:hanging="634"/>
        <w:jc w:val="both"/>
        <w:rPr>
          <w:sz w:val="24"/>
        </w:rPr>
      </w:pPr>
      <w:r>
        <w:rPr>
          <w:sz w:val="24"/>
        </w:rPr>
        <w:t>Ja tiek ieviesta atvieglotā maksātnespējas procedūra personām, kā labs paraugs varētu tikt izmantots Anglijas un Velsas Parādu atvieglojuma rīkojuma (</w:t>
      </w:r>
      <w:r>
        <w:rPr>
          <w:i/>
          <w:sz w:val="24"/>
        </w:rPr>
        <w:t>Debt </w:t>
      </w:r>
      <w:r>
        <w:rPr>
          <w:i/>
          <w:sz w:val="24"/>
        </w:rPr>
        <w:t>relief order </w:t>
      </w:r>
      <w:r>
        <w:rPr>
          <w:sz w:val="24"/>
        </w:rPr>
        <w:t>- DRO) regulējums. Tā, pirmkārt, pēc DRO parauga atvieglotā maksātnespējas procedūra būtu noteicama kā administratīva, nevis tiesas procedūra, nododot to Maksātnespējas kontroles dienesta amatpersonu pārziņā ar vispārējās jurisdikcijas tiesu kontroles tiesībām (piemēram, sūdzību izskatīšana, lēmumu pārsūdzība u.c.). Respektīvi, jāņem vērā, ka Anglijā un Velsā</w:t>
      </w:r>
      <w:r>
        <w:rPr>
          <w:spacing w:val="-6"/>
          <w:sz w:val="24"/>
        </w:rPr>
        <w:t> </w:t>
      </w:r>
      <w:r>
        <w:rPr>
          <w:sz w:val="24"/>
        </w:rPr>
        <w:t>atvieglotā</w:t>
      </w:r>
      <w:r>
        <w:rPr>
          <w:spacing w:val="-5"/>
          <w:sz w:val="24"/>
        </w:rPr>
        <w:t> </w:t>
      </w:r>
      <w:r>
        <w:rPr>
          <w:sz w:val="24"/>
        </w:rPr>
        <w:t>procedūra</w:t>
      </w:r>
      <w:r>
        <w:rPr>
          <w:spacing w:val="-6"/>
          <w:sz w:val="24"/>
        </w:rPr>
        <w:t> </w:t>
      </w:r>
      <w:r>
        <w:rPr>
          <w:sz w:val="24"/>
        </w:rPr>
        <w:t>2018.gada</w:t>
      </w:r>
      <w:r>
        <w:rPr>
          <w:spacing w:val="-9"/>
          <w:sz w:val="24"/>
        </w:rPr>
        <w:t> </w:t>
      </w:r>
      <w:r>
        <w:rPr>
          <w:sz w:val="24"/>
        </w:rPr>
        <w:t>1.ceturksnī</w:t>
      </w:r>
      <w:r>
        <w:rPr>
          <w:spacing w:val="-6"/>
          <w:sz w:val="24"/>
        </w:rPr>
        <w:t> </w:t>
      </w:r>
      <w:r>
        <w:rPr>
          <w:sz w:val="24"/>
        </w:rPr>
        <w:t>tika</w:t>
      </w:r>
      <w:r>
        <w:rPr>
          <w:spacing w:val="-6"/>
          <w:sz w:val="24"/>
        </w:rPr>
        <w:t> </w:t>
      </w:r>
      <w:r>
        <w:rPr>
          <w:sz w:val="24"/>
        </w:rPr>
        <w:t>piemērota</w:t>
      </w:r>
      <w:r>
        <w:rPr>
          <w:spacing w:val="-5"/>
          <w:sz w:val="24"/>
        </w:rPr>
        <w:t> </w:t>
      </w:r>
      <w:r>
        <w:rPr>
          <w:sz w:val="24"/>
        </w:rPr>
        <w:t>24</w:t>
      </w:r>
      <w:r>
        <w:rPr>
          <w:spacing w:val="-6"/>
          <w:sz w:val="24"/>
        </w:rPr>
        <w:t> </w:t>
      </w:r>
      <w:r>
        <w:rPr>
          <w:sz w:val="24"/>
        </w:rPr>
        <w:t>%</w:t>
      </w:r>
      <w:r>
        <w:rPr>
          <w:spacing w:val="-6"/>
          <w:sz w:val="24"/>
        </w:rPr>
        <w:t> </w:t>
      </w:r>
      <w:r>
        <w:rPr>
          <w:sz w:val="24"/>
        </w:rPr>
        <w:t>gadījumu no visām maksātnespējas procedūrām, un arī Latvijā šāda procedūra zemo izmaksu</w:t>
      </w:r>
      <w:r>
        <w:rPr>
          <w:spacing w:val="-16"/>
          <w:sz w:val="24"/>
        </w:rPr>
        <w:t> </w:t>
      </w:r>
      <w:r>
        <w:rPr>
          <w:sz w:val="24"/>
        </w:rPr>
        <w:t>un</w:t>
      </w:r>
      <w:r>
        <w:rPr>
          <w:spacing w:val="-16"/>
          <w:sz w:val="24"/>
        </w:rPr>
        <w:t> </w:t>
      </w:r>
      <w:r>
        <w:rPr>
          <w:sz w:val="24"/>
        </w:rPr>
        <w:t>procesa</w:t>
      </w:r>
      <w:r>
        <w:rPr>
          <w:spacing w:val="-14"/>
          <w:sz w:val="24"/>
        </w:rPr>
        <w:t> </w:t>
      </w:r>
      <w:r>
        <w:rPr>
          <w:sz w:val="24"/>
        </w:rPr>
        <w:t>vienkāršās</w:t>
      </w:r>
      <w:r>
        <w:rPr>
          <w:spacing w:val="-18"/>
          <w:sz w:val="24"/>
        </w:rPr>
        <w:t> </w:t>
      </w:r>
      <w:r>
        <w:rPr>
          <w:sz w:val="24"/>
        </w:rPr>
        <w:t>dabas</w:t>
      </w:r>
      <w:r>
        <w:rPr>
          <w:spacing w:val="-16"/>
          <w:sz w:val="24"/>
        </w:rPr>
        <w:t> </w:t>
      </w:r>
      <w:r>
        <w:rPr>
          <w:sz w:val="24"/>
        </w:rPr>
        <w:t>dēļ</w:t>
      </w:r>
      <w:r>
        <w:rPr>
          <w:spacing w:val="-18"/>
          <w:sz w:val="24"/>
        </w:rPr>
        <w:t> </w:t>
      </w:r>
      <w:r>
        <w:rPr>
          <w:sz w:val="24"/>
        </w:rPr>
        <w:t>varētu</w:t>
      </w:r>
      <w:r>
        <w:rPr>
          <w:spacing w:val="-13"/>
          <w:sz w:val="24"/>
        </w:rPr>
        <w:t> </w:t>
      </w:r>
      <w:r>
        <w:rPr>
          <w:sz w:val="24"/>
        </w:rPr>
        <w:t>gūt</w:t>
      </w:r>
      <w:r>
        <w:rPr>
          <w:spacing w:val="-13"/>
          <w:sz w:val="24"/>
        </w:rPr>
        <w:t> </w:t>
      </w:r>
      <w:r>
        <w:rPr>
          <w:sz w:val="24"/>
        </w:rPr>
        <w:t>lielu</w:t>
      </w:r>
      <w:r>
        <w:rPr>
          <w:spacing w:val="-16"/>
          <w:sz w:val="24"/>
        </w:rPr>
        <w:t> </w:t>
      </w:r>
      <w:r>
        <w:rPr>
          <w:sz w:val="24"/>
        </w:rPr>
        <w:t>interesi.</w:t>
      </w:r>
      <w:r>
        <w:rPr>
          <w:spacing w:val="-11"/>
          <w:sz w:val="24"/>
        </w:rPr>
        <w:t> </w:t>
      </w:r>
      <w:r>
        <w:rPr>
          <w:sz w:val="24"/>
        </w:rPr>
        <w:t>Līdz</w:t>
      </w:r>
      <w:r>
        <w:rPr>
          <w:spacing w:val="-14"/>
          <w:sz w:val="24"/>
        </w:rPr>
        <w:t> </w:t>
      </w:r>
      <w:r>
        <w:rPr>
          <w:sz w:val="24"/>
        </w:rPr>
        <w:t>ar</w:t>
      </w:r>
      <w:r>
        <w:rPr>
          <w:spacing w:val="-14"/>
          <w:sz w:val="24"/>
        </w:rPr>
        <w:t> </w:t>
      </w:r>
      <w:r>
        <w:rPr>
          <w:sz w:val="24"/>
        </w:rPr>
        <w:t>to</w:t>
      </w:r>
      <w:r>
        <w:rPr>
          <w:spacing w:val="-16"/>
          <w:sz w:val="24"/>
        </w:rPr>
        <w:t> </w:t>
      </w:r>
      <w:r>
        <w:rPr>
          <w:sz w:val="24"/>
        </w:rPr>
        <w:t>tiesas varētu tikt pārslogotas, ja šo procesu izskatīšana un vadība tiktu nodota tiesu ziņā.</w:t>
      </w:r>
      <w:r>
        <w:rPr>
          <w:spacing w:val="-6"/>
          <w:sz w:val="24"/>
        </w:rPr>
        <w:t> </w:t>
      </w:r>
      <w:r>
        <w:rPr>
          <w:sz w:val="24"/>
        </w:rPr>
        <w:t>Jāņem</w:t>
      </w:r>
      <w:r>
        <w:rPr>
          <w:spacing w:val="-5"/>
          <w:sz w:val="24"/>
        </w:rPr>
        <w:t> </w:t>
      </w:r>
      <w:r>
        <w:rPr>
          <w:sz w:val="24"/>
        </w:rPr>
        <w:t>vērā</w:t>
      </w:r>
      <w:r>
        <w:rPr>
          <w:spacing w:val="-4"/>
          <w:sz w:val="24"/>
        </w:rPr>
        <w:t> </w:t>
      </w:r>
      <w:r>
        <w:rPr>
          <w:sz w:val="24"/>
        </w:rPr>
        <w:t>arī</w:t>
      </w:r>
      <w:r>
        <w:rPr>
          <w:spacing w:val="-2"/>
          <w:sz w:val="24"/>
        </w:rPr>
        <w:t> </w:t>
      </w:r>
      <w:r>
        <w:rPr>
          <w:sz w:val="24"/>
        </w:rPr>
        <w:t>tas,</w:t>
      </w:r>
      <w:r>
        <w:rPr>
          <w:spacing w:val="-4"/>
          <w:sz w:val="24"/>
        </w:rPr>
        <w:t> </w:t>
      </w:r>
      <w:r>
        <w:rPr>
          <w:sz w:val="24"/>
        </w:rPr>
        <w:t>ka</w:t>
      </w:r>
      <w:r>
        <w:rPr>
          <w:spacing w:val="-5"/>
          <w:sz w:val="24"/>
        </w:rPr>
        <w:t> </w:t>
      </w:r>
      <w:r>
        <w:rPr>
          <w:sz w:val="24"/>
        </w:rPr>
        <w:t>šādu</w:t>
      </w:r>
      <w:r>
        <w:rPr>
          <w:spacing w:val="-3"/>
          <w:sz w:val="24"/>
        </w:rPr>
        <w:t> </w:t>
      </w:r>
      <w:r>
        <w:rPr>
          <w:sz w:val="24"/>
        </w:rPr>
        <w:t>procesu</w:t>
      </w:r>
      <w:r>
        <w:rPr>
          <w:spacing w:val="-5"/>
          <w:sz w:val="24"/>
        </w:rPr>
        <w:t> </w:t>
      </w:r>
      <w:r>
        <w:rPr>
          <w:sz w:val="24"/>
        </w:rPr>
        <w:t>vadība</w:t>
      </w:r>
      <w:r>
        <w:rPr>
          <w:spacing w:val="-9"/>
          <w:sz w:val="24"/>
        </w:rPr>
        <w:t> </w:t>
      </w:r>
      <w:r>
        <w:rPr>
          <w:sz w:val="24"/>
        </w:rPr>
        <w:t>nebūtu</w:t>
      </w:r>
      <w:r>
        <w:rPr>
          <w:spacing w:val="-5"/>
          <w:sz w:val="24"/>
        </w:rPr>
        <w:t> </w:t>
      </w:r>
      <w:r>
        <w:rPr>
          <w:sz w:val="24"/>
        </w:rPr>
        <w:t>juridiski</w:t>
      </w:r>
      <w:r>
        <w:rPr>
          <w:spacing w:val="-5"/>
          <w:sz w:val="24"/>
        </w:rPr>
        <w:t> </w:t>
      </w:r>
      <w:r>
        <w:rPr>
          <w:sz w:val="24"/>
        </w:rPr>
        <w:t>sarežģīts</w:t>
      </w:r>
      <w:r>
        <w:rPr>
          <w:spacing w:val="-3"/>
          <w:sz w:val="24"/>
        </w:rPr>
        <w:t> </w:t>
      </w:r>
      <w:r>
        <w:rPr>
          <w:sz w:val="24"/>
        </w:rPr>
        <w:t>darbs, attiecīgi šādu lietu nodošana tiesas kompetencē būtu nelietderīgas tiesas kapacitātes un resursu</w:t>
      </w:r>
      <w:r>
        <w:rPr>
          <w:spacing w:val="-2"/>
          <w:sz w:val="24"/>
        </w:rPr>
        <w:t> </w:t>
      </w:r>
      <w:r>
        <w:rPr>
          <w:sz w:val="24"/>
        </w:rPr>
        <w:t>tērēšana.</w:t>
      </w:r>
    </w:p>
    <w:p>
      <w:pPr>
        <w:pStyle w:val="BodyText"/>
        <w:spacing w:before="1"/>
        <w:jc w:val="left"/>
      </w:pPr>
    </w:p>
    <w:p>
      <w:pPr>
        <w:pStyle w:val="ListParagraph"/>
        <w:numPr>
          <w:ilvl w:val="0"/>
          <w:numId w:val="129"/>
        </w:numPr>
        <w:tabs>
          <w:tab w:pos="1254" w:val="left" w:leader="none"/>
        </w:tabs>
        <w:spacing w:line="240" w:lineRule="auto" w:before="0" w:after="0"/>
        <w:ind w:left="1253" w:right="763" w:hanging="634"/>
        <w:jc w:val="both"/>
        <w:rPr>
          <w:sz w:val="24"/>
        </w:rPr>
      </w:pPr>
      <w:r>
        <w:rPr>
          <w:sz w:val="24"/>
        </w:rPr>
        <w:t>Izstrādājot atviegloto maksātnespējas procedūru, no DRO tiesiskā regulējuma varētu tikt pārņematas šādas</w:t>
      </w:r>
      <w:r>
        <w:rPr>
          <w:spacing w:val="-2"/>
          <w:sz w:val="24"/>
        </w:rPr>
        <w:t> </w:t>
      </w:r>
      <w:r>
        <w:rPr>
          <w:sz w:val="24"/>
        </w:rPr>
        <w:t>idejas:</w:t>
      </w:r>
    </w:p>
    <w:p>
      <w:pPr>
        <w:pStyle w:val="BodyText"/>
        <w:jc w:val="left"/>
      </w:pPr>
    </w:p>
    <w:p>
      <w:pPr>
        <w:pStyle w:val="ListParagraph"/>
        <w:numPr>
          <w:ilvl w:val="1"/>
          <w:numId w:val="129"/>
        </w:numPr>
        <w:tabs>
          <w:tab w:pos="1679" w:val="left" w:leader="none"/>
        </w:tabs>
        <w:spacing w:line="240" w:lineRule="auto" w:before="0" w:after="0"/>
        <w:ind w:left="1678" w:right="762" w:hanging="425"/>
        <w:jc w:val="both"/>
        <w:rPr>
          <w:sz w:val="24"/>
        </w:rPr>
      </w:pPr>
      <w:r>
        <w:rPr>
          <w:sz w:val="24"/>
        </w:rPr>
        <w:t>pieteikums ir iesniedzams tiešsaistē (elektroniski), aizpildot noteiktu veidlapu,</w:t>
      </w:r>
    </w:p>
    <w:p>
      <w:pPr>
        <w:pStyle w:val="ListParagraph"/>
        <w:numPr>
          <w:ilvl w:val="1"/>
          <w:numId w:val="129"/>
        </w:numPr>
        <w:tabs>
          <w:tab w:pos="1679" w:val="left" w:leader="none"/>
        </w:tabs>
        <w:spacing w:line="240" w:lineRule="auto" w:before="0" w:after="0"/>
        <w:ind w:left="1678" w:right="765" w:hanging="425"/>
        <w:jc w:val="both"/>
        <w:rPr>
          <w:sz w:val="24"/>
        </w:rPr>
      </w:pPr>
      <w:r>
        <w:rPr>
          <w:sz w:val="24"/>
        </w:rPr>
        <w:t>procesa laikā parādnieks neveic maksājumus kreditoriem, taču viņam ir jāpilda likumā noteiktie pienākumi (jāsniedz informācija, jāsadarbojas) </w:t>
      </w:r>
      <w:r>
        <w:rPr>
          <w:spacing w:val="-6"/>
          <w:sz w:val="24"/>
        </w:rPr>
        <w:t>un </w:t>
      </w:r>
      <w:r>
        <w:rPr>
          <w:sz w:val="24"/>
        </w:rPr>
        <w:t>jāievēro likumā noteiktie ierobežojumi,</w:t>
      </w:r>
    </w:p>
    <w:p>
      <w:pPr>
        <w:pStyle w:val="ListParagraph"/>
        <w:numPr>
          <w:ilvl w:val="1"/>
          <w:numId w:val="129"/>
        </w:numPr>
        <w:tabs>
          <w:tab w:pos="1679" w:val="left" w:leader="none"/>
        </w:tabs>
        <w:spacing w:line="240" w:lineRule="auto" w:before="0" w:after="0"/>
        <w:ind w:left="1678" w:right="761" w:hanging="425"/>
        <w:jc w:val="both"/>
        <w:rPr>
          <w:sz w:val="24"/>
        </w:rPr>
      </w:pPr>
      <w:r>
        <w:rPr>
          <w:sz w:val="24"/>
        </w:rPr>
        <w:t>procesā netiek iecelts maksātnespējas procesa administrators, taču parādniekam ir pienākums pieteikumu iesniegt, izmantojot kvalificēta speciālista palīdzību (piemēram, maksātnespējas procesa administratora) – pretējā gadījumā ir sagaidāms, ka tiks sniegti nekvalitatīvi pieteikumi, kas nevajadzīgi noslogos lēmuma pieņēmējus (tiesu vai Maksātnespējas kontroles dienesta amatpersonas, ja procedūra tiks nodota Maksātnespējas kontroles dienesta</w:t>
      </w:r>
      <w:r>
        <w:rPr>
          <w:spacing w:val="-1"/>
          <w:sz w:val="24"/>
        </w:rPr>
        <w:t> </w:t>
      </w:r>
      <w:r>
        <w:rPr>
          <w:sz w:val="24"/>
        </w:rPr>
        <w:t>pārziņā);</w:t>
      </w:r>
    </w:p>
    <w:p>
      <w:pPr>
        <w:pStyle w:val="ListParagraph"/>
        <w:numPr>
          <w:ilvl w:val="1"/>
          <w:numId w:val="129"/>
        </w:numPr>
        <w:tabs>
          <w:tab w:pos="1679" w:val="left" w:leader="none"/>
        </w:tabs>
        <w:spacing w:line="240" w:lineRule="auto" w:before="0" w:after="0"/>
        <w:ind w:left="1678" w:right="764" w:hanging="425"/>
        <w:jc w:val="both"/>
        <w:rPr>
          <w:sz w:val="24"/>
        </w:rPr>
      </w:pPr>
      <w:r>
        <w:rPr>
          <w:sz w:val="24"/>
        </w:rPr>
        <w:t>process tiek attiecināts tikai uz parādnieka norādītajiem kreditoriem (ja parādnieks kādu kreditoru nav norādījis, saistības pret šo kreditoru netiek dzēstas),</w:t>
      </w:r>
    </w:p>
    <w:p>
      <w:pPr>
        <w:pStyle w:val="ListParagraph"/>
        <w:numPr>
          <w:ilvl w:val="1"/>
          <w:numId w:val="129"/>
        </w:numPr>
        <w:tabs>
          <w:tab w:pos="1679" w:val="left" w:leader="none"/>
        </w:tabs>
        <w:spacing w:line="240" w:lineRule="auto" w:before="0" w:after="0"/>
        <w:ind w:left="1678" w:right="765" w:hanging="425"/>
        <w:jc w:val="both"/>
        <w:rPr>
          <w:sz w:val="24"/>
        </w:rPr>
      </w:pPr>
      <w:r>
        <w:rPr>
          <w:sz w:val="24"/>
        </w:rPr>
        <w:t>tiek</w:t>
      </w:r>
      <w:r>
        <w:rPr>
          <w:spacing w:val="-9"/>
          <w:sz w:val="24"/>
        </w:rPr>
        <w:t> </w:t>
      </w:r>
      <w:r>
        <w:rPr>
          <w:sz w:val="24"/>
        </w:rPr>
        <w:t>noteikti</w:t>
      </w:r>
      <w:r>
        <w:rPr>
          <w:spacing w:val="-5"/>
          <w:sz w:val="24"/>
        </w:rPr>
        <w:t> </w:t>
      </w:r>
      <w:r>
        <w:rPr>
          <w:sz w:val="24"/>
        </w:rPr>
        <w:t>plašāki</w:t>
      </w:r>
      <w:r>
        <w:rPr>
          <w:spacing w:val="-8"/>
          <w:sz w:val="24"/>
        </w:rPr>
        <w:t> </w:t>
      </w:r>
      <w:r>
        <w:rPr>
          <w:sz w:val="24"/>
        </w:rPr>
        <w:t>ierobežojumi</w:t>
      </w:r>
      <w:r>
        <w:rPr>
          <w:spacing w:val="-8"/>
          <w:sz w:val="24"/>
        </w:rPr>
        <w:t> </w:t>
      </w:r>
      <w:r>
        <w:rPr>
          <w:sz w:val="24"/>
        </w:rPr>
        <w:t>procesa</w:t>
      </w:r>
      <w:r>
        <w:rPr>
          <w:spacing w:val="-8"/>
          <w:sz w:val="24"/>
        </w:rPr>
        <w:t> </w:t>
      </w:r>
      <w:r>
        <w:rPr>
          <w:sz w:val="24"/>
        </w:rPr>
        <w:t>uzsākšanai</w:t>
      </w:r>
      <w:r>
        <w:rPr>
          <w:spacing w:val="-10"/>
          <w:sz w:val="24"/>
        </w:rPr>
        <w:t> </w:t>
      </w:r>
      <w:r>
        <w:rPr>
          <w:sz w:val="24"/>
        </w:rPr>
        <w:t>nekā</w:t>
      </w:r>
      <w:r>
        <w:rPr>
          <w:spacing w:val="-6"/>
          <w:sz w:val="24"/>
        </w:rPr>
        <w:t> </w:t>
      </w:r>
      <w:r>
        <w:rPr>
          <w:sz w:val="24"/>
        </w:rPr>
        <w:t>tas</w:t>
      </w:r>
      <w:r>
        <w:rPr>
          <w:spacing w:val="-8"/>
          <w:sz w:val="24"/>
        </w:rPr>
        <w:t> </w:t>
      </w:r>
      <w:r>
        <w:rPr>
          <w:sz w:val="24"/>
        </w:rPr>
        <w:t>ir</w:t>
      </w:r>
      <w:r>
        <w:rPr>
          <w:spacing w:val="-6"/>
          <w:sz w:val="24"/>
        </w:rPr>
        <w:t> </w:t>
      </w:r>
      <w:r>
        <w:rPr>
          <w:sz w:val="24"/>
        </w:rPr>
        <w:t>“standarta” procedūrai,</w:t>
      </w:r>
      <w:r>
        <w:rPr>
          <w:spacing w:val="-1"/>
          <w:sz w:val="24"/>
        </w:rPr>
        <w:t> </w:t>
      </w:r>
      <w:r>
        <w:rPr>
          <w:sz w:val="24"/>
        </w:rPr>
        <w:t>piemēram:</w:t>
      </w:r>
    </w:p>
    <w:p>
      <w:pPr>
        <w:pStyle w:val="ListParagraph"/>
        <w:numPr>
          <w:ilvl w:val="2"/>
          <w:numId w:val="129"/>
        </w:numPr>
        <w:tabs>
          <w:tab w:pos="1962" w:val="left" w:leader="none"/>
        </w:tabs>
        <w:spacing w:line="240" w:lineRule="auto" w:before="0" w:after="0"/>
        <w:ind w:left="1961" w:right="763" w:hanging="284"/>
        <w:jc w:val="both"/>
        <w:rPr>
          <w:sz w:val="24"/>
        </w:rPr>
      </w:pPr>
      <w:r>
        <w:rPr>
          <w:sz w:val="24"/>
        </w:rPr>
        <w:t>procesu var piemērot tikai tādai fiziskajai personai, kuras pastāvīgā dzīvesvieta ir Latvijā (pretējā gadījumā varētu pieaugt maksātnespējas “tūrisma”</w:t>
      </w:r>
      <w:r>
        <w:rPr>
          <w:spacing w:val="-3"/>
          <w:sz w:val="24"/>
        </w:rPr>
        <w:t> </w:t>
      </w:r>
      <w:r>
        <w:rPr>
          <w:sz w:val="24"/>
        </w:rPr>
        <w:t>problemātika),</w:t>
      </w:r>
    </w:p>
    <w:p>
      <w:pPr>
        <w:pStyle w:val="ListParagraph"/>
        <w:numPr>
          <w:ilvl w:val="2"/>
          <w:numId w:val="129"/>
        </w:numPr>
        <w:tabs>
          <w:tab w:pos="1962" w:val="left" w:leader="none"/>
        </w:tabs>
        <w:spacing w:line="240" w:lineRule="auto" w:before="0" w:after="0"/>
        <w:ind w:left="1961" w:right="764" w:hanging="284"/>
        <w:jc w:val="both"/>
        <w:rPr>
          <w:sz w:val="24"/>
        </w:rPr>
      </w:pPr>
      <w:r>
        <w:rPr>
          <w:sz w:val="24"/>
        </w:rPr>
        <w:t>procesu nepiemēro parādniekam, kurš noteiktā laika periodā (piemēram, 3 gadi) ir slēdzis darījumus, ar kuriem nodarījis zaudējumus</w:t>
      </w:r>
      <w:r>
        <w:rPr>
          <w:spacing w:val="2"/>
          <w:sz w:val="24"/>
        </w:rPr>
        <w:t> </w:t>
      </w:r>
      <w:r>
        <w:rPr>
          <w:sz w:val="24"/>
        </w:rPr>
        <w:t>kreditoriem</w:t>
      </w:r>
    </w:p>
    <w:p>
      <w:pPr>
        <w:spacing w:after="0" w:line="240" w:lineRule="auto"/>
        <w:jc w:val="both"/>
        <w:rPr>
          <w:sz w:val="24"/>
        </w:rPr>
        <w:sectPr>
          <w:pgSz w:w="11910" w:h="16840"/>
          <w:pgMar w:header="0" w:footer="1055" w:top="1340" w:bottom="1240" w:left="1180" w:right="1040"/>
        </w:sectPr>
      </w:pPr>
    </w:p>
    <w:p>
      <w:pPr>
        <w:pStyle w:val="BodyText"/>
        <w:spacing w:before="73"/>
        <w:ind w:left="2321" w:right="402"/>
      </w:pPr>
      <w:r>
        <w:rPr/>
        <w:t>(iesniedzot pieteikumu parādniekam būtu jāapliecina šādu darījumu neesamība, savukārt nepatiesa apliecinājuma sniegšanai būtu jābūt pamatam nedzēst saistības).</w:t>
      </w:r>
    </w:p>
    <w:p>
      <w:pPr>
        <w:pStyle w:val="ListParagraph"/>
        <w:numPr>
          <w:ilvl w:val="1"/>
          <w:numId w:val="129"/>
        </w:numPr>
        <w:tabs>
          <w:tab w:pos="2039" w:val="left" w:leader="none"/>
        </w:tabs>
        <w:spacing w:line="240" w:lineRule="auto" w:before="0" w:after="0"/>
        <w:ind w:left="2038" w:right="0" w:hanging="426"/>
        <w:jc w:val="both"/>
        <w:rPr>
          <w:sz w:val="24"/>
        </w:rPr>
      </w:pPr>
      <w:r>
        <w:rPr>
          <w:sz w:val="24"/>
        </w:rPr>
        <w:t>procesa laikā parādnieks nedrīkst uzņemties jaunas</w:t>
      </w:r>
      <w:r>
        <w:rPr>
          <w:spacing w:val="-5"/>
          <w:sz w:val="24"/>
        </w:rPr>
        <w:t> </w:t>
      </w:r>
      <w:r>
        <w:rPr>
          <w:sz w:val="24"/>
        </w:rPr>
        <w:t>saistības,</w:t>
      </w:r>
    </w:p>
    <w:p>
      <w:pPr>
        <w:pStyle w:val="ListParagraph"/>
        <w:numPr>
          <w:ilvl w:val="1"/>
          <w:numId w:val="129"/>
        </w:numPr>
        <w:tabs>
          <w:tab w:pos="2039" w:val="left" w:leader="none"/>
        </w:tabs>
        <w:spacing w:line="240" w:lineRule="auto" w:before="0" w:after="0"/>
        <w:ind w:left="2038" w:right="403" w:hanging="425"/>
        <w:jc w:val="both"/>
        <w:rPr>
          <w:sz w:val="24"/>
        </w:rPr>
      </w:pPr>
      <w:r>
        <w:rPr>
          <w:sz w:val="24"/>
        </w:rPr>
        <w:t>saistības tiek dzēstas nevis automātiski, bet pēc noteikta moratorija perioda (sk. detalizētāk 8.4.priekšlikumu). Proti, ņemot vērā Latvijā novērojamo zemo saistību izpildes kultūru, nav atbalstāma tādas procedūras ieviešana, kurā</w:t>
      </w:r>
      <w:r>
        <w:rPr>
          <w:spacing w:val="-9"/>
          <w:sz w:val="24"/>
        </w:rPr>
        <w:t> </w:t>
      </w:r>
      <w:r>
        <w:rPr>
          <w:sz w:val="24"/>
        </w:rPr>
        <w:t>parādniekam</w:t>
      </w:r>
      <w:r>
        <w:rPr>
          <w:spacing w:val="-5"/>
          <w:sz w:val="24"/>
        </w:rPr>
        <w:t> </w:t>
      </w:r>
      <w:r>
        <w:rPr>
          <w:sz w:val="24"/>
        </w:rPr>
        <w:t>saistības</w:t>
      </w:r>
      <w:r>
        <w:rPr>
          <w:spacing w:val="-7"/>
          <w:sz w:val="24"/>
        </w:rPr>
        <w:t> </w:t>
      </w:r>
      <w:r>
        <w:rPr>
          <w:sz w:val="24"/>
        </w:rPr>
        <w:t>tiktu</w:t>
      </w:r>
      <w:r>
        <w:rPr>
          <w:spacing w:val="-5"/>
          <w:sz w:val="24"/>
        </w:rPr>
        <w:t> </w:t>
      </w:r>
      <w:r>
        <w:rPr>
          <w:sz w:val="24"/>
        </w:rPr>
        <w:t>dzēstas</w:t>
      </w:r>
      <w:r>
        <w:rPr>
          <w:spacing w:val="-10"/>
          <w:sz w:val="24"/>
        </w:rPr>
        <w:t> </w:t>
      </w:r>
      <w:r>
        <w:rPr>
          <w:sz w:val="24"/>
        </w:rPr>
        <w:t>līdz</w:t>
      </w:r>
      <w:r>
        <w:rPr>
          <w:spacing w:val="-8"/>
          <w:sz w:val="24"/>
        </w:rPr>
        <w:t> </w:t>
      </w:r>
      <w:r>
        <w:rPr>
          <w:sz w:val="24"/>
        </w:rPr>
        <w:t>ar</w:t>
      </w:r>
      <w:r>
        <w:rPr>
          <w:spacing w:val="-5"/>
          <w:sz w:val="24"/>
        </w:rPr>
        <w:t> </w:t>
      </w:r>
      <w:r>
        <w:rPr>
          <w:sz w:val="24"/>
        </w:rPr>
        <w:t>procesa</w:t>
      </w:r>
      <w:r>
        <w:rPr>
          <w:spacing w:val="-5"/>
          <w:sz w:val="24"/>
        </w:rPr>
        <w:t> </w:t>
      </w:r>
      <w:r>
        <w:rPr>
          <w:sz w:val="24"/>
        </w:rPr>
        <w:t>uzsākšanu,</w:t>
      </w:r>
      <w:r>
        <w:rPr>
          <w:spacing w:val="-5"/>
          <w:sz w:val="24"/>
        </w:rPr>
        <w:t> </w:t>
      </w:r>
      <w:r>
        <w:rPr>
          <w:sz w:val="24"/>
        </w:rPr>
        <w:t>savukārt optimālais moratorija periods būtu nosakāms no viena līdz trim</w:t>
      </w:r>
      <w:r>
        <w:rPr>
          <w:spacing w:val="-2"/>
          <w:sz w:val="24"/>
        </w:rPr>
        <w:t> </w:t>
      </w:r>
      <w:r>
        <w:rPr>
          <w:sz w:val="24"/>
        </w:rPr>
        <w:t>gadiem.</w:t>
      </w:r>
    </w:p>
    <w:p>
      <w:pPr>
        <w:pStyle w:val="BodyText"/>
        <w:jc w:val="left"/>
      </w:pPr>
    </w:p>
    <w:p>
      <w:pPr>
        <w:pStyle w:val="ListParagraph"/>
        <w:numPr>
          <w:ilvl w:val="0"/>
          <w:numId w:val="129"/>
        </w:numPr>
        <w:tabs>
          <w:tab w:pos="1614" w:val="left" w:leader="none"/>
        </w:tabs>
        <w:spacing w:line="240" w:lineRule="auto" w:before="0" w:after="0"/>
        <w:ind w:left="1613" w:right="402" w:hanging="569"/>
        <w:jc w:val="both"/>
        <w:rPr>
          <w:sz w:val="24"/>
        </w:rPr>
      </w:pPr>
      <w:r>
        <w:rPr>
          <w:sz w:val="24"/>
        </w:rPr>
        <w:t>Izstrādājot atvieglotā maksātnespējas procesa regulējumu, ir būtiski nenoteikt nekavējošu saistību dzēšanu, bet gan paredzēt tā dēvēto moratorija periodu (Anglijā</w:t>
      </w:r>
      <w:r>
        <w:rPr>
          <w:spacing w:val="-11"/>
          <w:sz w:val="24"/>
        </w:rPr>
        <w:t> </w:t>
      </w:r>
      <w:r>
        <w:rPr>
          <w:sz w:val="24"/>
        </w:rPr>
        <w:t>un</w:t>
      </w:r>
      <w:r>
        <w:rPr>
          <w:spacing w:val="-11"/>
          <w:sz w:val="24"/>
        </w:rPr>
        <w:t> </w:t>
      </w:r>
      <w:r>
        <w:rPr>
          <w:sz w:val="24"/>
        </w:rPr>
        <w:t>Velsā</w:t>
      </w:r>
      <w:r>
        <w:rPr>
          <w:spacing w:val="-13"/>
          <w:sz w:val="24"/>
        </w:rPr>
        <w:t> </w:t>
      </w:r>
      <w:r>
        <w:rPr>
          <w:sz w:val="24"/>
        </w:rPr>
        <w:t>tas</w:t>
      </w:r>
      <w:r>
        <w:rPr>
          <w:spacing w:val="-11"/>
          <w:sz w:val="24"/>
        </w:rPr>
        <w:t> </w:t>
      </w:r>
      <w:r>
        <w:rPr>
          <w:sz w:val="24"/>
        </w:rPr>
        <w:t>ir</w:t>
      </w:r>
      <w:r>
        <w:rPr>
          <w:spacing w:val="-11"/>
          <w:sz w:val="24"/>
        </w:rPr>
        <w:t> </w:t>
      </w:r>
      <w:r>
        <w:rPr>
          <w:sz w:val="24"/>
        </w:rPr>
        <w:t>12</w:t>
      </w:r>
      <w:r>
        <w:rPr>
          <w:spacing w:val="-10"/>
          <w:sz w:val="24"/>
        </w:rPr>
        <w:t> </w:t>
      </w:r>
      <w:r>
        <w:rPr>
          <w:sz w:val="24"/>
        </w:rPr>
        <w:t>mēneši),</w:t>
      </w:r>
      <w:r>
        <w:rPr>
          <w:spacing w:val="-11"/>
          <w:sz w:val="24"/>
        </w:rPr>
        <w:t> </w:t>
      </w:r>
      <w:r>
        <w:rPr>
          <w:sz w:val="24"/>
        </w:rPr>
        <w:t>kura</w:t>
      </w:r>
      <w:r>
        <w:rPr>
          <w:spacing w:val="-14"/>
          <w:sz w:val="24"/>
        </w:rPr>
        <w:t> </w:t>
      </w:r>
      <w:r>
        <w:rPr>
          <w:sz w:val="24"/>
        </w:rPr>
        <w:t>laikā</w:t>
      </w:r>
      <w:r>
        <w:rPr>
          <w:spacing w:val="-13"/>
          <w:sz w:val="24"/>
        </w:rPr>
        <w:t> </w:t>
      </w:r>
      <w:r>
        <w:rPr>
          <w:sz w:val="24"/>
        </w:rPr>
        <w:t>parādniekam</w:t>
      </w:r>
      <w:r>
        <w:rPr>
          <w:spacing w:val="-12"/>
          <w:sz w:val="24"/>
        </w:rPr>
        <w:t> </w:t>
      </w:r>
      <w:r>
        <w:rPr>
          <w:sz w:val="24"/>
        </w:rPr>
        <w:t>nav</w:t>
      </w:r>
      <w:r>
        <w:rPr>
          <w:spacing w:val="-11"/>
          <w:sz w:val="24"/>
        </w:rPr>
        <w:t> </w:t>
      </w:r>
      <w:r>
        <w:rPr>
          <w:sz w:val="24"/>
        </w:rPr>
        <w:t>pienākuma</w:t>
      </w:r>
      <w:r>
        <w:rPr>
          <w:spacing w:val="-7"/>
          <w:sz w:val="24"/>
        </w:rPr>
        <w:t> </w:t>
      </w:r>
      <w:r>
        <w:rPr>
          <w:sz w:val="24"/>
        </w:rPr>
        <w:t>veikt maksājumus</w:t>
      </w:r>
      <w:r>
        <w:rPr>
          <w:spacing w:val="-12"/>
          <w:sz w:val="24"/>
        </w:rPr>
        <w:t> </w:t>
      </w:r>
      <w:r>
        <w:rPr>
          <w:sz w:val="24"/>
        </w:rPr>
        <w:t>kreditoriem,</w:t>
      </w:r>
      <w:r>
        <w:rPr>
          <w:spacing w:val="-9"/>
          <w:sz w:val="24"/>
        </w:rPr>
        <w:t> </w:t>
      </w:r>
      <w:r>
        <w:rPr>
          <w:sz w:val="24"/>
        </w:rPr>
        <w:t>bet</w:t>
      </w:r>
      <w:r>
        <w:rPr>
          <w:spacing w:val="-11"/>
          <w:sz w:val="24"/>
        </w:rPr>
        <w:t> </w:t>
      </w:r>
      <w:r>
        <w:rPr>
          <w:sz w:val="24"/>
        </w:rPr>
        <w:t>ir</w:t>
      </w:r>
      <w:r>
        <w:rPr>
          <w:spacing w:val="-11"/>
          <w:sz w:val="24"/>
        </w:rPr>
        <w:t> </w:t>
      </w:r>
      <w:r>
        <w:rPr>
          <w:sz w:val="24"/>
        </w:rPr>
        <w:t>pienākums</w:t>
      </w:r>
      <w:r>
        <w:rPr>
          <w:spacing w:val="-8"/>
          <w:sz w:val="24"/>
        </w:rPr>
        <w:t> </w:t>
      </w:r>
      <w:r>
        <w:rPr>
          <w:sz w:val="24"/>
        </w:rPr>
        <w:t>sniegt</w:t>
      </w:r>
      <w:r>
        <w:rPr>
          <w:spacing w:val="-11"/>
          <w:sz w:val="24"/>
        </w:rPr>
        <w:t> </w:t>
      </w:r>
      <w:r>
        <w:rPr>
          <w:sz w:val="24"/>
        </w:rPr>
        <w:t>pilnīgu</w:t>
      </w:r>
      <w:r>
        <w:rPr>
          <w:spacing w:val="-11"/>
          <w:sz w:val="24"/>
        </w:rPr>
        <w:t> </w:t>
      </w:r>
      <w:r>
        <w:rPr>
          <w:sz w:val="24"/>
        </w:rPr>
        <w:t>un</w:t>
      </w:r>
      <w:r>
        <w:rPr>
          <w:spacing w:val="-11"/>
          <w:sz w:val="24"/>
        </w:rPr>
        <w:t> </w:t>
      </w:r>
      <w:r>
        <w:rPr>
          <w:sz w:val="24"/>
        </w:rPr>
        <w:t>patiesu</w:t>
      </w:r>
      <w:r>
        <w:rPr>
          <w:spacing w:val="-11"/>
          <w:sz w:val="24"/>
        </w:rPr>
        <w:t> </w:t>
      </w:r>
      <w:r>
        <w:rPr>
          <w:sz w:val="24"/>
        </w:rPr>
        <w:t>informāciju, kā arī ir aizliegums nodibināt jaunas saistības virs noteikta apmēra (piemēram, virs vienas minimālās mēnešalgas). Šāds moratorijs pamatā ir paredzēts “audzinošos” nolūkos, lai atturētu parādnieku no neapdomīgas rīcības. Turklāt moratorija laikā kreditoriem ir tiesības izteikt savus iebildumus, kā arī sniegt informāciju par ierobežojumiem procedūras piemērošanai, kurus parādnieks ir noklusējis, kā rezultātā procedūra var tikt izbeigta, nedzēšot saistības. Attiecīgi, ja pamatoti iebildumi nav saņemti, parādnieks ir sniedzis informāciju un nav pārkāpis likumā noteiktos ierobežojumus, pēc moratorija perioda tiek pieņemts lēmums par saistību</w:t>
      </w:r>
      <w:r>
        <w:rPr>
          <w:spacing w:val="-1"/>
          <w:sz w:val="24"/>
        </w:rPr>
        <w:t> </w:t>
      </w:r>
      <w:r>
        <w:rPr>
          <w:sz w:val="24"/>
        </w:rPr>
        <w:t>dzēšanu.</w:t>
      </w:r>
    </w:p>
    <w:p>
      <w:pPr>
        <w:pStyle w:val="BodyText"/>
        <w:jc w:val="left"/>
        <w:rPr>
          <w:sz w:val="20"/>
        </w:rPr>
      </w:pPr>
    </w:p>
    <w:p>
      <w:pPr>
        <w:pStyle w:val="BodyText"/>
        <w:spacing w:before="8"/>
        <w:jc w:val="left"/>
        <w:rPr>
          <w:sz w:val="20"/>
        </w:rPr>
      </w:pPr>
    </w:p>
    <w:p>
      <w:pPr>
        <w:pStyle w:val="Heading4"/>
        <w:numPr>
          <w:ilvl w:val="0"/>
          <w:numId w:val="119"/>
        </w:numPr>
        <w:tabs>
          <w:tab w:pos="1340" w:val="left" w:leader="none"/>
        </w:tabs>
        <w:spacing w:line="240" w:lineRule="auto" w:before="90" w:after="0"/>
        <w:ind w:left="1340" w:right="0" w:hanging="360"/>
        <w:jc w:val="left"/>
        <w:rPr>
          <w:i/>
        </w:rPr>
      </w:pPr>
      <w:bookmarkStart w:name="_TOC_250005" w:id="73"/>
      <w:r>
        <w:rPr>
          <w:i/>
          <w:spacing w:val="-174"/>
          <w:u w:val="thick"/>
        </w:rPr>
        <w:t>N</w:t>
      </w:r>
      <w:r>
        <w:rPr>
          <w:i/>
          <w:spacing w:val="116"/>
        </w:rPr>
        <w:t> </w:t>
      </w:r>
      <w:r>
        <w:rPr>
          <w:i/>
          <w:u w:val="thick"/>
        </w:rPr>
        <w:t>ovēloti uzsākti maksātnespējas</w:t>
      </w:r>
      <w:r>
        <w:rPr>
          <w:i/>
          <w:spacing w:val="-3"/>
          <w:u w:val="thick"/>
        </w:rPr>
        <w:t> </w:t>
      </w:r>
      <w:bookmarkEnd w:id="73"/>
      <w:r>
        <w:rPr>
          <w:i/>
          <w:u w:val="thick"/>
        </w:rPr>
        <w:t>procesi</w:t>
      </w:r>
    </w:p>
    <w:p>
      <w:pPr>
        <w:pStyle w:val="BodyText"/>
        <w:spacing w:before="8"/>
        <w:jc w:val="left"/>
        <w:rPr>
          <w:b/>
          <w:i/>
          <w:sz w:val="15"/>
        </w:rPr>
      </w:pPr>
    </w:p>
    <w:p>
      <w:pPr>
        <w:pStyle w:val="ListParagraph"/>
        <w:numPr>
          <w:ilvl w:val="0"/>
          <w:numId w:val="130"/>
        </w:numPr>
        <w:tabs>
          <w:tab w:pos="1614" w:val="left" w:leader="none"/>
        </w:tabs>
        <w:spacing w:line="240" w:lineRule="auto" w:before="90" w:after="0"/>
        <w:ind w:left="1613" w:right="402" w:hanging="634"/>
        <w:jc w:val="both"/>
        <w:rPr>
          <w:sz w:val="24"/>
        </w:rPr>
      </w:pPr>
      <w:r>
        <w:rPr>
          <w:sz w:val="24"/>
        </w:rPr>
        <w:t>Kā liecina citu valstu pieredze, novēloti uzsāktu fiziskās personas maksātnespējas procesu problemātika ir viens no visgrūtāk risināmajiem jautājumiem, jo to sekmē dažādi faktori, kas faktiski nav risināmi likumdošanas ceļā, piemēram, parādnieku zināšanu trūkums, dažādi morāles aspekti (sabiedriskais nosodījums</w:t>
      </w:r>
      <w:r>
        <w:rPr>
          <w:spacing w:val="-1"/>
          <w:sz w:val="24"/>
        </w:rPr>
        <w:t> </w:t>
      </w:r>
      <w:r>
        <w:rPr>
          <w:sz w:val="24"/>
        </w:rPr>
        <w:t>u.c.).</w:t>
      </w:r>
    </w:p>
    <w:p>
      <w:pPr>
        <w:pStyle w:val="BodyText"/>
        <w:jc w:val="left"/>
      </w:pPr>
    </w:p>
    <w:p>
      <w:pPr>
        <w:pStyle w:val="ListParagraph"/>
        <w:numPr>
          <w:ilvl w:val="0"/>
          <w:numId w:val="130"/>
        </w:numPr>
        <w:tabs>
          <w:tab w:pos="1614" w:val="left" w:leader="none"/>
        </w:tabs>
        <w:spacing w:line="240" w:lineRule="auto" w:before="0" w:after="0"/>
        <w:ind w:left="1613" w:right="402" w:hanging="634"/>
        <w:jc w:val="both"/>
        <w:rPr>
          <w:sz w:val="24"/>
        </w:rPr>
      </w:pPr>
      <w:r>
        <w:rPr>
          <w:sz w:val="24"/>
        </w:rPr>
        <w:t>Vienlaikus secināms, ka Maksātnespējas likumā vispār nav paredzēti instrumenti, kas varētu motivēt parādnieku savlaicīgāk uzsākt fiziskās personas maksātnespējas</w:t>
      </w:r>
      <w:r>
        <w:rPr>
          <w:spacing w:val="-12"/>
          <w:sz w:val="24"/>
        </w:rPr>
        <w:t> </w:t>
      </w:r>
      <w:r>
        <w:rPr>
          <w:sz w:val="24"/>
        </w:rPr>
        <w:t>procesu,</w:t>
      </w:r>
      <w:r>
        <w:rPr>
          <w:spacing w:val="-12"/>
          <w:sz w:val="24"/>
        </w:rPr>
        <w:t> </w:t>
      </w:r>
      <w:r>
        <w:rPr>
          <w:sz w:val="24"/>
        </w:rPr>
        <w:t>ja</w:t>
      </w:r>
      <w:r>
        <w:rPr>
          <w:spacing w:val="-12"/>
          <w:sz w:val="24"/>
        </w:rPr>
        <w:t> </w:t>
      </w:r>
      <w:r>
        <w:rPr>
          <w:sz w:val="24"/>
        </w:rPr>
        <w:t>ir</w:t>
      </w:r>
      <w:r>
        <w:rPr>
          <w:spacing w:val="-11"/>
          <w:sz w:val="24"/>
        </w:rPr>
        <w:t> </w:t>
      </w:r>
      <w:r>
        <w:rPr>
          <w:sz w:val="24"/>
        </w:rPr>
        <w:t>acīmredzams,</w:t>
      </w:r>
      <w:r>
        <w:rPr>
          <w:spacing w:val="-12"/>
          <w:sz w:val="24"/>
        </w:rPr>
        <w:t> </w:t>
      </w:r>
      <w:r>
        <w:rPr>
          <w:sz w:val="24"/>
        </w:rPr>
        <w:t>ka</w:t>
      </w:r>
      <w:r>
        <w:rPr>
          <w:spacing w:val="-12"/>
          <w:sz w:val="24"/>
        </w:rPr>
        <w:t> </w:t>
      </w:r>
      <w:r>
        <w:rPr>
          <w:sz w:val="24"/>
        </w:rPr>
        <w:t>parādnieks</w:t>
      </w:r>
      <w:r>
        <w:rPr>
          <w:spacing w:val="-11"/>
          <w:sz w:val="24"/>
        </w:rPr>
        <w:t> </w:t>
      </w:r>
      <w:r>
        <w:rPr>
          <w:sz w:val="24"/>
        </w:rPr>
        <w:t>savas</w:t>
      </w:r>
      <w:r>
        <w:rPr>
          <w:spacing w:val="-12"/>
          <w:sz w:val="24"/>
        </w:rPr>
        <w:t> </w:t>
      </w:r>
      <w:r>
        <w:rPr>
          <w:sz w:val="24"/>
        </w:rPr>
        <w:t>saistības</w:t>
      </w:r>
      <w:r>
        <w:rPr>
          <w:spacing w:val="-12"/>
          <w:sz w:val="24"/>
        </w:rPr>
        <w:t> </w:t>
      </w:r>
      <w:r>
        <w:rPr>
          <w:sz w:val="24"/>
        </w:rPr>
        <w:t>izpildīt nespēj. Tomēr šādus instrumentus būtu nepieciešams ieviest, un tādēļ būtu izvērtējama nepieciešamība veikt šādas likuma</w:t>
      </w:r>
      <w:r>
        <w:rPr>
          <w:spacing w:val="2"/>
          <w:sz w:val="24"/>
        </w:rPr>
        <w:t> </w:t>
      </w:r>
      <w:r>
        <w:rPr>
          <w:sz w:val="24"/>
        </w:rPr>
        <w:t>izmaiņas:</w:t>
      </w:r>
    </w:p>
    <w:p>
      <w:pPr>
        <w:pStyle w:val="BodyText"/>
        <w:jc w:val="left"/>
      </w:pPr>
    </w:p>
    <w:p>
      <w:pPr>
        <w:pStyle w:val="ListParagraph"/>
        <w:numPr>
          <w:ilvl w:val="1"/>
          <w:numId w:val="130"/>
        </w:numPr>
        <w:tabs>
          <w:tab w:pos="2039" w:val="left" w:leader="none"/>
        </w:tabs>
        <w:spacing w:line="240" w:lineRule="auto" w:before="1" w:after="0"/>
        <w:ind w:left="2038" w:right="402" w:hanging="425"/>
        <w:jc w:val="both"/>
        <w:rPr>
          <w:sz w:val="24"/>
        </w:rPr>
      </w:pPr>
      <w:r>
        <w:rPr>
          <w:sz w:val="24"/>
        </w:rPr>
        <w:t>paredzēt kreditoriem tiesības iesniegt fiziskās personas maksātnespējas procesa pieteikumu. Lai mazinātu iespējamos negodprātības riskus, likumā būtu vēlams noteikt to, ka kreditors nevar atsaukt fiziskās </w:t>
      </w:r>
      <w:r>
        <w:rPr>
          <w:spacing w:val="-3"/>
          <w:sz w:val="24"/>
        </w:rPr>
        <w:t>personas </w:t>
      </w:r>
      <w:r>
        <w:rPr>
          <w:sz w:val="24"/>
        </w:rPr>
        <w:t>maksātnespējas procesa pieteikumu. Likumā būtu vēlams paredzēt tiesisko regulējumu jautājumā par parādnieka tiesībām iesaistīties maksātnespējas procesā, iesniedzot pieteikumu par saistību dzēšanu. Ja parādnieks šādu iniciatīvu</w:t>
      </w:r>
      <w:r>
        <w:rPr>
          <w:spacing w:val="-12"/>
          <w:sz w:val="24"/>
        </w:rPr>
        <w:t> </w:t>
      </w:r>
      <w:r>
        <w:rPr>
          <w:sz w:val="24"/>
        </w:rPr>
        <w:t>neizrāda,</w:t>
      </w:r>
      <w:r>
        <w:rPr>
          <w:spacing w:val="-11"/>
          <w:sz w:val="24"/>
        </w:rPr>
        <w:t> </w:t>
      </w:r>
      <w:r>
        <w:rPr>
          <w:sz w:val="24"/>
        </w:rPr>
        <w:t>tad</w:t>
      </w:r>
      <w:r>
        <w:rPr>
          <w:spacing w:val="-11"/>
          <w:sz w:val="24"/>
        </w:rPr>
        <w:t> </w:t>
      </w:r>
      <w:r>
        <w:rPr>
          <w:sz w:val="24"/>
        </w:rPr>
        <w:t>viņam</w:t>
      </w:r>
      <w:r>
        <w:rPr>
          <w:spacing w:val="-11"/>
          <w:sz w:val="24"/>
        </w:rPr>
        <w:t> </w:t>
      </w:r>
      <w:r>
        <w:rPr>
          <w:sz w:val="24"/>
        </w:rPr>
        <w:t>tiek</w:t>
      </w:r>
      <w:r>
        <w:rPr>
          <w:spacing w:val="-11"/>
          <w:sz w:val="24"/>
        </w:rPr>
        <w:t> </w:t>
      </w:r>
      <w:r>
        <w:rPr>
          <w:sz w:val="24"/>
        </w:rPr>
        <w:t>piemērota</w:t>
      </w:r>
      <w:r>
        <w:rPr>
          <w:spacing w:val="-11"/>
          <w:sz w:val="24"/>
        </w:rPr>
        <w:t> </w:t>
      </w:r>
      <w:r>
        <w:rPr>
          <w:sz w:val="24"/>
        </w:rPr>
        <w:t>tikai</w:t>
      </w:r>
      <w:r>
        <w:rPr>
          <w:spacing w:val="-13"/>
          <w:sz w:val="24"/>
        </w:rPr>
        <w:t> </w:t>
      </w:r>
      <w:r>
        <w:rPr>
          <w:sz w:val="24"/>
        </w:rPr>
        <w:t>bankrota</w:t>
      </w:r>
      <w:r>
        <w:rPr>
          <w:spacing w:val="-11"/>
          <w:sz w:val="24"/>
        </w:rPr>
        <w:t> </w:t>
      </w:r>
      <w:r>
        <w:rPr>
          <w:sz w:val="24"/>
        </w:rPr>
        <w:t>procedūra,</w:t>
      </w:r>
      <w:r>
        <w:rPr>
          <w:spacing w:val="-11"/>
          <w:sz w:val="24"/>
        </w:rPr>
        <w:t> </w:t>
      </w:r>
      <w:r>
        <w:rPr>
          <w:sz w:val="24"/>
        </w:rPr>
        <w:t>kuras noslēgumā neizpildītās saistības netiek dzēstas (plašāks pamatojums norādīts pētījuma VI. nodaļas</w:t>
      </w:r>
      <w:r>
        <w:rPr>
          <w:spacing w:val="-4"/>
          <w:sz w:val="24"/>
        </w:rPr>
        <w:t> </w:t>
      </w:r>
      <w:r>
        <w:rPr>
          <w:sz w:val="24"/>
        </w:rPr>
        <w:t>7.1.punktā);</w:t>
      </w:r>
    </w:p>
    <w:p>
      <w:pPr>
        <w:pStyle w:val="ListParagraph"/>
        <w:numPr>
          <w:ilvl w:val="1"/>
          <w:numId w:val="130"/>
        </w:numPr>
        <w:tabs>
          <w:tab w:pos="2039" w:val="left" w:leader="none"/>
        </w:tabs>
        <w:spacing w:line="240" w:lineRule="auto" w:before="0" w:after="0"/>
        <w:ind w:left="2038" w:right="403" w:hanging="425"/>
        <w:jc w:val="both"/>
        <w:rPr>
          <w:sz w:val="24"/>
        </w:rPr>
      </w:pPr>
      <w:r>
        <w:rPr>
          <w:sz w:val="24"/>
        </w:rPr>
        <w:t>ieviest saistību restrukturizācijas procedūru fiziskajām personām. Proti, ņemot vērā Latvijas kultūras īpatnības (aizspriedumi,</w:t>
      </w:r>
      <w:r>
        <w:rPr>
          <w:spacing w:val="20"/>
          <w:sz w:val="24"/>
        </w:rPr>
        <w:t> </w:t>
      </w:r>
      <w:r>
        <w:rPr>
          <w:sz w:val="24"/>
        </w:rPr>
        <w:t>sabiedrības</w:t>
      </w:r>
    </w:p>
    <w:p>
      <w:pPr>
        <w:spacing w:after="0" w:line="240" w:lineRule="auto"/>
        <w:jc w:val="both"/>
        <w:rPr>
          <w:sz w:val="24"/>
        </w:rPr>
        <w:sectPr>
          <w:pgSz w:w="11910" w:h="16840"/>
          <w:pgMar w:header="0" w:footer="1055" w:top="1340" w:bottom="1240" w:left="1180" w:right="1040"/>
        </w:sectPr>
      </w:pPr>
    </w:p>
    <w:p>
      <w:pPr>
        <w:pStyle w:val="BodyText"/>
        <w:spacing w:before="73"/>
        <w:ind w:left="1678" w:right="761"/>
      </w:pPr>
      <w:r>
        <w:rPr/>
        <w:t>nosodījums u.c.). parādu restrukturizācijas procesa pieejamība varētu būt efektīvs instruments finansiālo grūtību risināšanai (it īpaši personām ar mantu un salīdzinoši lieliem ienākumiem), jo dotu iespēju piemērot elastīgākus noteikumus, kā arī labāk salāgojot parādnieka un kreditoru intereses. Kā labs paraugs šādas procedūras ieviešanai varētu tikt izmantots Anglijas un Velsas regulējums par individuālo brīvprātīgo vienošanos ar kreditoriem par parādu samaksu (</w:t>
      </w:r>
      <w:r>
        <w:rPr>
          <w:i/>
        </w:rPr>
        <w:t>individual volantary arrangement </w:t>
      </w:r>
      <w:r>
        <w:rPr/>
        <w:t>jeb IVA), jo Anglijā un Velsā vairāk kā puse no visām uzsāktajām maksātnespējas procedūrā ir tieši IVA procedūra;</w:t>
      </w:r>
    </w:p>
    <w:p>
      <w:pPr>
        <w:pStyle w:val="ListParagraph"/>
        <w:numPr>
          <w:ilvl w:val="1"/>
          <w:numId w:val="130"/>
        </w:numPr>
        <w:tabs>
          <w:tab w:pos="1679" w:val="left" w:leader="none"/>
        </w:tabs>
        <w:spacing w:line="240" w:lineRule="auto" w:before="0" w:after="0"/>
        <w:ind w:left="1678" w:right="762" w:hanging="425"/>
        <w:jc w:val="both"/>
        <w:rPr>
          <w:sz w:val="24"/>
        </w:rPr>
      </w:pPr>
      <w:r>
        <w:rPr>
          <w:sz w:val="24"/>
        </w:rPr>
        <w:t>motivēt parādniekus savlaicīgāk uzsākt maksātnespējas procesu ar īsāku saistību dzēšanas procedūras termiņu. Piemēram, Maksātnespējas likumā varētu noteikt, ka saistību dzēšanas procedūras termiņš ir 1 gads, ja parādnieka bankrota procedūras laikā no parādnieka mantas ir segti vismaz 50 % no saistībām (plašāks pamatojums norādīts pētījuma VI. nodaļas 7.3.punktā).</w:t>
      </w:r>
    </w:p>
    <w:p>
      <w:pPr>
        <w:pStyle w:val="BodyText"/>
        <w:jc w:val="left"/>
      </w:pPr>
    </w:p>
    <w:p>
      <w:pPr>
        <w:pStyle w:val="ListParagraph"/>
        <w:numPr>
          <w:ilvl w:val="0"/>
          <w:numId w:val="130"/>
        </w:numPr>
        <w:tabs>
          <w:tab w:pos="980" w:val="left" w:leader="none"/>
        </w:tabs>
        <w:spacing w:line="240" w:lineRule="auto" w:before="1" w:after="0"/>
        <w:ind w:left="980" w:right="761" w:hanging="360"/>
        <w:jc w:val="both"/>
        <w:rPr>
          <w:sz w:val="24"/>
        </w:rPr>
      </w:pPr>
      <w:r>
        <w:rPr>
          <w:sz w:val="24"/>
        </w:rPr>
        <w:t>Lai</w:t>
      </w:r>
      <w:r>
        <w:rPr>
          <w:spacing w:val="-10"/>
          <w:sz w:val="24"/>
        </w:rPr>
        <w:t> </w:t>
      </w:r>
      <w:r>
        <w:rPr>
          <w:sz w:val="24"/>
        </w:rPr>
        <w:t>veicinātu</w:t>
      </w:r>
      <w:r>
        <w:rPr>
          <w:spacing w:val="-9"/>
          <w:sz w:val="24"/>
        </w:rPr>
        <w:t> </w:t>
      </w:r>
      <w:r>
        <w:rPr>
          <w:sz w:val="24"/>
        </w:rPr>
        <w:t>fiziskās</w:t>
      </w:r>
      <w:r>
        <w:rPr>
          <w:spacing w:val="-10"/>
          <w:sz w:val="24"/>
        </w:rPr>
        <w:t> </w:t>
      </w:r>
      <w:r>
        <w:rPr>
          <w:sz w:val="24"/>
        </w:rPr>
        <w:t>personas</w:t>
      </w:r>
      <w:r>
        <w:rPr>
          <w:spacing w:val="-9"/>
          <w:sz w:val="24"/>
        </w:rPr>
        <w:t> </w:t>
      </w:r>
      <w:r>
        <w:rPr>
          <w:sz w:val="24"/>
        </w:rPr>
        <w:t>maksātnespējas</w:t>
      </w:r>
      <w:r>
        <w:rPr>
          <w:spacing w:val="-10"/>
          <w:sz w:val="24"/>
        </w:rPr>
        <w:t> </w:t>
      </w:r>
      <w:r>
        <w:rPr>
          <w:sz w:val="24"/>
        </w:rPr>
        <w:t>procesa</w:t>
      </w:r>
      <w:r>
        <w:rPr>
          <w:spacing w:val="-9"/>
          <w:sz w:val="24"/>
        </w:rPr>
        <w:t> </w:t>
      </w:r>
      <w:r>
        <w:rPr>
          <w:sz w:val="24"/>
        </w:rPr>
        <w:t>izmantošanu</w:t>
      </w:r>
      <w:r>
        <w:rPr>
          <w:spacing w:val="-10"/>
          <w:sz w:val="24"/>
        </w:rPr>
        <w:t> </w:t>
      </w:r>
      <w:r>
        <w:rPr>
          <w:sz w:val="24"/>
        </w:rPr>
        <w:t>parādniekiem, kuri</w:t>
      </w:r>
      <w:r>
        <w:rPr>
          <w:spacing w:val="-14"/>
          <w:sz w:val="24"/>
        </w:rPr>
        <w:t> </w:t>
      </w:r>
      <w:r>
        <w:rPr>
          <w:sz w:val="24"/>
        </w:rPr>
        <w:t>objektīvi</w:t>
      </w:r>
      <w:r>
        <w:rPr>
          <w:spacing w:val="-13"/>
          <w:sz w:val="24"/>
        </w:rPr>
        <w:t> </w:t>
      </w:r>
      <w:r>
        <w:rPr>
          <w:sz w:val="24"/>
        </w:rPr>
        <w:t>nespēj</w:t>
      </w:r>
      <w:r>
        <w:rPr>
          <w:spacing w:val="-13"/>
          <w:sz w:val="24"/>
        </w:rPr>
        <w:t> </w:t>
      </w:r>
      <w:r>
        <w:rPr>
          <w:sz w:val="24"/>
        </w:rPr>
        <w:t>izpildīt</w:t>
      </w:r>
      <w:r>
        <w:rPr>
          <w:spacing w:val="-11"/>
          <w:sz w:val="24"/>
        </w:rPr>
        <w:t> </w:t>
      </w:r>
      <w:r>
        <w:rPr>
          <w:sz w:val="24"/>
        </w:rPr>
        <w:t>saistības,</w:t>
      </w:r>
      <w:r>
        <w:rPr>
          <w:spacing w:val="-13"/>
          <w:sz w:val="24"/>
        </w:rPr>
        <w:t> </w:t>
      </w:r>
      <w:r>
        <w:rPr>
          <w:sz w:val="24"/>
        </w:rPr>
        <w:t>būtu</w:t>
      </w:r>
      <w:r>
        <w:rPr>
          <w:spacing w:val="-14"/>
          <w:sz w:val="24"/>
        </w:rPr>
        <w:t> </w:t>
      </w:r>
      <w:r>
        <w:rPr>
          <w:sz w:val="24"/>
        </w:rPr>
        <w:t>vēlams</w:t>
      </w:r>
      <w:r>
        <w:rPr>
          <w:spacing w:val="-16"/>
          <w:sz w:val="24"/>
        </w:rPr>
        <w:t> </w:t>
      </w:r>
      <w:r>
        <w:rPr>
          <w:sz w:val="24"/>
        </w:rPr>
        <w:t>Maksātnespējas</w:t>
      </w:r>
      <w:r>
        <w:rPr>
          <w:spacing w:val="-13"/>
          <w:sz w:val="24"/>
        </w:rPr>
        <w:t> </w:t>
      </w:r>
      <w:r>
        <w:rPr>
          <w:sz w:val="24"/>
        </w:rPr>
        <w:t>likumā</w:t>
      </w:r>
      <w:r>
        <w:rPr>
          <w:spacing w:val="-12"/>
          <w:sz w:val="24"/>
        </w:rPr>
        <w:t> </w:t>
      </w:r>
      <w:r>
        <w:rPr>
          <w:sz w:val="24"/>
        </w:rPr>
        <w:t>iestrādāt mehānismu, kas paredzētu iespēju pakāpeniski segt tās saistības, kuras atbilstoši Maksātnespējas likuma 164.panta ceturtajai daļai nevar tikt dzēstas fiziskās personas maksātnespējas procesa ietvaros. Piemēram, Maksātnespējas likumā varētu paredzēt, ka tiesa, lemjot par parādnieka atbrīvošanu no neizpildītajām saistībām,</w:t>
      </w:r>
      <w:r>
        <w:rPr>
          <w:spacing w:val="-6"/>
          <w:sz w:val="24"/>
        </w:rPr>
        <w:t> </w:t>
      </w:r>
      <w:r>
        <w:rPr>
          <w:sz w:val="24"/>
        </w:rPr>
        <w:t>noteic</w:t>
      </w:r>
      <w:r>
        <w:rPr>
          <w:spacing w:val="-6"/>
          <w:sz w:val="24"/>
        </w:rPr>
        <w:t> </w:t>
      </w:r>
      <w:r>
        <w:rPr>
          <w:sz w:val="24"/>
        </w:rPr>
        <w:t>arī</w:t>
      </w:r>
      <w:r>
        <w:rPr>
          <w:spacing w:val="-7"/>
          <w:sz w:val="24"/>
        </w:rPr>
        <w:t> </w:t>
      </w:r>
      <w:r>
        <w:rPr>
          <w:sz w:val="24"/>
        </w:rPr>
        <w:t>nedzēšamo</w:t>
      </w:r>
      <w:r>
        <w:rPr>
          <w:spacing w:val="-6"/>
          <w:sz w:val="24"/>
        </w:rPr>
        <w:t> </w:t>
      </w:r>
      <w:r>
        <w:rPr>
          <w:sz w:val="24"/>
        </w:rPr>
        <w:t>saistību</w:t>
      </w:r>
      <w:r>
        <w:rPr>
          <w:spacing w:val="-5"/>
          <w:sz w:val="24"/>
        </w:rPr>
        <w:t> </w:t>
      </w:r>
      <w:r>
        <w:rPr>
          <w:sz w:val="24"/>
        </w:rPr>
        <w:t>izpildes</w:t>
      </w:r>
      <w:r>
        <w:rPr>
          <w:spacing w:val="-6"/>
          <w:sz w:val="24"/>
        </w:rPr>
        <w:t> </w:t>
      </w:r>
      <w:r>
        <w:rPr>
          <w:sz w:val="24"/>
        </w:rPr>
        <w:t>kārtību</w:t>
      </w:r>
      <w:r>
        <w:rPr>
          <w:spacing w:val="-5"/>
          <w:sz w:val="24"/>
        </w:rPr>
        <w:t> </w:t>
      </w:r>
      <w:r>
        <w:rPr>
          <w:sz w:val="24"/>
        </w:rPr>
        <w:t>un</w:t>
      </w:r>
      <w:r>
        <w:rPr>
          <w:spacing w:val="-6"/>
          <w:sz w:val="24"/>
        </w:rPr>
        <w:t> </w:t>
      </w:r>
      <w:r>
        <w:rPr>
          <w:sz w:val="24"/>
        </w:rPr>
        <w:t>termiņu</w:t>
      </w:r>
      <w:r>
        <w:rPr>
          <w:spacing w:val="-5"/>
          <w:sz w:val="24"/>
        </w:rPr>
        <w:t> </w:t>
      </w:r>
      <w:r>
        <w:rPr>
          <w:sz w:val="24"/>
        </w:rPr>
        <w:t>amplitūdā</w:t>
      </w:r>
      <w:r>
        <w:rPr>
          <w:spacing w:val="-9"/>
          <w:sz w:val="24"/>
        </w:rPr>
        <w:t> </w:t>
      </w:r>
      <w:r>
        <w:rPr>
          <w:sz w:val="24"/>
        </w:rPr>
        <w:t>no</w:t>
      </w:r>
      <w:r>
        <w:rPr>
          <w:spacing w:val="-5"/>
          <w:sz w:val="24"/>
        </w:rPr>
        <w:t> </w:t>
      </w:r>
      <w:r>
        <w:rPr>
          <w:sz w:val="24"/>
        </w:rPr>
        <w:t>1 gada līdz 10 gadiem, ņemot vērā šo saistību apmēru un parādnieka finansiālo situāciju (plašāks pamatojums norādīts pētījuma VI. nodaļas</w:t>
      </w:r>
      <w:r>
        <w:rPr>
          <w:spacing w:val="-2"/>
          <w:sz w:val="24"/>
        </w:rPr>
        <w:t> </w:t>
      </w:r>
      <w:r>
        <w:rPr>
          <w:sz w:val="24"/>
        </w:rPr>
        <w:t>7.4.punktā).</w:t>
      </w:r>
    </w:p>
    <w:p>
      <w:pPr>
        <w:pStyle w:val="BodyText"/>
        <w:jc w:val="left"/>
        <w:rPr>
          <w:sz w:val="20"/>
        </w:rPr>
      </w:pPr>
    </w:p>
    <w:p>
      <w:pPr>
        <w:pStyle w:val="BodyText"/>
        <w:spacing w:before="7"/>
        <w:jc w:val="left"/>
        <w:rPr>
          <w:sz w:val="20"/>
        </w:rPr>
      </w:pPr>
    </w:p>
    <w:p>
      <w:pPr>
        <w:pStyle w:val="ListParagraph"/>
        <w:numPr>
          <w:ilvl w:val="0"/>
          <w:numId w:val="119"/>
        </w:numPr>
        <w:tabs>
          <w:tab w:pos="980" w:val="left" w:leader="none"/>
        </w:tabs>
        <w:spacing w:line="240" w:lineRule="auto" w:before="90" w:after="0"/>
        <w:ind w:left="980" w:right="0" w:hanging="360"/>
        <w:jc w:val="left"/>
        <w:rPr>
          <w:b/>
          <w:i/>
          <w:sz w:val="24"/>
        </w:rPr>
      </w:pPr>
      <w:bookmarkStart w:name="_TOC_250004" w:id="74"/>
      <w:r>
        <w:rPr>
          <w:b/>
          <w:i/>
          <w:spacing w:val="-214"/>
          <w:sz w:val="24"/>
          <w:u w:val="thick"/>
        </w:rPr>
        <w:t>M</w:t>
      </w:r>
      <w:r>
        <w:rPr>
          <w:b/>
          <w:i/>
          <w:spacing w:val="156"/>
          <w:sz w:val="24"/>
        </w:rPr>
        <w:t> </w:t>
      </w:r>
      <w:r>
        <w:rPr>
          <w:b/>
          <w:i/>
          <w:sz w:val="24"/>
          <w:u w:val="thick"/>
        </w:rPr>
        <w:t>aksātnespējas procesa</w:t>
      </w:r>
      <w:r>
        <w:rPr>
          <w:b/>
          <w:i/>
          <w:spacing w:val="2"/>
          <w:sz w:val="24"/>
          <w:u w:val="thick"/>
        </w:rPr>
        <w:t> </w:t>
      </w:r>
      <w:bookmarkEnd w:id="74"/>
      <w:r>
        <w:rPr>
          <w:b/>
          <w:i/>
          <w:sz w:val="24"/>
          <w:u w:val="thick"/>
        </w:rPr>
        <w:t>pieejamība</w:t>
      </w:r>
    </w:p>
    <w:p>
      <w:pPr>
        <w:pStyle w:val="BodyText"/>
        <w:spacing w:before="8"/>
        <w:jc w:val="left"/>
        <w:rPr>
          <w:b/>
          <w:i/>
          <w:sz w:val="15"/>
        </w:rPr>
      </w:pPr>
    </w:p>
    <w:p>
      <w:pPr>
        <w:pStyle w:val="ListParagraph"/>
        <w:numPr>
          <w:ilvl w:val="0"/>
          <w:numId w:val="131"/>
        </w:numPr>
        <w:tabs>
          <w:tab w:pos="1393" w:val="left" w:leader="none"/>
        </w:tabs>
        <w:spacing w:line="240" w:lineRule="auto" w:before="90" w:after="0"/>
        <w:ind w:left="1392" w:right="760" w:hanging="706"/>
        <w:jc w:val="both"/>
        <w:rPr>
          <w:sz w:val="24"/>
        </w:rPr>
      </w:pPr>
      <w:r>
        <w:rPr>
          <w:sz w:val="24"/>
        </w:rPr>
        <w:t>Lai</w:t>
      </w:r>
      <w:r>
        <w:rPr>
          <w:spacing w:val="-12"/>
          <w:sz w:val="24"/>
        </w:rPr>
        <w:t> </w:t>
      </w:r>
      <w:r>
        <w:rPr>
          <w:sz w:val="24"/>
        </w:rPr>
        <w:t>fiziskās</w:t>
      </w:r>
      <w:r>
        <w:rPr>
          <w:spacing w:val="-11"/>
          <w:sz w:val="24"/>
        </w:rPr>
        <w:t> </w:t>
      </w:r>
      <w:r>
        <w:rPr>
          <w:sz w:val="24"/>
        </w:rPr>
        <w:t>personas</w:t>
      </w:r>
      <w:r>
        <w:rPr>
          <w:spacing w:val="-11"/>
          <w:sz w:val="24"/>
        </w:rPr>
        <w:t> </w:t>
      </w:r>
      <w:r>
        <w:rPr>
          <w:sz w:val="24"/>
        </w:rPr>
        <w:t>maksātnespējas</w:t>
      </w:r>
      <w:r>
        <w:rPr>
          <w:spacing w:val="-13"/>
          <w:sz w:val="24"/>
        </w:rPr>
        <w:t> </w:t>
      </w:r>
      <w:r>
        <w:rPr>
          <w:sz w:val="24"/>
        </w:rPr>
        <w:t>process</w:t>
      </w:r>
      <w:r>
        <w:rPr>
          <w:spacing w:val="-11"/>
          <w:sz w:val="24"/>
        </w:rPr>
        <w:t> </w:t>
      </w:r>
      <w:r>
        <w:rPr>
          <w:sz w:val="24"/>
        </w:rPr>
        <w:t>būtu</w:t>
      </w:r>
      <w:r>
        <w:rPr>
          <w:spacing w:val="-9"/>
          <w:sz w:val="24"/>
        </w:rPr>
        <w:t> </w:t>
      </w:r>
      <w:r>
        <w:rPr>
          <w:sz w:val="24"/>
        </w:rPr>
        <w:t>pieejamāks</w:t>
      </w:r>
      <w:r>
        <w:rPr>
          <w:spacing w:val="-11"/>
          <w:sz w:val="24"/>
        </w:rPr>
        <w:t> </w:t>
      </w:r>
      <w:r>
        <w:rPr>
          <w:sz w:val="24"/>
        </w:rPr>
        <w:t>personām,</w:t>
      </w:r>
      <w:r>
        <w:rPr>
          <w:spacing w:val="-11"/>
          <w:sz w:val="24"/>
        </w:rPr>
        <w:t> </w:t>
      </w:r>
      <w:r>
        <w:rPr>
          <w:sz w:val="24"/>
        </w:rPr>
        <w:t>kuras finansiālās grūtībās nonākušas objektīvu apstākļu dēļ, iesakām ieviest instrumentu pakāpeniskai maksātnespējas procesa depozīta segšanai. Visoptimālāk</w:t>
      </w:r>
      <w:r>
        <w:rPr>
          <w:spacing w:val="-9"/>
          <w:sz w:val="24"/>
        </w:rPr>
        <w:t> </w:t>
      </w:r>
      <w:r>
        <w:rPr>
          <w:sz w:val="24"/>
        </w:rPr>
        <w:t>to</w:t>
      </w:r>
      <w:r>
        <w:rPr>
          <w:spacing w:val="-9"/>
          <w:sz w:val="24"/>
        </w:rPr>
        <w:t> </w:t>
      </w:r>
      <w:r>
        <w:rPr>
          <w:sz w:val="24"/>
        </w:rPr>
        <w:t>varētu</w:t>
      </w:r>
      <w:r>
        <w:rPr>
          <w:spacing w:val="-6"/>
          <w:sz w:val="24"/>
        </w:rPr>
        <w:t> </w:t>
      </w:r>
      <w:r>
        <w:rPr>
          <w:sz w:val="24"/>
        </w:rPr>
        <w:t>regulēt</w:t>
      </w:r>
      <w:r>
        <w:rPr>
          <w:spacing w:val="-6"/>
          <w:sz w:val="24"/>
        </w:rPr>
        <w:t> </w:t>
      </w:r>
      <w:r>
        <w:rPr>
          <w:sz w:val="24"/>
        </w:rPr>
        <w:t>ar</w:t>
      </w:r>
      <w:r>
        <w:rPr>
          <w:spacing w:val="-9"/>
          <w:sz w:val="24"/>
        </w:rPr>
        <w:t> </w:t>
      </w:r>
      <w:r>
        <w:rPr>
          <w:sz w:val="24"/>
        </w:rPr>
        <w:t>valsts</w:t>
      </w:r>
      <w:r>
        <w:rPr>
          <w:spacing w:val="-6"/>
          <w:sz w:val="24"/>
        </w:rPr>
        <w:t> </w:t>
      </w:r>
      <w:r>
        <w:rPr>
          <w:sz w:val="24"/>
        </w:rPr>
        <w:t>piešķirtu</w:t>
      </w:r>
      <w:r>
        <w:rPr>
          <w:spacing w:val="-9"/>
          <w:sz w:val="24"/>
        </w:rPr>
        <w:t> </w:t>
      </w:r>
      <w:r>
        <w:rPr>
          <w:sz w:val="24"/>
        </w:rPr>
        <w:t>bezprocentu</w:t>
      </w:r>
      <w:r>
        <w:rPr>
          <w:spacing w:val="-6"/>
          <w:sz w:val="24"/>
        </w:rPr>
        <w:t> </w:t>
      </w:r>
      <w:r>
        <w:rPr>
          <w:sz w:val="24"/>
        </w:rPr>
        <w:t>aizdevumu,</w:t>
      </w:r>
      <w:r>
        <w:rPr>
          <w:spacing w:val="-9"/>
          <w:sz w:val="24"/>
        </w:rPr>
        <w:t> </w:t>
      </w:r>
      <w:r>
        <w:rPr>
          <w:sz w:val="24"/>
        </w:rPr>
        <w:t>kuru parādniekam būtu pienākums pakāpeniski segt uzreiz pēc maksātnespējas procesa pasludināšanas vai saistību dzēšanas procedūras laikā, atstājot tiesas ziņā noteikt ikmēneša maksājuma apmēru. Piemēram, iesniedzot pieteikumu tiesā, parādnieks varētu lūgt tiesu lemt par maksātnespējas procesa depozīta sākotnējo</w:t>
      </w:r>
      <w:r>
        <w:rPr>
          <w:spacing w:val="-11"/>
          <w:sz w:val="24"/>
        </w:rPr>
        <w:t> </w:t>
      </w:r>
      <w:r>
        <w:rPr>
          <w:sz w:val="24"/>
        </w:rPr>
        <w:t>segšanu</w:t>
      </w:r>
      <w:r>
        <w:rPr>
          <w:spacing w:val="-11"/>
          <w:sz w:val="24"/>
        </w:rPr>
        <w:t> </w:t>
      </w:r>
      <w:r>
        <w:rPr>
          <w:sz w:val="24"/>
        </w:rPr>
        <w:t>no</w:t>
      </w:r>
      <w:r>
        <w:rPr>
          <w:spacing w:val="-10"/>
          <w:sz w:val="24"/>
        </w:rPr>
        <w:t> </w:t>
      </w:r>
      <w:r>
        <w:rPr>
          <w:sz w:val="24"/>
        </w:rPr>
        <w:t>budžeta</w:t>
      </w:r>
      <w:r>
        <w:rPr>
          <w:spacing w:val="-11"/>
          <w:sz w:val="24"/>
        </w:rPr>
        <w:t> </w:t>
      </w:r>
      <w:r>
        <w:rPr>
          <w:sz w:val="24"/>
        </w:rPr>
        <w:t>līdzekļiem,</w:t>
      </w:r>
      <w:r>
        <w:rPr>
          <w:spacing w:val="-11"/>
          <w:sz w:val="24"/>
        </w:rPr>
        <w:t> </w:t>
      </w:r>
      <w:r>
        <w:rPr>
          <w:sz w:val="24"/>
        </w:rPr>
        <w:t>un</w:t>
      </w:r>
      <w:r>
        <w:rPr>
          <w:spacing w:val="-10"/>
          <w:sz w:val="24"/>
        </w:rPr>
        <w:t> </w:t>
      </w:r>
      <w:r>
        <w:rPr>
          <w:sz w:val="24"/>
        </w:rPr>
        <w:t>pozitīva</w:t>
      </w:r>
      <w:r>
        <w:rPr>
          <w:spacing w:val="-11"/>
          <w:sz w:val="24"/>
        </w:rPr>
        <w:t> </w:t>
      </w:r>
      <w:r>
        <w:rPr>
          <w:sz w:val="24"/>
        </w:rPr>
        <w:t>lēmuma</w:t>
      </w:r>
      <w:r>
        <w:rPr>
          <w:spacing w:val="-9"/>
          <w:sz w:val="24"/>
        </w:rPr>
        <w:t> </w:t>
      </w:r>
      <w:r>
        <w:rPr>
          <w:sz w:val="24"/>
        </w:rPr>
        <w:t>gadījumā</w:t>
      </w:r>
      <w:r>
        <w:rPr>
          <w:spacing w:val="-12"/>
          <w:sz w:val="24"/>
        </w:rPr>
        <w:t> </w:t>
      </w:r>
      <w:r>
        <w:rPr>
          <w:sz w:val="24"/>
        </w:rPr>
        <w:t>segt</w:t>
      </w:r>
      <w:r>
        <w:rPr>
          <w:spacing w:val="-8"/>
          <w:sz w:val="24"/>
        </w:rPr>
        <w:t> </w:t>
      </w:r>
      <w:r>
        <w:rPr>
          <w:sz w:val="24"/>
        </w:rPr>
        <w:t>šo summu, līdztekus maksātnespējas procesa izmaksu vai kreditoru prasījumu segšanai veicot maksājumus Valsts kasei. Šāda regulējuma gadījumā, lai novērstu negodprātību, būtu svarīgi paredzēt, ka valsts piešķirtais atbalsta maksājums ir fiziskās personas maksātnespējas procesā nedzēšamas saistības (respektīvi, ja parādnieka maksātnespējas process tiek izbeigts, nedzēšot saistības, tad valsts piešķirto līdzekļu parādsaistības nevarētu dzēst atkārtoti uzsāktajā maksātnespējas procesā). Tāpat šāda atbalsta saņemšanas iespēja būtu attiecināma tikai uz tiem gadījumiem, kad personai nespēja izpildīt saistības ir iestājusies objektīvu vai iepriekš neparedzamu apstākļu dēļ (slimība, darba zaudējums u.c.), par ko katrā konkrētā gadījumā lemtu</w:t>
      </w:r>
      <w:r>
        <w:rPr>
          <w:spacing w:val="-7"/>
          <w:sz w:val="24"/>
        </w:rPr>
        <w:t> </w:t>
      </w:r>
      <w:r>
        <w:rPr>
          <w:sz w:val="24"/>
        </w:rPr>
        <w:t>tiesa.</w:t>
      </w:r>
    </w:p>
    <w:p>
      <w:pPr>
        <w:spacing w:after="0" w:line="240" w:lineRule="auto"/>
        <w:jc w:val="both"/>
        <w:rPr>
          <w:sz w:val="24"/>
        </w:rPr>
        <w:sectPr>
          <w:pgSz w:w="11910" w:h="16840"/>
          <w:pgMar w:header="0" w:footer="1055" w:top="1340" w:bottom="1240" w:left="1180" w:right="1040"/>
        </w:sectPr>
      </w:pPr>
    </w:p>
    <w:p>
      <w:pPr>
        <w:pStyle w:val="ListParagraph"/>
        <w:numPr>
          <w:ilvl w:val="0"/>
          <w:numId w:val="131"/>
        </w:numPr>
        <w:tabs>
          <w:tab w:pos="1753" w:val="left" w:leader="none"/>
        </w:tabs>
        <w:spacing w:line="240" w:lineRule="auto" w:before="73" w:after="0"/>
        <w:ind w:left="1752" w:right="402" w:hanging="706"/>
        <w:jc w:val="both"/>
        <w:rPr>
          <w:sz w:val="24"/>
        </w:rPr>
      </w:pPr>
      <w:r>
        <w:rPr>
          <w:sz w:val="24"/>
        </w:rPr>
        <w:t>Īpašās situācijās (piemēram, ja nespēja izpildīt saistības ir iestājusies dēļ parādnieka invaliditātes), būtu paredzams arī regulējums parādnieka pilnīgai atbrīvošanai</w:t>
      </w:r>
      <w:r>
        <w:rPr>
          <w:spacing w:val="-10"/>
          <w:sz w:val="24"/>
        </w:rPr>
        <w:t> </w:t>
      </w:r>
      <w:r>
        <w:rPr>
          <w:sz w:val="24"/>
        </w:rPr>
        <w:t>no</w:t>
      </w:r>
      <w:r>
        <w:rPr>
          <w:spacing w:val="-9"/>
          <w:sz w:val="24"/>
        </w:rPr>
        <w:t> </w:t>
      </w:r>
      <w:r>
        <w:rPr>
          <w:sz w:val="24"/>
        </w:rPr>
        <w:t>maksātnespējas</w:t>
      </w:r>
      <w:r>
        <w:rPr>
          <w:spacing w:val="-10"/>
          <w:sz w:val="24"/>
        </w:rPr>
        <w:t> </w:t>
      </w:r>
      <w:r>
        <w:rPr>
          <w:sz w:val="24"/>
        </w:rPr>
        <w:t>procesa</w:t>
      </w:r>
      <w:r>
        <w:rPr>
          <w:spacing w:val="-9"/>
          <w:sz w:val="24"/>
        </w:rPr>
        <w:t> </w:t>
      </w:r>
      <w:r>
        <w:rPr>
          <w:sz w:val="24"/>
        </w:rPr>
        <w:t>izmaksu</w:t>
      </w:r>
      <w:r>
        <w:rPr>
          <w:spacing w:val="-9"/>
          <w:sz w:val="24"/>
        </w:rPr>
        <w:t> </w:t>
      </w:r>
      <w:r>
        <w:rPr>
          <w:sz w:val="24"/>
        </w:rPr>
        <w:t>segšanas,</w:t>
      </w:r>
      <w:r>
        <w:rPr>
          <w:spacing w:val="-10"/>
          <w:sz w:val="24"/>
        </w:rPr>
        <w:t> </w:t>
      </w:r>
      <w:r>
        <w:rPr>
          <w:sz w:val="24"/>
        </w:rPr>
        <w:t>izmaksas</w:t>
      </w:r>
      <w:r>
        <w:rPr>
          <w:spacing w:val="-11"/>
          <w:sz w:val="24"/>
        </w:rPr>
        <w:t> </w:t>
      </w:r>
      <w:r>
        <w:rPr>
          <w:sz w:val="24"/>
        </w:rPr>
        <w:t>finansējot no budžeta līdzekļiem (plašāks pamatojums norādīts pētījuma VI. nodaļas 8.punktā).</w:t>
      </w:r>
    </w:p>
    <w:p>
      <w:pPr>
        <w:pStyle w:val="BodyText"/>
        <w:jc w:val="left"/>
        <w:rPr>
          <w:sz w:val="26"/>
        </w:rPr>
      </w:pPr>
    </w:p>
    <w:p>
      <w:pPr>
        <w:pStyle w:val="BodyText"/>
        <w:spacing w:before="5"/>
        <w:jc w:val="left"/>
        <w:rPr>
          <w:sz w:val="22"/>
        </w:rPr>
      </w:pPr>
    </w:p>
    <w:p>
      <w:pPr>
        <w:pStyle w:val="ListParagraph"/>
        <w:numPr>
          <w:ilvl w:val="0"/>
          <w:numId w:val="119"/>
        </w:numPr>
        <w:tabs>
          <w:tab w:pos="1340" w:val="left" w:leader="none"/>
        </w:tabs>
        <w:spacing w:line="240" w:lineRule="auto" w:before="0" w:after="0"/>
        <w:ind w:left="1340" w:right="0" w:hanging="360"/>
        <w:jc w:val="left"/>
        <w:rPr>
          <w:b/>
          <w:i/>
          <w:sz w:val="24"/>
        </w:rPr>
      </w:pPr>
      <w:bookmarkStart w:name="_TOC_250003" w:id="75"/>
      <w:r>
        <w:rPr>
          <w:b/>
          <w:i/>
          <w:spacing w:val="-147"/>
          <w:sz w:val="24"/>
          <w:u w:val="thick"/>
        </w:rPr>
        <w:t>P</w:t>
      </w:r>
      <w:r>
        <w:rPr>
          <w:b/>
          <w:i/>
          <w:spacing w:val="89"/>
          <w:sz w:val="24"/>
        </w:rPr>
        <w:t> </w:t>
      </w:r>
      <w:bookmarkEnd w:id="75"/>
      <w:r>
        <w:rPr>
          <w:b/>
          <w:i/>
          <w:sz w:val="24"/>
          <w:u w:val="thick"/>
        </w:rPr>
        <w:t>arādnieka uzraudzība saistību dzēšanas procedūras laikā</w:t>
      </w:r>
    </w:p>
    <w:p>
      <w:pPr>
        <w:pStyle w:val="BodyText"/>
        <w:spacing w:before="9"/>
        <w:jc w:val="left"/>
        <w:rPr>
          <w:b/>
          <w:i/>
          <w:sz w:val="15"/>
        </w:rPr>
      </w:pPr>
    </w:p>
    <w:p>
      <w:pPr>
        <w:pStyle w:val="ListParagraph"/>
        <w:numPr>
          <w:ilvl w:val="0"/>
          <w:numId w:val="132"/>
        </w:numPr>
        <w:tabs>
          <w:tab w:pos="1753" w:val="left" w:leader="none"/>
        </w:tabs>
        <w:spacing w:line="240" w:lineRule="auto" w:before="90" w:after="0"/>
        <w:ind w:left="1752" w:right="402" w:hanging="706"/>
        <w:jc w:val="both"/>
        <w:rPr>
          <w:sz w:val="24"/>
        </w:rPr>
      </w:pPr>
      <w:r>
        <w:rPr>
          <w:sz w:val="24"/>
        </w:rPr>
        <w:t>Atbilstoši spēkā esošajam tiesiskajam regulējumam saistību dzēšanas procedūras laikā parādnieka kontrole ir nodota kreditoru iniciatīvas ziņā. Respektīvi, parādnieka kontrole saistību dzēšanas procedūras laikā ir īstenojama nevis pastāvīgi, bet tikai pēc kreditoru iniciatīvas. Kā secināms no anketēšanas rezultātiem, šāda likumā nostiprināta nostādne daudziem respondentiem</w:t>
      </w:r>
      <w:r>
        <w:rPr>
          <w:spacing w:val="-9"/>
          <w:sz w:val="24"/>
        </w:rPr>
        <w:t> </w:t>
      </w:r>
      <w:r>
        <w:rPr>
          <w:sz w:val="24"/>
        </w:rPr>
        <w:t>šķiet</w:t>
      </w:r>
      <w:r>
        <w:rPr>
          <w:spacing w:val="-8"/>
          <w:sz w:val="24"/>
        </w:rPr>
        <w:t> </w:t>
      </w:r>
      <w:r>
        <w:rPr>
          <w:sz w:val="24"/>
        </w:rPr>
        <w:t>nepieņemama,</w:t>
      </w:r>
      <w:r>
        <w:rPr>
          <w:spacing w:val="-9"/>
          <w:sz w:val="24"/>
        </w:rPr>
        <w:t> </w:t>
      </w:r>
      <w:r>
        <w:rPr>
          <w:sz w:val="24"/>
        </w:rPr>
        <w:t>paužot</w:t>
      </w:r>
      <w:r>
        <w:rPr>
          <w:spacing w:val="-5"/>
          <w:sz w:val="24"/>
        </w:rPr>
        <w:t> </w:t>
      </w:r>
      <w:r>
        <w:rPr>
          <w:sz w:val="24"/>
        </w:rPr>
        <w:t>viedokli</w:t>
      </w:r>
      <w:r>
        <w:rPr>
          <w:spacing w:val="-6"/>
          <w:sz w:val="24"/>
        </w:rPr>
        <w:t> </w:t>
      </w:r>
      <w:r>
        <w:rPr>
          <w:sz w:val="24"/>
        </w:rPr>
        <w:t>par</w:t>
      </w:r>
      <w:r>
        <w:rPr>
          <w:spacing w:val="-11"/>
          <w:sz w:val="24"/>
        </w:rPr>
        <w:t> </w:t>
      </w:r>
      <w:r>
        <w:rPr>
          <w:sz w:val="24"/>
        </w:rPr>
        <w:t>nepieciešamību</w:t>
      </w:r>
      <w:r>
        <w:rPr>
          <w:spacing w:val="-8"/>
          <w:sz w:val="24"/>
        </w:rPr>
        <w:t> </w:t>
      </w:r>
      <w:r>
        <w:rPr>
          <w:sz w:val="24"/>
        </w:rPr>
        <w:t>noteikt papildus mehānismus parādnieka kontrolei, kā arī paplašināt maksātnespējas procesa administratoru un/vai tiesas lomu parādnieku</w:t>
      </w:r>
      <w:r>
        <w:rPr>
          <w:spacing w:val="1"/>
          <w:sz w:val="24"/>
        </w:rPr>
        <w:t> </w:t>
      </w:r>
      <w:r>
        <w:rPr>
          <w:sz w:val="24"/>
        </w:rPr>
        <w:t>kontrolē.</w:t>
      </w:r>
    </w:p>
    <w:p>
      <w:pPr>
        <w:pStyle w:val="BodyText"/>
        <w:jc w:val="left"/>
      </w:pPr>
    </w:p>
    <w:p>
      <w:pPr>
        <w:pStyle w:val="ListParagraph"/>
        <w:numPr>
          <w:ilvl w:val="0"/>
          <w:numId w:val="132"/>
        </w:numPr>
        <w:tabs>
          <w:tab w:pos="1753" w:val="left" w:leader="none"/>
        </w:tabs>
        <w:spacing w:line="240" w:lineRule="auto" w:before="0" w:after="0"/>
        <w:ind w:left="1752" w:right="403" w:hanging="706"/>
        <w:jc w:val="both"/>
        <w:rPr>
          <w:sz w:val="24"/>
        </w:rPr>
      </w:pPr>
      <w:r>
        <w:rPr>
          <w:sz w:val="24"/>
        </w:rPr>
        <w:t>Lai arī stingrāka parādnieku kontrole saistību dzēšanas procedūras laikā nenoliedzami</w:t>
      </w:r>
      <w:r>
        <w:rPr>
          <w:spacing w:val="-6"/>
          <w:sz w:val="24"/>
        </w:rPr>
        <w:t> </w:t>
      </w:r>
      <w:r>
        <w:rPr>
          <w:sz w:val="24"/>
        </w:rPr>
        <w:t>varētu</w:t>
      </w:r>
      <w:r>
        <w:rPr>
          <w:spacing w:val="-6"/>
          <w:sz w:val="24"/>
        </w:rPr>
        <w:t> </w:t>
      </w:r>
      <w:r>
        <w:rPr>
          <w:sz w:val="24"/>
        </w:rPr>
        <w:t>mazināt</w:t>
      </w:r>
      <w:r>
        <w:rPr>
          <w:spacing w:val="-8"/>
          <w:sz w:val="24"/>
        </w:rPr>
        <w:t> </w:t>
      </w:r>
      <w:r>
        <w:rPr>
          <w:sz w:val="24"/>
        </w:rPr>
        <w:t>parādnieku</w:t>
      </w:r>
      <w:r>
        <w:rPr>
          <w:spacing w:val="-3"/>
          <w:sz w:val="24"/>
        </w:rPr>
        <w:t> </w:t>
      </w:r>
      <w:r>
        <w:rPr>
          <w:sz w:val="24"/>
        </w:rPr>
        <w:t>negodprātību,</w:t>
      </w:r>
      <w:r>
        <w:rPr>
          <w:spacing w:val="-6"/>
          <w:sz w:val="24"/>
        </w:rPr>
        <w:t> </w:t>
      </w:r>
      <w:r>
        <w:rPr>
          <w:sz w:val="24"/>
        </w:rPr>
        <w:t>ir</w:t>
      </w:r>
      <w:r>
        <w:rPr>
          <w:spacing w:val="-6"/>
          <w:sz w:val="24"/>
        </w:rPr>
        <w:t> </w:t>
      </w:r>
      <w:r>
        <w:rPr>
          <w:sz w:val="24"/>
        </w:rPr>
        <w:t>būtiski</w:t>
      </w:r>
      <w:r>
        <w:rPr>
          <w:spacing w:val="-4"/>
          <w:sz w:val="24"/>
        </w:rPr>
        <w:t> </w:t>
      </w:r>
      <w:r>
        <w:rPr>
          <w:sz w:val="24"/>
        </w:rPr>
        <w:t>ņemt</w:t>
      </w:r>
      <w:r>
        <w:rPr>
          <w:spacing w:val="-3"/>
          <w:sz w:val="24"/>
        </w:rPr>
        <w:t> </w:t>
      </w:r>
      <w:r>
        <w:rPr>
          <w:sz w:val="24"/>
        </w:rPr>
        <w:t>vērā,</w:t>
      </w:r>
      <w:r>
        <w:rPr>
          <w:spacing w:val="-4"/>
          <w:sz w:val="24"/>
        </w:rPr>
        <w:t> </w:t>
      </w:r>
      <w:r>
        <w:rPr>
          <w:sz w:val="24"/>
        </w:rPr>
        <w:t>ka papildus kontroles mehānismi vai pastāvīga parādnieka kontrole nenoliedzami sarežģīs un sadārdzinās fiziskās personas maksātnespējas norisi (tieši šo apsvērumu dēļ vairumā valstu tāpat kā Latvijā parādnieka kontrole saistību dzēšanas procedūras laikā tiek veikta limitētā apmērā, nevis</w:t>
      </w:r>
      <w:r>
        <w:rPr>
          <w:spacing w:val="-8"/>
          <w:sz w:val="24"/>
        </w:rPr>
        <w:t> </w:t>
      </w:r>
      <w:r>
        <w:rPr>
          <w:sz w:val="24"/>
        </w:rPr>
        <w:t>pastāvīgi).</w:t>
      </w:r>
    </w:p>
    <w:p>
      <w:pPr>
        <w:pStyle w:val="BodyText"/>
        <w:jc w:val="left"/>
      </w:pPr>
    </w:p>
    <w:p>
      <w:pPr>
        <w:pStyle w:val="ListParagraph"/>
        <w:numPr>
          <w:ilvl w:val="0"/>
          <w:numId w:val="132"/>
        </w:numPr>
        <w:tabs>
          <w:tab w:pos="1753" w:val="left" w:leader="none"/>
        </w:tabs>
        <w:spacing w:line="240" w:lineRule="auto" w:before="0" w:after="0"/>
        <w:ind w:left="1752" w:right="402" w:hanging="706"/>
        <w:jc w:val="both"/>
        <w:rPr>
          <w:sz w:val="24"/>
        </w:rPr>
      </w:pPr>
      <w:r>
        <w:rPr>
          <w:sz w:val="24"/>
        </w:rPr>
        <w:t>Ņemot vērā to, ka vairums parādnieku tomēr ir godprātīgi, nav lietderīgi sarežģīt un sadārdzināt fiziskās personas maksātnespējas procesu,</w:t>
      </w:r>
      <w:r>
        <w:rPr>
          <w:spacing w:val="39"/>
          <w:sz w:val="24"/>
        </w:rPr>
        <w:t> </w:t>
      </w:r>
      <w:r>
        <w:rPr>
          <w:sz w:val="24"/>
        </w:rPr>
        <w:t>ieviešot papildus kontroles mehānismus, kas ir attiecināmi uz visiem fiziskās personas maksātnespējas procesiem. Vienlaikus jāņem vērā, ka ar kreditoru iniciatīvu nevar rēķināties, savukārt no parādnieku negodprātības cieš ne vien kreditori, bet</w:t>
      </w:r>
      <w:r>
        <w:rPr>
          <w:spacing w:val="-16"/>
          <w:sz w:val="24"/>
        </w:rPr>
        <w:t> </w:t>
      </w:r>
      <w:r>
        <w:rPr>
          <w:sz w:val="24"/>
        </w:rPr>
        <w:t>arī</w:t>
      </w:r>
      <w:r>
        <w:rPr>
          <w:spacing w:val="-12"/>
          <w:sz w:val="24"/>
        </w:rPr>
        <w:t> </w:t>
      </w:r>
      <w:r>
        <w:rPr>
          <w:sz w:val="24"/>
        </w:rPr>
        <w:t>sabiedrība</w:t>
      </w:r>
      <w:r>
        <w:rPr>
          <w:spacing w:val="32"/>
          <w:sz w:val="24"/>
        </w:rPr>
        <w:t> </w:t>
      </w:r>
      <w:r>
        <w:rPr>
          <w:sz w:val="24"/>
        </w:rPr>
        <w:t>(samazinās</w:t>
      </w:r>
      <w:r>
        <w:rPr>
          <w:spacing w:val="-17"/>
          <w:sz w:val="24"/>
        </w:rPr>
        <w:t> </w:t>
      </w:r>
      <w:r>
        <w:rPr>
          <w:sz w:val="24"/>
        </w:rPr>
        <w:t>saistību</w:t>
      </w:r>
      <w:r>
        <w:rPr>
          <w:spacing w:val="-15"/>
          <w:sz w:val="24"/>
        </w:rPr>
        <w:t> </w:t>
      </w:r>
      <w:r>
        <w:rPr>
          <w:sz w:val="24"/>
        </w:rPr>
        <w:t>izpildes</w:t>
      </w:r>
      <w:r>
        <w:rPr>
          <w:spacing w:val="-16"/>
          <w:sz w:val="24"/>
        </w:rPr>
        <w:t> </w:t>
      </w:r>
      <w:r>
        <w:rPr>
          <w:sz w:val="24"/>
        </w:rPr>
        <w:t>kultūra,</w:t>
      </w:r>
      <w:r>
        <w:rPr>
          <w:spacing w:val="-17"/>
          <w:sz w:val="24"/>
        </w:rPr>
        <w:t> </w:t>
      </w:r>
      <w:r>
        <w:rPr>
          <w:sz w:val="24"/>
        </w:rPr>
        <w:t>pieaug</w:t>
      </w:r>
      <w:r>
        <w:rPr>
          <w:spacing w:val="-17"/>
          <w:sz w:val="24"/>
        </w:rPr>
        <w:t> </w:t>
      </w:r>
      <w:r>
        <w:rPr>
          <w:sz w:val="24"/>
        </w:rPr>
        <w:t>kredīta</w:t>
      </w:r>
      <w:r>
        <w:rPr>
          <w:spacing w:val="-13"/>
          <w:sz w:val="24"/>
        </w:rPr>
        <w:t> </w:t>
      </w:r>
      <w:r>
        <w:rPr>
          <w:sz w:val="24"/>
        </w:rPr>
        <w:t>izmaksas, mazāki nodokļu ieņēmumi</w:t>
      </w:r>
      <w:r>
        <w:rPr>
          <w:spacing w:val="3"/>
          <w:sz w:val="24"/>
        </w:rPr>
        <w:t> </w:t>
      </w:r>
      <w:r>
        <w:rPr>
          <w:sz w:val="24"/>
        </w:rPr>
        <w:t>u.c.).</w:t>
      </w:r>
    </w:p>
    <w:p>
      <w:pPr>
        <w:pStyle w:val="BodyText"/>
        <w:jc w:val="left"/>
      </w:pPr>
    </w:p>
    <w:p>
      <w:pPr>
        <w:pStyle w:val="ListParagraph"/>
        <w:numPr>
          <w:ilvl w:val="0"/>
          <w:numId w:val="132"/>
        </w:numPr>
        <w:tabs>
          <w:tab w:pos="1753" w:val="left" w:leader="none"/>
        </w:tabs>
        <w:spacing w:line="240" w:lineRule="auto" w:before="1" w:after="0"/>
        <w:ind w:left="1752" w:right="403" w:hanging="706"/>
        <w:jc w:val="both"/>
        <w:rPr>
          <w:sz w:val="24"/>
        </w:rPr>
      </w:pPr>
      <w:r>
        <w:rPr>
          <w:sz w:val="24"/>
        </w:rPr>
        <w:t>Tādējādi būtu vēlams ieviest papildus kontroles mehānismu, kas tiek</w:t>
      </w:r>
      <w:r>
        <w:rPr>
          <w:spacing w:val="-30"/>
          <w:sz w:val="24"/>
        </w:rPr>
        <w:t> </w:t>
      </w:r>
      <w:r>
        <w:rPr>
          <w:sz w:val="24"/>
        </w:rPr>
        <w:t>darbināts selektīvā kārtībā – piemēram, valsts finansētas Maksātnespējas kontroles dienesta pārbaudes (budžetā paredzot, ka katru gadu tiek veikts noteikta skaita parādnieku pārbaude saistību dzēšanas procedūras laikā), paredzot Maksātnespējas kontroles dienestam tiesības pārkāpuma konstatēšanas gadījumā</w:t>
      </w:r>
      <w:r>
        <w:rPr>
          <w:spacing w:val="-12"/>
          <w:sz w:val="24"/>
        </w:rPr>
        <w:t> </w:t>
      </w:r>
      <w:r>
        <w:rPr>
          <w:sz w:val="24"/>
        </w:rPr>
        <w:t>iesniegt</w:t>
      </w:r>
      <w:r>
        <w:rPr>
          <w:spacing w:val="-12"/>
          <w:sz w:val="24"/>
        </w:rPr>
        <w:t> </w:t>
      </w:r>
      <w:r>
        <w:rPr>
          <w:sz w:val="24"/>
        </w:rPr>
        <w:t>tiesā</w:t>
      </w:r>
      <w:r>
        <w:rPr>
          <w:spacing w:val="-13"/>
          <w:sz w:val="24"/>
        </w:rPr>
        <w:t> </w:t>
      </w:r>
      <w:r>
        <w:rPr>
          <w:sz w:val="24"/>
        </w:rPr>
        <w:t>pieteikumu</w:t>
      </w:r>
      <w:r>
        <w:rPr>
          <w:spacing w:val="-10"/>
          <w:sz w:val="24"/>
        </w:rPr>
        <w:t> </w:t>
      </w:r>
      <w:r>
        <w:rPr>
          <w:sz w:val="24"/>
        </w:rPr>
        <w:t>par</w:t>
      </w:r>
      <w:r>
        <w:rPr>
          <w:spacing w:val="-15"/>
          <w:sz w:val="24"/>
        </w:rPr>
        <w:t> </w:t>
      </w:r>
      <w:r>
        <w:rPr>
          <w:sz w:val="24"/>
        </w:rPr>
        <w:t>saistību</w:t>
      </w:r>
      <w:r>
        <w:rPr>
          <w:spacing w:val="-11"/>
          <w:sz w:val="24"/>
        </w:rPr>
        <w:t> </w:t>
      </w:r>
      <w:r>
        <w:rPr>
          <w:sz w:val="24"/>
        </w:rPr>
        <w:t>dzēšanas</w:t>
      </w:r>
      <w:r>
        <w:rPr>
          <w:spacing w:val="-12"/>
          <w:sz w:val="24"/>
        </w:rPr>
        <w:t> </w:t>
      </w:r>
      <w:r>
        <w:rPr>
          <w:sz w:val="24"/>
        </w:rPr>
        <w:t>procedūras</w:t>
      </w:r>
      <w:r>
        <w:rPr>
          <w:spacing w:val="-12"/>
          <w:sz w:val="24"/>
        </w:rPr>
        <w:t> </w:t>
      </w:r>
      <w:r>
        <w:rPr>
          <w:sz w:val="24"/>
        </w:rPr>
        <w:t>izbeigšanu vai nelabvēlīgāku saistību dzēšanas procedūras noteikumu noteikšanu</w:t>
      </w:r>
      <w:r>
        <w:rPr>
          <w:spacing w:val="-34"/>
          <w:sz w:val="24"/>
        </w:rPr>
        <w:t> </w:t>
      </w:r>
      <w:r>
        <w:rPr>
          <w:sz w:val="24"/>
        </w:rPr>
        <w:t>(plašāks pamatojums norādīts pētījuma VI. nodaļas 9.punktā).</w:t>
      </w:r>
    </w:p>
    <w:p>
      <w:pPr>
        <w:pStyle w:val="BodyText"/>
        <w:jc w:val="left"/>
      </w:pPr>
    </w:p>
    <w:p>
      <w:pPr>
        <w:pStyle w:val="ListParagraph"/>
        <w:numPr>
          <w:ilvl w:val="0"/>
          <w:numId w:val="132"/>
        </w:numPr>
        <w:tabs>
          <w:tab w:pos="1753" w:val="left" w:leader="none"/>
        </w:tabs>
        <w:spacing w:line="240" w:lineRule="auto" w:before="0" w:after="0"/>
        <w:ind w:left="1752" w:right="403" w:hanging="706"/>
        <w:jc w:val="both"/>
        <w:rPr>
          <w:sz w:val="24"/>
        </w:rPr>
      </w:pPr>
      <w:r>
        <w:rPr>
          <w:sz w:val="24"/>
        </w:rPr>
        <w:t>Vajadzību pēc parādnieka kontroles saistību dzēšanas procedūras laikā var būtiski samazināt, mainot pieeju jautājumā par parādnieka pienākumu veikt maksājumus saistību dzēšanas procedūras laikā. Proti, Maksātnespējas likumā ir iekļauta tā saucamā “plūstošo” maksājumu sistēma, kas paredz</w:t>
      </w:r>
      <w:r>
        <w:rPr>
          <w:spacing w:val="-28"/>
          <w:sz w:val="24"/>
        </w:rPr>
        <w:t> </w:t>
      </w:r>
      <w:r>
        <w:rPr>
          <w:sz w:val="24"/>
        </w:rPr>
        <w:t>parādniekam saistību dzēšanas procedūras laikā kreditoru prasījumu segšanai novirzīt 1/3 daļu no saviem faktiskajiem ienākumiem. Lai šāda sistēma sevi attaisnotu, ir nepieciešami efektīvi parādnieka kontroles mehānismi, ar kuru palīdzību</w:t>
      </w:r>
      <w:r>
        <w:rPr>
          <w:spacing w:val="51"/>
          <w:sz w:val="24"/>
        </w:rPr>
        <w:t> </w:t>
      </w:r>
      <w:r>
        <w:rPr>
          <w:sz w:val="24"/>
        </w:rPr>
        <w:t>tiek</w:t>
      </w:r>
    </w:p>
    <w:p>
      <w:pPr>
        <w:spacing w:after="0" w:line="240" w:lineRule="auto"/>
        <w:jc w:val="both"/>
        <w:rPr>
          <w:sz w:val="24"/>
        </w:rPr>
        <w:sectPr>
          <w:pgSz w:w="11910" w:h="16840"/>
          <w:pgMar w:header="0" w:footer="1055" w:top="1340" w:bottom="1240" w:left="1180" w:right="1040"/>
        </w:sectPr>
      </w:pPr>
    </w:p>
    <w:p>
      <w:pPr>
        <w:pStyle w:val="BodyText"/>
        <w:spacing w:before="73"/>
        <w:ind w:left="1392" w:right="763"/>
      </w:pPr>
      <w:r>
        <w:rPr/>
        <w:t>pārbaudīts tas, vai parādnieks, pieaugot ienākumiem, ir godprātīgi palielinājis arī kreditoriem maksājamo summu.</w:t>
      </w:r>
    </w:p>
    <w:p>
      <w:pPr>
        <w:pStyle w:val="BodyText"/>
        <w:jc w:val="left"/>
      </w:pPr>
    </w:p>
    <w:p>
      <w:pPr>
        <w:pStyle w:val="BodyText"/>
        <w:ind w:left="1392" w:right="763"/>
      </w:pPr>
      <w:r>
        <w:rPr/>
        <w:t>Šāda kontrole nav nepieciešama, ja parādniekam saistību dzēšanas procedūras laikā ir jāveic fiksēts maksājums, kurš nemainās, pieaugot parādnieka faktiskajiem ienākumiem - tā saucamā “fiksēto maksājumu” sistēma (Dānijas, Polijas</w:t>
      </w:r>
      <w:r>
        <w:rPr>
          <w:spacing w:val="-10"/>
        </w:rPr>
        <w:t> </w:t>
      </w:r>
      <w:r>
        <w:rPr/>
        <w:t>pieeja).</w:t>
      </w:r>
      <w:r>
        <w:rPr>
          <w:spacing w:val="-8"/>
        </w:rPr>
        <w:t> </w:t>
      </w:r>
      <w:r>
        <w:rPr/>
        <w:t>Tādējādi</w:t>
      </w:r>
      <w:r>
        <w:rPr>
          <w:spacing w:val="-5"/>
        </w:rPr>
        <w:t> </w:t>
      </w:r>
      <w:r>
        <w:rPr/>
        <w:t>parādnieku</w:t>
      </w:r>
      <w:r>
        <w:rPr>
          <w:spacing w:val="-5"/>
        </w:rPr>
        <w:t> </w:t>
      </w:r>
      <w:r>
        <w:rPr/>
        <w:t>kontroles</w:t>
      </w:r>
      <w:r>
        <w:rPr>
          <w:spacing w:val="-10"/>
        </w:rPr>
        <w:t> </w:t>
      </w:r>
      <w:r>
        <w:rPr/>
        <w:t>problemātiku</w:t>
      </w:r>
      <w:r>
        <w:rPr>
          <w:spacing w:val="-8"/>
        </w:rPr>
        <w:t> </w:t>
      </w:r>
      <w:r>
        <w:rPr/>
        <w:t>var</w:t>
      </w:r>
      <w:r>
        <w:rPr>
          <w:spacing w:val="-5"/>
        </w:rPr>
        <w:t> </w:t>
      </w:r>
      <w:r>
        <w:rPr/>
        <w:t>risināt</w:t>
      </w:r>
      <w:r>
        <w:rPr>
          <w:spacing w:val="-10"/>
        </w:rPr>
        <w:t> </w:t>
      </w:r>
      <w:r>
        <w:rPr/>
        <w:t>nevis</w:t>
      </w:r>
      <w:r>
        <w:rPr>
          <w:spacing w:val="-8"/>
        </w:rPr>
        <w:t> </w:t>
      </w:r>
      <w:r>
        <w:rPr/>
        <w:t>ar jaunu kontroles mehānismu ieviešanu, bet gan ieviešot “fiksēto maksājumu” sistēmu.</w:t>
      </w:r>
    </w:p>
    <w:p>
      <w:pPr>
        <w:pStyle w:val="BodyText"/>
        <w:jc w:val="left"/>
      </w:pPr>
    </w:p>
    <w:p>
      <w:pPr>
        <w:pStyle w:val="BodyText"/>
        <w:ind w:left="1392" w:right="762"/>
      </w:pPr>
      <w:r>
        <w:rPr/>
        <w:t>Katrai no šīm sistēmām ir savas pozitīvās un negatīvās iezīmes, un izšķiršanās par labu vienai no tām lielā mērā ir saistīta ar to, kādas intereses tiesību politikas veidotājs atzīst par prioritāri aizsargājamām (plašāks pamatojums norādīts 3.priekšlikuma aprakstā).</w:t>
      </w:r>
    </w:p>
    <w:p>
      <w:pPr>
        <w:pStyle w:val="BodyText"/>
        <w:jc w:val="left"/>
        <w:rPr>
          <w:sz w:val="26"/>
        </w:rPr>
      </w:pPr>
    </w:p>
    <w:p>
      <w:pPr>
        <w:pStyle w:val="BodyText"/>
        <w:spacing w:before="5"/>
        <w:jc w:val="left"/>
        <w:rPr>
          <w:sz w:val="22"/>
        </w:rPr>
      </w:pPr>
    </w:p>
    <w:p>
      <w:pPr>
        <w:pStyle w:val="ListParagraph"/>
        <w:numPr>
          <w:ilvl w:val="0"/>
          <w:numId w:val="119"/>
        </w:numPr>
        <w:tabs>
          <w:tab w:pos="980" w:val="left" w:leader="none"/>
        </w:tabs>
        <w:spacing w:line="240" w:lineRule="auto" w:before="0" w:after="0"/>
        <w:ind w:left="980" w:right="0" w:hanging="360"/>
        <w:jc w:val="left"/>
        <w:rPr>
          <w:b/>
          <w:i/>
          <w:sz w:val="24"/>
        </w:rPr>
      </w:pPr>
      <w:bookmarkStart w:name="_TOC_250002" w:id="76"/>
      <w:r>
        <w:rPr>
          <w:b/>
          <w:i/>
          <w:spacing w:val="-147"/>
          <w:sz w:val="24"/>
          <w:u w:val="thick"/>
        </w:rPr>
        <w:t>P</w:t>
      </w:r>
      <w:r>
        <w:rPr>
          <w:b/>
          <w:i/>
          <w:spacing w:val="89"/>
          <w:sz w:val="24"/>
        </w:rPr>
        <w:t> </w:t>
      </w:r>
      <w:r>
        <w:rPr>
          <w:b/>
          <w:i/>
          <w:sz w:val="24"/>
          <w:u w:val="thick"/>
        </w:rPr>
        <w:t>ārsūdzamo tiesu nolēmumu loka</w:t>
      </w:r>
      <w:r>
        <w:rPr>
          <w:b/>
          <w:i/>
          <w:spacing w:val="-1"/>
          <w:sz w:val="24"/>
          <w:u w:val="thick"/>
        </w:rPr>
        <w:t> </w:t>
      </w:r>
      <w:bookmarkEnd w:id="76"/>
      <w:r>
        <w:rPr>
          <w:b/>
          <w:i/>
          <w:sz w:val="24"/>
          <w:u w:val="thick"/>
        </w:rPr>
        <w:t>paplašināšana</w:t>
      </w:r>
    </w:p>
    <w:p>
      <w:pPr>
        <w:pStyle w:val="BodyText"/>
        <w:spacing w:before="9"/>
        <w:jc w:val="left"/>
        <w:rPr>
          <w:b/>
          <w:i/>
          <w:sz w:val="15"/>
        </w:rPr>
      </w:pPr>
    </w:p>
    <w:p>
      <w:pPr>
        <w:pStyle w:val="ListParagraph"/>
        <w:numPr>
          <w:ilvl w:val="0"/>
          <w:numId w:val="133"/>
        </w:numPr>
        <w:tabs>
          <w:tab w:pos="1393" w:val="left" w:leader="none"/>
        </w:tabs>
        <w:spacing w:line="240" w:lineRule="auto" w:before="90" w:after="0"/>
        <w:ind w:left="1392" w:right="761" w:hanging="706"/>
        <w:jc w:val="both"/>
        <w:rPr>
          <w:sz w:val="24"/>
        </w:rPr>
      </w:pPr>
      <w:r>
        <w:rPr>
          <w:sz w:val="24"/>
        </w:rPr>
        <w:t>Latvijā atšķirībā no, piemēram, Vācijas un Igaunijas, fiziskās personas maksātnespējas procesa ietvaros pieņemtie tiesu nolēmumi tikai izņēmuma kārtā ir pārsūdzami. Šāda pieeja lielā mērā sakņojas juridisko personu maksātnespējas</w:t>
      </w:r>
      <w:r>
        <w:rPr>
          <w:spacing w:val="-9"/>
          <w:sz w:val="24"/>
        </w:rPr>
        <w:t> </w:t>
      </w:r>
      <w:r>
        <w:rPr>
          <w:sz w:val="24"/>
        </w:rPr>
        <w:t>procesa</w:t>
      </w:r>
      <w:r>
        <w:rPr>
          <w:spacing w:val="-9"/>
          <w:sz w:val="24"/>
        </w:rPr>
        <w:t> </w:t>
      </w:r>
      <w:r>
        <w:rPr>
          <w:sz w:val="24"/>
        </w:rPr>
        <w:t>tiesiskajā</w:t>
      </w:r>
      <w:r>
        <w:rPr>
          <w:spacing w:val="-8"/>
          <w:sz w:val="24"/>
        </w:rPr>
        <w:t> </w:t>
      </w:r>
      <w:r>
        <w:rPr>
          <w:sz w:val="24"/>
        </w:rPr>
        <w:t>regulējumā.</w:t>
      </w:r>
      <w:r>
        <w:rPr>
          <w:spacing w:val="-9"/>
          <w:sz w:val="24"/>
        </w:rPr>
        <w:t> </w:t>
      </w:r>
      <w:r>
        <w:rPr>
          <w:sz w:val="24"/>
        </w:rPr>
        <w:t>Taču</w:t>
      </w:r>
      <w:r>
        <w:rPr>
          <w:spacing w:val="-8"/>
          <w:sz w:val="24"/>
        </w:rPr>
        <w:t> </w:t>
      </w:r>
      <w:r>
        <w:rPr>
          <w:sz w:val="24"/>
        </w:rPr>
        <w:t>ir</w:t>
      </w:r>
      <w:r>
        <w:rPr>
          <w:spacing w:val="-9"/>
          <w:sz w:val="24"/>
        </w:rPr>
        <w:t> </w:t>
      </w:r>
      <w:r>
        <w:rPr>
          <w:sz w:val="24"/>
        </w:rPr>
        <w:t>samērā</w:t>
      </w:r>
      <w:r>
        <w:rPr>
          <w:spacing w:val="-9"/>
          <w:sz w:val="24"/>
        </w:rPr>
        <w:t> </w:t>
      </w:r>
      <w:r>
        <w:rPr>
          <w:sz w:val="24"/>
        </w:rPr>
        <w:t>diskutabli,</w:t>
      </w:r>
      <w:r>
        <w:rPr>
          <w:spacing w:val="-8"/>
          <w:sz w:val="24"/>
        </w:rPr>
        <w:t> </w:t>
      </w:r>
      <w:r>
        <w:rPr>
          <w:sz w:val="24"/>
        </w:rPr>
        <w:t>ciktāl jautājumā par tiesu nolēmumu pārsūdzamību var likt vienādības zīmi starp juridiskās personas maksātnespējas procesu un fiziskās personas maksātnespējas</w:t>
      </w:r>
      <w:r>
        <w:rPr>
          <w:spacing w:val="-1"/>
          <w:sz w:val="24"/>
        </w:rPr>
        <w:t> </w:t>
      </w:r>
      <w:r>
        <w:rPr>
          <w:sz w:val="24"/>
        </w:rPr>
        <w:t>procesu.</w:t>
      </w:r>
    </w:p>
    <w:p>
      <w:pPr>
        <w:pStyle w:val="BodyText"/>
        <w:jc w:val="left"/>
      </w:pPr>
    </w:p>
    <w:p>
      <w:pPr>
        <w:pStyle w:val="ListParagraph"/>
        <w:numPr>
          <w:ilvl w:val="0"/>
          <w:numId w:val="133"/>
        </w:numPr>
        <w:tabs>
          <w:tab w:pos="1393" w:val="left" w:leader="none"/>
        </w:tabs>
        <w:spacing w:line="240" w:lineRule="auto" w:before="0" w:after="0"/>
        <w:ind w:left="1392" w:right="763" w:hanging="706"/>
        <w:jc w:val="both"/>
        <w:rPr>
          <w:sz w:val="24"/>
        </w:rPr>
      </w:pPr>
      <w:r>
        <w:rPr>
          <w:sz w:val="24"/>
        </w:rPr>
        <w:t>Tādējādi arī Latvijā būtu vēlams noteikt plašāku pārsūdzamo tiesu nolēmumu klāstu fizisko personu maksātnespējas procesos. Piemēram, kā pārsūdzams būtu nosakāms lēmums par saistību dzēšanas procedūras izbeigšanu, dzēšot saistības un arī – nedzēšot saistības. Tādējādi tiktu nodrošināta iespēja parādniekam vai kreditoram efektīvāk aizsargāt savas pamatotās intereses, kā arī tiktu veicināta tiesu prakses vienveidība (plašāks pamatojums norādīts pētījuma VI. nodaļas</w:t>
      </w:r>
      <w:r>
        <w:rPr>
          <w:spacing w:val="-1"/>
          <w:sz w:val="24"/>
        </w:rPr>
        <w:t> </w:t>
      </w:r>
      <w:r>
        <w:rPr>
          <w:sz w:val="24"/>
        </w:rPr>
        <w:t>10.punktā).</w:t>
      </w:r>
    </w:p>
    <w:p>
      <w:pPr>
        <w:pStyle w:val="BodyText"/>
        <w:jc w:val="left"/>
        <w:rPr>
          <w:sz w:val="20"/>
        </w:rPr>
      </w:pPr>
    </w:p>
    <w:p>
      <w:pPr>
        <w:pStyle w:val="BodyText"/>
        <w:spacing w:before="7"/>
        <w:jc w:val="left"/>
        <w:rPr>
          <w:sz w:val="20"/>
        </w:rPr>
      </w:pPr>
    </w:p>
    <w:p>
      <w:pPr>
        <w:pStyle w:val="ListParagraph"/>
        <w:numPr>
          <w:ilvl w:val="0"/>
          <w:numId w:val="119"/>
        </w:numPr>
        <w:tabs>
          <w:tab w:pos="980" w:val="left" w:leader="none"/>
        </w:tabs>
        <w:spacing w:line="240" w:lineRule="auto" w:before="90" w:after="0"/>
        <w:ind w:left="980" w:right="0" w:hanging="360"/>
        <w:jc w:val="left"/>
        <w:rPr>
          <w:b/>
          <w:i/>
          <w:sz w:val="24"/>
        </w:rPr>
      </w:pPr>
      <w:bookmarkStart w:name="_TOC_250001" w:id="77"/>
      <w:r>
        <w:rPr>
          <w:b/>
          <w:i/>
          <w:spacing w:val="-161"/>
          <w:sz w:val="24"/>
          <w:u w:val="thick"/>
        </w:rPr>
        <w:t>C</w:t>
      </w:r>
      <w:r>
        <w:rPr>
          <w:b/>
          <w:i/>
          <w:spacing w:val="102"/>
          <w:sz w:val="24"/>
        </w:rPr>
        <w:t> </w:t>
      </w:r>
      <w:bookmarkEnd w:id="77"/>
      <w:r>
        <w:rPr>
          <w:b/>
          <w:i/>
          <w:sz w:val="24"/>
          <w:u w:val="thick"/>
        </w:rPr>
        <w:t>iti priekšlikumi</w:t>
      </w:r>
    </w:p>
    <w:p>
      <w:pPr>
        <w:pStyle w:val="BodyText"/>
        <w:spacing w:before="9"/>
        <w:jc w:val="left"/>
        <w:rPr>
          <w:b/>
          <w:i/>
          <w:sz w:val="15"/>
        </w:rPr>
      </w:pPr>
    </w:p>
    <w:p>
      <w:pPr>
        <w:pStyle w:val="BodyText"/>
        <w:spacing w:before="90"/>
        <w:ind w:left="260" w:firstLine="360"/>
        <w:jc w:val="left"/>
      </w:pPr>
      <w:r>
        <w:rPr/>
        <w:t>Ņemot vērā tiesu prakses analīzes laikā atklātos Maksātnespējas likuma tiesību normu piemērošanas problemātiskos aspektus, papildus tiek izvirzīti šādi priekšlikumi:</w:t>
      </w:r>
    </w:p>
    <w:p>
      <w:pPr>
        <w:pStyle w:val="BodyText"/>
        <w:jc w:val="left"/>
      </w:pPr>
    </w:p>
    <w:p>
      <w:pPr>
        <w:pStyle w:val="ListParagraph"/>
        <w:numPr>
          <w:ilvl w:val="0"/>
          <w:numId w:val="134"/>
        </w:numPr>
        <w:tabs>
          <w:tab w:pos="980" w:val="left" w:leader="none"/>
        </w:tabs>
        <w:spacing w:line="240" w:lineRule="auto" w:before="0" w:after="0"/>
        <w:ind w:left="980" w:right="762" w:hanging="360"/>
        <w:jc w:val="both"/>
        <w:rPr>
          <w:sz w:val="24"/>
        </w:rPr>
      </w:pPr>
      <w:r>
        <w:rPr>
          <w:b/>
          <w:i/>
          <w:sz w:val="24"/>
        </w:rPr>
        <w:t>Tiesas tiesības pieprasīt pierādījumus </w:t>
      </w:r>
      <w:r>
        <w:rPr>
          <w:sz w:val="24"/>
        </w:rPr>
        <w:t>- noteikt tiesai tiesības pašai pēc savas iniciatīvas pieprasīt pierādījumus fiziskās personas maksātnespējas procesa lietās (piemēram, situācijās, ja kreditori nav iesnieguši iebildumus, tomēr tiesai ir pamatotas šaubas par parādnieka</w:t>
      </w:r>
      <w:r>
        <w:rPr>
          <w:spacing w:val="-1"/>
          <w:sz w:val="24"/>
        </w:rPr>
        <w:t> </w:t>
      </w:r>
      <w:r>
        <w:rPr>
          <w:sz w:val="24"/>
        </w:rPr>
        <w:t>godprātību);</w:t>
      </w:r>
    </w:p>
    <w:p>
      <w:pPr>
        <w:pStyle w:val="BodyText"/>
        <w:jc w:val="left"/>
      </w:pPr>
    </w:p>
    <w:p>
      <w:pPr>
        <w:pStyle w:val="ListParagraph"/>
        <w:numPr>
          <w:ilvl w:val="0"/>
          <w:numId w:val="134"/>
        </w:numPr>
        <w:tabs>
          <w:tab w:pos="980" w:val="left" w:leader="none"/>
        </w:tabs>
        <w:spacing w:line="240" w:lineRule="auto" w:before="0" w:after="0"/>
        <w:ind w:left="980" w:right="761" w:hanging="360"/>
        <w:jc w:val="both"/>
        <w:rPr>
          <w:sz w:val="24"/>
        </w:rPr>
      </w:pPr>
      <w:r>
        <w:rPr>
          <w:b/>
          <w:i/>
          <w:sz w:val="24"/>
        </w:rPr>
        <w:t>Saistību dzēšanas sekas </w:t>
      </w:r>
      <w:r>
        <w:rPr>
          <w:sz w:val="24"/>
        </w:rPr>
        <w:t>– Maksātnespējas likumā nav regulējuma par saistību dzēšanas</w:t>
      </w:r>
      <w:r>
        <w:rPr>
          <w:spacing w:val="-13"/>
          <w:sz w:val="24"/>
        </w:rPr>
        <w:t> </w:t>
      </w:r>
      <w:r>
        <w:rPr>
          <w:sz w:val="24"/>
        </w:rPr>
        <w:t>tiesiskajām</w:t>
      </w:r>
      <w:r>
        <w:rPr>
          <w:spacing w:val="-13"/>
          <w:sz w:val="24"/>
        </w:rPr>
        <w:t> </w:t>
      </w:r>
      <w:r>
        <w:rPr>
          <w:sz w:val="24"/>
        </w:rPr>
        <w:t>sekām,</w:t>
      </w:r>
      <w:r>
        <w:rPr>
          <w:spacing w:val="-13"/>
          <w:sz w:val="24"/>
        </w:rPr>
        <w:t> </w:t>
      </w:r>
      <w:r>
        <w:rPr>
          <w:sz w:val="24"/>
        </w:rPr>
        <w:t>kā</w:t>
      </w:r>
      <w:r>
        <w:rPr>
          <w:spacing w:val="-13"/>
          <w:sz w:val="24"/>
        </w:rPr>
        <w:t> </w:t>
      </w:r>
      <w:r>
        <w:rPr>
          <w:sz w:val="24"/>
        </w:rPr>
        <w:t>rezultātā</w:t>
      </w:r>
      <w:r>
        <w:rPr>
          <w:spacing w:val="-13"/>
          <w:sz w:val="24"/>
        </w:rPr>
        <w:t> </w:t>
      </w:r>
      <w:r>
        <w:rPr>
          <w:sz w:val="24"/>
        </w:rPr>
        <w:t>tiesiskās</w:t>
      </w:r>
      <w:r>
        <w:rPr>
          <w:spacing w:val="-16"/>
          <w:sz w:val="24"/>
        </w:rPr>
        <w:t> </w:t>
      </w:r>
      <w:r>
        <w:rPr>
          <w:sz w:val="24"/>
        </w:rPr>
        <w:t>noteiktības</w:t>
      </w:r>
      <w:r>
        <w:rPr>
          <w:spacing w:val="-13"/>
          <w:sz w:val="24"/>
        </w:rPr>
        <w:t> </w:t>
      </w:r>
      <w:r>
        <w:rPr>
          <w:sz w:val="24"/>
        </w:rPr>
        <w:t>labad</w:t>
      </w:r>
      <w:r>
        <w:rPr>
          <w:spacing w:val="-13"/>
          <w:sz w:val="24"/>
        </w:rPr>
        <w:t> </w:t>
      </w:r>
      <w:r>
        <w:rPr>
          <w:sz w:val="24"/>
        </w:rPr>
        <w:t>tiesas</w:t>
      </w:r>
      <w:r>
        <w:rPr>
          <w:spacing w:val="-16"/>
          <w:sz w:val="24"/>
        </w:rPr>
        <w:t> </w:t>
      </w:r>
      <w:r>
        <w:rPr>
          <w:sz w:val="24"/>
        </w:rPr>
        <w:t>ir</w:t>
      </w:r>
      <w:r>
        <w:rPr>
          <w:spacing w:val="-13"/>
          <w:sz w:val="24"/>
        </w:rPr>
        <w:t> </w:t>
      </w:r>
      <w:r>
        <w:rPr>
          <w:sz w:val="24"/>
        </w:rPr>
        <w:t>spiestas veikt dzēšamo saistību aprēķinu, kā arī rezolutīvajā daļā uzskaitīt kreditorus, pret kuriem tiek dzēstas saistības. Šāda “grāmatveža” funkcija (kā to vairākās aptaujas anketās</w:t>
      </w:r>
      <w:r>
        <w:rPr>
          <w:spacing w:val="12"/>
          <w:sz w:val="24"/>
        </w:rPr>
        <w:t> </w:t>
      </w:r>
      <w:r>
        <w:rPr>
          <w:sz w:val="24"/>
        </w:rPr>
        <w:t>ir</w:t>
      </w:r>
      <w:r>
        <w:rPr>
          <w:spacing w:val="12"/>
          <w:sz w:val="24"/>
        </w:rPr>
        <w:t> </w:t>
      </w:r>
      <w:r>
        <w:rPr>
          <w:sz w:val="24"/>
        </w:rPr>
        <w:t>norādījuši</w:t>
      </w:r>
      <w:r>
        <w:rPr>
          <w:spacing w:val="12"/>
          <w:sz w:val="24"/>
        </w:rPr>
        <w:t> </w:t>
      </w:r>
      <w:r>
        <w:rPr>
          <w:sz w:val="24"/>
        </w:rPr>
        <w:t>tiesneši)</w:t>
      </w:r>
      <w:r>
        <w:rPr>
          <w:spacing w:val="12"/>
          <w:sz w:val="24"/>
        </w:rPr>
        <w:t> </w:t>
      </w:r>
      <w:r>
        <w:rPr>
          <w:sz w:val="24"/>
        </w:rPr>
        <w:t>atkristu,</w:t>
      </w:r>
      <w:r>
        <w:rPr>
          <w:spacing w:val="12"/>
          <w:sz w:val="24"/>
        </w:rPr>
        <w:t> </w:t>
      </w:r>
      <w:r>
        <w:rPr>
          <w:sz w:val="24"/>
        </w:rPr>
        <w:t>ja</w:t>
      </w:r>
      <w:r>
        <w:rPr>
          <w:spacing w:val="9"/>
          <w:sz w:val="24"/>
        </w:rPr>
        <w:t> </w:t>
      </w:r>
      <w:r>
        <w:rPr>
          <w:sz w:val="24"/>
        </w:rPr>
        <w:t>līdzīgi</w:t>
      </w:r>
      <w:r>
        <w:rPr>
          <w:spacing w:val="12"/>
          <w:sz w:val="24"/>
        </w:rPr>
        <w:t> </w:t>
      </w:r>
      <w:r>
        <w:rPr>
          <w:sz w:val="24"/>
        </w:rPr>
        <w:t>kā</w:t>
      </w:r>
      <w:r>
        <w:rPr>
          <w:spacing w:val="14"/>
          <w:sz w:val="24"/>
        </w:rPr>
        <w:t> </w:t>
      </w:r>
      <w:r>
        <w:rPr>
          <w:sz w:val="24"/>
        </w:rPr>
        <w:t>regulējumā</w:t>
      </w:r>
      <w:r>
        <w:rPr>
          <w:spacing w:val="12"/>
          <w:sz w:val="24"/>
        </w:rPr>
        <w:t> </w:t>
      </w:r>
      <w:r>
        <w:rPr>
          <w:sz w:val="24"/>
        </w:rPr>
        <w:t>par</w:t>
      </w:r>
      <w:r>
        <w:rPr>
          <w:spacing w:val="8"/>
          <w:sz w:val="24"/>
        </w:rPr>
        <w:t> </w:t>
      </w:r>
      <w:r>
        <w:rPr>
          <w:sz w:val="24"/>
        </w:rPr>
        <w:t>tiesiskās</w:t>
      </w:r>
    </w:p>
    <w:p>
      <w:pPr>
        <w:spacing w:after="0" w:line="240" w:lineRule="auto"/>
        <w:jc w:val="both"/>
        <w:rPr>
          <w:sz w:val="24"/>
        </w:rPr>
        <w:sectPr>
          <w:pgSz w:w="11910" w:h="16840"/>
          <w:pgMar w:header="0" w:footer="1055" w:top="1340" w:bottom="1240" w:left="1180" w:right="1040"/>
        </w:sectPr>
      </w:pPr>
    </w:p>
    <w:p>
      <w:pPr>
        <w:pStyle w:val="BodyText"/>
        <w:spacing w:before="73"/>
        <w:ind w:left="1340" w:right="401"/>
      </w:pPr>
      <w:r>
        <w:rPr/>
        <w:t>aizsardzības procesu likumā tiktu noteiktas lēmuma par fiziskās personas atbrīvošanu no saistībām tiesiskās sekas – piemēram, Maksātnespējas likuma 165.pantā varētu noteikt, ka parādnieka atbrīvošana no atlikušajām parāda saistībām ir spēkā pret visiem maksātnespējas procesa kreditoriem, arī tiem, kuri savus prasījumus nav pieteikuši parādnieka maksātnespējas procesā (izņemot Maksātnespējas likuma 164.panta ceturtajā daļā noteikto). Attiecīgi, līdzīgi kā, izbeidzot tiesiskās aizsardzības procesu pēc plāna izpildes, tiesām atkristu nepieciešamība rēķināt dzēšamo saistību apmēru;</w:t>
      </w:r>
    </w:p>
    <w:p>
      <w:pPr>
        <w:pStyle w:val="BodyText"/>
        <w:spacing w:before="5"/>
        <w:jc w:val="left"/>
      </w:pPr>
    </w:p>
    <w:p>
      <w:pPr>
        <w:pStyle w:val="Heading4"/>
        <w:numPr>
          <w:ilvl w:val="0"/>
          <w:numId w:val="134"/>
        </w:numPr>
        <w:tabs>
          <w:tab w:pos="1340" w:val="left" w:leader="none"/>
        </w:tabs>
        <w:spacing w:line="274" w:lineRule="exact" w:before="0" w:after="0"/>
        <w:ind w:left="1340" w:right="0" w:hanging="360"/>
        <w:jc w:val="both"/>
        <w:rPr>
          <w:i/>
        </w:rPr>
      </w:pPr>
      <w:r>
        <w:rPr>
          <w:i/>
        </w:rPr>
        <w:t>Konsekvence jēdzienos “dzēst saistības” vai “atbrīvot no atlikušajām</w:t>
      </w:r>
      <w:r>
        <w:rPr>
          <w:i/>
          <w:spacing w:val="54"/>
        </w:rPr>
        <w:t> </w:t>
      </w:r>
      <w:r>
        <w:rPr>
          <w:i/>
        </w:rPr>
        <w:t>saistībām”</w:t>
      </w:r>
    </w:p>
    <w:p>
      <w:pPr>
        <w:pStyle w:val="BodyText"/>
        <w:spacing w:line="232" w:lineRule="auto" w:before="5"/>
        <w:ind w:left="1340" w:right="402"/>
      </w:pPr>
      <w:r>
        <w:rPr/>
        <w:t>– Maksātnespējas likumā un Civilprocesa likumā trūkst konsekvences jēdzienu lietojumā, jo pamīšus tiek lietots gan jēdziens “dzēst saistības” (Maksātnespējas likuma 164.panta pirmā un ceturtā daļa, Civilprocesa likuma 363.</w:t>
      </w:r>
      <w:r>
        <w:rPr>
          <w:position w:val="9"/>
          <w:sz w:val="16"/>
        </w:rPr>
        <w:t>35 </w:t>
      </w:r>
      <w:r>
        <w:rPr/>
        <w:t>panta trešā daļa), gan arī “atbrīvot no atlikušajām saistībām” (Maksātnespējas likuma 164.panta otrā un trešā daļa, Civilprocesa likuma 363.</w:t>
      </w:r>
      <w:r>
        <w:rPr>
          <w:position w:val="9"/>
          <w:sz w:val="16"/>
        </w:rPr>
        <w:t>36 </w:t>
      </w:r>
      <w:r>
        <w:rPr/>
        <w:t>panta otrā daļa).</w:t>
      </w:r>
    </w:p>
    <w:p>
      <w:pPr>
        <w:pStyle w:val="BodyText"/>
        <w:spacing w:before="8"/>
        <w:jc w:val="left"/>
      </w:pPr>
    </w:p>
    <w:p>
      <w:pPr>
        <w:spacing w:line="235" w:lineRule="auto" w:before="0"/>
        <w:ind w:left="1340" w:right="402" w:firstLine="0"/>
        <w:jc w:val="both"/>
        <w:rPr>
          <w:sz w:val="24"/>
        </w:rPr>
      </w:pPr>
      <w:r>
        <w:rPr>
          <w:sz w:val="24"/>
        </w:rPr>
        <w:t>Turklāt no Civilprocesa likuma regulējuma izriet, ka tiesai vienlaikus ir jālemj gan par saistību dzēšanu (CPL 363.</w:t>
      </w:r>
      <w:r>
        <w:rPr>
          <w:position w:val="9"/>
          <w:sz w:val="16"/>
        </w:rPr>
        <w:t>35 </w:t>
      </w:r>
      <w:r>
        <w:rPr>
          <w:sz w:val="24"/>
        </w:rPr>
        <w:t>p.3.d.: “</w:t>
      </w:r>
      <w:r>
        <w:rPr>
          <w:i/>
          <w:sz w:val="24"/>
        </w:rPr>
        <w:t>apstiprinot saistību dzēšanas procedūras </w:t>
      </w:r>
      <w:r>
        <w:rPr>
          <w:i/>
          <w:sz w:val="24"/>
        </w:rPr>
        <w:t>izbeigšanu,</w:t>
      </w:r>
      <w:r>
        <w:rPr>
          <w:i/>
          <w:spacing w:val="-15"/>
          <w:sz w:val="24"/>
        </w:rPr>
        <w:t> </w:t>
      </w:r>
      <w:r>
        <w:rPr>
          <w:i/>
          <w:sz w:val="24"/>
        </w:rPr>
        <w:t>tiesa</w:t>
      </w:r>
      <w:r>
        <w:rPr>
          <w:i/>
          <w:spacing w:val="-15"/>
          <w:sz w:val="24"/>
        </w:rPr>
        <w:t> </w:t>
      </w:r>
      <w:r>
        <w:rPr>
          <w:i/>
          <w:sz w:val="24"/>
        </w:rPr>
        <w:t>lemj</w:t>
      </w:r>
      <w:r>
        <w:rPr>
          <w:i/>
          <w:spacing w:val="-17"/>
          <w:sz w:val="24"/>
        </w:rPr>
        <w:t> </w:t>
      </w:r>
      <w:r>
        <w:rPr>
          <w:i/>
          <w:sz w:val="24"/>
        </w:rPr>
        <w:t>par</w:t>
      </w:r>
      <w:r>
        <w:rPr>
          <w:i/>
          <w:spacing w:val="-12"/>
          <w:sz w:val="24"/>
        </w:rPr>
        <w:t> </w:t>
      </w:r>
      <w:r>
        <w:rPr>
          <w:i/>
          <w:sz w:val="24"/>
        </w:rPr>
        <w:t>to</w:t>
      </w:r>
      <w:r>
        <w:rPr>
          <w:i/>
          <w:spacing w:val="-12"/>
          <w:sz w:val="24"/>
        </w:rPr>
        <w:t> </w:t>
      </w:r>
      <w:r>
        <w:rPr>
          <w:i/>
          <w:sz w:val="24"/>
        </w:rPr>
        <w:t>saistību</w:t>
      </w:r>
      <w:r>
        <w:rPr>
          <w:i/>
          <w:spacing w:val="-14"/>
          <w:sz w:val="24"/>
        </w:rPr>
        <w:t> </w:t>
      </w:r>
      <w:r>
        <w:rPr>
          <w:i/>
          <w:sz w:val="24"/>
        </w:rPr>
        <w:t>dzēšanu,</w:t>
      </w:r>
      <w:r>
        <w:rPr>
          <w:i/>
          <w:spacing w:val="-15"/>
          <w:sz w:val="24"/>
        </w:rPr>
        <w:t> </w:t>
      </w:r>
      <w:r>
        <w:rPr>
          <w:i/>
          <w:sz w:val="24"/>
        </w:rPr>
        <w:t>kuras</w:t>
      </w:r>
      <w:r>
        <w:rPr>
          <w:i/>
          <w:spacing w:val="-15"/>
          <w:sz w:val="24"/>
        </w:rPr>
        <w:t> </w:t>
      </w:r>
      <w:r>
        <w:rPr>
          <w:i/>
          <w:sz w:val="24"/>
        </w:rPr>
        <w:t>nav</w:t>
      </w:r>
      <w:r>
        <w:rPr>
          <w:i/>
          <w:spacing w:val="-15"/>
          <w:sz w:val="24"/>
        </w:rPr>
        <w:t> </w:t>
      </w:r>
      <w:r>
        <w:rPr>
          <w:i/>
          <w:sz w:val="24"/>
        </w:rPr>
        <w:t>izpildītas</w:t>
      </w:r>
      <w:r>
        <w:rPr>
          <w:i/>
          <w:spacing w:val="-12"/>
          <w:sz w:val="24"/>
        </w:rPr>
        <w:t> </w:t>
      </w:r>
      <w:r>
        <w:rPr>
          <w:i/>
          <w:sz w:val="24"/>
        </w:rPr>
        <w:t>saistību</w:t>
      </w:r>
      <w:r>
        <w:rPr>
          <w:i/>
          <w:spacing w:val="-15"/>
          <w:sz w:val="24"/>
        </w:rPr>
        <w:t> </w:t>
      </w:r>
      <w:r>
        <w:rPr>
          <w:i/>
          <w:sz w:val="24"/>
        </w:rPr>
        <w:t>dzēšanas procesa laikā”</w:t>
      </w:r>
      <w:r>
        <w:rPr>
          <w:sz w:val="24"/>
        </w:rPr>
        <w:t>), gan arī par atbrīvošanu no saistībām (CPL 363.</w:t>
      </w:r>
      <w:r>
        <w:rPr>
          <w:position w:val="9"/>
          <w:sz w:val="16"/>
        </w:rPr>
        <w:t>36 </w:t>
      </w:r>
      <w:r>
        <w:rPr>
          <w:sz w:val="24"/>
        </w:rPr>
        <w:t>p.2.d.: “</w:t>
      </w:r>
      <w:r>
        <w:rPr>
          <w:i/>
          <w:sz w:val="24"/>
        </w:rPr>
        <w:t>ja tiesa, </w:t>
      </w:r>
      <w:r>
        <w:rPr>
          <w:i/>
          <w:sz w:val="24"/>
        </w:rPr>
        <w:t>izbeidzot saistību dzēšanas procedūru, konstatē, ka parādnieks ir atbrīvojams no parāda saistībām saskaņā ar Maksātnespējas likuma 164.pantu, tā vienlaikus ar procedūras</w:t>
      </w:r>
      <w:r>
        <w:rPr>
          <w:i/>
          <w:spacing w:val="-9"/>
          <w:sz w:val="24"/>
        </w:rPr>
        <w:t> </w:t>
      </w:r>
      <w:r>
        <w:rPr>
          <w:i/>
          <w:sz w:val="24"/>
        </w:rPr>
        <w:t>izbeigšanu</w:t>
      </w:r>
      <w:r>
        <w:rPr>
          <w:i/>
          <w:spacing w:val="-9"/>
          <w:sz w:val="24"/>
        </w:rPr>
        <w:t> </w:t>
      </w:r>
      <w:r>
        <w:rPr>
          <w:i/>
          <w:sz w:val="24"/>
        </w:rPr>
        <w:t>atbrīvo</w:t>
      </w:r>
      <w:r>
        <w:rPr>
          <w:i/>
          <w:spacing w:val="-9"/>
          <w:sz w:val="24"/>
        </w:rPr>
        <w:t> </w:t>
      </w:r>
      <w:r>
        <w:rPr>
          <w:i/>
          <w:sz w:val="24"/>
        </w:rPr>
        <w:t>viņu</w:t>
      </w:r>
      <w:r>
        <w:rPr>
          <w:i/>
          <w:spacing w:val="-9"/>
          <w:sz w:val="24"/>
        </w:rPr>
        <w:t> </w:t>
      </w:r>
      <w:r>
        <w:rPr>
          <w:i/>
          <w:sz w:val="24"/>
        </w:rPr>
        <w:t>no</w:t>
      </w:r>
      <w:r>
        <w:rPr>
          <w:i/>
          <w:spacing w:val="-9"/>
          <w:sz w:val="24"/>
        </w:rPr>
        <w:t> </w:t>
      </w:r>
      <w:r>
        <w:rPr>
          <w:i/>
          <w:sz w:val="24"/>
        </w:rPr>
        <w:t>saistībām,</w:t>
      </w:r>
      <w:r>
        <w:rPr>
          <w:i/>
          <w:spacing w:val="-9"/>
          <w:sz w:val="24"/>
        </w:rPr>
        <w:t> </w:t>
      </w:r>
      <w:r>
        <w:rPr>
          <w:i/>
          <w:sz w:val="24"/>
        </w:rPr>
        <w:t>kuras</w:t>
      </w:r>
      <w:r>
        <w:rPr>
          <w:i/>
          <w:spacing w:val="-9"/>
          <w:sz w:val="24"/>
        </w:rPr>
        <w:t> </w:t>
      </w:r>
      <w:r>
        <w:rPr>
          <w:i/>
          <w:sz w:val="24"/>
        </w:rPr>
        <w:t>norādītas</w:t>
      </w:r>
      <w:r>
        <w:rPr>
          <w:i/>
          <w:spacing w:val="-10"/>
          <w:sz w:val="24"/>
        </w:rPr>
        <w:t> </w:t>
      </w:r>
      <w:r>
        <w:rPr>
          <w:i/>
          <w:sz w:val="24"/>
        </w:rPr>
        <w:t>fiziskās</w:t>
      </w:r>
      <w:r>
        <w:rPr>
          <w:i/>
          <w:spacing w:val="-9"/>
          <w:sz w:val="24"/>
        </w:rPr>
        <w:t> </w:t>
      </w:r>
      <w:r>
        <w:rPr>
          <w:i/>
          <w:sz w:val="24"/>
        </w:rPr>
        <w:t>personas saistību dzēšanas</w:t>
      </w:r>
      <w:r>
        <w:rPr>
          <w:i/>
          <w:spacing w:val="-1"/>
          <w:sz w:val="24"/>
        </w:rPr>
        <w:t> </w:t>
      </w:r>
      <w:r>
        <w:rPr>
          <w:i/>
          <w:sz w:val="24"/>
        </w:rPr>
        <w:t>plānā”</w:t>
      </w:r>
      <w:r>
        <w:rPr>
          <w:sz w:val="24"/>
        </w:rPr>
        <w:t>).</w:t>
      </w:r>
    </w:p>
    <w:p>
      <w:pPr>
        <w:pStyle w:val="BodyText"/>
        <w:spacing w:before="9"/>
        <w:jc w:val="left"/>
      </w:pPr>
    </w:p>
    <w:p>
      <w:pPr>
        <w:pStyle w:val="BodyText"/>
        <w:spacing w:before="1"/>
        <w:ind w:left="1340" w:right="402"/>
      </w:pPr>
      <w:r>
        <w:rPr/>
        <w:t>Nav loģiski, ka tiesai ir jālemj gan par saistību dzēšanu, gan arī par parādnieka atbrīvošanu no saistībām. Tādējādi iesakām noteikt konsekvenci likumā lietotajos jēdzienos, saglabājot tikai vienu no tiem. Priekšroka būtu dodama jēdzienam “atbrīvot no atlikušajām saistībām”, jo tas vairāk atbilst gan fiziskās personas maksātnespējas procesa mērķim, gan arī labāk iekļaujas vispārējo civiltiesību regulējuma sistēmā;</w:t>
      </w:r>
    </w:p>
    <w:p>
      <w:pPr>
        <w:pStyle w:val="BodyText"/>
        <w:spacing w:before="4"/>
        <w:jc w:val="left"/>
      </w:pPr>
    </w:p>
    <w:p>
      <w:pPr>
        <w:pStyle w:val="ListParagraph"/>
        <w:numPr>
          <w:ilvl w:val="0"/>
          <w:numId w:val="134"/>
        </w:numPr>
        <w:tabs>
          <w:tab w:pos="1340" w:val="left" w:leader="none"/>
        </w:tabs>
        <w:spacing w:line="240" w:lineRule="auto" w:before="0" w:after="0"/>
        <w:ind w:left="1340" w:right="401" w:hanging="360"/>
        <w:jc w:val="both"/>
        <w:rPr>
          <w:sz w:val="24"/>
        </w:rPr>
      </w:pPr>
      <w:r>
        <w:rPr>
          <w:b/>
          <w:i/>
          <w:sz w:val="24"/>
        </w:rPr>
        <w:t>Attiekšanās</w:t>
      </w:r>
      <w:r>
        <w:rPr>
          <w:b/>
          <w:i/>
          <w:spacing w:val="-9"/>
          <w:sz w:val="24"/>
        </w:rPr>
        <w:t> </w:t>
      </w:r>
      <w:r>
        <w:rPr>
          <w:b/>
          <w:i/>
          <w:sz w:val="24"/>
        </w:rPr>
        <w:t>no</w:t>
      </w:r>
      <w:r>
        <w:rPr>
          <w:b/>
          <w:i/>
          <w:spacing w:val="-6"/>
          <w:sz w:val="24"/>
        </w:rPr>
        <w:t> </w:t>
      </w:r>
      <w:r>
        <w:rPr>
          <w:b/>
          <w:i/>
          <w:sz w:val="24"/>
        </w:rPr>
        <w:t>jēdziena</w:t>
      </w:r>
      <w:r>
        <w:rPr>
          <w:b/>
          <w:i/>
          <w:spacing w:val="-8"/>
          <w:sz w:val="24"/>
        </w:rPr>
        <w:t> </w:t>
      </w:r>
      <w:r>
        <w:rPr>
          <w:b/>
          <w:i/>
          <w:sz w:val="24"/>
        </w:rPr>
        <w:t>“atbrīvot</w:t>
      </w:r>
      <w:r>
        <w:rPr>
          <w:b/>
          <w:i/>
          <w:spacing w:val="-6"/>
          <w:sz w:val="24"/>
        </w:rPr>
        <w:t> </w:t>
      </w:r>
      <w:r>
        <w:rPr>
          <w:b/>
          <w:i/>
          <w:sz w:val="24"/>
        </w:rPr>
        <w:t>no</w:t>
      </w:r>
      <w:r>
        <w:rPr>
          <w:b/>
          <w:i/>
          <w:spacing w:val="-6"/>
          <w:sz w:val="24"/>
        </w:rPr>
        <w:t> </w:t>
      </w:r>
      <w:r>
        <w:rPr>
          <w:b/>
          <w:i/>
          <w:sz w:val="24"/>
        </w:rPr>
        <w:t>saistībām,</w:t>
      </w:r>
      <w:r>
        <w:rPr>
          <w:b/>
          <w:i/>
          <w:spacing w:val="-6"/>
          <w:sz w:val="24"/>
          <w:u w:val="thick"/>
        </w:rPr>
        <w:t> </w:t>
      </w:r>
      <w:r>
        <w:rPr>
          <w:b/>
          <w:i/>
          <w:sz w:val="24"/>
          <w:u w:val="thick"/>
        </w:rPr>
        <w:t>kuras</w:t>
      </w:r>
      <w:r>
        <w:rPr>
          <w:b/>
          <w:i/>
          <w:spacing w:val="-6"/>
          <w:sz w:val="24"/>
          <w:u w:val="thick"/>
        </w:rPr>
        <w:t> </w:t>
      </w:r>
      <w:r>
        <w:rPr>
          <w:b/>
          <w:i/>
          <w:sz w:val="24"/>
          <w:u w:val="thick"/>
        </w:rPr>
        <w:t>norādītas</w:t>
      </w:r>
      <w:r>
        <w:rPr>
          <w:b/>
          <w:i/>
          <w:spacing w:val="-6"/>
          <w:sz w:val="24"/>
          <w:u w:val="thick"/>
        </w:rPr>
        <w:t> </w:t>
      </w:r>
      <w:r>
        <w:rPr>
          <w:b/>
          <w:i/>
          <w:sz w:val="24"/>
          <w:u w:val="thick"/>
        </w:rPr>
        <w:t>fiziskās</w:t>
      </w:r>
      <w:r>
        <w:rPr>
          <w:b/>
          <w:i/>
          <w:spacing w:val="-7"/>
          <w:sz w:val="24"/>
          <w:u w:val="thick"/>
        </w:rPr>
        <w:t> </w:t>
      </w:r>
      <w:r>
        <w:rPr>
          <w:b/>
          <w:i/>
          <w:sz w:val="24"/>
          <w:u w:val="thick"/>
        </w:rPr>
        <w:t>personas </w:t>
      </w:r>
      <w:r>
        <w:rPr>
          <w:b/>
          <w:i/>
          <w:spacing w:val="-94"/>
          <w:sz w:val="24"/>
          <w:u w:val="thick"/>
        </w:rPr>
        <w:t>s</w:t>
      </w:r>
      <w:r>
        <w:rPr>
          <w:b/>
          <w:i/>
          <w:spacing w:val="36"/>
          <w:sz w:val="24"/>
        </w:rPr>
        <w:t> </w:t>
      </w:r>
      <w:r>
        <w:rPr>
          <w:b/>
          <w:i/>
          <w:sz w:val="24"/>
          <w:u w:val="thick"/>
        </w:rPr>
        <w:t>aistību dzēšanas plānā</w:t>
      </w:r>
      <w:r>
        <w:rPr>
          <w:b/>
          <w:i/>
          <w:sz w:val="24"/>
        </w:rPr>
        <w:t>” </w:t>
      </w:r>
      <w:r>
        <w:rPr>
          <w:sz w:val="24"/>
        </w:rPr>
        <w:t>– lieka ir vairākās Maksātnespējas likuma un Civilprocesa likuma tiesību normās iekļautā piebilde, ka parādnieks tiek atbrīvots no</w:t>
      </w:r>
      <w:r>
        <w:rPr>
          <w:spacing w:val="-6"/>
          <w:sz w:val="24"/>
        </w:rPr>
        <w:t> </w:t>
      </w:r>
      <w:r>
        <w:rPr>
          <w:sz w:val="24"/>
        </w:rPr>
        <w:t>atlikušajām</w:t>
      </w:r>
      <w:r>
        <w:rPr>
          <w:spacing w:val="-5"/>
          <w:sz w:val="24"/>
        </w:rPr>
        <w:t> </w:t>
      </w:r>
      <w:r>
        <w:rPr>
          <w:sz w:val="24"/>
        </w:rPr>
        <w:t>saistībām,</w:t>
      </w:r>
      <w:r>
        <w:rPr>
          <w:spacing w:val="-8"/>
          <w:sz w:val="24"/>
        </w:rPr>
        <w:t> </w:t>
      </w:r>
      <w:r>
        <w:rPr>
          <w:sz w:val="24"/>
        </w:rPr>
        <w:t>kuras</w:t>
      </w:r>
      <w:r>
        <w:rPr>
          <w:spacing w:val="-6"/>
          <w:sz w:val="24"/>
        </w:rPr>
        <w:t> </w:t>
      </w:r>
      <w:r>
        <w:rPr>
          <w:sz w:val="24"/>
        </w:rPr>
        <w:t>norādītas</w:t>
      </w:r>
      <w:r>
        <w:rPr>
          <w:spacing w:val="-7"/>
          <w:sz w:val="24"/>
        </w:rPr>
        <w:t> </w:t>
      </w:r>
      <w:r>
        <w:rPr>
          <w:sz w:val="24"/>
        </w:rPr>
        <w:t>fiziskās</w:t>
      </w:r>
      <w:r>
        <w:rPr>
          <w:spacing w:val="-8"/>
          <w:sz w:val="24"/>
        </w:rPr>
        <w:t> </w:t>
      </w:r>
      <w:r>
        <w:rPr>
          <w:sz w:val="24"/>
        </w:rPr>
        <w:t>personas</w:t>
      </w:r>
      <w:r>
        <w:rPr>
          <w:spacing w:val="-6"/>
          <w:sz w:val="24"/>
        </w:rPr>
        <w:t> </w:t>
      </w:r>
      <w:r>
        <w:rPr>
          <w:sz w:val="24"/>
        </w:rPr>
        <w:t>saistību</w:t>
      </w:r>
      <w:r>
        <w:rPr>
          <w:spacing w:val="-5"/>
          <w:sz w:val="24"/>
        </w:rPr>
        <w:t> </w:t>
      </w:r>
      <w:r>
        <w:rPr>
          <w:sz w:val="24"/>
        </w:rPr>
        <w:t>dzēšanas</w:t>
      </w:r>
      <w:r>
        <w:rPr>
          <w:spacing w:val="-7"/>
          <w:sz w:val="24"/>
        </w:rPr>
        <w:t> </w:t>
      </w:r>
      <w:r>
        <w:rPr>
          <w:sz w:val="24"/>
        </w:rPr>
        <w:t>plānā. Tā, pirmkārt, tas sarežģī tiesas nolēmuma par parādnieka atbrīvošanu no saistībām gatavošanu (kā rāda tiesu prakses analīze, šajā jautājumā ir ļoti atšķirīga tiesu pieeja). Un, otrkārt, jāņem vērā, ka atbilstoši Maksātnespējas likuma 155.panta piektajai daļai saistību dzēšanas plānā netiek norādītas soda naudas, līgumsods vai nokavējuma procenti (izņemot nolīgtos, nesamaksātos lietošanas procentus līdz maksātnespējas pasludināšanai, tomēr ne vairāk kā sešu procentu apmērā gadā). Attiecīgi veidojas faktiski absurda situācija, ka, atbrīvojot parādnieku no atlikušajām saistību dzēšanas plānā norādītajām saistībām, parādnieks netiek atbrīvots no blakus prasījumu saistībām. Tādējādi jautājumā par parādnieka atbrīvošanu no saistībām būtu vēlams atteikties no piebildes “kuras norādītas fiziskās personas saistību dzēšanas plānā”, tā vietā likumā paredzot tiesību normu, kura</w:t>
      </w:r>
      <w:r>
        <w:rPr>
          <w:spacing w:val="-16"/>
          <w:sz w:val="24"/>
        </w:rPr>
        <w:t> </w:t>
      </w:r>
      <w:r>
        <w:rPr>
          <w:sz w:val="24"/>
        </w:rPr>
        <w:t>noteic,</w:t>
      </w:r>
      <w:r>
        <w:rPr>
          <w:spacing w:val="-15"/>
          <w:sz w:val="24"/>
        </w:rPr>
        <w:t> </w:t>
      </w:r>
      <w:r>
        <w:rPr>
          <w:sz w:val="24"/>
        </w:rPr>
        <w:t>ka</w:t>
      </w:r>
      <w:r>
        <w:rPr>
          <w:spacing w:val="-12"/>
          <w:sz w:val="24"/>
        </w:rPr>
        <w:t> </w:t>
      </w:r>
      <w:r>
        <w:rPr>
          <w:sz w:val="24"/>
        </w:rPr>
        <w:t>parādnieka</w:t>
      </w:r>
      <w:r>
        <w:rPr>
          <w:spacing w:val="-12"/>
          <w:sz w:val="24"/>
        </w:rPr>
        <w:t> </w:t>
      </w:r>
      <w:r>
        <w:rPr>
          <w:sz w:val="24"/>
        </w:rPr>
        <w:t>atbrīvošana</w:t>
      </w:r>
      <w:r>
        <w:rPr>
          <w:spacing w:val="-12"/>
          <w:sz w:val="24"/>
        </w:rPr>
        <w:t> </w:t>
      </w:r>
      <w:r>
        <w:rPr>
          <w:sz w:val="24"/>
        </w:rPr>
        <w:t>no</w:t>
      </w:r>
      <w:r>
        <w:rPr>
          <w:spacing w:val="-13"/>
          <w:sz w:val="24"/>
        </w:rPr>
        <w:t> </w:t>
      </w:r>
      <w:r>
        <w:rPr>
          <w:sz w:val="24"/>
        </w:rPr>
        <w:t>atlikušajām</w:t>
      </w:r>
      <w:r>
        <w:rPr>
          <w:spacing w:val="-12"/>
          <w:sz w:val="24"/>
        </w:rPr>
        <w:t> </w:t>
      </w:r>
      <w:r>
        <w:rPr>
          <w:sz w:val="24"/>
        </w:rPr>
        <w:t>parāda</w:t>
      </w:r>
      <w:r>
        <w:rPr>
          <w:spacing w:val="-12"/>
          <w:sz w:val="24"/>
        </w:rPr>
        <w:t> </w:t>
      </w:r>
      <w:r>
        <w:rPr>
          <w:sz w:val="24"/>
        </w:rPr>
        <w:t>saistībām</w:t>
      </w:r>
      <w:r>
        <w:rPr>
          <w:spacing w:val="-14"/>
          <w:sz w:val="24"/>
        </w:rPr>
        <w:t> </w:t>
      </w:r>
      <w:r>
        <w:rPr>
          <w:sz w:val="24"/>
        </w:rPr>
        <w:t>ir</w:t>
      </w:r>
      <w:r>
        <w:rPr>
          <w:spacing w:val="-12"/>
          <w:sz w:val="24"/>
        </w:rPr>
        <w:t> </w:t>
      </w:r>
      <w:r>
        <w:rPr>
          <w:sz w:val="24"/>
        </w:rPr>
        <w:t>spēkā</w:t>
      </w:r>
      <w:r>
        <w:rPr>
          <w:spacing w:val="-15"/>
          <w:sz w:val="24"/>
        </w:rPr>
        <w:t> </w:t>
      </w:r>
      <w:r>
        <w:rPr>
          <w:sz w:val="24"/>
        </w:rPr>
        <w:t>pret visiem</w:t>
      </w:r>
      <w:r>
        <w:rPr>
          <w:spacing w:val="31"/>
          <w:sz w:val="24"/>
        </w:rPr>
        <w:t> </w:t>
      </w:r>
      <w:r>
        <w:rPr>
          <w:sz w:val="24"/>
        </w:rPr>
        <w:t>maksātnespējas</w:t>
      </w:r>
      <w:r>
        <w:rPr>
          <w:spacing w:val="30"/>
          <w:sz w:val="24"/>
        </w:rPr>
        <w:t> </w:t>
      </w:r>
      <w:r>
        <w:rPr>
          <w:sz w:val="24"/>
        </w:rPr>
        <w:t>procesa</w:t>
      </w:r>
      <w:r>
        <w:rPr>
          <w:spacing w:val="32"/>
          <w:sz w:val="24"/>
        </w:rPr>
        <w:t> </w:t>
      </w:r>
      <w:r>
        <w:rPr>
          <w:sz w:val="24"/>
        </w:rPr>
        <w:t>kreditoriem,</w:t>
      </w:r>
      <w:r>
        <w:rPr>
          <w:spacing w:val="31"/>
          <w:sz w:val="24"/>
        </w:rPr>
        <w:t> </w:t>
      </w:r>
      <w:r>
        <w:rPr>
          <w:sz w:val="24"/>
        </w:rPr>
        <w:t>arī</w:t>
      </w:r>
      <w:r>
        <w:rPr>
          <w:spacing w:val="35"/>
          <w:sz w:val="24"/>
        </w:rPr>
        <w:t> </w:t>
      </w:r>
      <w:r>
        <w:rPr>
          <w:sz w:val="24"/>
        </w:rPr>
        <w:t>tiem,</w:t>
      </w:r>
      <w:r>
        <w:rPr>
          <w:spacing w:val="32"/>
          <w:sz w:val="24"/>
        </w:rPr>
        <w:t> </w:t>
      </w:r>
      <w:r>
        <w:rPr>
          <w:sz w:val="24"/>
        </w:rPr>
        <w:t>kuri</w:t>
      </w:r>
      <w:r>
        <w:rPr>
          <w:spacing w:val="31"/>
          <w:sz w:val="24"/>
        </w:rPr>
        <w:t> </w:t>
      </w:r>
      <w:r>
        <w:rPr>
          <w:sz w:val="24"/>
        </w:rPr>
        <w:t>savus</w:t>
      </w:r>
      <w:r>
        <w:rPr>
          <w:spacing w:val="35"/>
          <w:sz w:val="24"/>
        </w:rPr>
        <w:t> </w:t>
      </w:r>
      <w:r>
        <w:rPr>
          <w:sz w:val="24"/>
        </w:rPr>
        <w:t>prasījumus</w:t>
      </w:r>
      <w:r>
        <w:rPr>
          <w:spacing w:val="32"/>
          <w:sz w:val="24"/>
        </w:rPr>
        <w:t> </w:t>
      </w:r>
      <w:r>
        <w:rPr>
          <w:sz w:val="24"/>
        </w:rPr>
        <w:t>nav</w:t>
      </w:r>
    </w:p>
    <w:p>
      <w:pPr>
        <w:spacing w:after="0" w:line="240" w:lineRule="auto"/>
        <w:jc w:val="both"/>
        <w:rPr>
          <w:sz w:val="24"/>
        </w:rPr>
        <w:sectPr>
          <w:pgSz w:w="11910" w:h="16840"/>
          <w:pgMar w:header="0" w:footer="1055" w:top="1340" w:bottom="1240" w:left="1180" w:right="1040"/>
        </w:sectPr>
      </w:pPr>
    </w:p>
    <w:p>
      <w:pPr>
        <w:pStyle w:val="BodyText"/>
        <w:spacing w:before="73"/>
        <w:ind w:left="980" w:right="398"/>
        <w:jc w:val="left"/>
      </w:pPr>
      <w:r>
        <w:rPr/>
        <w:t>pieteikuši parādnieka maksātnespējas procesā (izņemot Maksātnespējas likuma 164.panta ceturtajā daļā noteikto);</w:t>
      </w:r>
    </w:p>
    <w:p>
      <w:pPr>
        <w:pStyle w:val="BodyText"/>
        <w:jc w:val="left"/>
      </w:pPr>
    </w:p>
    <w:p>
      <w:pPr>
        <w:pStyle w:val="ListParagraph"/>
        <w:numPr>
          <w:ilvl w:val="0"/>
          <w:numId w:val="134"/>
        </w:numPr>
        <w:tabs>
          <w:tab w:pos="980" w:val="left" w:leader="none"/>
        </w:tabs>
        <w:spacing w:line="240" w:lineRule="auto" w:before="0" w:after="0"/>
        <w:ind w:left="980" w:right="761" w:hanging="360"/>
        <w:jc w:val="both"/>
        <w:rPr>
          <w:sz w:val="24"/>
        </w:rPr>
      </w:pPr>
      <w:r>
        <w:rPr>
          <w:b/>
          <w:i/>
          <w:sz w:val="24"/>
        </w:rPr>
        <w:t>Maksātnespējas procesa pieteikuma veidlapa </w:t>
      </w:r>
      <w:r>
        <w:rPr>
          <w:sz w:val="24"/>
        </w:rPr>
        <w:t>– būtu izvērtējama nepieciešamība izstrādāt maksātnespējas procesa pieteikuma veidlapu, ko parādnieki var izmantot, tādējādi samazinot nekvalitatīvi sagatavotu pieteikumu skaitu, kā arī </w:t>
      </w:r>
      <w:r>
        <w:rPr>
          <w:spacing w:val="-3"/>
          <w:sz w:val="24"/>
        </w:rPr>
        <w:t>parādnieku </w:t>
      </w:r>
      <w:r>
        <w:rPr>
          <w:sz w:val="24"/>
        </w:rPr>
        <w:t>izmaksas, kuras, kā liecina veiktās aptaujas un nozares pārstāvju sniegtā informācija, parādnieki nereti nevar</w:t>
      </w:r>
      <w:r>
        <w:rPr>
          <w:spacing w:val="-2"/>
          <w:sz w:val="24"/>
        </w:rPr>
        <w:t> </w:t>
      </w:r>
      <w:r>
        <w:rPr>
          <w:sz w:val="24"/>
        </w:rPr>
        <w:t>segt;</w:t>
      </w:r>
    </w:p>
    <w:p>
      <w:pPr>
        <w:pStyle w:val="BodyText"/>
        <w:spacing w:before="5"/>
        <w:jc w:val="left"/>
      </w:pPr>
    </w:p>
    <w:p>
      <w:pPr>
        <w:pStyle w:val="ListParagraph"/>
        <w:numPr>
          <w:ilvl w:val="0"/>
          <w:numId w:val="134"/>
        </w:numPr>
        <w:tabs>
          <w:tab w:pos="980" w:val="left" w:leader="none"/>
        </w:tabs>
        <w:spacing w:line="240" w:lineRule="auto" w:before="0" w:after="0"/>
        <w:ind w:left="980" w:right="762" w:hanging="360"/>
        <w:jc w:val="both"/>
        <w:rPr>
          <w:sz w:val="24"/>
        </w:rPr>
      </w:pPr>
      <w:r>
        <w:rPr>
          <w:b/>
          <w:i/>
          <w:sz w:val="24"/>
        </w:rPr>
        <w:t>Kreditora pienākums kreditora prasījumā norādīt informāciju par saistību </w:t>
      </w:r>
      <w:r>
        <w:rPr>
          <w:b/>
          <w:i/>
          <w:sz w:val="24"/>
        </w:rPr>
        <w:t>dzēšamību </w:t>
      </w:r>
      <w:r>
        <w:rPr>
          <w:sz w:val="24"/>
        </w:rPr>
        <w:t>- paredzēt, ka kreditoram, iesniedzot kreditora prasījumu, papildus Maksātnespējas likuma 73.panta ceturtajā daļā noteiktajam ir jānorāda, vai, kreditora ieskatā, saistības ir dzēšamas Maksātnespējas likuma 164.panta ceturtās daļas izpratnē. Attiecīgi saistības dzēšamības jautājums jau varētu tikt izvērtēts kreditora prasījuma atzīšanas stadijā (atbilstoši spēkā esošajam tiesiskajam regulējumam saistību dzēšamības izvērtējuma veikšana nav paredzēta nevienā no procesa</w:t>
      </w:r>
      <w:r>
        <w:rPr>
          <w:spacing w:val="-1"/>
          <w:sz w:val="24"/>
        </w:rPr>
        <w:t> </w:t>
      </w:r>
      <w:r>
        <w:rPr>
          <w:sz w:val="24"/>
        </w:rPr>
        <w:t>posmiem);</w:t>
      </w:r>
    </w:p>
    <w:p>
      <w:pPr>
        <w:pStyle w:val="BodyText"/>
        <w:spacing w:before="7"/>
        <w:jc w:val="left"/>
        <w:rPr>
          <w:sz w:val="23"/>
        </w:rPr>
      </w:pPr>
    </w:p>
    <w:p>
      <w:pPr>
        <w:pStyle w:val="ListParagraph"/>
        <w:numPr>
          <w:ilvl w:val="0"/>
          <w:numId w:val="134"/>
        </w:numPr>
        <w:tabs>
          <w:tab w:pos="980" w:val="left" w:leader="none"/>
        </w:tabs>
        <w:spacing w:line="240" w:lineRule="auto" w:before="0" w:after="0"/>
        <w:ind w:left="980" w:right="761" w:hanging="360"/>
        <w:jc w:val="both"/>
        <w:rPr>
          <w:sz w:val="24"/>
        </w:rPr>
      </w:pPr>
      <w:r>
        <w:rPr>
          <w:b/>
          <w:i/>
          <w:sz w:val="24"/>
        </w:rPr>
        <w:t>Pēcprocedūras ierobežojumi </w:t>
      </w:r>
      <w:r>
        <w:rPr>
          <w:sz w:val="24"/>
        </w:rPr>
        <w:t>- Lielbritānijas tiesiskais regulējums paredz iespēju noteikt</w:t>
      </w:r>
      <w:r>
        <w:rPr>
          <w:spacing w:val="-9"/>
          <w:sz w:val="24"/>
        </w:rPr>
        <w:t> </w:t>
      </w:r>
      <w:r>
        <w:rPr>
          <w:sz w:val="24"/>
        </w:rPr>
        <w:t>pēcprocedūras</w:t>
      </w:r>
      <w:r>
        <w:rPr>
          <w:spacing w:val="-9"/>
          <w:sz w:val="24"/>
        </w:rPr>
        <w:t> </w:t>
      </w:r>
      <w:r>
        <w:rPr>
          <w:sz w:val="24"/>
        </w:rPr>
        <w:t>ierobežojumus</w:t>
      </w:r>
      <w:r>
        <w:rPr>
          <w:spacing w:val="-9"/>
          <w:sz w:val="24"/>
        </w:rPr>
        <w:t> </w:t>
      </w:r>
      <w:r>
        <w:rPr>
          <w:sz w:val="24"/>
        </w:rPr>
        <w:t>(iegūt</w:t>
      </w:r>
      <w:r>
        <w:rPr>
          <w:spacing w:val="-9"/>
          <w:sz w:val="24"/>
        </w:rPr>
        <w:t> </w:t>
      </w:r>
      <w:r>
        <w:rPr>
          <w:sz w:val="24"/>
        </w:rPr>
        <w:t>jaunu</w:t>
      </w:r>
      <w:r>
        <w:rPr>
          <w:spacing w:val="-4"/>
          <w:sz w:val="24"/>
        </w:rPr>
        <w:t> </w:t>
      </w:r>
      <w:r>
        <w:rPr>
          <w:sz w:val="24"/>
        </w:rPr>
        <w:t>kredītu,</w:t>
      </w:r>
      <w:r>
        <w:rPr>
          <w:spacing w:val="-9"/>
          <w:sz w:val="24"/>
        </w:rPr>
        <w:t> </w:t>
      </w:r>
      <w:r>
        <w:rPr>
          <w:sz w:val="24"/>
        </w:rPr>
        <w:t>ieņemt</w:t>
      </w:r>
      <w:r>
        <w:rPr>
          <w:spacing w:val="-9"/>
          <w:sz w:val="24"/>
        </w:rPr>
        <w:t> </w:t>
      </w:r>
      <w:r>
        <w:rPr>
          <w:sz w:val="24"/>
        </w:rPr>
        <w:t>noteiktus</w:t>
      </w:r>
      <w:r>
        <w:rPr>
          <w:spacing w:val="-6"/>
          <w:sz w:val="24"/>
        </w:rPr>
        <w:t> </w:t>
      </w:r>
      <w:r>
        <w:rPr>
          <w:sz w:val="24"/>
        </w:rPr>
        <w:t>amatus u.c.), kuru galvenais nolūks ir aizsargāt sabiedrību nākotnē no tādiem parādniekiem, kas rīkojušies neapdomīgi, bezatbildīgi vai negodprātīgi. Pēcprocedūras ierobežojumu būtība ir tāda, ka gadījumā, ja parādnieks ir bijis negodprātīgs, viņam saistības tiek dzēstas, lai dotu “otro” iespēju vai “jaunu” sākumu, tomēr pastāv iespēja noteikt pēcprocedūras ierobežojumus pat līdz 15 gadiem, šādā veidā parādnieku “sodot” par viņa negodprātību. Tādējādi ar šādu regulējumu tiek aizsargāta ne vien sabiedrība, bet preventīvi tiek samazināts negodprātīgu parādnieku skaits. Latvijā pēcprocedūras ierobežojumu ieviešana pamatā ir saistāma ar likumdevēja principiālu izšķiršanos jautājumā par to, vai “otrā”</w:t>
      </w:r>
      <w:r>
        <w:rPr>
          <w:spacing w:val="-17"/>
          <w:sz w:val="24"/>
        </w:rPr>
        <w:t> </w:t>
      </w:r>
      <w:r>
        <w:rPr>
          <w:sz w:val="24"/>
        </w:rPr>
        <w:t>iespēja</w:t>
      </w:r>
      <w:r>
        <w:rPr>
          <w:spacing w:val="-13"/>
          <w:sz w:val="24"/>
        </w:rPr>
        <w:t> </w:t>
      </w:r>
      <w:r>
        <w:rPr>
          <w:sz w:val="24"/>
        </w:rPr>
        <w:t>tiek</w:t>
      </w:r>
      <w:r>
        <w:rPr>
          <w:spacing w:val="-12"/>
          <w:sz w:val="24"/>
        </w:rPr>
        <w:t> </w:t>
      </w:r>
      <w:r>
        <w:rPr>
          <w:sz w:val="24"/>
        </w:rPr>
        <w:t>dota</w:t>
      </w:r>
      <w:r>
        <w:rPr>
          <w:spacing w:val="-16"/>
          <w:sz w:val="24"/>
        </w:rPr>
        <w:t> </w:t>
      </w:r>
      <w:r>
        <w:rPr>
          <w:sz w:val="24"/>
        </w:rPr>
        <w:t>arī</w:t>
      </w:r>
      <w:r>
        <w:rPr>
          <w:spacing w:val="-12"/>
          <w:sz w:val="24"/>
        </w:rPr>
        <w:t> </w:t>
      </w:r>
      <w:r>
        <w:rPr>
          <w:sz w:val="24"/>
        </w:rPr>
        <w:t>negodprātīgam</w:t>
      </w:r>
      <w:r>
        <w:rPr>
          <w:spacing w:val="-15"/>
          <w:sz w:val="24"/>
        </w:rPr>
        <w:t> </w:t>
      </w:r>
      <w:r>
        <w:rPr>
          <w:sz w:val="24"/>
        </w:rPr>
        <w:t>parādniekam,</w:t>
      </w:r>
      <w:r>
        <w:rPr>
          <w:spacing w:val="-12"/>
          <w:sz w:val="24"/>
        </w:rPr>
        <w:t> </w:t>
      </w:r>
      <w:r>
        <w:rPr>
          <w:sz w:val="24"/>
        </w:rPr>
        <w:t>vienlaikus</w:t>
      </w:r>
      <w:r>
        <w:rPr>
          <w:spacing w:val="-13"/>
          <w:sz w:val="24"/>
        </w:rPr>
        <w:t> </w:t>
      </w:r>
      <w:r>
        <w:rPr>
          <w:sz w:val="24"/>
        </w:rPr>
        <w:t>paredzot</w:t>
      </w:r>
      <w:r>
        <w:rPr>
          <w:spacing w:val="-10"/>
          <w:sz w:val="24"/>
        </w:rPr>
        <w:t> </w:t>
      </w:r>
      <w:r>
        <w:rPr>
          <w:sz w:val="24"/>
        </w:rPr>
        <w:t>šādiem parādniekiem nelabvēlīgākus maksātnespējas procesa noteikumus, tostarp arī pēcprocedūras ierobežojumu</w:t>
      </w:r>
      <w:r>
        <w:rPr>
          <w:spacing w:val="-4"/>
          <w:sz w:val="24"/>
        </w:rPr>
        <w:t> </w:t>
      </w:r>
      <w:r>
        <w:rPr>
          <w:sz w:val="24"/>
        </w:rPr>
        <w:t>ieviešanu;</w:t>
      </w:r>
    </w:p>
    <w:p>
      <w:pPr>
        <w:pStyle w:val="BodyText"/>
        <w:jc w:val="left"/>
      </w:pPr>
    </w:p>
    <w:p>
      <w:pPr>
        <w:pStyle w:val="ListParagraph"/>
        <w:numPr>
          <w:ilvl w:val="0"/>
          <w:numId w:val="134"/>
        </w:numPr>
        <w:tabs>
          <w:tab w:pos="980" w:val="left" w:leader="none"/>
        </w:tabs>
        <w:spacing w:line="240" w:lineRule="auto" w:before="1" w:after="0"/>
        <w:ind w:left="980" w:right="761" w:hanging="360"/>
        <w:jc w:val="both"/>
        <w:rPr>
          <w:sz w:val="24"/>
        </w:rPr>
      </w:pPr>
      <w:r>
        <w:rPr>
          <w:b/>
          <w:i/>
          <w:sz w:val="24"/>
        </w:rPr>
        <w:t>“Mazie” maksājumi </w:t>
      </w:r>
      <w:r>
        <w:rPr>
          <w:sz w:val="24"/>
        </w:rPr>
        <w:t>– kā rāda prakse, ļoti bieži parādnieki, veicot ikmēneša maksājumus kreditoriem, ir spiesti veikt arī maza apmēra maksājumus (nereti pat EUR 0,01 apmērā), kas ir ekonomiski ļoti nelietderīgi, jo maksājuma veikšanas izmaksas krietni pārsniedz kreditora ieguvumu. Vienlaikus, ja parādnieks neveic maksājumus ik mēnesi, bet apvieno vienā maksājumā, tas faktiski ir Maksātnespējas likuma pārkāpums. Tādējādi būtu vēlams noteikt regulējumu, kas paredz parādniekam tiesības “mazos” maksājumus veikt, piemēram, reizi gadā, lai optimizētu parādnieka izdevumus, kā arī nenoslogotu tiesas ar kreditoru iebildumiem situācijās, kad parādnieks, pastāvot šobrīd spēkā esošajam regulējumam, ir “atļāvies” apvienot mazos maksājumus vienā</w:t>
      </w:r>
      <w:r>
        <w:rPr>
          <w:spacing w:val="-4"/>
          <w:sz w:val="24"/>
        </w:rPr>
        <w:t> </w:t>
      </w:r>
      <w:r>
        <w:rPr>
          <w:sz w:val="24"/>
        </w:rPr>
        <w:t>pārskaitījumā;</w:t>
      </w:r>
    </w:p>
    <w:p>
      <w:pPr>
        <w:pStyle w:val="BodyText"/>
        <w:jc w:val="left"/>
      </w:pPr>
    </w:p>
    <w:p>
      <w:pPr>
        <w:pStyle w:val="ListParagraph"/>
        <w:numPr>
          <w:ilvl w:val="0"/>
          <w:numId w:val="134"/>
        </w:numPr>
        <w:tabs>
          <w:tab w:pos="980" w:val="left" w:leader="none"/>
        </w:tabs>
        <w:spacing w:line="240" w:lineRule="auto" w:before="0" w:after="0"/>
        <w:ind w:left="980" w:right="761" w:hanging="360"/>
        <w:jc w:val="both"/>
        <w:rPr>
          <w:sz w:val="24"/>
        </w:rPr>
      </w:pPr>
      <w:r>
        <w:rPr>
          <w:b/>
          <w:i/>
          <w:sz w:val="24"/>
        </w:rPr>
        <w:t>Ierobežojums uzņemties jaunas parādsaistības </w:t>
      </w:r>
      <w:r>
        <w:rPr>
          <w:sz w:val="24"/>
        </w:rPr>
        <w:t>– ir nepieciešams pārvērtēt, cik adekvāts</w:t>
      </w:r>
      <w:r>
        <w:rPr>
          <w:spacing w:val="-12"/>
          <w:sz w:val="24"/>
        </w:rPr>
        <w:t> </w:t>
      </w:r>
      <w:r>
        <w:rPr>
          <w:sz w:val="24"/>
        </w:rPr>
        <w:t>ir</w:t>
      </w:r>
      <w:r>
        <w:rPr>
          <w:spacing w:val="-12"/>
          <w:sz w:val="24"/>
        </w:rPr>
        <w:t> </w:t>
      </w:r>
      <w:r>
        <w:rPr>
          <w:sz w:val="24"/>
        </w:rPr>
        <w:t>Maksātnespējas</w:t>
      </w:r>
      <w:r>
        <w:rPr>
          <w:spacing w:val="-15"/>
          <w:sz w:val="24"/>
        </w:rPr>
        <w:t> </w:t>
      </w:r>
      <w:r>
        <w:rPr>
          <w:sz w:val="24"/>
        </w:rPr>
        <w:t>likuma</w:t>
      </w:r>
      <w:r>
        <w:rPr>
          <w:spacing w:val="-14"/>
          <w:sz w:val="24"/>
        </w:rPr>
        <w:t> </w:t>
      </w:r>
      <w:r>
        <w:rPr>
          <w:sz w:val="24"/>
        </w:rPr>
        <w:t>134.panta</w:t>
      </w:r>
      <w:r>
        <w:rPr>
          <w:spacing w:val="-12"/>
          <w:sz w:val="24"/>
        </w:rPr>
        <w:t> </w:t>
      </w:r>
      <w:r>
        <w:rPr>
          <w:sz w:val="24"/>
        </w:rPr>
        <w:t>otrās</w:t>
      </w:r>
      <w:r>
        <w:rPr>
          <w:spacing w:val="-12"/>
          <w:sz w:val="24"/>
        </w:rPr>
        <w:t> </w:t>
      </w:r>
      <w:r>
        <w:rPr>
          <w:sz w:val="24"/>
        </w:rPr>
        <w:t>daļas</w:t>
      </w:r>
      <w:r>
        <w:rPr>
          <w:spacing w:val="-11"/>
          <w:sz w:val="24"/>
        </w:rPr>
        <w:t> </w:t>
      </w:r>
      <w:r>
        <w:rPr>
          <w:sz w:val="24"/>
        </w:rPr>
        <w:t>5.punktā</w:t>
      </w:r>
      <w:r>
        <w:rPr>
          <w:spacing w:val="-12"/>
          <w:sz w:val="24"/>
        </w:rPr>
        <w:t> </w:t>
      </w:r>
      <w:r>
        <w:rPr>
          <w:sz w:val="24"/>
        </w:rPr>
        <w:t>noteiktais,</w:t>
      </w:r>
      <w:r>
        <w:rPr>
          <w:spacing w:val="-12"/>
          <w:sz w:val="24"/>
        </w:rPr>
        <w:t> </w:t>
      </w:r>
      <w:r>
        <w:rPr>
          <w:sz w:val="24"/>
        </w:rPr>
        <w:t>ka</w:t>
      </w:r>
      <w:r>
        <w:rPr>
          <w:spacing w:val="-15"/>
          <w:sz w:val="24"/>
        </w:rPr>
        <w:t> </w:t>
      </w:r>
      <w:r>
        <w:rPr>
          <w:sz w:val="24"/>
        </w:rPr>
        <w:t>pēc maksātnespējas procesa pasludināšanas parādnieks zaudē tiesības bez administratora piekrišanas uzņemties jaunas parādsaistības. Proti, ir atbalstāma šāda ierobežojuma noteikšana, jo tā galvenais mērķis ir panākt to, lai parādnieks maksātnespējas</w:t>
      </w:r>
      <w:r>
        <w:rPr>
          <w:spacing w:val="-8"/>
          <w:sz w:val="24"/>
        </w:rPr>
        <w:t> </w:t>
      </w:r>
      <w:r>
        <w:rPr>
          <w:sz w:val="24"/>
        </w:rPr>
        <w:t>procesa</w:t>
      </w:r>
      <w:r>
        <w:rPr>
          <w:spacing w:val="-8"/>
          <w:sz w:val="24"/>
        </w:rPr>
        <w:t> </w:t>
      </w:r>
      <w:r>
        <w:rPr>
          <w:sz w:val="24"/>
        </w:rPr>
        <w:t>laikā</w:t>
      </w:r>
      <w:r>
        <w:rPr>
          <w:spacing w:val="-8"/>
          <w:sz w:val="24"/>
        </w:rPr>
        <w:t> </w:t>
      </w:r>
      <w:r>
        <w:rPr>
          <w:sz w:val="24"/>
        </w:rPr>
        <w:t>iemācās</w:t>
      </w:r>
      <w:r>
        <w:rPr>
          <w:spacing w:val="-10"/>
          <w:sz w:val="24"/>
        </w:rPr>
        <w:t> </w:t>
      </w:r>
      <w:r>
        <w:rPr>
          <w:sz w:val="24"/>
        </w:rPr>
        <w:t>samērot</w:t>
      </w:r>
      <w:r>
        <w:rPr>
          <w:spacing w:val="-5"/>
          <w:sz w:val="24"/>
        </w:rPr>
        <w:t> </w:t>
      </w:r>
      <w:r>
        <w:rPr>
          <w:sz w:val="24"/>
        </w:rPr>
        <w:t>savus</w:t>
      </w:r>
      <w:r>
        <w:rPr>
          <w:spacing w:val="-8"/>
          <w:sz w:val="24"/>
        </w:rPr>
        <w:t> </w:t>
      </w:r>
      <w:r>
        <w:rPr>
          <w:sz w:val="24"/>
        </w:rPr>
        <w:t>izdevumus</w:t>
      </w:r>
      <w:r>
        <w:rPr>
          <w:spacing w:val="-5"/>
          <w:sz w:val="24"/>
        </w:rPr>
        <w:t> </w:t>
      </w:r>
      <w:r>
        <w:rPr>
          <w:sz w:val="24"/>
        </w:rPr>
        <w:t>ar</w:t>
      </w:r>
      <w:r>
        <w:rPr>
          <w:spacing w:val="-11"/>
          <w:sz w:val="24"/>
        </w:rPr>
        <w:t> </w:t>
      </w:r>
      <w:r>
        <w:rPr>
          <w:sz w:val="24"/>
        </w:rPr>
        <w:t>ienākumiem,</w:t>
      </w:r>
      <w:r>
        <w:rPr>
          <w:spacing w:val="-8"/>
          <w:sz w:val="24"/>
        </w:rPr>
        <w:t> </w:t>
      </w:r>
      <w:r>
        <w:rPr>
          <w:sz w:val="24"/>
        </w:rPr>
        <w:t>kā</w:t>
      </w:r>
    </w:p>
    <w:p>
      <w:pPr>
        <w:spacing w:after="0" w:line="240" w:lineRule="auto"/>
        <w:jc w:val="both"/>
        <w:rPr>
          <w:sz w:val="24"/>
        </w:rPr>
        <w:sectPr>
          <w:pgSz w:w="11910" w:h="16840"/>
          <w:pgMar w:header="0" w:footer="1055" w:top="1340" w:bottom="1240" w:left="1180" w:right="1040"/>
        </w:sectPr>
      </w:pPr>
    </w:p>
    <w:p>
      <w:pPr>
        <w:pStyle w:val="BodyText"/>
        <w:spacing w:before="73"/>
        <w:ind w:left="1340" w:right="401"/>
      </w:pPr>
      <w:r>
        <w:rPr/>
        <w:t>arī saprātīgi pārvaldīt savas finanses, tādējādi novēršot atkārtotas maksātnespējas iespējamību. Tomēr, tā kā Maksātnespējas likuma 134.panta otrās daļas 5.punkts aizliedz</w:t>
      </w:r>
      <w:r>
        <w:rPr>
          <w:spacing w:val="-10"/>
        </w:rPr>
        <w:t> </w:t>
      </w:r>
      <w:r>
        <w:rPr/>
        <w:t>parādniekam</w:t>
      </w:r>
      <w:r>
        <w:rPr>
          <w:spacing w:val="-11"/>
        </w:rPr>
        <w:t> </w:t>
      </w:r>
      <w:r>
        <w:rPr/>
        <w:t>tiesības</w:t>
      </w:r>
      <w:r>
        <w:rPr>
          <w:spacing w:val="-11"/>
        </w:rPr>
        <w:t> </w:t>
      </w:r>
      <w:r>
        <w:rPr/>
        <w:t>bez</w:t>
      </w:r>
      <w:r>
        <w:rPr>
          <w:spacing w:val="-11"/>
        </w:rPr>
        <w:t> </w:t>
      </w:r>
      <w:r>
        <w:rPr/>
        <w:t>administratora</w:t>
      </w:r>
      <w:r>
        <w:rPr>
          <w:spacing w:val="-10"/>
        </w:rPr>
        <w:t> </w:t>
      </w:r>
      <w:r>
        <w:rPr/>
        <w:t>piekrišanas</w:t>
      </w:r>
      <w:r>
        <w:rPr>
          <w:spacing w:val="-9"/>
        </w:rPr>
        <w:t> </w:t>
      </w:r>
      <w:r>
        <w:rPr/>
        <w:t>aizņemties</w:t>
      </w:r>
      <w:r>
        <w:rPr>
          <w:spacing w:val="-11"/>
        </w:rPr>
        <w:t> </w:t>
      </w:r>
      <w:r>
        <w:rPr/>
        <w:t>pat</w:t>
      </w:r>
      <w:r>
        <w:rPr>
          <w:spacing w:val="-11"/>
        </w:rPr>
        <w:t> </w:t>
      </w:r>
      <w:r>
        <w:rPr/>
        <w:t>niecīgu summu,</w:t>
      </w:r>
      <w:r>
        <w:rPr>
          <w:spacing w:val="-6"/>
        </w:rPr>
        <w:t> </w:t>
      </w:r>
      <w:r>
        <w:rPr/>
        <w:t>praksē</w:t>
      </w:r>
      <w:r>
        <w:rPr>
          <w:spacing w:val="-6"/>
        </w:rPr>
        <w:t> </w:t>
      </w:r>
      <w:r>
        <w:rPr/>
        <w:t>ir</w:t>
      </w:r>
      <w:r>
        <w:rPr>
          <w:spacing w:val="-6"/>
        </w:rPr>
        <w:t> </w:t>
      </w:r>
      <w:r>
        <w:rPr/>
        <w:t>bijuši</w:t>
      </w:r>
      <w:r>
        <w:rPr>
          <w:spacing w:val="-4"/>
        </w:rPr>
        <w:t> </w:t>
      </w:r>
      <w:r>
        <w:rPr/>
        <w:t>gadījumi,</w:t>
      </w:r>
      <w:r>
        <w:rPr>
          <w:spacing w:val="-6"/>
        </w:rPr>
        <w:t> </w:t>
      </w:r>
      <w:r>
        <w:rPr/>
        <w:t>ka</w:t>
      </w:r>
      <w:r>
        <w:rPr>
          <w:spacing w:val="-6"/>
        </w:rPr>
        <w:t> </w:t>
      </w:r>
      <w:r>
        <w:rPr/>
        <w:t>arī</w:t>
      </w:r>
      <w:r>
        <w:rPr>
          <w:spacing w:val="-6"/>
        </w:rPr>
        <w:t> </w:t>
      </w:r>
      <w:r>
        <w:rPr/>
        <w:t>pārdesmit</w:t>
      </w:r>
      <w:r>
        <w:rPr>
          <w:spacing w:val="-6"/>
        </w:rPr>
        <w:t> </w:t>
      </w:r>
      <w:r>
        <w:rPr>
          <w:i/>
        </w:rPr>
        <w:t>euro</w:t>
      </w:r>
      <w:r>
        <w:rPr>
          <w:i/>
          <w:spacing w:val="-7"/>
        </w:rPr>
        <w:t> </w:t>
      </w:r>
      <w:r>
        <w:rPr/>
        <w:t>parādsaistību</w:t>
      </w:r>
      <w:r>
        <w:rPr>
          <w:spacing w:val="-6"/>
        </w:rPr>
        <w:t> </w:t>
      </w:r>
      <w:r>
        <w:rPr/>
        <w:t>nodibināšana ir izmantota kā pamats pieteikuma par maksātnespējas procesa izbeigšanu iesniegšanai. Turklāt tik strikts ierobežojums (kā jebkurš nesamērīgi stingrs ierobežojums) var panākt tieši pretēju efektu – ka parādnieks bez administratora piekrišanas uzņemas arī liela apmēra saistības. Līdz ar to būtu vēlams noteikt, ka administratora</w:t>
      </w:r>
      <w:r>
        <w:rPr>
          <w:spacing w:val="-16"/>
        </w:rPr>
        <w:t> </w:t>
      </w:r>
      <w:r>
        <w:rPr/>
        <w:t>piekrišana</w:t>
      </w:r>
      <w:r>
        <w:rPr>
          <w:spacing w:val="-12"/>
        </w:rPr>
        <w:t> </w:t>
      </w:r>
      <w:r>
        <w:rPr/>
        <w:t>ir</w:t>
      </w:r>
      <w:r>
        <w:rPr>
          <w:spacing w:val="-13"/>
        </w:rPr>
        <w:t> </w:t>
      </w:r>
      <w:r>
        <w:rPr/>
        <w:t>nepieciešama,</w:t>
      </w:r>
      <w:r>
        <w:rPr>
          <w:spacing w:val="-12"/>
        </w:rPr>
        <w:t> </w:t>
      </w:r>
      <w:r>
        <w:rPr/>
        <w:t>piemēram,</w:t>
      </w:r>
      <w:r>
        <w:rPr>
          <w:spacing w:val="-13"/>
        </w:rPr>
        <w:t> </w:t>
      </w:r>
      <w:r>
        <w:rPr/>
        <w:t>ja</w:t>
      </w:r>
      <w:r>
        <w:rPr>
          <w:spacing w:val="-13"/>
        </w:rPr>
        <w:t> </w:t>
      </w:r>
      <w:r>
        <w:rPr/>
        <w:t>parādnieks</w:t>
      </w:r>
      <w:r>
        <w:rPr>
          <w:spacing w:val="-13"/>
        </w:rPr>
        <w:t> </w:t>
      </w:r>
      <w:r>
        <w:rPr/>
        <w:t>uzņemas</w:t>
      </w:r>
      <w:r>
        <w:rPr>
          <w:spacing w:val="-10"/>
        </w:rPr>
        <w:t> </w:t>
      </w:r>
      <w:r>
        <w:rPr/>
        <w:t>jaunas parādsaistības, kuru summa pārsniedz vienu minimālo</w:t>
      </w:r>
      <w:r>
        <w:rPr>
          <w:spacing w:val="-2"/>
        </w:rPr>
        <w:t> </w:t>
      </w:r>
      <w:r>
        <w:rPr/>
        <w:t>mēnešalgu.</w:t>
      </w:r>
    </w:p>
    <w:p>
      <w:pPr>
        <w:spacing w:after="0"/>
        <w:sectPr>
          <w:pgSz w:w="11910" w:h="16840"/>
          <w:pgMar w:header="0" w:footer="1055" w:top="1340" w:bottom="1240" w:left="1180" w:right="1040"/>
        </w:sectPr>
      </w:pPr>
    </w:p>
    <w:p>
      <w:pPr>
        <w:pStyle w:val="Heading1"/>
        <w:ind w:right="1320"/>
      </w:pPr>
      <w:bookmarkStart w:name="_TOC_250000" w:id="78"/>
      <w:bookmarkEnd w:id="78"/>
      <w:r>
        <w:rPr>
          <w:color w:val="4472C3"/>
        </w:rPr>
        <w:t>IZMANTOTO AVOTU SARAKSTS</w:t>
      </w:r>
    </w:p>
    <w:p>
      <w:pPr>
        <w:pStyle w:val="BodyText"/>
        <w:spacing w:before="10"/>
        <w:jc w:val="left"/>
        <w:rPr>
          <w:b/>
          <w:sz w:val="31"/>
        </w:rPr>
      </w:pPr>
    </w:p>
    <w:p>
      <w:pPr>
        <w:pStyle w:val="Heading3"/>
        <w:spacing w:line="274" w:lineRule="exact"/>
        <w:jc w:val="left"/>
      </w:pPr>
      <w:r>
        <w:rPr/>
        <w:t>Latviešu valodā:</w:t>
      </w:r>
    </w:p>
    <w:p>
      <w:pPr>
        <w:pStyle w:val="ListParagraph"/>
        <w:numPr>
          <w:ilvl w:val="0"/>
          <w:numId w:val="135"/>
        </w:numPr>
        <w:tabs>
          <w:tab w:pos="980" w:val="left" w:leader="none"/>
        </w:tabs>
        <w:spacing w:line="240" w:lineRule="auto" w:before="0" w:after="0"/>
        <w:ind w:left="980" w:right="763" w:hanging="360"/>
        <w:jc w:val="left"/>
        <w:rPr>
          <w:sz w:val="24"/>
        </w:rPr>
      </w:pPr>
      <w:r>
        <w:rPr>
          <w:sz w:val="24"/>
        </w:rPr>
        <w:t>Bērziņš G. Fiziskas personas maksātnespējas process. Rīga: Tiesu namu aģentūra, 2018;</w:t>
      </w:r>
    </w:p>
    <w:p>
      <w:pPr>
        <w:pStyle w:val="ListParagraph"/>
        <w:numPr>
          <w:ilvl w:val="0"/>
          <w:numId w:val="135"/>
        </w:numPr>
        <w:tabs>
          <w:tab w:pos="980" w:val="left" w:leader="none"/>
        </w:tabs>
        <w:spacing w:line="240" w:lineRule="auto" w:before="0" w:after="0"/>
        <w:ind w:left="980" w:right="760" w:hanging="360"/>
        <w:jc w:val="left"/>
        <w:rPr>
          <w:sz w:val="24"/>
        </w:rPr>
      </w:pPr>
      <w:r>
        <w:rPr>
          <w:sz w:val="24"/>
        </w:rPr>
        <w:t>Centrālā statistikas pārvalde: 2018. gada 2. ceturksnī 64,4 % iedzīvotāju</w:t>
      </w:r>
      <w:r>
        <w:rPr>
          <w:spacing w:val="45"/>
          <w:sz w:val="24"/>
        </w:rPr>
        <w:t> </w:t>
      </w:r>
      <w:r>
        <w:rPr>
          <w:sz w:val="24"/>
        </w:rPr>
        <w:t>bija nodarbināti.Pieejams:</w:t>
      </w:r>
    </w:p>
    <w:p>
      <w:pPr>
        <w:pStyle w:val="BodyText"/>
        <w:ind w:left="980" w:right="1160"/>
        <w:jc w:val="left"/>
      </w:pPr>
      <w:r>
        <w:rPr>
          <w:color w:val="0562C1"/>
          <w:u w:val="single" w:color="0562C1"/>
        </w:rPr>
        <w:t>https://</w:t>
      </w:r>
      <w:hyperlink r:id="rId112">
        <w:r>
          <w:rPr>
            <w:color w:val="0562C1"/>
            <w:u w:val="single" w:color="0562C1"/>
          </w:rPr>
          <w:t>www.csb.gov.lv/lv/statistika/statistikas-temas/socialie-</w:t>
        </w:r>
      </w:hyperlink>
      <w:r>
        <w:rPr>
          <w:color w:val="0562C1"/>
        </w:rPr>
        <w:t> </w:t>
      </w:r>
      <w:r>
        <w:rPr>
          <w:color w:val="0562C1"/>
          <w:u w:val="single" w:color="0562C1"/>
        </w:rPr>
        <w:t>procesi/nodarbinatiba/meklet-tema/2422-nodarbinatiba-2018-gada-2-ceturksni</w:t>
      </w:r>
    </w:p>
    <w:p>
      <w:pPr>
        <w:pStyle w:val="BodyText"/>
        <w:spacing w:before="5"/>
        <w:jc w:val="left"/>
        <w:rPr>
          <w:sz w:val="16"/>
        </w:rPr>
      </w:pPr>
    </w:p>
    <w:p>
      <w:pPr>
        <w:pStyle w:val="Heading3"/>
        <w:spacing w:line="274" w:lineRule="exact" w:before="90"/>
        <w:jc w:val="left"/>
      </w:pPr>
      <w:r>
        <w:rPr/>
        <w:t>Svešvalodās:</w:t>
      </w:r>
    </w:p>
    <w:p>
      <w:pPr>
        <w:pStyle w:val="ListParagraph"/>
        <w:numPr>
          <w:ilvl w:val="0"/>
          <w:numId w:val="136"/>
        </w:numPr>
        <w:tabs>
          <w:tab w:pos="980" w:val="left" w:leader="none"/>
        </w:tabs>
        <w:spacing w:line="240" w:lineRule="auto" w:before="0" w:after="0"/>
        <w:ind w:left="980" w:right="765" w:hanging="360"/>
        <w:jc w:val="left"/>
        <w:rPr>
          <w:sz w:val="24"/>
        </w:rPr>
      </w:pPr>
      <w:r>
        <w:rPr>
          <w:sz w:val="24"/>
        </w:rPr>
        <w:t>A closer look at the courts of Denmark – The Danish legal system. Pieejams:</w:t>
      </w:r>
      <w:hyperlink r:id="rId113">
        <w:r>
          <w:rPr>
            <w:color w:val="0562C1"/>
            <w:sz w:val="24"/>
            <w:u w:val="single" w:color="0562C1"/>
          </w:rPr>
          <w:t> http://www.domstol.dk/om/publikationer/HtmlPublikationer/Profil/Profilbrochure</w:t>
        </w:r>
      </w:hyperlink>
    </w:p>
    <w:p>
      <w:pPr>
        <w:pStyle w:val="BodyText"/>
        <w:ind w:left="980"/>
        <w:jc w:val="left"/>
      </w:pPr>
      <w:r>
        <w:rPr>
          <w:color w:val="0562C1"/>
          <w:u w:val="single" w:color="0562C1"/>
        </w:rPr>
        <w:t>%20-%20UK/kap03.html</w:t>
      </w:r>
      <w:r>
        <w:rPr/>
        <w:t>;</w:t>
      </w:r>
    </w:p>
    <w:p>
      <w:pPr>
        <w:pStyle w:val="ListParagraph"/>
        <w:numPr>
          <w:ilvl w:val="0"/>
          <w:numId w:val="136"/>
        </w:numPr>
        <w:tabs>
          <w:tab w:pos="973" w:val="left" w:leader="none"/>
        </w:tabs>
        <w:spacing w:line="240" w:lineRule="auto" w:before="0" w:after="0"/>
        <w:ind w:left="972" w:right="765" w:hanging="356"/>
        <w:jc w:val="both"/>
        <w:rPr>
          <w:sz w:val="24"/>
        </w:rPr>
      </w:pPr>
      <w:r>
        <w:rPr>
          <w:sz w:val="24"/>
        </w:rPr>
        <w:t>Ahrens “Das neue Privatinsolvenzrecht. Reform und aktuelle Entwicklung”, 2. ueerarbeitete und ergaenzte Auflage, RWS Verlag, Kommunikationsforum</w:t>
      </w:r>
      <w:r>
        <w:rPr>
          <w:spacing w:val="-37"/>
          <w:sz w:val="24"/>
        </w:rPr>
        <w:t> </w:t>
      </w:r>
      <w:r>
        <w:rPr>
          <w:sz w:val="24"/>
        </w:rPr>
        <w:t>GmbH, Koeln,</w:t>
      </w:r>
      <w:r>
        <w:rPr>
          <w:spacing w:val="-1"/>
          <w:sz w:val="24"/>
        </w:rPr>
        <w:t> </w:t>
      </w:r>
      <w:r>
        <w:rPr>
          <w:sz w:val="24"/>
        </w:rPr>
        <w:t>2016;</w:t>
      </w:r>
    </w:p>
    <w:p>
      <w:pPr>
        <w:pStyle w:val="ListParagraph"/>
        <w:numPr>
          <w:ilvl w:val="0"/>
          <w:numId w:val="136"/>
        </w:numPr>
        <w:tabs>
          <w:tab w:pos="973" w:val="left" w:leader="none"/>
        </w:tabs>
        <w:spacing w:line="240" w:lineRule="auto" w:before="0" w:after="0"/>
        <w:ind w:left="972" w:right="767" w:hanging="356"/>
        <w:jc w:val="both"/>
        <w:rPr>
          <w:sz w:val="24"/>
        </w:rPr>
      </w:pPr>
      <w:r>
        <w:rPr>
          <w:sz w:val="24"/>
        </w:rPr>
        <w:t>Conway L. Debt Relief Orders. / House of Commons Library, Briefing paper, 2016., Nr.</w:t>
      </w:r>
      <w:r>
        <w:rPr>
          <w:spacing w:val="-3"/>
          <w:sz w:val="24"/>
        </w:rPr>
        <w:t> </w:t>
      </w:r>
      <w:r>
        <w:rPr>
          <w:sz w:val="24"/>
        </w:rPr>
        <w:t>CPB4982;</w:t>
      </w:r>
    </w:p>
    <w:p>
      <w:pPr>
        <w:pStyle w:val="ListParagraph"/>
        <w:numPr>
          <w:ilvl w:val="0"/>
          <w:numId w:val="136"/>
        </w:numPr>
        <w:tabs>
          <w:tab w:pos="980" w:val="left" w:leader="none"/>
        </w:tabs>
        <w:spacing w:line="240" w:lineRule="auto" w:before="0" w:after="0"/>
        <w:ind w:left="980" w:right="766" w:hanging="360"/>
        <w:jc w:val="both"/>
        <w:rPr>
          <w:sz w:val="24"/>
        </w:rPr>
      </w:pPr>
      <w:r>
        <w:rPr>
          <w:sz w:val="24"/>
        </w:rPr>
        <w:t>Doing Business 2018. 15th Edition. Washington: International Bank for Reconstruction and Development / The World Bank, 2018. Pieejams:</w:t>
      </w:r>
      <w:hyperlink r:id="rId114">
        <w:r>
          <w:rPr>
            <w:color w:val="0562C1"/>
            <w:sz w:val="24"/>
            <w:u w:val="single" w:color="0562C1"/>
          </w:rPr>
          <w:t> http://www.doingbusiness.org/reports/global-reports/doing-business-2018;</w:t>
        </w:r>
      </w:hyperlink>
    </w:p>
    <w:p>
      <w:pPr>
        <w:pStyle w:val="ListParagraph"/>
        <w:numPr>
          <w:ilvl w:val="0"/>
          <w:numId w:val="136"/>
        </w:numPr>
        <w:tabs>
          <w:tab w:pos="980" w:val="left" w:leader="none"/>
          <w:tab w:pos="3300" w:val="left" w:leader="none"/>
          <w:tab w:pos="5760" w:val="left" w:leader="none"/>
          <w:tab w:pos="7987" w:val="left" w:leader="none"/>
        </w:tabs>
        <w:spacing w:line="240" w:lineRule="auto" w:before="0" w:after="0"/>
        <w:ind w:left="980" w:right="763" w:hanging="360"/>
        <w:jc w:val="left"/>
        <w:rPr>
          <w:sz w:val="24"/>
        </w:rPr>
      </w:pPr>
      <w:r>
        <w:rPr>
          <w:sz w:val="24"/>
        </w:rPr>
        <w:t>ECORYS. Bankruptcy and second chance for honest bankrupt entrepreneurs.</w:t>
      </w:r>
      <w:r>
        <w:rPr>
          <w:spacing w:val="-37"/>
          <w:sz w:val="24"/>
        </w:rPr>
        <w:t> </w:t>
      </w:r>
      <w:r>
        <w:rPr>
          <w:sz w:val="24"/>
        </w:rPr>
        <w:t>Final report,</w:t>
        <w:tab/>
        <w:t>October</w:t>
        <w:tab/>
        <w:t>2014.</w:t>
        <w:tab/>
      </w:r>
      <w:r>
        <w:rPr>
          <w:spacing w:val="-3"/>
          <w:sz w:val="24"/>
        </w:rPr>
        <w:t>Pieejams:</w:t>
      </w:r>
      <w:hyperlink r:id="rId115">
        <w:r>
          <w:rPr>
            <w:color w:val="0562C1"/>
            <w:spacing w:val="-3"/>
            <w:sz w:val="24"/>
            <w:u w:val="single" w:color="0562C1"/>
          </w:rPr>
          <w:t> </w:t>
        </w:r>
        <w:r>
          <w:rPr>
            <w:color w:val="0562C1"/>
            <w:sz w:val="24"/>
            <w:u w:val="single" w:color="0562C1"/>
          </w:rPr>
          <w:t>http://www.eea.gr/system/uploads/asset/data/9042/Bankruptcy_and_second_chan</w:t>
        </w:r>
      </w:hyperlink>
      <w:r>
        <w:rPr>
          <w:color w:val="0562C1"/>
          <w:sz w:val="24"/>
          <w:u w:val="single" w:color="0562C1"/>
        </w:rPr>
        <w:t> ce_for_honest_bankrupt_entrepreneurs_FINAL_REPORT.pdf</w:t>
      </w:r>
      <w:r>
        <w:rPr>
          <w:color w:val="003A62"/>
          <w:sz w:val="24"/>
        </w:rPr>
        <w:t>;</w:t>
      </w:r>
    </w:p>
    <w:p>
      <w:pPr>
        <w:pStyle w:val="ListParagraph"/>
        <w:numPr>
          <w:ilvl w:val="0"/>
          <w:numId w:val="136"/>
        </w:numPr>
        <w:tabs>
          <w:tab w:pos="973" w:val="left" w:leader="none"/>
        </w:tabs>
        <w:spacing w:line="240" w:lineRule="auto" w:before="0" w:after="0"/>
        <w:ind w:left="972" w:right="761" w:hanging="356"/>
        <w:jc w:val="left"/>
        <w:rPr>
          <w:sz w:val="24"/>
        </w:rPr>
      </w:pPr>
      <w:r>
        <w:rPr>
          <w:sz w:val="24"/>
        </w:rPr>
        <w:t>Elqueta G. R.. The Paradoxical Bankruptcy Discharge: Rereading the Common Law- Civil Law Relationship. Fordham Journal of Corporate &amp; Financial Law, 2013, Volume 19 Pieejams:</w:t>
      </w:r>
      <w:r>
        <w:rPr>
          <w:color w:val="0562C1"/>
          <w:sz w:val="24"/>
          <w:u w:val="single" w:color="0562C1"/>
        </w:rPr>
        <w:t>https://ir.lawnet.fordham.edu/cgi/viewcontent.cgi?referer=https://www.g oogle.lv/&amp;httpsredir=1&amp;article=1384&amp;context=jcfl</w:t>
      </w:r>
      <w:r>
        <w:rPr>
          <w:sz w:val="24"/>
        </w:rPr>
        <w:t>;</w:t>
      </w:r>
    </w:p>
    <w:p>
      <w:pPr>
        <w:pStyle w:val="ListParagraph"/>
        <w:numPr>
          <w:ilvl w:val="0"/>
          <w:numId w:val="136"/>
        </w:numPr>
        <w:tabs>
          <w:tab w:pos="980" w:val="left" w:leader="none"/>
        </w:tabs>
        <w:spacing w:line="240" w:lineRule="auto" w:before="0" w:after="0"/>
        <w:ind w:left="967" w:right="761" w:hanging="348"/>
        <w:jc w:val="left"/>
        <w:rPr>
          <w:sz w:val="24"/>
        </w:rPr>
      </w:pPr>
      <w:r>
        <w:rPr>
          <w:sz w:val="24"/>
        </w:rPr>
        <w:t>INSOL Europe Insolvency Officeholders forum. Survey of certain regulation for insolvency officeholders: Denmark. Pieejams:</w:t>
      </w:r>
      <w:r>
        <w:rPr>
          <w:color w:val="0562C1"/>
          <w:sz w:val="24"/>
          <w:u w:val="single" w:color="0562C1"/>
        </w:rPr>
        <w:t> https://webcache.googleusercontent.com/search?q=cache:AUidkcIBwmgJ:https://</w:t>
      </w:r>
      <w:hyperlink r:id="rId116">
        <w:r>
          <w:rPr>
            <w:color w:val="0562C1"/>
            <w:sz w:val="24"/>
            <w:u w:val="single" w:color="0562C1"/>
          </w:rPr>
          <w:t> www.insol-europe.org/download/documents/823+&amp;cd=4&amp;hl=lv&amp;ct=clnk&amp;gl=lv;</w:t>
        </w:r>
      </w:hyperlink>
    </w:p>
    <w:p>
      <w:pPr>
        <w:pStyle w:val="ListParagraph"/>
        <w:numPr>
          <w:ilvl w:val="0"/>
          <w:numId w:val="136"/>
        </w:numPr>
        <w:tabs>
          <w:tab w:pos="980" w:val="left" w:leader="none"/>
        </w:tabs>
        <w:spacing w:line="240" w:lineRule="auto" w:before="0" w:after="0"/>
        <w:ind w:left="980" w:right="762" w:hanging="360"/>
        <w:jc w:val="left"/>
        <w:rPr>
          <w:sz w:val="24"/>
        </w:rPr>
      </w:pPr>
      <w:r>
        <w:rPr>
          <w:sz w:val="24"/>
        </w:rPr>
        <w:t>Insolvency Proceedings: Debt relief orders and the bankruptcy petition limit –</w:t>
      </w:r>
      <w:r>
        <w:rPr>
          <w:spacing w:val="-22"/>
          <w:sz w:val="24"/>
        </w:rPr>
        <w:t> </w:t>
      </w:r>
      <w:r>
        <w:rPr>
          <w:sz w:val="24"/>
        </w:rPr>
        <w:t>Call for evidence. Analysis of responses, 2015. Pieejams:</w:t>
      </w:r>
      <w:r>
        <w:rPr>
          <w:color w:val="0562C1"/>
          <w:sz w:val="24"/>
          <w:u w:val="single" w:color="0562C1"/>
        </w:rPr>
        <w:t> https://assets.publishing.service.gov.uk/government/uploads/system/uploads/attac hment_data/file/398279/Analysis_of_responses_for_internet_-_revised_version_-</w:t>
      </w:r>
    </w:p>
    <w:p>
      <w:pPr>
        <w:pStyle w:val="BodyText"/>
        <w:ind w:left="980"/>
        <w:jc w:val="left"/>
      </w:pPr>
      <w:r>
        <w:rPr>
          <w:color w:val="0562C1"/>
          <w:u w:val="single" w:color="0562C1"/>
        </w:rPr>
        <w:t>_23_January_2015.pdf;</w:t>
      </w:r>
    </w:p>
    <w:p>
      <w:pPr>
        <w:pStyle w:val="ListParagraph"/>
        <w:numPr>
          <w:ilvl w:val="0"/>
          <w:numId w:val="136"/>
        </w:numPr>
        <w:tabs>
          <w:tab w:pos="980" w:val="left" w:leader="none"/>
        </w:tabs>
        <w:spacing w:line="240" w:lineRule="auto" w:before="0" w:after="0"/>
        <w:ind w:left="980" w:right="763" w:hanging="360"/>
        <w:jc w:val="both"/>
        <w:rPr>
          <w:sz w:val="24"/>
        </w:rPr>
      </w:pPr>
      <w:r>
        <w:rPr>
          <w:sz w:val="24"/>
        </w:rPr>
        <w:t>Kayser/Thole “Insolvenzordnung” Heidelberger Kommentar, 9. neu bearbeitete Auflage, C.F.Mueller, 2018,/Waltenberger</w:t>
      </w:r>
      <w:r>
        <w:rPr>
          <w:spacing w:val="56"/>
          <w:sz w:val="24"/>
        </w:rPr>
        <w:t> </w:t>
      </w:r>
      <w:r>
        <w:rPr>
          <w:sz w:val="24"/>
        </w:rPr>
        <w:t>Kommentare;</w:t>
      </w:r>
    </w:p>
    <w:p>
      <w:pPr>
        <w:pStyle w:val="ListParagraph"/>
        <w:numPr>
          <w:ilvl w:val="0"/>
          <w:numId w:val="136"/>
        </w:numPr>
        <w:tabs>
          <w:tab w:pos="980" w:val="left" w:leader="none"/>
        </w:tabs>
        <w:spacing w:line="240" w:lineRule="auto" w:before="0" w:after="0"/>
        <w:ind w:left="980" w:right="764" w:hanging="360"/>
        <w:jc w:val="both"/>
        <w:rPr>
          <w:sz w:val="24"/>
        </w:rPr>
      </w:pPr>
      <w:r>
        <w:rPr>
          <w:sz w:val="24"/>
        </w:rPr>
        <w:t>Kilborn J. The Rise and Fall of Fear of Abuse in Consumer Bankruptcy: Most Recent Comparative Evidence from Europe and Beyond. Texas Law Review, Vol.96:1327, 2018;</w:t>
      </w:r>
    </w:p>
    <w:p>
      <w:pPr>
        <w:pStyle w:val="ListParagraph"/>
        <w:numPr>
          <w:ilvl w:val="0"/>
          <w:numId w:val="136"/>
        </w:numPr>
        <w:tabs>
          <w:tab w:pos="980" w:val="left" w:leader="none"/>
        </w:tabs>
        <w:spacing w:line="240" w:lineRule="auto" w:before="0" w:after="0"/>
        <w:ind w:left="980" w:right="763" w:hanging="360"/>
        <w:jc w:val="both"/>
        <w:rPr>
          <w:sz w:val="24"/>
        </w:rPr>
      </w:pPr>
      <w:r>
        <w:rPr>
          <w:sz w:val="24"/>
        </w:rPr>
        <w:t>Kilborn J. Twenty-five Years of Consumer Bankruptcy in Continental Europe: Internalizing Negative Externalities and Humanizing Justice in Denmark. INSOL International Insolvency Review, 2009.,</w:t>
      </w:r>
      <w:r>
        <w:rPr>
          <w:spacing w:val="-2"/>
          <w:sz w:val="24"/>
        </w:rPr>
        <w:t> </w:t>
      </w:r>
      <w:r>
        <w:rPr>
          <w:sz w:val="24"/>
        </w:rPr>
        <w:t>Vol.18:155^185;</w:t>
      </w:r>
    </w:p>
    <w:p>
      <w:pPr>
        <w:spacing w:after="0" w:line="240" w:lineRule="auto"/>
        <w:jc w:val="both"/>
        <w:rPr>
          <w:sz w:val="24"/>
        </w:rPr>
        <w:sectPr>
          <w:pgSz w:w="11910" w:h="16840"/>
          <w:pgMar w:header="0" w:footer="1055" w:top="1360" w:bottom="1240" w:left="1180" w:right="1040"/>
        </w:sectPr>
      </w:pPr>
    </w:p>
    <w:p>
      <w:pPr>
        <w:pStyle w:val="ListParagraph"/>
        <w:numPr>
          <w:ilvl w:val="0"/>
          <w:numId w:val="136"/>
        </w:numPr>
        <w:tabs>
          <w:tab w:pos="1340" w:val="left" w:leader="none"/>
        </w:tabs>
        <w:spacing w:line="240" w:lineRule="auto" w:before="73" w:after="0"/>
        <w:ind w:left="1340" w:right="404" w:hanging="360"/>
        <w:jc w:val="both"/>
        <w:rPr>
          <w:sz w:val="24"/>
        </w:rPr>
      </w:pPr>
      <w:r>
        <w:rPr>
          <w:sz w:val="24"/>
        </w:rPr>
        <w:t>Kilborn J. Reform, Counter Reform and Transatlantic Rapprochement in the Law of Personal Bankruptcy. Nottingham Insolvency and Business Law e-Journal, 2015., 3 NIBLeJ</w:t>
      </w:r>
      <w:r>
        <w:rPr>
          <w:spacing w:val="1"/>
          <w:sz w:val="24"/>
        </w:rPr>
        <w:t> </w:t>
      </w:r>
      <w:r>
        <w:rPr>
          <w:sz w:val="24"/>
        </w:rPr>
        <w:t>12;</w:t>
      </w:r>
    </w:p>
    <w:p>
      <w:pPr>
        <w:pStyle w:val="ListParagraph"/>
        <w:numPr>
          <w:ilvl w:val="0"/>
          <w:numId w:val="136"/>
        </w:numPr>
        <w:tabs>
          <w:tab w:pos="1340" w:val="left" w:leader="none"/>
          <w:tab w:pos="2915" w:val="left" w:leader="none"/>
          <w:tab w:pos="4397" w:val="left" w:leader="none"/>
          <w:tab w:pos="5705" w:val="left" w:leader="none"/>
          <w:tab w:pos="7016" w:val="left" w:leader="none"/>
          <w:tab w:pos="8346" w:val="left" w:leader="none"/>
        </w:tabs>
        <w:spacing w:line="240" w:lineRule="auto" w:before="0" w:after="0"/>
        <w:ind w:left="1340" w:right="404" w:hanging="360"/>
        <w:jc w:val="both"/>
        <w:rPr>
          <w:sz w:val="24"/>
        </w:rPr>
      </w:pPr>
      <w:r>
        <w:rPr>
          <w:sz w:val="24"/>
        </w:rPr>
        <w:t>Kilborn J., Walters A. INVOLUNTARY BANKRUPTCY AS DEBT COLLECTION: MULTIJURISDICTIONAL LESSONS </w:t>
      </w:r>
      <w:r>
        <w:rPr>
          <w:spacing w:val="-3"/>
          <w:sz w:val="24"/>
        </w:rPr>
        <w:t>IN </w:t>
      </w:r>
      <w:r>
        <w:rPr>
          <w:sz w:val="24"/>
        </w:rPr>
        <w:t>CHOOSING THE RIGHT</w:t>
        <w:tab/>
        <w:t>TOOL</w:t>
        <w:tab/>
        <w:t>FOR</w:t>
        <w:tab/>
        <w:t>THE</w:t>
        <w:tab/>
        <w:t>JOB.</w:t>
        <w:tab/>
      </w:r>
      <w:r>
        <w:rPr>
          <w:spacing w:val="-3"/>
          <w:sz w:val="24"/>
        </w:rPr>
        <w:t>Pieejams:</w:t>
      </w:r>
      <w:r>
        <w:rPr>
          <w:color w:val="0562C1"/>
          <w:spacing w:val="-3"/>
          <w:sz w:val="24"/>
          <w:u w:val="single" w:color="0562C1"/>
        </w:rPr>
        <w:t> </w:t>
      </w:r>
      <w:r>
        <w:rPr>
          <w:color w:val="0562C1"/>
          <w:sz w:val="24"/>
          <w:u w:val="single" w:color="0562C1"/>
        </w:rPr>
        <w:t>https://</w:t>
      </w:r>
      <w:hyperlink r:id="rId67">
        <w:r>
          <w:rPr>
            <w:color w:val="0562C1"/>
            <w:sz w:val="24"/>
            <w:u w:val="single" w:color="0562C1"/>
          </w:rPr>
          <w:t>www.iiiglobal.org/sites/default/files/19036439v1%20-</w:t>
        </w:r>
      </w:hyperlink>
    </w:p>
    <w:p>
      <w:pPr>
        <w:pStyle w:val="BodyText"/>
        <w:ind w:left="1340" w:right="424"/>
        <w:jc w:val="left"/>
      </w:pPr>
      <w:r>
        <w:rPr>
          <w:color w:val="0562C1"/>
          <w:u w:val="single" w:color="0562C1"/>
        </w:rPr>
        <w:t>%20Involuntary%20Bankruptcy%20As%20Debt%20Collection%20(Jason%20Ki</w:t>
      </w:r>
      <w:r>
        <w:rPr>
          <w:color w:val="0562C1"/>
        </w:rPr>
        <w:t> </w:t>
      </w:r>
      <w:r>
        <w:rPr>
          <w:color w:val="0562C1"/>
          <w:u w:val="single" w:color="0562C1"/>
        </w:rPr>
        <w:t>lborn).PDF;</w:t>
      </w:r>
    </w:p>
    <w:p>
      <w:pPr>
        <w:pStyle w:val="ListParagraph"/>
        <w:numPr>
          <w:ilvl w:val="0"/>
          <w:numId w:val="136"/>
        </w:numPr>
        <w:tabs>
          <w:tab w:pos="1340" w:val="left" w:leader="none"/>
        </w:tabs>
        <w:spacing w:line="240" w:lineRule="auto" w:before="0" w:after="0"/>
        <w:ind w:left="1340" w:right="402" w:hanging="360"/>
        <w:jc w:val="both"/>
        <w:rPr>
          <w:sz w:val="24"/>
        </w:rPr>
      </w:pPr>
      <w:r>
        <w:rPr>
          <w:sz w:val="24"/>
        </w:rPr>
        <w:t>McKenzie Skene D., Walters A. Consumer Bankruptcy Law Reform in Great Britain. American Bankruptcy Law Journal, Great Britain Consumer Bankruptcy Systems, 2006, Vol.</w:t>
      </w:r>
      <w:r>
        <w:rPr>
          <w:spacing w:val="-1"/>
          <w:sz w:val="24"/>
        </w:rPr>
        <w:t> </w:t>
      </w:r>
      <w:r>
        <w:rPr>
          <w:sz w:val="24"/>
        </w:rPr>
        <w:t>80;</w:t>
      </w:r>
    </w:p>
    <w:p>
      <w:pPr>
        <w:pStyle w:val="ListParagraph"/>
        <w:numPr>
          <w:ilvl w:val="0"/>
          <w:numId w:val="136"/>
        </w:numPr>
        <w:tabs>
          <w:tab w:pos="1340" w:val="left" w:leader="none"/>
        </w:tabs>
        <w:spacing w:line="240" w:lineRule="auto" w:before="1" w:after="0"/>
        <w:ind w:left="1340" w:right="405" w:hanging="360"/>
        <w:jc w:val="both"/>
        <w:rPr>
          <w:sz w:val="24"/>
        </w:rPr>
      </w:pPr>
      <w:r>
        <w:rPr>
          <w:sz w:val="24"/>
        </w:rPr>
        <w:t>Milman D. Personal Insolvency Law, Regulation and Policy. London: Reutledge, 2017;</w:t>
      </w:r>
    </w:p>
    <w:p>
      <w:pPr>
        <w:pStyle w:val="ListParagraph"/>
        <w:numPr>
          <w:ilvl w:val="0"/>
          <w:numId w:val="136"/>
        </w:numPr>
        <w:tabs>
          <w:tab w:pos="1340" w:val="left" w:leader="none"/>
        </w:tabs>
        <w:spacing w:line="240" w:lineRule="auto" w:before="0" w:after="0"/>
        <w:ind w:left="1340" w:right="407" w:hanging="360"/>
        <w:jc w:val="both"/>
        <w:rPr>
          <w:sz w:val="24"/>
        </w:rPr>
      </w:pPr>
      <w:r>
        <w:rPr>
          <w:sz w:val="24"/>
        </w:rPr>
        <w:t>Niemi-Kiesilainen J. Consumer bankruptcy in comparison: do we cure a market failure or a social problem? OSGOODE HALL LAW JOURNAL, 1999.,Vol.</w:t>
      </w:r>
      <w:r>
        <w:rPr>
          <w:spacing w:val="-7"/>
          <w:sz w:val="24"/>
        </w:rPr>
        <w:t> </w:t>
      </w:r>
      <w:r>
        <w:rPr>
          <w:sz w:val="24"/>
        </w:rPr>
        <w:t>37;</w:t>
      </w:r>
    </w:p>
    <w:p>
      <w:pPr>
        <w:pStyle w:val="ListParagraph"/>
        <w:numPr>
          <w:ilvl w:val="0"/>
          <w:numId w:val="136"/>
        </w:numPr>
        <w:tabs>
          <w:tab w:pos="1340" w:val="left" w:leader="none"/>
        </w:tabs>
        <w:spacing w:line="240" w:lineRule="auto" w:before="0" w:after="0"/>
        <w:ind w:left="1340" w:right="403" w:hanging="360"/>
        <w:jc w:val="both"/>
        <w:rPr>
          <w:sz w:val="24"/>
        </w:rPr>
      </w:pPr>
      <w:r>
        <w:rPr>
          <w:color w:val="0F0F0F"/>
          <w:sz w:val="24"/>
        </w:rPr>
        <w:t>Ramsay I. Between Neo-Liberalism and the Social Market: Approaches to Debt Adjustment and Consumer Insolvency in the EU. </w:t>
      </w:r>
      <w:r>
        <w:rPr>
          <w:sz w:val="24"/>
        </w:rPr>
        <w:t>Journal of Consumer Policy, December </w:t>
      </w:r>
      <w:r>
        <w:rPr>
          <w:color w:val="0F0F0F"/>
          <w:sz w:val="24"/>
        </w:rPr>
        <w:t>2012, Volume 35, Issue 4;</w:t>
      </w:r>
    </w:p>
    <w:p>
      <w:pPr>
        <w:pStyle w:val="ListParagraph"/>
        <w:numPr>
          <w:ilvl w:val="0"/>
          <w:numId w:val="136"/>
        </w:numPr>
        <w:tabs>
          <w:tab w:pos="1340" w:val="left" w:leader="none"/>
        </w:tabs>
        <w:spacing w:line="276" w:lineRule="exact" w:before="3" w:after="0"/>
        <w:ind w:left="1340" w:right="403" w:hanging="360"/>
        <w:jc w:val="both"/>
        <w:rPr>
          <w:sz w:val="24"/>
        </w:rPr>
      </w:pPr>
      <w:r>
        <w:rPr>
          <w:sz w:val="24"/>
        </w:rPr>
        <w:t>Ramsay I. Personal Insolvency in the 21</w:t>
      </w:r>
      <w:r>
        <w:rPr>
          <w:position w:val="9"/>
          <w:sz w:val="16"/>
        </w:rPr>
        <w:t>st </w:t>
      </w:r>
      <w:r>
        <w:rPr>
          <w:sz w:val="24"/>
        </w:rPr>
        <w:t>Century. A Comparative Analysis of the US and Europe. Oxford and Portland, Oregon: Hart Publishing,</w:t>
      </w:r>
      <w:r>
        <w:rPr>
          <w:spacing w:val="-2"/>
          <w:sz w:val="24"/>
        </w:rPr>
        <w:t> </w:t>
      </w:r>
      <w:r>
        <w:rPr>
          <w:sz w:val="24"/>
        </w:rPr>
        <w:t>2017;</w:t>
      </w:r>
    </w:p>
    <w:p>
      <w:pPr>
        <w:pStyle w:val="ListParagraph"/>
        <w:numPr>
          <w:ilvl w:val="0"/>
          <w:numId w:val="136"/>
        </w:numPr>
        <w:tabs>
          <w:tab w:pos="1340" w:val="left" w:leader="none"/>
        </w:tabs>
        <w:spacing w:line="240" w:lineRule="auto" w:before="0" w:after="0"/>
        <w:ind w:left="1340" w:right="402" w:hanging="360"/>
        <w:jc w:val="both"/>
        <w:rPr>
          <w:sz w:val="24"/>
        </w:rPr>
      </w:pPr>
      <w:r>
        <w:rPr>
          <w:sz w:val="24"/>
        </w:rPr>
        <w:t>Ramsay I. Towards an International Paradigm of Personal Insolvency Law? A Critical View. QUT Law Review, 2017, Volume 17, Issue 1. Pieejams:</w:t>
      </w:r>
      <w:r>
        <w:rPr>
          <w:color w:val="0562C1"/>
          <w:sz w:val="24"/>
          <w:u w:val="single" w:color="0562C1"/>
        </w:rPr>
        <w:t> https://lr.law.qut.edu.au/article/view/713/630</w:t>
      </w:r>
      <w:r>
        <w:rPr>
          <w:sz w:val="24"/>
        </w:rPr>
        <w:t>;</w:t>
      </w:r>
    </w:p>
    <w:p>
      <w:pPr>
        <w:pStyle w:val="ListParagraph"/>
        <w:numPr>
          <w:ilvl w:val="0"/>
          <w:numId w:val="136"/>
        </w:numPr>
        <w:tabs>
          <w:tab w:pos="1340" w:val="left" w:leader="none"/>
          <w:tab w:pos="2699" w:val="left" w:leader="none"/>
          <w:tab w:pos="3375" w:val="left" w:leader="none"/>
          <w:tab w:pos="4112" w:val="left" w:leader="none"/>
          <w:tab w:pos="5230" w:val="left" w:leader="none"/>
          <w:tab w:pos="6364" w:val="left" w:leader="none"/>
          <w:tab w:pos="7369" w:val="left" w:leader="none"/>
          <w:tab w:pos="8349" w:val="left" w:leader="none"/>
        </w:tabs>
        <w:spacing w:line="240" w:lineRule="auto" w:before="0" w:after="0"/>
        <w:ind w:left="1340" w:right="403" w:hanging="360"/>
        <w:jc w:val="left"/>
        <w:rPr>
          <w:sz w:val="24"/>
        </w:rPr>
      </w:pPr>
      <w:r>
        <w:rPr>
          <w:sz w:val="24"/>
        </w:rPr>
        <w:t>Response</w:t>
        <w:tab/>
        <w:t>by</w:t>
        <w:tab/>
        <w:t>the</w:t>
        <w:tab/>
        <w:t>Money</w:t>
        <w:tab/>
        <w:t>Advice</w:t>
        <w:tab/>
        <w:t>Trust,</w:t>
        <w:tab/>
        <w:t>2014.</w:t>
        <w:tab/>
      </w:r>
      <w:r>
        <w:rPr>
          <w:spacing w:val="-3"/>
          <w:sz w:val="24"/>
        </w:rPr>
        <w:t>Pieejams:</w:t>
      </w:r>
      <w:hyperlink r:id="rId117">
        <w:r>
          <w:rPr>
            <w:color w:val="0562C1"/>
            <w:spacing w:val="-3"/>
            <w:sz w:val="24"/>
            <w:u w:val="single" w:color="0562C1"/>
          </w:rPr>
          <w:t> </w:t>
        </w:r>
        <w:r>
          <w:rPr>
            <w:color w:val="0562C1"/>
            <w:sz w:val="24"/>
            <w:u w:val="single" w:color="0562C1"/>
          </w:rPr>
          <w:t>http://www.moneyadvicetrust.org/SiteCollectionDocuments/Policy%20consultati</w:t>
        </w:r>
      </w:hyperlink>
      <w:r>
        <w:rPr>
          <w:color w:val="0562C1"/>
          <w:sz w:val="24"/>
          <w:u w:val="single" w:color="0562C1"/>
        </w:rPr>
        <w:t> on%20responses/Unilateral%20responses/Money%20Advice%20Trust%20respon se%20to%20the%20Insolvency%20Service%20DROs%20and%20bankruptcy%2 0petitions%20call%20for%20evidence.pdf</w:t>
      </w:r>
      <w:r>
        <w:rPr>
          <w:color w:val="0562C1"/>
          <w:spacing w:val="-2"/>
          <w:sz w:val="24"/>
        </w:rPr>
        <w:t> </w:t>
      </w:r>
      <w:r>
        <w:rPr>
          <w:sz w:val="24"/>
        </w:rPr>
        <w:t>;</w:t>
      </w:r>
    </w:p>
    <w:p>
      <w:pPr>
        <w:pStyle w:val="ListParagraph"/>
        <w:numPr>
          <w:ilvl w:val="0"/>
          <w:numId w:val="136"/>
        </w:numPr>
        <w:tabs>
          <w:tab w:pos="1340" w:val="left" w:leader="none"/>
        </w:tabs>
        <w:spacing w:line="240" w:lineRule="auto" w:before="0" w:after="0"/>
        <w:ind w:left="1340" w:right="406" w:hanging="360"/>
        <w:jc w:val="left"/>
        <w:rPr>
          <w:sz w:val="24"/>
        </w:rPr>
      </w:pPr>
      <w:r>
        <w:rPr>
          <w:sz w:val="24"/>
        </w:rPr>
        <w:t>Saarma T. Principles of Debt Restructuring and Restrictions, on Initiation of Debt Restructuring Proceedings. Juridica International</w:t>
      </w:r>
      <w:r>
        <w:rPr>
          <w:spacing w:val="-2"/>
          <w:sz w:val="24"/>
        </w:rPr>
        <w:t> </w:t>
      </w:r>
      <w:r>
        <w:rPr>
          <w:sz w:val="24"/>
        </w:rPr>
        <w:t>XX/2013;</w:t>
      </w:r>
    </w:p>
    <w:p>
      <w:pPr>
        <w:pStyle w:val="ListParagraph"/>
        <w:numPr>
          <w:ilvl w:val="0"/>
          <w:numId w:val="136"/>
        </w:numPr>
        <w:tabs>
          <w:tab w:pos="1340" w:val="left" w:leader="none"/>
        </w:tabs>
        <w:spacing w:line="240" w:lineRule="auto" w:before="0" w:after="0"/>
        <w:ind w:left="1340" w:right="402" w:hanging="360"/>
        <w:jc w:val="left"/>
        <w:rPr>
          <w:sz w:val="24"/>
        </w:rPr>
      </w:pPr>
      <w:r>
        <w:rPr>
          <w:sz w:val="24"/>
        </w:rPr>
        <w:t>Sallam W.A. Insolvency proceedings: a double edged debt collection tool. Pieejams:</w:t>
      </w:r>
      <w:r>
        <w:rPr>
          <w:color w:val="0562C1"/>
          <w:sz w:val="24"/>
          <w:u w:val="single" w:color="0562C1"/>
        </w:rPr>
        <w:t> https://</w:t>
      </w:r>
      <w:hyperlink r:id="rId118">
        <w:r>
          <w:rPr>
            <w:color w:val="0562C1"/>
            <w:sz w:val="24"/>
            <w:u w:val="single" w:color="0562C1"/>
          </w:rPr>
          <w:t>www.google.lv/url?sa=t&amp;rct=j&amp;q=&amp;esrc=s&amp;source=web&amp;cd=2&amp;ved=2ah</w:t>
        </w:r>
      </w:hyperlink>
      <w:r>
        <w:rPr>
          <w:color w:val="0562C1"/>
          <w:sz w:val="24"/>
          <w:u w:val="single" w:color="0562C1"/>
        </w:rPr>
        <w:t> UKEwjY_I-3lpffAhUNpYsKHZEAC- 0QFjABegQICRAC&amp;url=https%3A%2F%2Fwww.insol- europe.org%2Fdownload%2Fdocuments%2F885&amp;usg=AOvVaw2eWgKAVdOq ggXuoe_Lysnp;</w:t>
      </w:r>
    </w:p>
    <w:p>
      <w:pPr>
        <w:pStyle w:val="ListParagraph"/>
        <w:numPr>
          <w:ilvl w:val="0"/>
          <w:numId w:val="136"/>
        </w:numPr>
        <w:tabs>
          <w:tab w:pos="1340" w:val="left" w:leader="none"/>
        </w:tabs>
        <w:spacing w:line="240" w:lineRule="auto" w:before="0" w:after="0"/>
        <w:ind w:left="1340" w:right="402" w:hanging="360"/>
        <w:jc w:val="both"/>
        <w:rPr>
          <w:sz w:val="24"/>
        </w:rPr>
      </w:pPr>
      <w:r>
        <w:rPr>
          <w:sz w:val="24"/>
        </w:rPr>
        <w:t>Sein K. (Dr. iur., Docent of Civil Law University of Tartu), Volens U. (Dr. iur., Lecturer of Civil Law University of Tartu Specialist Counsel, Sorainen Law Firm) Legal Problems and Regulations related to Easy-access Non-secured Consumer Loans in Estonia. Juridica international</w:t>
      </w:r>
      <w:r>
        <w:rPr>
          <w:spacing w:val="-4"/>
          <w:sz w:val="24"/>
        </w:rPr>
        <w:t> </w:t>
      </w:r>
      <w:r>
        <w:rPr>
          <w:sz w:val="24"/>
        </w:rPr>
        <w:t>22/2014;</w:t>
      </w:r>
    </w:p>
    <w:p>
      <w:pPr>
        <w:pStyle w:val="ListParagraph"/>
        <w:numPr>
          <w:ilvl w:val="0"/>
          <w:numId w:val="136"/>
        </w:numPr>
        <w:tabs>
          <w:tab w:pos="1340" w:val="left" w:leader="none"/>
        </w:tabs>
        <w:spacing w:line="240" w:lineRule="auto" w:before="0" w:after="0"/>
        <w:ind w:left="1340" w:right="401" w:hanging="360"/>
        <w:jc w:val="both"/>
        <w:rPr>
          <w:sz w:val="24"/>
        </w:rPr>
      </w:pPr>
      <w:r>
        <w:rPr>
          <w:sz w:val="24"/>
        </w:rPr>
        <w:t>Spooner J. Seeking Shelter in Personal Insolvency Law: Recession, Eviction, and Bankruptcy’s Social Safety Net. Journal of Law and Society, September 2017, Volume 44, Number</w:t>
      </w:r>
      <w:r>
        <w:rPr>
          <w:spacing w:val="-4"/>
          <w:sz w:val="24"/>
        </w:rPr>
        <w:t> </w:t>
      </w:r>
      <w:r>
        <w:rPr>
          <w:sz w:val="24"/>
        </w:rPr>
        <w:t>3;</w:t>
      </w:r>
    </w:p>
    <w:p>
      <w:pPr>
        <w:pStyle w:val="ListParagraph"/>
        <w:numPr>
          <w:ilvl w:val="0"/>
          <w:numId w:val="136"/>
        </w:numPr>
        <w:tabs>
          <w:tab w:pos="1340" w:val="left" w:leader="none"/>
        </w:tabs>
        <w:spacing w:line="240" w:lineRule="auto" w:before="0" w:after="0"/>
        <w:ind w:left="1340" w:right="401" w:hanging="360"/>
        <w:jc w:val="both"/>
        <w:rPr>
          <w:sz w:val="24"/>
        </w:rPr>
      </w:pPr>
      <w:r>
        <w:rPr>
          <w:sz w:val="24"/>
        </w:rPr>
        <w:t>Spooner J. Recalling The Public Interest in Personal Insolvency Law: A Note on Professor Fletcher’s Foresight. Nottingham Insolvency and Business Law e- Journal. 2015., 3 NIBLeJ</w:t>
      </w:r>
      <w:r>
        <w:rPr>
          <w:spacing w:val="-1"/>
          <w:sz w:val="24"/>
        </w:rPr>
        <w:t> </w:t>
      </w:r>
      <w:r>
        <w:rPr>
          <w:sz w:val="24"/>
        </w:rPr>
        <w:t>29;</w:t>
      </w:r>
    </w:p>
    <w:p>
      <w:pPr>
        <w:pStyle w:val="ListParagraph"/>
        <w:numPr>
          <w:ilvl w:val="0"/>
          <w:numId w:val="136"/>
        </w:numPr>
        <w:tabs>
          <w:tab w:pos="1340" w:val="left" w:leader="none"/>
        </w:tabs>
        <w:spacing w:line="240" w:lineRule="auto" w:before="0" w:after="0"/>
        <w:ind w:left="1340" w:right="405" w:hanging="360"/>
        <w:jc w:val="both"/>
        <w:rPr>
          <w:sz w:val="24"/>
        </w:rPr>
      </w:pPr>
      <w:r>
        <w:rPr>
          <w:sz w:val="24"/>
        </w:rPr>
        <w:t>Steele</w:t>
      </w:r>
      <w:r>
        <w:rPr>
          <w:spacing w:val="-10"/>
          <w:sz w:val="24"/>
        </w:rPr>
        <w:t> </w:t>
      </w:r>
      <w:r>
        <w:rPr>
          <w:sz w:val="24"/>
        </w:rPr>
        <w:t>S.,</w:t>
      </w:r>
      <w:r>
        <w:rPr>
          <w:spacing w:val="-10"/>
          <w:sz w:val="24"/>
        </w:rPr>
        <w:t> </w:t>
      </w:r>
      <w:r>
        <w:rPr>
          <w:sz w:val="24"/>
        </w:rPr>
        <w:t>Jin</w:t>
      </w:r>
      <w:r>
        <w:rPr>
          <w:spacing w:val="-10"/>
          <w:sz w:val="24"/>
        </w:rPr>
        <w:t> </w:t>
      </w:r>
      <w:r>
        <w:rPr>
          <w:sz w:val="24"/>
        </w:rPr>
        <w:t>Ch.</w:t>
      </w:r>
      <w:r>
        <w:rPr>
          <w:spacing w:val="-10"/>
          <w:sz w:val="24"/>
        </w:rPr>
        <w:t> </w:t>
      </w:r>
      <w:r>
        <w:rPr>
          <w:sz w:val="24"/>
        </w:rPr>
        <w:t>Some</w:t>
      </w:r>
      <w:r>
        <w:rPr>
          <w:spacing w:val="-10"/>
          <w:sz w:val="24"/>
        </w:rPr>
        <w:t> </w:t>
      </w:r>
      <w:r>
        <w:rPr>
          <w:sz w:val="24"/>
        </w:rPr>
        <w:t>Suggestions</w:t>
      </w:r>
      <w:r>
        <w:rPr>
          <w:spacing w:val="-10"/>
          <w:sz w:val="24"/>
        </w:rPr>
        <w:t> </w:t>
      </w:r>
      <w:r>
        <w:rPr>
          <w:sz w:val="24"/>
        </w:rPr>
        <w:t>from</w:t>
      </w:r>
      <w:r>
        <w:rPr>
          <w:spacing w:val="-10"/>
          <w:sz w:val="24"/>
        </w:rPr>
        <w:t> </w:t>
      </w:r>
      <w:r>
        <w:rPr>
          <w:sz w:val="24"/>
        </w:rPr>
        <w:t>Japan</w:t>
      </w:r>
      <w:r>
        <w:rPr>
          <w:spacing w:val="-12"/>
          <w:sz w:val="24"/>
        </w:rPr>
        <w:t> </w:t>
      </w:r>
      <w:r>
        <w:rPr>
          <w:sz w:val="24"/>
        </w:rPr>
        <w:t>for</w:t>
      </w:r>
      <w:r>
        <w:rPr>
          <w:spacing w:val="-10"/>
          <w:sz w:val="24"/>
        </w:rPr>
        <w:t> </w:t>
      </w:r>
      <w:r>
        <w:rPr>
          <w:sz w:val="24"/>
        </w:rPr>
        <w:t>Reforming</w:t>
      </w:r>
      <w:r>
        <w:rPr>
          <w:spacing w:val="-12"/>
          <w:sz w:val="24"/>
        </w:rPr>
        <w:t> </w:t>
      </w:r>
      <w:r>
        <w:rPr>
          <w:sz w:val="24"/>
        </w:rPr>
        <w:t>Australia’s</w:t>
      </w:r>
      <w:r>
        <w:rPr>
          <w:spacing w:val="-8"/>
          <w:sz w:val="24"/>
        </w:rPr>
        <w:t> </w:t>
      </w:r>
      <w:r>
        <w:rPr>
          <w:sz w:val="24"/>
        </w:rPr>
        <w:t>Personal Bankruptcy Law. QUT Law Review, October 2017, Volume 17, Issue</w:t>
      </w:r>
      <w:r>
        <w:rPr>
          <w:spacing w:val="-8"/>
          <w:sz w:val="24"/>
        </w:rPr>
        <w:t> </w:t>
      </w:r>
      <w:r>
        <w:rPr>
          <w:sz w:val="24"/>
        </w:rPr>
        <w:t>1;</w:t>
      </w:r>
    </w:p>
    <w:p>
      <w:pPr>
        <w:spacing w:after="0" w:line="240" w:lineRule="auto"/>
        <w:jc w:val="both"/>
        <w:rPr>
          <w:sz w:val="24"/>
        </w:rPr>
        <w:sectPr>
          <w:pgSz w:w="11910" w:h="16840"/>
          <w:pgMar w:header="0" w:footer="1055" w:top="1340" w:bottom="1240" w:left="1180" w:right="1040"/>
        </w:sectPr>
      </w:pPr>
    </w:p>
    <w:p>
      <w:pPr>
        <w:pStyle w:val="ListParagraph"/>
        <w:numPr>
          <w:ilvl w:val="0"/>
          <w:numId w:val="136"/>
        </w:numPr>
        <w:tabs>
          <w:tab w:pos="980" w:val="left" w:leader="none"/>
        </w:tabs>
        <w:spacing w:line="240" w:lineRule="auto" w:before="73" w:after="0"/>
        <w:ind w:left="980" w:right="763" w:hanging="360"/>
        <w:jc w:val="left"/>
        <w:rPr>
          <w:sz w:val="24"/>
        </w:rPr>
      </w:pPr>
      <w:r>
        <w:rPr>
          <w:sz w:val="24"/>
        </w:rPr>
        <w:t>Study on a new approach to business failure and insolvency: Comperative legal analysis of the Member States’ relevant provisions and practices,</w:t>
      </w:r>
      <w:r>
        <w:rPr>
          <w:spacing w:val="-7"/>
          <w:sz w:val="24"/>
        </w:rPr>
        <w:t> </w:t>
      </w:r>
      <w:r>
        <w:rPr>
          <w:sz w:val="24"/>
        </w:rPr>
        <w:t>2016.</w:t>
      </w:r>
    </w:p>
    <w:p>
      <w:pPr>
        <w:pStyle w:val="BodyText"/>
        <w:ind w:left="980" w:right="1231"/>
        <w:jc w:val="left"/>
      </w:pPr>
      <w:r>
        <w:rPr/>
        <w:t>Pieejams: </w:t>
      </w:r>
      <w:r>
        <w:rPr>
          <w:color w:val="0562C1"/>
          <w:u w:val="single" w:color="0562C1"/>
        </w:rPr>
        <w:t>https://ec.europa.eu/info/sites/info/files/insolvency_study_2016_final_en.pdf;</w:t>
      </w:r>
    </w:p>
    <w:p>
      <w:pPr>
        <w:pStyle w:val="ListParagraph"/>
        <w:numPr>
          <w:ilvl w:val="0"/>
          <w:numId w:val="136"/>
        </w:numPr>
        <w:tabs>
          <w:tab w:pos="980" w:val="left" w:leader="none"/>
        </w:tabs>
        <w:spacing w:line="240" w:lineRule="auto" w:before="0" w:after="0"/>
        <w:ind w:left="980" w:right="766" w:hanging="360"/>
        <w:jc w:val="both"/>
        <w:rPr>
          <w:sz w:val="24"/>
        </w:rPr>
      </w:pPr>
      <w:r>
        <w:rPr>
          <w:sz w:val="24"/>
        </w:rPr>
        <w:t>Study on means to protect consumers in financial difficulty: Personal bankruptcy, datio</w:t>
      </w:r>
      <w:r>
        <w:rPr>
          <w:spacing w:val="-10"/>
          <w:sz w:val="24"/>
        </w:rPr>
        <w:t> </w:t>
      </w:r>
      <w:r>
        <w:rPr>
          <w:sz w:val="24"/>
        </w:rPr>
        <w:t>in</w:t>
      </w:r>
      <w:r>
        <w:rPr>
          <w:spacing w:val="-9"/>
          <w:sz w:val="24"/>
        </w:rPr>
        <w:t> </w:t>
      </w:r>
      <w:r>
        <w:rPr>
          <w:sz w:val="24"/>
        </w:rPr>
        <w:t>solutum</w:t>
      </w:r>
      <w:r>
        <w:rPr>
          <w:spacing w:val="-9"/>
          <w:sz w:val="24"/>
        </w:rPr>
        <w:t> </w:t>
      </w:r>
      <w:r>
        <w:rPr>
          <w:sz w:val="24"/>
        </w:rPr>
        <w:t>of</w:t>
      </w:r>
      <w:r>
        <w:rPr>
          <w:spacing w:val="-9"/>
          <w:sz w:val="24"/>
        </w:rPr>
        <w:t> </w:t>
      </w:r>
      <w:r>
        <w:rPr>
          <w:sz w:val="24"/>
        </w:rPr>
        <w:t>mortgages,</w:t>
      </w:r>
      <w:r>
        <w:rPr>
          <w:spacing w:val="-9"/>
          <w:sz w:val="24"/>
        </w:rPr>
        <w:t> </w:t>
      </w:r>
      <w:r>
        <w:rPr>
          <w:sz w:val="24"/>
        </w:rPr>
        <w:t>and</w:t>
      </w:r>
      <w:r>
        <w:rPr>
          <w:spacing w:val="-9"/>
          <w:sz w:val="24"/>
        </w:rPr>
        <w:t> </w:t>
      </w:r>
      <w:r>
        <w:rPr>
          <w:sz w:val="24"/>
        </w:rPr>
        <w:t>restrictions</w:t>
      </w:r>
      <w:r>
        <w:rPr>
          <w:spacing w:val="-9"/>
          <w:sz w:val="24"/>
        </w:rPr>
        <w:t> </w:t>
      </w:r>
      <w:r>
        <w:rPr>
          <w:sz w:val="24"/>
        </w:rPr>
        <w:t>on</w:t>
      </w:r>
      <w:r>
        <w:rPr>
          <w:spacing w:val="-7"/>
          <w:sz w:val="24"/>
        </w:rPr>
        <w:t> </w:t>
      </w:r>
      <w:r>
        <w:rPr>
          <w:sz w:val="24"/>
        </w:rPr>
        <w:t>debt</w:t>
      </w:r>
      <w:r>
        <w:rPr>
          <w:spacing w:val="-6"/>
          <w:sz w:val="24"/>
        </w:rPr>
        <w:t> </w:t>
      </w:r>
      <w:r>
        <w:rPr>
          <w:sz w:val="24"/>
        </w:rPr>
        <w:t>collection</w:t>
      </w:r>
      <w:r>
        <w:rPr>
          <w:spacing w:val="-9"/>
          <w:sz w:val="24"/>
        </w:rPr>
        <w:t> </w:t>
      </w:r>
      <w:r>
        <w:rPr>
          <w:sz w:val="24"/>
        </w:rPr>
        <w:t>abusive</w:t>
      </w:r>
      <w:r>
        <w:rPr>
          <w:spacing w:val="-9"/>
          <w:sz w:val="24"/>
        </w:rPr>
        <w:t> </w:t>
      </w:r>
      <w:r>
        <w:rPr>
          <w:sz w:val="24"/>
        </w:rPr>
        <w:t>practices. Final Report, prepared by London Economics, 2012. Pieejams:</w:t>
      </w:r>
      <w:r>
        <w:rPr>
          <w:color w:val="0562C1"/>
          <w:sz w:val="24"/>
          <w:u w:val="single" w:color="0562C1"/>
        </w:rPr>
        <w:t> https://ec.europa.eu/info/file/46906/download_en?token=9buOvl55</w:t>
      </w:r>
      <w:r>
        <w:rPr>
          <w:sz w:val="24"/>
        </w:rPr>
        <w:t>;</w:t>
      </w:r>
    </w:p>
    <w:p>
      <w:pPr>
        <w:pStyle w:val="ListParagraph"/>
        <w:numPr>
          <w:ilvl w:val="0"/>
          <w:numId w:val="136"/>
        </w:numPr>
        <w:tabs>
          <w:tab w:pos="980" w:val="left" w:leader="none"/>
        </w:tabs>
        <w:spacing w:line="240" w:lineRule="auto" w:before="0" w:after="0"/>
        <w:ind w:left="980" w:right="762" w:hanging="360"/>
        <w:jc w:val="left"/>
        <w:rPr>
          <w:sz w:val="24"/>
        </w:rPr>
      </w:pPr>
      <w:r>
        <w:rPr>
          <w:sz w:val="24"/>
        </w:rPr>
        <w:t>The Insolvency Service. Guidance on Debt relief restrictions orders and undertakings, 2017. Pieejams:</w:t>
      </w:r>
      <w:r>
        <w:rPr>
          <w:color w:val="0562C1"/>
          <w:sz w:val="24"/>
          <w:u w:val="single" w:color="0562C1"/>
        </w:rPr>
        <w:t>https://</w:t>
      </w:r>
      <w:hyperlink r:id="rId119">
        <w:r>
          <w:rPr>
            <w:color w:val="0562C1"/>
            <w:sz w:val="24"/>
            <w:u w:val="single" w:color="0562C1"/>
          </w:rPr>
          <w:t>www.gov.uk/government/publications/debt-</w:t>
        </w:r>
      </w:hyperlink>
      <w:r>
        <w:rPr>
          <w:color w:val="0562C1"/>
          <w:sz w:val="24"/>
          <w:u w:val="single" w:color="0562C1"/>
        </w:rPr>
        <w:t> relief-restrictions-orders-and-undertakings/debt-relief-restrictions-orders-and- undertakings</w:t>
      </w:r>
      <w:r>
        <w:rPr>
          <w:sz w:val="24"/>
        </w:rPr>
        <w:t>;</w:t>
      </w:r>
    </w:p>
    <w:p>
      <w:pPr>
        <w:pStyle w:val="ListParagraph"/>
        <w:numPr>
          <w:ilvl w:val="0"/>
          <w:numId w:val="136"/>
        </w:numPr>
        <w:tabs>
          <w:tab w:pos="980" w:val="left" w:leader="none"/>
          <w:tab w:pos="2490" w:val="left" w:leader="none"/>
          <w:tab w:pos="3659" w:val="left" w:leader="none"/>
          <w:tab w:pos="4607" w:val="left" w:leader="none"/>
          <w:tab w:pos="5439" w:val="left" w:leader="none"/>
          <w:tab w:pos="6148" w:val="left" w:leader="none"/>
          <w:tab w:pos="7432" w:val="left" w:leader="none"/>
          <w:tab w:pos="7987" w:val="left" w:leader="none"/>
        </w:tabs>
        <w:spacing w:line="240" w:lineRule="auto" w:before="1" w:after="0"/>
        <w:ind w:left="980" w:right="760" w:hanging="360"/>
        <w:jc w:val="left"/>
        <w:rPr>
          <w:sz w:val="24"/>
        </w:rPr>
      </w:pPr>
      <w:r>
        <w:rPr>
          <w:sz w:val="24"/>
        </w:rPr>
        <w:t>The Insolvency Service. Insolvency Proceedings: Debt relief orders and the bankruptcy</w:t>
        <w:tab/>
        <w:t>petition</w:t>
        <w:tab/>
        <w:t>limit.</w:t>
        <w:tab/>
        <w:t>Call</w:t>
        <w:tab/>
        <w:t>for</w:t>
        <w:tab/>
        <w:t>evidence</w:t>
        <w:tab/>
        <w:t>.,</w:t>
        <w:tab/>
      </w:r>
      <w:r>
        <w:rPr>
          <w:spacing w:val="-3"/>
          <w:sz w:val="24"/>
        </w:rPr>
        <w:t>Pieejams:</w:t>
      </w:r>
      <w:r>
        <w:rPr>
          <w:color w:val="0562C1"/>
          <w:spacing w:val="-3"/>
          <w:sz w:val="24"/>
          <w:u w:val="single" w:color="0562C1"/>
        </w:rPr>
        <w:t> </w:t>
      </w:r>
      <w:r>
        <w:rPr>
          <w:color w:val="0562C1"/>
          <w:sz w:val="24"/>
          <w:u w:val="single" w:color="0562C1"/>
        </w:rPr>
        <w:t>https://assets.publishing.service.gov.uk/government/uploads/system/uploads/attac hment_data/file/341089/Insolvency_Proceedings__Debt_relief_orders_and_petiti on_limits_v3.pdf</w:t>
      </w:r>
      <w:r>
        <w:rPr>
          <w:sz w:val="24"/>
        </w:rPr>
        <w:t>;</w:t>
      </w:r>
    </w:p>
    <w:p>
      <w:pPr>
        <w:pStyle w:val="ListParagraph"/>
        <w:numPr>
          <w:ilvl w:val="0"/>
          <w:numId w:val="136"/>
        </w:numPr>
        <w:tabs>
          <w:tab w:pos="980" w:val="left" w:leader="none"/>
        </w:tabs>
        <w:spacing w:line="240" w:lineRule="auto" w:before="0" w:after="0"/>
        <w:ind w:left="980" w:right="763" w:hanging="360"/>
        <w:jc w:val="left"/>
        <w:rPr>
          <w:sz w:val="24"/>
        </w:rPr>
      </w:pPr>
      <w:r>
        <w:rPr>
          <w:sz w:val="24"/>
        </w:rPr>
        <w:t>The Insolvency Service: Insolvency Statistics – January to March 2018 (Q1 2018). Pieejams:</w:t>
      </w:r>
      <w:r>
        <w:rPr>
          <w:color w:val="0562C1"/>
          <w:sz w:val="24"/>
          <w:u w:val="single" w:color="0562C1"/>
        </w:rPr>
        <w:t> https://assets.publishing.service.gov.uk/government/uploads/system/uploads/attac hment_data/file/703180/Insolvency_Statistics_Commentary-_Q1_2018_v3.pdf</w:t>
      </w:r>
      <w:r>
        <w:rPr>
          <w:sz w:val="24"/>
        </w:rPr>
        <w:t>;</w:t>
      </w:r>
    </w:p>
    <w:p>
      <w:pPr>
        <w:pStyle w:val="ListParagraph"/>
        <w:numPr>
          <w:ilvl w:val="0"/>
          <w:numId w:val="136"/>
        </w:numPr>
        <w:tabs>
          <w:tab w:pos="980" w:val="left" w:leader="none"/>
        </w:tabs>
        <w:spacing w:line="240" w:lineRule="auto" w:before="0" w:after="0"/>
        <w:ind w:left="980" w:right="766" w:hanging="360"/>
        <w:jc w:val="left"/>
        <w:rPr>
          <w:sz w:val="24"/>
        </w:rPr>
      </w:pPr>
      <w:r>
        <w:rPr>
          <w:sz w:val="24"/>
        </w:rPr>
        <w:t>The Insolvency Service, Intermediary Guidance Notes: DRO2, 2016. Pieejams:</w:t>
      </w:r>
      <w:r>
        <w:rPr>
          <w:color w:val="0562C1"/>
          <w:sz w:val="24"/>
          <w:u w:val="single" w:color="0562C1"/>
        </w:rPr>
        <w:t> https://</w:t>
      </w:r>
      <w:hyperlink r:id="rId120">
        <w:r>
          <w:rPr>
            <w:color w:val="0562C1"/>
            <w:sz w:val="24"/>
            <w:u w:val="single" w:color="0562C1"/>
          </w:rPr>
          <w:t>www.gov.uk/government/publications/intermediary-guidance-notes-v15-</w:t>
        </w:r>
      </w:hyperlink>
      <w:r>
        <w:rPr>
          <w:color w:val="0562C1"/>
          <w:sz w:val="24"/>
          <w:u w:val="single" w:color="0562C1"/>
        </w:rPr>
        <w:t> dro2-guidance-for-approved-intermediaries</w:t>
      </w:r>
      <w:r>
        <w:rPr>
          <w:sz w:val="24"/>
        </w:rPr>
        <w:t>;</w:t>
      </w:r>
    </w:p>
    <w:p>
      <w:pPr>
        <w:pStyle w:val="ListParagraph"/>
        <w:numPr>
          <w:ilvl w:val="0"/>
          <w:numId w:val="136"/>
        </w:numPr>
        <w:tabs>
          <w:tab w:pos="980" w:val="left" w:leader="none"/>
        </w:tabs>
        <w:spacing w:line="240" w:lineRule="auto" w:before="0" w:after="0"/>
        <w:ind w:left="980" w:right="768" w:hanging="360"/>
        <w:jc w:val="left"/>
        <w:rPr>
          <w:sz w:val="24"/>
        </w:rPr>
      </w:pPr>
      <w:r>
        <w:rPr>
          <w:sz w:val="24"/>
        </w:rPr>
        <w:t>The World Bank. Report on the Treatment of the Insolvency of Natural Persons. 2013.</w:t>
      </w:r>
    </w:p>
    <w:p>
      <w:pPr>
        <w:pStyle w:val="BodyText"/>
        <w:ind w:left="980" w:right="838"/>
        <w:jc w:val="left"/>
      </w:pPr>
      <w:r>
        <w:rPr/>
        <w:t>Pieejams: </w:t>
      </w:r>
      <w:hyperlink r:id="rId121">
        <w:r>
          <w:rPr>
            <w:color w:val="0562C1"/>
            <w:u w:val="single" w:color="0562C1"/>
          </w:rPr>
          <w:t>http://siteresources.worldbank.org/INTGILD/Resources/WBInsolvencyOfNatural</w:t>
        </w:r>
      </w:hyperlink>
      <w:r>
        <w:rPr>
          <w:color w:val="0562C1"/>
        </w:rPr>
        <w:t> </w:t>
      </w:r>
      <w:r>
        <w:rPr>
          <w:color w:val="0562C1"/>
          <w:u w:val="single" w:color="0562C1"/>
        </w:rPr>
        <w:t>PersonsReport_01_11_13.pdf</w:t>
      </w:r>
      <w:r>
        <w:rPr/>
        <w:t>;</w:t>
      </w:r>
    </w:p>
    <w:p>
      <w:pPr>
        <w:pStyle w:val="ListParagraph"/>
        <w:numPr>
          <w:ilvl w:val="0"/>
          <w:numId w:val="136"/>
        </w:numPr>
        <w:tabs>
          <w:tab w:pos="980" w:val="left" w:leader="none"/>
        </w:tabs>
        <w:spacing w:line="240" w:lineRule="auto" w:before="0" w:after="0"/>
        <w:ind w:left="980" w:right="764" w:hanging="360"/>
        <w:jc w:val="both"/>
        <w:rPr>
          <w:sz w:val="24"/>
        </w:rPr>
      </w:pPr>
      <w:r>
        <w:rPr>
          <w:sz w:val="24"/>
        </w:rPr>
        <w:t>Tuula </w:t>
      </w:r>
      <w:r>
        <w:rPr>
          <w:spacing w:val="-3"/>
          <w:sz w:val="24"/>
        </w:rPr>
        <w:t>L. </w:t>
      </w:r>
      <w:r>
        <w:rPr>
          <w:sz w:val="24"/>
        </w:rPr>
        <w:t>Consumer Insolvency: The Linkage Between the Fresh Start, Collective Proceedings, and the Access to Debt Adjustment. Journal of Consumer Policy, September 2015, Volume 38, Issue</w:t>
      </w:r>
      <w:r>
        <w:rPr>
          <w:spacing w:val="-4"/>
          <w:sz w:val="24"/>
        </w:rPr>
        <w:t> </w:t>
      </w:r>
      <w:r>
        <w:rPr>
          <w:sz w:val="24"/>
        </w:rPr>
        <w:t>3;</w:t>
      </w:r>
    </w:p>
    <w:p>
      <w:pPr>
        <w:pStyle w:val="ListParagraph"/>
        <w:numPr>
          <w:ilvl w:val="0"/>
          <w:numId w:val="136"/>
        </w:numPr>
        <w:tabs>
          <w:tab w:pos="980" w:val="left" w:leader="none"/>
        </w:tabs>
        <w:spacing w:line="240" w:lineRule="auto" w:before="0" w:after="0"/>
        <w:ind w:left="980" w:right="764" w:hanging="360"/>
        <w:jc w:val="both"/>
        <w:rPr>
          <w:sz w:val="24"/>
        </w:rPr>
      </w:pPr>
      <w:r>
        <w:rPr>
          <w:sz w:val="24"/>
        </w:rPr>
        <w:t>Viimsalu S. The Over-Indebtedness Regulatory System in the Light of the Changing Economic Landscape. JURIDICA INTERNATIONAL</w:t>
      </w:r>
      <w:r>
        <w:rPr>
          <w:spacing w:val="-5"/>
          <w:sz w:val="24"/>
        </w:rPr>
        <w:t> </w:t>
      </w:r>
      <w:r>
        <w:rPr>
          <w:sz w:val="24"/>
        </w:rPr>
        <w:t>XVII/2010;</w:t>
      </w:r>
    </w:p>
    <w:p>
      <w:pPr>
        <w:pStyle w:val="ListParagraph"/>
        <w:numPr>
          <w:ilvl w:val="0"/>
          <w:numId w:val="136"/>
        </w:numPr>
        <w:tabs>
          <w:tab w:pos="980" w:val="left" w:leader="none"/>
        </w:tabs>
        <w:spacing w:line="240" w:lineRule="auto" w:before="0" w:after="0"/>
        <w:ind w:left="980" w:right="0" w:hanging="360"/>
        <w:jc w:val="left"/>
        <w:rPr>
          <w:sz w:val="24"/>
        </w:rPr>
      </w:pPr>
      <w:r>
        <w:rPr>
          <w:sz w:val="24"/>
        </w:rPr>
        <w:t>Walters A. Personal Insolvency Law After the Enterprise Act: An Appraisal.</w:t>
      </w:r>
      <w:r>
        <w:rPr>
          <w:spacing w:val="-39"/>
          <w:sz w:val="24"/>
        </w:rPr>
        <w:t> </w:t>
      </w:r>
      <w:r>
        <w:rPr>
          <w:sz w:val="24"/>
        </w:rPr>
        <w:t>2004.</w:t>
      </w:r>
    </w:p>
    <w:p>
      <w:pPr>
        <w:pStyle w:val="BodyText"/>
        <w:spacing w:before="5"/>
        <w:jc w:val="left"/>
      </w:pPr>
    </w:p>
    <w:p>
      <w:pPr>
        <w:pStyle w:val="Heading3"/>
        <w:spacing w:line="274" w:lineRule="exact"/>
        <w:jc w:val="left"/>
      </w:pPr>
      <w:r>
        <w:rPr/>
        <w:t>Izmantotie ES un ārvalstu tiesību akti:</w:t>
      </w:r>
    </w:p>
    <w:p>
      <w:pPr>
        <w:pStyle w:val="ListParagraph"/>
        <w:numPr>
          <w:ilvl w:val="0"/>
          <w:numId w:val="137"/>
        </w:numPr>
        <w:tabs>
          <w:tab w:pos="980" w:val="left" w:leader="none"/>
        </w:tabs>
        <w:spacing w:line="274" w:lineRule="exact" w:before="0" w:after="0"/>
        <w:ind w:left="980" w:right="0" w:hanging="360"/>
        <w:jc w:val="left"/>
        <w:rPr>
          <w:sz w:val="24"/>
        </w:rPr>
      </w:pPr>
      <w:r>
        <w:rPr>
          <w:sz w:val="24"/>
        </w:rPr>
        <w:t>Bankruptcy Act 2003 - Igaunijas Bankrota</w:t>
      </w:r>
      <w:r>
        <w:rPr>
          <w:spacing w:val="1"/>
          <w:sz w:val="24"/>
        </w:rPr>
        <w:t> </w:t>
      </w:r>
      <w:r>
        <w:rPr>
          <w:sz w:val="24"/>
        </w:rPr>
        <w:t>likums;</w:t>
      </w:r>
    </w:p>
    <w:p>
      <w:pPr>
        <w:pStyle w:val="ListParagraph"/>
        <w:numPr>
          <w:ilvl w:val="0"/>
          <w:numId w:val="137"/>
        </w:numPr>
        <w:tabs>
          <w:tab w:pos="980" w:val="left" w:leader="none"/>
        </w:tabs>
        <w:spacing w:line="240" w:lineRule="auto" w:before="0" w:after="0"/>
        <w:ind w:left="980" w:right="766" w:hanging="360"/>
        <w:jc w:val="left"/>
        <w:rPr>
          <w:sz w:val="24"/>
        </w:rPr>
      </w:pPr>
      <w:r>
        <w:rPr>
          <w:sz w:val="24"/>
        </w:rPr>
        <w:t>Debt Restructuring and Debt Protection Act – Igaunijas Parādu pārstrukturēšanas un aizsardzības likums;</w:t>
      </w:r>
    </w:p>
    <w:p>
      <w:pPr>
        <w:pStyle w:val="ListParagraph"/>
        <w:numPr>
          <w:ilvl w:val="0"/>
          <w:numId w:val="137"/>
        </w:numPr>
        <w:tabs>
          <w:tab w:pos="973" w:val="left" w:leader="none"/>
        </w:tabs>
        <w:spacing w:line="240" w:lineRule="auto" w:before="0" w:after="0"/>
        <w:ind w:left="972" w:right="0" w:hanging="356"/>
        <w:jc w:val="left"/>
        <w:rPr>
          <w:sz w:val="24"/>
        </w:rPr>
      </w:pPr>
      <w:r>
        <w:rPr>
          <w:sz w:val="24"/>
        </w:rPr>
        <w:t>Denmark Bankruptcy Act - Dānijas Bankrota</w:t>
      </w:r>
      <w:r>
        <w:rPr>
          <w:spacing w:val="-8"/>
          <w:sz w:val="24"/>
        </w:rPr>
        <w:t> </w:t>
      </w:r>
      <w:r>
        <w:rPr>
          <w:sz w:val="24"/>
        </w:rPr>
        <w:t>likums;</w:t>
      </w:r>
    </w:p>
    <w:p>
      <w:pPr>
        <w:pStyle w:val="ListParagraph"/>
        <w:numPr>
          <w:ilvl w:val="0"/>
          <w:numId w:val="137"/>
        </w:numPr>
        <w:tabs>
          <w:tab w:pos="980" w:val="left" w:leader="none"/>
        </w:tabs>
        <w:spacing w:line="240" w:lineRule="auto" w:before="0" w:after="0"/>
        <w:ind w:left="980" w:right="0" w:hanging="360"/>
        <w:jc w:val="left"/>
        <w:rPr>
          <w:sz w:val="24"/>
        </w:rPr>
      </w:pPr>
      <w:r>
        <w:rPr>
          <w:sz w:val="24"/>
        </w:rPr>
        <w:t>Insolvency Act 1986 – Lielbritānijas Maksātnespējas</w:t>
      </w:r>
      <w:r>
        <w:rPr>
          <w:spacing w:val="-8"/>
          <w:sz w:val="24"/>
        </w:rPr>
        <w:t> </w:t>
      </w:r>
      <w:r>
        <w:rPr>
          <w:sz w:val="24"/>
        </w:rPr>
        <w:t>likums;</w:t>
      </w:r>
    </w:p>
    <w:p>
      <w:pPr>
        <w:pStyle w:val="ListParagraph"/>
        <w:numPr>
          <w:ilvl w:val="0"/>
          <w:numId w:val="137"/>
        </w:numPr>
        <w:tabs>
          <w:tab w:pos="980" w:val="left" w:leader="none"/>
        </w:tabs>
        <w:spacing w:line="259" w:lineRule="auto" w:before="2" w:after="0"/>
        <w:ind w:left="980" w:right="765" w:hanging="360"/>
        <w:jc w:val="both"/>
        <w:rPr>
          <w:sz w:val="24"/>
        </w:rPr>
      </w:pPr>
      <w:r>
        <w:rPr>
          <w:sz w:val="24"/>
        </w:rPr>
        <w:t>Insolvenzordnung</w:t>
      </w:r>
      <w:r>
        <w:rPr>
          <w:spacing w:val="-15"/>
          <w:sz w:val="24"/>
        </w:rPr>
        <w:t> </w:t>
      </w:r>
      <w:r>
        <w:rPr>
          <w:sz w:val="24"/>
        </w:rPr>
        <w:t>vom</w:t>
      </w:r>
      <w:r>
        <w:rPr>
          <w:spacing w:val="-12"/>
          <w:sz w:val="24"/>
        </w:rPr>
        <w:t> </w:t>
      </w:r>
      <w:r>
        <w:rPr>
          <w:sz w:val="24"/>
        </w:rPr>
        <w:t>5.</w:t>
      </w:r>
      <w:r>
        <w:rPr>
          <w:spacing w:val="-10"/>
          <w:sz w:val="24"/>
        </w:rPr>
        <w:t> </w:t>
      </w:r>
      <w:r>
        <w:rPr>
          <w:sz w:val="24"/>
        </w:rPr>
        <w:t>Oktober</w:t>
      </w:r>
      <w:r>
        <w:rPr>
          <w:spacing w:val="-16"/>
          <w:sz w:val="24"/>
        </w:rPr>
        <w:t> </w:t>
      </w:r>
      <w:r>
        <w:rPr>
          <w:sz w:val="24"/>
        </w:rPr>
        <w:t>1994</w:t>
      </w:r>
      <w:r>
        <w:rPr>
          <w:spacing w:val="-10"/>
          <w:sz w:val="24"/>
        </w:rPr>
        <w:t> </w:t>
      </w:r>
      <w:r>
        <w:rPr>
          <w:sz w:val="24"/>
        </w:rPr>
        <w:t>(BGBl.</w:t>
      </w:r>
      <w:r>
        <w:rPr>
          <w:spacing w:val="-8"/>
          <w:sz w:val="24"/>
        </w:rPr>
        <w:t> </w:t>
      </w:r>
      <w:r>
        <w:rPr>
          <w:sz w:val="24"/>
        </w:rPr>
        <w:t>I</w:t>
      </w:r>
      <w:r>
        <w:rPr>
          <w:spacing w:val="-16"/>
          <w:sz w:val="24"/>
        </w:rPr>
        <w:t> </w:t>
      </w:r>
      <w:r>
        <w:rPr>
          <w:sz w:val="24"/>
        </w:rPr>
        <w:t>S.</w:t>
      </w:r>
      <w:r>
        <w:rPr>
          <w:spacing w:val="-10"/>
          <w:sz w:val="24"/>
        </w:rPr>
        <w:t> </w:t>
      </w:r>
      <w:r>
        <w:rPr>
          <w:sz w:val="24"/>
        </w:rPr>
        <w:t>2866),</w:t>
      </w:r>
      <w:r>
        <w:rPr>
          <w:spacing w:val="-12"/>
          <w:sz w:val="24"/>
        </w:rPr>
        <w:t> </w:t>
      </w:r>
      <w:r>
        <w:rPr>
          <w:sz w:val="24"/>
        </w:rPr>
        <w:t>die</w:t>
      </w:r>
      <w:r>
        <w:rPr>
          <w:spacing w:val="-15"/>
          <w:sz w:val="24"/>
        </w:rPr>
        <w:t> </w:t>
      </w:r>
      <w:r>
        <w:rPr>
          <w:sz w:val="24"/>
        </w:rPr>
        <w:t>zuletzt</w:t>
      </w:r>
      <w:r>
        <w:rPr>
          <w:spacing w:val="-12"/>
          <w:sz w:val="24"/>
        </w:rPr>
        <w:t> </w:t>
      </w:r>
      <w:r>
        <w:rPr>
          <w:sz w:val="24"/>
        </w:rPr>
        <w:t>durch</w:t>
      </w:r>
      <w:r>
        <w:rPr>
          <w:spacing w:val="-12"/>
          <w:sz w:val="24"/>
        </w:rPr>
        <w:t> </w:t>
      </w:r>
      <w:r>
        <w:rPr>
          <w:sz w:val="24"/>
        </w:rPr>
        <w:t>Artikel 24 Absatz 3 des Gesetzes vom 23. Juni 2017 (BGBl. I S. 1693) geändert worden ist;</w:t>
      </w:r>
    </w:p>
    <w:p>
      <w:pPr>
        <w:pStyle w:val="ListParagraph"/>
        <w:numPr>
          <w:ilvl w:val="0"/>
          <w:numId w:val="137"/>
        </w:numPr>
        <w:tabs>
          <w:tab w:pos="973" w:val="left" w:leader="none"/>
        </w:tabs>
        <w:spacing w:line="240" w:lineRule="auto" w:before="0" w:after="0"/>
        <w:ind w:left="972" w:right="766" w:hanging="356"/>
        <w:jc w:val="both"/>
        <w:rPr>
          <w:sz w:val="24"/>
        </w:rPr>
      </w:pPr>
      <w:r>
        <w:rPr>
          <w:sz w:val="24"/>
        </w:rPr>
        <w:t>"Insolvenzrechtliche Vergütungsverordnung vom 19. August 1998 (BGBl. I S. 2205),</w:t>
      </w:r>
      <w:r>
        <w:rPr>
          <w:spacing w:val="-11"/>
          <w:sz w:val="24"/>
        </w:rPr>
        <w:t> </w:t>
      </w:r>
      <w:r>
        <w:rPr>
          <w:sz w:val="24"/>
        </w:rPr>
        <w:t>die</w:t>
      </w:r>
      <w:r>
        <w:rPr>
          <w:spacing w:val="-11"/>
          <w:sz w:val="24"/>
        </w:rPr>
        <w:t> </w:t>
      </w:r>
      <w:r>
        <w:rPr>
          <w:sz w:val="24"/>
        </w:rPr>
        <w:t>zuletzt</w:t>
      </w:r>
      <w:r>
        <w:rPr>
          <w:spacing w:val="-12"/>
          <w:sz w:val="24"/>
        </w:rPr>
        <w:t> </w:t>
      </w:r>
      <w:r>
        <w:rPr>
          <w:sz w:val="24"/>
        </w:rPr>
        <w:t>durch</w:t>
      </w:r>
      <w:r>
        <w:rPr>
          <w:spacing w:val="-11"/>
          <w:sz w:val="24"/>
        </w:rPr>
        <w:t> </w:t>
      </w:r>
      <w:r>
        <w:rPr>
          <w:sz w:val="24"/>
        </w:rPr>
        <w:t>Artikel</w:t>
      </w:r>
      <w:r>
        <w:rPr>
          <w:spacing w:val="-12"/>
          <w:sz w:val="24"/>
        </w:rPr>
        <w:t> </w:t>
      </w:r>
      <w:r>
        <w:rPr>
          <w:sz w:val="24"/>
        </w:rPr>
        <w:t>3</w:t>
      </w:r>
      <w:r>
        <w:rPr>
          <w:spacing w:val="-11"/>
          <w:sz w:val="24"/>
        </w:rPr>
        <w:t> </w:t>
      </w:r>
      <w:r>
        <w:rPr>
          <w:sz w:val="24"/>
        </w:rPr>
        <w:t>des</w:t>
      </w:r>
      <w:r>
        <w:rPr>
          <w:spacing w:val="-10"/>
          <w:sz w:val="24"/>
        </w:rPr>
        <w:t> </w:t>
      </w:r>
      <w:r>
        <w:rPr>
          <w:sz w:val="24"/>
        </w:rPr>
        <w:t>Gesetzes</w:t>
      </w:r>
      <w:r>
        <w:rPr>
          <w:spacing w:val="-11"/>
          <w:sz w:val="24"/>
        </w:rPr>
        <w:t> </w:t>
      </w:r>
      <w:r>
        <w:rPr>
          <w:sz w:val="24"/>
        </w:rPr>
        <w:t>vom</w:t>
      </w:r>
      <w:r>
        <w:rPr>
          <w:spacing w:val="-10"/>
          <w:sz w:val="24"/>
        </w:rPr>
        <w:t> </w:t>
      </w:r>
      <w:r>
        <w:rPr>
          <w:sz w:val="24"/>
        </w:rPr>
        <w:t>13.</w:t>
      </w:r>
      <w:r>
        <w:rPr>
          <w:spacing w:val="-11"/>
          <w:sz w:val="24"/>
        </w:rPr>
        <w:t> </w:t>
      </w:r>
      <w:r>
        <w:rPr>
          <w:sz w:val="24"/>
        </w:rPr>
        <w:t>April</w:t>
      </w:r>
      <w:r>
        <w:rPr>
          <w:spacing w:val="-10"/>
          <w:sz w:val="24"/>
        </w:rPr>
        <w:t> </w:t>
      </w:r>
      <w:r>
        <w:rPr>
          <w:sz w:val="24"/>
        </w:rPr>
        <w:t>2017</w:t>
      </w:r>
      <w:r>
        <w:rPr>
          <w:spacing w:val="-11"/>
          <w:sz w:val="24"/>
        </w:rPr>
        <w:t> </w:t>
      </w:r>
      <w:r>
        <w:rPr>
          <w:sz w:val="24"/>
        </w:rPr>
        <w:t>(BGBl.</w:t>
      </w:r>
      <w:r>
        <w:rPr>
          <w:spacing w:val="-10"/>
          <w:sz w:val="24"/>
        </w:rPr>
        <w:t> </w:t>
      </w:r>
      <w:r>
        <w:rPr>
          <w:sz w:val="24"/>
        </w:rPr>
        <w:t>I</w:t>
      </w:r>
      <w:r>
        <w:rPr>
          <w:spacing w:val="-14"/>
          <w:sz w:val="24"/>
        </w:rPr>
        <w:t> </w:t>
      </w:r>
      <w:r>
        <w:rPr>
          <w:sz w:val="24"/>
        </w:rPr>
        <w:t>S.</w:t>
      </w:r>
      <w:r>
        <w:rPr>
          <w:spacing w:val="-10"/>
          <w:sz w:val="24"/>
        </w:rPr>
        <w:t> </w:t>
      </w:r>
      <w:r>
        <w:rPr>
          <w:sz w:val="24"/>
        </w:rPr>
        <w:t>866) geändert worden ist"</w:t>
      </w:r>
      <w:r>
        <w:rPr>
          <w:spacing w:val="-4"/>
          <w:sz w:val="24"/>
        </w:rPr>
        <w:t> </w:t>
      </w:r>
      <w:r>
        <w:rPr>
          <w:sz w:val="24"/>
        </w:rPr>
        <w:t>/https:</w:t>
      </w:r>
      <w:hyperlink r:id="rId122">
        <w:r>
          <w:rPr>
            <w:sz w:val="24"/>
          </w:rPr>
          <w:t>//www.gesetze-im-internet.de/insvv/index.html;</w:t>
        </w:r>
      </w:hyperlink>
    </w:p>
    <w:p>
      <w:pPr>
        <w:spacing w:after="0" w:line="240" w:lineRule="auto"/>
        <w:jc w:val="both"/>
        <w:rPr>
          <w:sz w:val="24"/>
        </w:rPr>
        <w:sectPr>
          <w:pgSz w:w="11910" w:h="16840"/>
          <w:pgMar w:header="0" w:footer="1055" w:top="1340" w:bottom="1240" w:left="1180" w:right="1040"/>
        </w:sectPr>
      </w:pPr>
    </w:p>
    <w:p>
      <w:pPr>
        <w:pStyle w:val="ListParagraph"/>
        <w:numPr>
          <w:ilvl w:val="0"/>
          <w:numId w:val="137"/>
        </w:numPr>
        <w:tabs>
          <w:tab w:pos="1333" w:val="left" w:leader="none"/>
        </w:tabs>
        <w:spacing w:line="240" w:lineRule="auto" w:before="73" w:after="0"/>
        <w:ind w:left="1332" w:right="404" w:hanging="356"/>
        <w:jc w:val="both"/>
        <w:rPr>
          <w:sz w:val="24"/>
        </w:rPr>
      </w:pPr>
      <w:r>
        <w:rPr>
          <w:sz w:val="24"/>
        </w:rPr>
        <w:t>Izpildes rīkojums, ar ko groza izpildes rīkojumu par parāda norēķinu (Bekendtgørelse om ændring af bekendtgørelse om gældssanering). Pieejams dāņu valodā:</w:t>
      </w:r>
      <w:r>
        <w:rPr>
          <w:color w:val="0562C1"/>
          <w:spacing w:val="-2"/>
          <w:sz w:val="24"/>
        </w:rPr>
        <w:t> </w:t>
      </w:r>
      <w:r>
        <w:rPr>
          <w:color w:val="0562C1"/>
          <w:sz w:val="24"/>
          <w:u w:val="single" w:color="0562C1"/>
        </w:rPr>
        <w:t>https://</w:t>
      </w:r>
      <w:hyperlink r:id="rId123">
        <w:r>
          <w:rPr>
            <w:color w:val="0562C1"/>
            <w:sz w:val="24"/>
            <w:u w:val="single" w:color="0562C1"/>
          </w:rPr>
          <w:t>www.retsinformation.dk/Forms/R0710.aspx?id=194604;</w:t>
        </w:r>
      </w:hyperlink>
    </w:p>
    <w:p>
      <w:pPr>
        <w:pStyle w:val="ListParagraph"/>
        <w:numPr>
          <w:ilvl w:val="0"/>
          <w:numId w:val="137"/>
        </w:numPr>
        <w:tabs>
          <w:tab w:pos="1340" w:val="left" w:leader="none"/>
          <w:tab w:pos="2110" w:val="left" w:leader="none"/>
          <w:tab w:pos="2564" w:val="left" w:leader="none"/>
          <w:tab w:pos="3966" w:val="left" w:leader="none"/>
          <w:tab w:pos="4531" w:val="left" w:leader="none"/>
          <w:tab w:pos="5164" w:val="left" w:leader="none"/>
          <w:tab w:pos="5918" w:val="left" w:leader="none"/>
          <w:tab w:pos="7662" w:val="left" w:leader="none"/>
        </w:tabs>
        <w:spacing w:line="240" w:lineRule="auto" w:before="0" w:after="0"/>
        <w:ind w:left="1340" w:right="404" w:hanging="360"/>
        <w:jc w:val="left"/>
        <w:rPr>
          <w:sz w:val="24"/>
        </w:rPr>
      </w:pPr>
      <w:r>
        <w:rPr>
          <w:sz w:val="24"/>
        </w:rPr>
        <w:t>Order</w:t>
        <w:tab/>
        <w:t>on</w:t>
        <w:tab/>
        <w:t>Amendment</w:t>
        <w:tab/>
        <w:t>No.</w:t>
        <w:tab/>
        <w:t>465,</w:t>
        <w:tab/>
        <w:t>2009,</w:t>
        <w:tab/>
        <w:t>INSOLVENCY</w:t>
        <w:tab/>
      </w:r>
      <w:r>
        <w:rPr>
          <w:spacing w:val="-1"/>
          <w:sz w:val="24"/>
        </w:rPr>
        <w:t>INDIVIDUALS, </w:t>
      </w:r>
      <w:r>
        <w:rPr>
          <w:sz w:val="24"/>
        </w:rPr>
        <w:t>ENGLAND AND WALES The Insolvency Proceedings (Monetary</w:t>
      </w:r>
      <w:r>
        <w:rPr>
          <w:spacing w:val="-7"/>
          <w:sz w:val="24"/>
        </w:rPr>
        <w:t> </w:t>
      </w:r>
      <w:r>
        <w:rPr>
          <w:sz w:val="24"/>
        </w:rPr>
        <w:t>Limits);</w:t>
      </w:r>
    </w:p>
    <w:p>
      <w:pPr>
        <w:pStyle w:val="ListParagraph"/>
        <w:numPr>
          <w:ilvl w:val="0"/>
          <w:numId w:val="137"/>
        </w:numPr>
        <w:tabs>
          <w:tab w:pos="1340" w:val="left" w:leader="none"/>
        </w:tabs>
        <w:spacing w:line="240" w:lineRule="auto" w:before="0" w:after="0"/>
        <w:ind w:left="1340" w:right="402" w:hanging="360"/>
        <w:jc w:val="left"/>
        <w:rPr>
          <w:sz w:val="24"/>
        </w:rPr>
      </w:pPr>
      <w:r>
        <w:rPr>
          <w:sz w:val="24"/>
        </w:rPr>
        <w:t>Order on Amendment No. 26, 2015, INSOLVENCY, ENGLAND AND WALES The Insolvency Proceedings (Monetary</w:t>
      </w:r>
      <w:r>
        <w:rPr>
          <w:spacing w:val="-7"/>
          <w:sz w:val="24"/>
        </w:rPr>
        <w:t> </w:t>
      </w:r>
      <w:r>
        <w:rPr>
          <w:sz w:val="24"/>
        </w:rPr>
        <w:t>Limits);</w:t>
      </w:r>
    </w:p>
    <w:p>
      <w:pPr>
        <w:pStyle w:val="ListParagraph"/>
        <w:numPr>
          <w:ilvl w:val="0"/>
          <w:numId w:val="137"/>
        </w:numPr>
        <w:tabs>
          <w:tab w:pos="1340" w:val="left" w:leader="none"/>
        </w:tabs>
        <w:spacing w:line="240" w:lineRule="auto" w:before="0" w:after="0"/>
        <w:ind w:left="1340" w:right="407" w:hanging="360"/>
        <w:jc w:val="left"/>
        <w:rPr>
          <w:sz w:val="24"/>
        </w:rPr>
      </w:pPr>
      <w:r>
        <w:rPr>
          <w:sz w:val="24"/>
        </w:rPr>
        <w:t>Parāda norēķinu izpildraksts (Bekendtgørelse om gældssanering), </w:t>
      </w:r>
      <w:r>
        <w:rPr>
          <w:b/>
          <w:sz w:val="24"/>
        </w:rPr>
        <w:t>§ 2. </w:t>
      </w:r>
      <w:r>
        <w:rPr>
          <w:sz w:val="24"/>
        </w:rPr>
        <w:t>Pieejams dāņu</w:t>
      </w:r>
      <w:r>
        <w:rPr>
          <w:spacing w:val="-1"/>
          <w:sz w:val="24"/>
        </w:rPr>
        <w:t> </w:t>
      </w:r>
      <w:r>
        <w:rPr>
          <w:sz w:val="24"/>
        </w:rPr>
        <w:t>valodā:</w:t>
      </w:r>
    </w:p>
    <w:p>
      <w:pPr>
        <w:pStyle w:val="BodyText"/>
        <w:ind w:left="1340"/>
        <w:jc w:val="left"/>
      </w:pPr>
      <w:r>
        <w:rPr>
          <w:color w:val="0562C1"/>
          <w:u w:val="single" w:color="0562C1"/>
        </w:rPr>
        <w:t>https://docplayer.dk/2223969-Retsinformation-dk-bek-nr-894-af-22-09-2005.html</w:t>
      </w:r>
    </w:p>
    <w:p>
      <w:pPr>
        <w:pStyle w:val="ListParagraph"/>
        <w:numPr>
          <w:ilvl w:val="0"/>
          <w:numId w:val="137"/>
        </w:numPr>
        <w:tabs>
          <w:tab w:pos="1340" w:val="left" w:leader="none"/>
        </w:tabs>
        <w:spacing w:line="240" w:lineRule="auto" w:before="0" w:after="0"/>
        <w:ind w:left="1340" w:right="401" w:hanging="360"/>
        <w:jc w:val="left"/>
        <w:rPr>
          <w:sz w:val="24"/>
        </w:rPr>
      </w:pPr>
      <w:r>
        <w:rPr>
          <w:sz w:val="24"/>
        </w:rPr>
        <w:t>Proposal for a Directive of the European Parliament and of the Council on preventive restructuring frameworks, second chance and measures to increase the efficiency of restructuring, insolvency and discharge procedures and amending Directive 2012/30/EU. COM (2016) 723, 2016/0359(COD), latviešu valodā pieejams:</w:t>
      </w:r>
      <w:hyperlink r:id="rId124">
        <w:r>
          <w:rPr>
            <w:color w:val="0562C1"/>
            <w:sz w:val="24"/>
            <w:u w:val="single" w:color="0562C1"/>
          </w:rPr>
          <w:t>http://eur-lex.europa.eu/legal-</w:t>
        </w:r>
      </w:hyperlink>
      <w:r>
        <w:rPr>
          <w:color w:val="0562C1"/>
          <w:sz w:val="24"/>
          <w:u w:val="single" w:color="0562C1"/>
        </w:rPr>
        <w:t> content/LV/TXT/PDF/?uri=CELEX:52016PC0723&amp;from=EN;</w:t>
      </w:r>
    </w:p>
    <w:p>
      <w:pPr>
        <w:pStyle w:val="ListParagraph"/>
        <w:numPr>
          <w:ilvl w:val="0"/>
          <w:numId w:val="137"/>
        </w:numPr>
        <w:tabs>
          <w:tab w:pos="1340" w:val="left" w:leader="none"/>
        </w:tabs>
        <w:spacing w:line="240" w:lineRule="auto" w:before="1" w:after="0"/>
        <w:ind w:left="1340" w:right="0" w:hanging="360"/>
        <w:jc w:val="left"/>
        <w:rPr>
          <w:sz w:val="24"/>
        </w:rPr>
      </w:pPr>
      <w:r>
        <w:rPr>
          <w:sz w:val="24"/>
        </w:rPr>
        <w:t>The Insolvency (England and Wales) Rules 2016.</w:t>
      </w:r>
    </w:p>
    <w:p>
      <w:pPr>
        <w:pStyle w:val="BodyText"/>
        <w:spacing w:before="4"/>
        <w:jc w:val="left"/>
      </w:pPr>
    </w:p>
    <w:p>
      <w:pPr>
        <w:pStyle w:val="Heading3"/>
        <w:spacing w:line="275" w:lineRule="exact"/>
        <w:ind w:left="620"/>
        <w:jc w:val="left"/>
      </w:pPr>
      <w:r>
        <w:rPr/>
        <w:t>Izmantotie Vācijas tiesu prakses avoti:</w:t>
      </w:r>
    </w:p>
    <w:p>
      <w:pPr>
        <w:pStyle w:val="ListParagraph"/>
        <w:numPr>
          <w:ilvl w:val="0"/>
          <w:numId w:val="138"/>
        </w:numPr>
        <w:tabs>
          <w:tab w:pos="1340" w:val="left" w:leader="none"/>
        </w:tabs>
        <w:spacing w:line="275" w:lineRule="exact" w:before="0" w:after="0"/>
        <w:ind w:left="1340" w:right="0" w:hanging="360"/>
        <w:jc w:val="left"/>
        <w:rPr>
          <w:sz w:val="24"/>
        </w:rPr>
      </w:pPr>
      <w:r>
        <w:rPr>
          <w:sz w:val="24"/>
        </w:rPr>
        <w:t>AG Hamburg ZInsO 2012</w:t>
      </w:r>
      <w:r>
        <w:rPr>
          <w:spacing w:val="-4"/>
          <w:sz w:val="24"/>
        </w:rPr>
        <w:t> </w:t>
      </w:r>
      <w:r>
        <w:rPr>
          <w:sz w:val="24"/>
        </w:rPr>
        <w:t>1585;</w:t>
      </w:r>
    </w:p>
    <w:p>
      <w:pPr>
        <w:pStyle w:val="ListParagraph"/>
        <w:numPr>
          <w:ilvl w:val="0"/>
          <w:numId w:val="138"/>
        </w:numPr>
        <w:tabs>
          <w:tab w:pos="1340" w:val="left" w:leader="none"/>
        </w:tabs>
        <w:spacing w:line="240" w:lineRule="auto" w:before="22" w:after="0"/>
        <w:ind w:left="1340" w:right="0" w:hanging="360"/>
        <w:jc w:val="left"/>
        <w:rPr>
          <w:sz w:val="24"/>
        </w:rPr>
      </w:pPr>
      <w:r>
        <w:rPr>
          <w:sz w:val="24"/>
        </w:rPr>
        <w:t>Amtsgericht Furth ZInsO 2016,</w:t>
      </w:r>
      <w:r>
        <w:rPr>
          <w:spacing w:val="2"/>
          <w:sz w:val="24"/>
        </w:rPr>
        <w:t> </w:t>
      </w:r>
      <w:r>
        <w:rPr>
          <w:sz w:val="24"/>
        </w:rPr>
        <w:t>766;</w:t>
      </w:r>
    </w:p>
    <w:p>
      <w:pPr>
        <w:pStyle w:val="ListParagraph"/>
        <w:numPr>
          <w:ilvl w:val="0"/>
          <w:numId w:val="138"/>
        </w:numPr>
        <w:tabs>
          <w:tab w:pos="1340" w:val="left" w:leader="none"/>
        </w:tabs>
        <w:spacing w:line="240" w:lineRule="auto" w:before="22" w:after="0"/>
        <w:ind w:left="1340" w:right="0" w:hanging="360"/>
        <w:jc w:val="left"/>
        <w:rPr>
          <w:sz w:val="24"/>
        </w:rPr>
      </w:pPr>
      <w:r>
        <w:rPr>
          <w:sz w:val="24"/>
        </w:rPr>
        <w:t>Amtsgericht Hamburg ZInsO 2015,</w:t>
      </w:r>
      <w:r>
        <w:rPr>
          <w:spacing w:val="-1"/>
          <w:sz w:val="24"/>
        </w:rPr>
        <w:t> </w:t>
      </w:r>
      <w:r>
        <w:rPr>
          <w:sz w:val="24"/>
        </w:rPr>
        <w:t>821;</w:t>
      </w:r>
    </w:p>
    <w:p>
      <w:pPr>
        <w:pStyle w:val="ListParagraph"/>
        <w:numPr>
          <w:ilvl w:val="0"/>
          <w:numId w:val="138"/>
        </w:numPr>
        <w:tabs>
          <w:tab w:pos="1340" w:val="left" w:leader="none"/>
        </w:tabs>
        <w:spacing w:line="259" w:lineRule="auto" w:before="21" w:after="0"/>
        <w:ind w:left="980" w:right="4312" w:firstLine="0"/>
        <w:jc w:val="left"/>
        <w:rPr>
          <w:sz w:val="24"/>
        </w:rPr>
      </w:pPr>
      <w:r>
        <w:rPr>
          <w:sz w:val="24"/>
        </w:rPr>
        <w:t>Amtsgericht Oldenburg ZInsO 2009, </w:t>
      </w:r>
      <w:r>
        <w:rPr>
          <w:spacing w:val="-4"/>
          <w:sz w:val="24"/>
        </w:rPr>
        <w:t>686; </w:t>
      </w:r>
      <w:r>
        <w:rPr>
          <w:sz w:val="24"/>
        </w:rPr>
        <w:t>5. BGH 16.12.2004 – IX ZB</w:t>
      </w:r>
      <w:r>
        <w:rPr>
          <w:spacing w:val="-1"/>
          <w:sz w:val="24"/>
        </w:rPr>
        <w:t> </w:t>
      </w:r>
      <w:r>
        <w:rPr>
          <w:sz w:val="24"/>
        </w:rPr>
        <w:t>72/03;</w:t>
      </w:r>
    </w:p>
    <w:p>
      <w:pPr>
        <w:pStyle w:val="BodyText"/>
        <w:spacing w:line="275" w:lineRule="exact"/>
        <w:ind w:left="980"/>
        <w:jc w:val="left"/>
      </w:pPr>
      <w:r>
        <w:rPr/>
        <w:t>6. BGH 27.9.2007 – IX ZB 243/06;</w:t>
      </w:r>
    </w:p>
    <w:p>
      <w:pPr>
        <w:pStyle w:val="BodyText"/>
        <w:spacing w:before="22"/>
        <w:ind w:left="980"/>
        <w:jc w:val="left"/>
      </w:pPr>
      <w:r>
        <w:rPr/>
        <w:t>7. BGH 8.1.2009 – IX ZB 73/08;</w:t>
      </w:r>
    </w:p>
    <w:p>
      <w:pPr>
        <w:pStyle w:val="BodyText"/>
        <w:spacing w:before="22"/>
        <w:ind w:left="980"/>
        <w:jc w:val="left"/>
      </w:pPr>
      <w:r>
        <w:rPr/>
        <w:t>8. BGH 3.12.2009 – IX ZB 247/08;</w:t>
      </w:r>
    </w:p>
    <w:p>
      <w:pPr>
        <w:pStyle w:val="BodyText"/>
        <w:spacing w:before="24"/>
        <w:ind w:left="980"/>
        <w:jc w:val="left"/>
      </w:pPr>
      <w:r>
        <w:rPr/>
        <w:t>9. BGH 5.3.2009 – IX ZB 141, 08;</w:t>
      </w:r>
    </w:p>
    <w:p>
      <w:pPr>
        <w:pStyle w:val="BodyText"/>
        <w:spacing w:before="21"/>
        <w:ind w:left="980"/>
        <w:jc w:val="left"/>
      </w:pPr>
      <w:r>
        <w:rPr/>
        <w:t>10. BGH 8.01.2009 – IX ZB 73/08;</w:t>
      </w:r>
    </w:p>
    <w:p>
      <w:pPr>
        <w:pStyle w:val="BodyText"/>
        <w:spacing w:before="22"/>
        <w:ind w:left="980"/>
        <w:jc w:val="left"/>
      </w:pPr>
      <w:r>
        <w:rPr/>
        <w:t>11. BGH 15.4.2010 – IX ZB 17509;</w:t>
      </w:r>
    </w:p>
    <w:p>
      <w:pPr>
        <w:pStyle w:val="BodyText"/>
        <w:spacing w:before="21"/>
        <w:ind w:left="980"/>
        <w:jc w:val="left"/>
      </w:pPr>
      <w:r>
        <w:rPr/>
        <w:t>12. BGH 23.2.2012 – IX ZB 254/10;</w:t>
      </w:r>
    </w:p>
    <w:p>
      <w:pPr>
        <w:pStyle w:val="BodyText"/>
        <w:spacing w:before="22"/>
        <w:ind w:left="980"/>
        <w:jc w:val="left"/>
      </w:pPr>
      <w:r>
        <w:rPr/>
        <w:t>13. BGH 7.2.2013 – IX ZB 245/11;</w:t>
      </w:r>
    </w:p>
    <w:p>
      <w:pPr>
        <w:pStyle w:val="BodyText"/>
        <w:spacing w:before="22"/>
        <w:ind w:left="980"/>
        <w:jc w:val="left"/>
      </w:pPr>
      <w:r>
        <w:rPr/>
        <w:t>14. BGH 10.10.2013 – Az IX ZB 97/12;</w:t>
      </w:r>
    </w:p>
    <w:p>
      <w:pPr>
        <w:pStyle w:val="BodyText"/>
        <w:spacing w:line="259" w:lineRule="auto" w:before="21"/>
        <w:ind w:left="980" w:right="5943"/>
        <w:jc w:val="left"/>
      </w:pPr>
      <w:r>
        <w:rPr/>
        <w:t>15. BGH ZInsO 2006, 548; 16. BGH ZInsO 2006, 1103;</w:t>
      </w:r>
    </w:p>
    <w:p>
      <w:pPr>
        <w:pStyle w:val="BodyText"/>
        <w:spacing w:line="275" w:lineRule="exact"/>
        <w:ind w:left="980"/>
        <w:jc w:val="left"/>
      </w:pPr>
      <w:r>
        <w:rPr/>
        <w:t>17. BGH ZInsO 2007, 96;</w:t>
      </w:r>
    </w:p>
    <w:p>
      <w:pPr>
        <w:pStyle w:val="BodyText"/>
        <w:spacing w:line="259" w:lineRule="auto" w:before="22"/>
        <w:ind w:left="980" w:right="5958"/>
        <w:jc w:val="left"/>
      </w:pPr>
      <w:r>
        <w:rPr/>
        <w:t>18. BGH ZInsO 2009, 732; 19. BGH ZInsO 2010, </w:t>
      </w:r>
      <w:r>
        <w:rPr>
          <w:spacing w:val="-3"/>
        </w:rPr>
        <w:t>1058; </w:t>
      </w:r>
      <w:r>
        <w:rPr/>
        <w:t>20. BGH ZInsO 2010,</w:t>
      </w:r>
      <w:r>
        <w:rPr>
          <w:spacing w:val="-6"/>
        </w:rPr>
        <w:t> </w:t>
      </w:r>
      <w:r>
        <w:rPr>
          <w:spacing w:val="-3"/>
        </w:rPr>
        <w:t>2101;</w:t>
      </w:r>
    </w:p>
    <w:p>
      <w:pPr>
        <w:pStyle w:val="BodyText"/>
        <w:spacing w:before="1"/>
        <w:ind w:left="980"/>
        <w:jc w:val="left"/>
      </w:pPr>
      <w:r>
        <w:rPr/>
        <w:t>21. BGH ZInsO 2011,</w:t>
      </w:r>
      <w:r>
        <w:rPr>
          <w:spacing w:val="-6"/>
        </w:rPr>
        <w:t> </w:t>
      </w:r>
      <w:r>
        <w:rPr/>
        <w:t>396;</w:t>
      </w:r>
    </w:p>
    <w:p>
      <w:pPr>
        <w:pStyle w:val="BodyText"/>
        <w:spacing w:line="259" w:lineRule="auto" w:before="22"/>
        <w:ind w:left="980" w:right="6080"/>
        <w:jc w:val="left"/>
      </w:pPr>
      <w:r>
        <w:rPr/>
        <w:t>22. BGH ZInsO 2013, </w:t>
      </w:r>
      <w:r>
        <w:rPr>
          <w:spacing w:val="-4"/>
        </w:rPr>
        <w:t>138; </w:t>
      </w:r>
      <w:r>
        <w:rPr/>
        <w:t>23. BGH ZVI 2003, 34; 24. BGH ZVI 2005, 643; 25. BGH ZVI</w:t>
      </w:r>
      <w:r>
        <w:rPr>
          <w:spacing w:val="-4"/>
        </w:rPr>
        <w:t> </w:t>
      </w:r>
      <w:r>
        <w:rPr/>
        <w:t>2009,453;</w:t>
      </w:r>
    </w:p>
    <w:p>
      <w:pPr>
        <w:pStyle w:val="ListParagraph"/>
        <w:numPr>
          <w:ilvl w:val="0"/>
          <w:numId w:val="139"/>
        </w:numPr>
        <w:tabs>
          <w:tab w:pos="1340" w:val="left" w:leader="none"/>
        </w:tabs>
        <w:spacing w:line="274" w:lineRule="exact" w:before="0" w:after="0"/>
        <w:ind w:left="1340" w:right="0" w:hanging="360"/>
        <w:jc w:val="left"/>
        <w:rPr>
          <w:sz w:val="24"/>
        </w:rPr>
      </w:pPr>
      <w:r>
        <w:rPr>
          <w:sz w:val="24"/>
        </w:rPr>
        <w:t>Landgericht Dessau-Rosslau ZInsO 2015,</w:t>
      </w:r>
      <w:r>
        <w:rPr>
          <w:spacing w:val="-4"/>
          <w:sz w:val="24"/>
        </w:rPr>
        <w:t> </w:t>
      </w:r>
      <w:r>
        <w:rPr>
          <w:sz w:val="24"/>
        </w:rPr>
        <w:t>2233;</w:t>
      </w:r>
    </w:p>
    <w:p>
      <w:pPr>
        <w:pStyle w:val="ListParagraph"/>
        <w:numPr>
          <w:ilvl w:val="0"/>
          <w:numId w:val="139"/>
        </w:numPr>
        <w:tabs>
          <w:tab w:pos="1340" w:val="left" w:leader="none"/>
        </w:tabs>
        <w:spacing w:line="240" w:lineRule="auto" w:before="21" w:after="0"/>
        <w:ind w:left="1340" w:right="0" w:hanging="360"/>
        <w:jc w:val="left"/>
        <w:rPr>
          <w:sz w:val="24"/>
        </w:rPr>
      </w:pPr>
      <w:r>
        <w:rPr>
          <w:sz w:val="24"/>
        </w:rPr>
        <w:t>Landgericht Potstam ZInsO 2009,</w:t>
      </w:r>
      <w:r>
        <w:rPr>
          <w:spacing w:val="1"/>
          <w:sz w:val="24"/>
        </w:rPr>
        <w:t> </w:t>
      </w:r>
      <w:r>
        <w:rPr>
          <w:sz w:val="24"/>
        </w:rPr>
        <w:t>1415;</w:t>
      </w:r>
    </w:p>
    <w:p>
      <w:pPr>
        <w:pStyle w:val="ListParagraph"/>
        <w:numPr>
          <w:ilvl w:val="0"/>
          <w:numId w:val="139"/>
        </w:numPr>
        <w:tabs>
          <w:tab w:pos="1340" w:val="left" w:leader="none"/>
        </w:tabs>
        <w:spacing w:line="240" w:lineRule="auto" w:before="22" w:after="0"/>
        <w:ind w:left="1340" w:right="0" w:hanging="360"/>
        <w:jc w:val="left"/>
        <w:rPr>
          <w:sz w:val="24"/>
        </w:rPr>
      </w:pPr>
      <w:r>
        <w:rPr>
          <w:sz w:val="24"/>
        </w:rPr>
        <w:t>LG Duesseldorf NZI 2009,</w:t>
      </w:r>
      <w:r>
        <w:rPr>
          <w:spacing w:val="-3"/>
          <w:sz w:val="24"/>
        </w:rPr>
        <w:t> </w:t>
      </w:r>
      <w:r>
        <w:rPr>
          <w:sz w:val="24"/>
        </w:rPr>
        <w:t>193;</w:t>
      </w:r>
    </w:p>
    <w:p>
      <w:pPr>
        <w:pStyle w:val="ListParagraph"/>
        <w:numPr>
          <w:ilvl w:val="0"/>
          <w:numId w:val="139"/>
        </w:numPr>
        <w:tabs>
          <w:tab w:pos="1340" w:val="left" w:leader="none"/>
        </w:tabs>
        <w:spacing w:line="240" w:lineRule="auto" w:before="21" w:after="0"/>
        <w:ind w:left="1340" w:right="0" w:hanging="360"/>
        <w:jc w:val="left"/>
        <w:rPr>
          <w:sz w:val="24"/>
        </w:rPr>
      </w:pPr>
      <w:r>
        <w:rPr>
          <w:sz w:val="24"/>
        </w:rPr>
        <w:t>LG Mainz ZVI 2003,</w:t>
      </w:r>
      <w:r>
        <w:rPr>
          <w:spacing w:val="-4"/>
          <w:sz w:val="24"/>
        </w:rPr>
        <w:t> </w:t>
      </w:r>
      <w:r>
        <w:rPr>
          <w:sz w:val="24"/>
        </w:rPr>
        <w:t>362;</w:t>
      </w:r>
    </w:p>
    <w:p>
      <w:pPr>
        <w:spacing w:after="0" w:line="240" w:lineRule="auto"/>
        <w:jc w:val="left"/>
        <w:rPr>
          <w:sz w:val="24"/>
        </w:rPr>
        <w:sectPr>
          <w:pgSz w:w="11910" w:h="16840"/>
          <w:pgMar w:header="0" w:footer="1055" w:top="1340" w:bottom="1240" w:left="1180" w:right="1040"/>
        </w:sectPr>
      </w:pPr>
    </w:p>
    <w:p>
      <w:pPr>
        <w:pStyle w:val="BodyText"/>
        <w:spacing w:before="76"/>
        <w:ind w:left="620"/>
        <w:jc w:val="left"/>
      </w:pPr>
      <w:r>
        <w:rPr/>
        <w:t>30. NZI 2007, 297;</w:t>
      </w:r>
    </w:p>
    <w:p>
      <w:pPr>
        <w:pStyle w:val="BodyText"/>
        <w:spacing w:before="21"/>
        <w:ind w:left="620"/>
        <w:jc w:val="left"/>
      </w:pPr>
      <w:r>
        <w:rPr/>
        <w:t>31. NZI 2011 330;</w:t>
      </w:r>
    </w:p>
    <w:p>
      <w:pPr>
        <w:pStyle w:val="BodyText"/>
        <w:spacing w:before="22"/>
        <w:ind w:left="620"/>
        <w:jc w:val="left"/>
      </w:pPr>
      <w:r>
        <w:rPr/>
        <w:t>32. NZI 2014, 34;</w:t>
      </w:r>
    </w:p>
    <w:p>
      <w:pPr>
        <w:pStyle w:val="BodyText"/>
        <w:spacing w:before="22"/>
        <w:ind w:left="620"/>
        <w:jc w:val="left"/>
      </w:pPr>
      <w:r>
        <w:rPr/>
        <w:t>33. ZInsO 2010,</w:t>
      </w:r>
      <w:r>
        <w:rPr>
          <w:spacing w:val="-3"/>
        </w:rPr>
        <w:t> </w:t>
      </w:r>
      <w:r>
        <w:rPr/>
        <w:t>1291;</w:t>
      </w:r>
    </w:p>
    <w:p>
      <w:pPr>
        <w:pStyle w:val="BodyText"/>
        <w:spacing w:before="21"/>
        <w:ind w:left="620"/>
        <w:jc w:val="left"/>
      </w:pPr>
      <w:r>
        <w:rPr/>
        <w:t>34. ZInsO 2010,</w:t>
      </w:r>
      <w:r>
        <w:rPr>
          <w:spacing w:val="-3"/>
        </w:rPr>
        <w:t> </w:t>
      </w:r>
      <w:r>
        <w:rPr/>
        <w:t>1558;</w:t>
      </w:r>
    </w:p>
    <w:p>
      <w:pPr>
        <w:pStyle w:val="BodyText"/>
        <w:spacing w:before="19"/>
        <w:ind w:left="620"/>
        <w:jc w:val="left"/>
      </w:pPr>
      <w:r>
        <w:rPr/>
        <w:t>35. ZInsO 2013,</w:t>
      </w:r>
      <w:r>
        <w:rPr>
          <w:spacing w:val="-3"/>
        </w:rPr>
        <w:t> </w:t>
      </w:r>
      <w:r>
        <w:rPr/>
        <w:t>2333.</w:t>
      </w:r>
    </w:p>
    <w:p>
      <w:pPr>
        <w:pStyle w:val="BodyText"/>
        <w:jc w:val="left"/>
        <w:rPr>
          <w:sz w:val="26"/>
        </w:rPr>
      </w:pPr>
    </w:p>
    <w:p>
      <w:pPr>
        <w:pStyle w:val="Heading3"/>
        <w:spacing w:line="274" w:lineRule="exact" w:before="165"/>
        <w:jc w:val="left"/>
      </w:pPr>
      <w:r>
        <w:rPr/>
        <w:t>Citi avoti:</w:t>
      </w:r>
    </w:p>
    <w:p>
      <w:pPr>
        <w:pStyle w:val="ListParagraph"/>
        <w:numPr>
          <w:ilvl w:val="0"/>
          <w:numId w:val="140"/>
        </w:numPr>
        <w:tabs>
          <w:tab w:pos="1340" w:val="left" w:leader="none"/>
        </w:tabs>
        <w:spacing w:line="240" w:lineRule="auto" w:before="0" w:after="0"/>
        <w:ind w:left="1340" w:right="765" w:hanging="360"/>
        <w:jc w:val="left"/>
        <w:rPr>
          <w:sz w:val="24"/>
        </w:rPr>
      </w:pPr>
      <w:r>
        <w:rPr>
          <w:sz w:val="24"/>
        </w:rPr>
        <w:t>Mājaslapa, kurā Lielbritānijā parādnieks var uzzināt savas iespējas attiecībā uz dažādo procedūru izmantošanu:</w:t>
      </w:r>
      <w:r>
        <w:rPr>
          <w:color w:val="0562C1"/>
          <w:spacing w:val="-2"/>
          <w:sz w:val="24"/>
        </w:rPr>
        <w:t> </w:t>
      </w:r>
      <w:r>
        <w:rPr>
          <w:color w:val="0562C1"/>
          <w:sz w:val="24"/>
          <w:u w:val="single" w:color="0562C1"/>
        </w:rPr>
        <w:t>www.gov.uk;</w:t>
      </w:r>
    </w:p>
    <w:p>
      <w:pPr>
        <w:pStyle w:val="ListParagraph"/>
        <w:numPr>
          <w:ilvl w:val="0"/>
          <w:numId w:val="140"/>
        </w:numPr>
        <w:tabs>
          <w:tab w:pos="1340" w:val="left" w:leader="none"/>
        </w:tabs>
        <w:spacing w:line="240" w:lineRule="auto" w:before="0" w:after="0"/>
        <w:ind w:left="1340" w:right="0" w:hanging="360"/>
        <w:jc w:val="left"/>
        <w:rPr>
          <w:sz w:val="24"/>
        </w:rPr>
      </w:pPr>
      <w:r>
        <w:rPr>
          <w:sz w:val="24"/>
        </w:rPr>
        <w:t>Maksātnespēja – Igaunija.</w:t>
      </w:r>
      <w:r>
        <w:rPr>
          <w:spacing w:val="3"/>
          <w:sz w:val="24"/>
        </w:rPr>
        <w:t> </w:t>
      </w:r>
      <w:r>
        <w:rPr>
          <w:sz w:val="24"/>
        </w:rPr>
        <w:t>Pieejams:</w:t>
      </w:r>
    </w:p>
    <w:p>
      <w:pPr>
        <w:pStyle w:val="BodyText"/>
        <w:ind w:left="1400"/>
        <w:jc w:val="left"/>
      </w:pPr>
      <w:r>
        <w:rPr>
          <w:color w:val="0562C1"/>
          <w:u w:val="single" w:color="0562C1"/>
        </w:rPr>
        <w:t>https://e-justice.europa.eu/content_insolvency-447-EE-lv.do?clang=lv;</w:t>
      </w:r>
    </w:p>
    <w:p>
      <w:pPr>
        <w:pStyle w:val="ListParagraph"/>
        <w:numPr>
          <w:ilvl w:val="0"/>
          <w:numId w:val="140"/>
        </w:numPr>
        <w:tabs>
          <w:tab w:pos="1340" w:val="left" w:leader="none"/>
          <w:tab w:pos="2086" w:val="left" w:leader="none"/>
          <w:tab w:pos="3297" w:val="left" w:leader="none"/>
          <w:tab w:pos="5032" w:val="left" w:leader="none"/>
          <w:tab w:pos="6245" w:val="left" w:leader="none"/>
          <w:tab w:pos="7982" w:val="left" w:leader="none"/>
        </w:tabs>
        <w:spacing w:line="240" w:lineRule="auto" w:before="0" w:after="0"/>
        <w:ind w:left="1340" w:right="765" w:hanging="360"/>
        <w:jc w:val="left"/>
        <w:rPr>
          <w:sz w:val="24"/>
        </w:rPr>
      </w:pPr>
      <w:r>
        <w:rPr>
          <w:sz w:val="24"/>
        </w:rPr>
        <w:t>Tests</w:t>
        <w:tab/>
        <w:t>piemēroto</w:t>
        <w:tab/>
        <w:t>maksātnespējas</w:t>
        <w:tab/>
        <w:t>procedūru</w:t>
        <w:tab/>
        <w:t>noskaidrošanai.</w:t>
        <w:tab/>
        <w:t>Pieejams:</w:t>
      </w:r>
      <w:r>
        <w:rPr>
          <w:color w:val="0562C1"/>
          <w:sz w:val="24"/>
          <w:u w:val="single" w:color="0562C1"/>
        </w:rPr>
        <w:t> https://</w:t>
      </w:r>
      <w:hyperlink r:id="rId66">
        <w:r>
          <w:rPr>
            <w:color w:val="0562C1"/>
            <w:sz w:val="24"/>
            <w:u w:val="single" w:color="0562C1"/>
          </w:rPr>
          <w:t>www.gov.uk/pay-off-debts</w:t>
        </w:r>
      </w:hyperlink>
    </w:p>
    <w:p>
      <w:pPr>
        <w:pStyle w:val="ListParagraph"/>
        <w:numPr>
          <w:ilvl w:val="0"/>
          <w:numId w:val="140"/>
        </w:numPr>
        <w:tabs>
          <w:tab w:pos="1340" w:val="left" w:leader="none"/>
          <w:tab w:pos="2200" w:val="left" w:leader="none"/>
          <w:tab w:pos="3507" w:val="left" w:leader="none"/>
          <w:tab w:pos="4918" w:val="left" w:leader="none"/>
          <w:tab w:pos="5597" w:val="left" w:leader="none"/>
          <w:tab w:pos="5981" w:val="left" w:leader="none"/>
          <w:tab w:pos="7100" w:val="left" w:leader="none"/>
          <w:tab w:pos="8042" w:val="left" w:leader="none"/>
        </w:tabs>
        <w:spacing w:line="240" w:lineRule="auto" w:before="0" w:after="0"/>
        <w:ind w:left="1340" w:right="765" w:hanging="360"/>
        <w:jc w:val="left"/>
        <w:rPr>
          <w:sz w:val="24"/>
        </w:rPr>
      </w:pPr>
      <w:r>
        <w:rPr>
          <w:sz w:val="24"/>
        </w:rPr>
        <w:t>Vācijā</w:t>
        <w:tab/>
        <w:t>pieteikuma</w:t>
        <w:tab/>
        <w:t>iesniegšanai</w:t>
        <w:tab/>
        <w:t>tiesā</w:t>
        <w:tab/>
        <w:t>ir</w:t>
        <w:tab/>
        <w:t>izveidota</w:t>
        <w:tab/>
        <w:t>vienota</w:t>
        <w:tab/>
        <w:t>veidlapa. Pieejams:</w:t>
      </w:r>
      <w:r>
        <w:rPr>
          <w:color w:val="0562C1"/>
          <w:sz w:val="24"/>
          <w:u w:val="single" w:color="0562C1"/>
        </w:rPr>
        <w:t>https://justiz.de/formulare/zwi_bund/vinsolvenz.pdf;</w:t>
      </w:r>
    </w:p>
    <w:p>
      <w:pPr>
        <w:pStyle w:val="ListParagraph"/>
        <w:numPr>
          <w:ilvl w:val="0"/>
          <w:numId w:val="140"/>
        </w:numPr>
        <w:tabs>
          <w:tab w:pos="1340" w:val="left" w:leader="none"/>
        </w:tabs>
        <w:spacing w:line="240" w:lineRule="auto" w:before="0" w:after="0"/>
        <w:ind w:left="1340" w:right="0" w:hanging="360"/>
        <w:jc w:val="left"/>
        <w:rPr>
          <w:sz w:val="24"/>
        </w:rPr>
      </w:pPr>
      <w:r>
        <w:rPr>
          <w:sz w:val="24"/>
        </w:rPr>
        <w:t>Vācijas publiskais reģistrs. Pieejams:</w:t>
      </w:r>
      <w:r>
        <w:rPr>
          <w:color w:val="0562C1"/>
          <w:spacing w:val="-4"/>
          <w:sz w:val="24"/>
        </w:rPr>
        <w:t> </w:t>
      </w:r>
      <w:hyperlink r:id="rId89">
        <w:r>
          <w:rPr>
            <w:color w:val="0562C1"/>
            <w:sz w:val="24"/>
            <w:u w:val="single" w:color="0562C1"/>
          </w:rPr>
          <w:t>www.insolvenzbekanntmachungen.de.</w:t>
        </w:r>
      </w:hyperlink>
    </w:p>
    <w:p>
      <w:pPr>
        <w:spacing w:after="0" w:line="240" w:lineRule="auto"/>
        <w:jc w:val="left"/>
        <w:rPr>
          <w:sz w:val="24"/>
        </w:rPr>
        <w:sectPr>
          <w:pgSz w:w="11910" w:h="16840"/>
          <w:pgMar w:header="0" w:footer="1055" w:top="1340" w:bottom="1240" w:left="1180" w:right="1040"/>
        </w:sectPr>
      </w:pPr>
    </w:p>
    <w:p>
      <w:pPr>
        <w:pStyle w:val="Heading1"/>
        <w:ind w:left="1332"/>
      </w:pPr>
      <w:r>
        <w:rPr>
          <w:color w:val="4472C3"/>
        </w:rPr>
        <w:t>PIELIKUMI</w:t>
      </w:r>
    </w:p>
    <w:p>
      <w:pPr>
        <w:pStyle w:val="BodyText"/>
        <w:spacing w:before="9"/>
        <w:jc w:val="left"/>
        <w:rPr>
          <w:b/>
          <w:sz w:val="27"/>
        </w:rPr>
      </w:pPr>
    </w:p>
    <w:p>
      <w:pPr>
        <w:pStyle w:val="Heading2"/>
        <w:spacing w:before="0"/>
        <w:ind w:right="1119"/>
        <w:jc w:val="center"/>
      </w:pPr>
      <w:r>
        <w:rPr>
          <w:color w:val="4472C3"/>
        </w:rPr>
        <w:t>ANOTĀCIJA</w:t>
      </w:r>
    </w:p>
    <w:p>
      <w:pPr>
        <w:spacing w:line="235" w:lineRule="auto" w:before="8"/>
        <w:ind w:left="824" w:right="610" w:firstLine="0"/>
        <w:jc w:val="center"/>
        <w:rPr>
          <w:b/>
          <w:sz w:val="18"/>
        </w:rPr>
      </w:pPr>
      <w:r>
        <w:rPr>
          <w:b/>
          <w:color w:val="4472C3"/>
          <w:sz w:val="28"/>
        </w:rPr>
        <w:t>pētījumam “Fiziskās personas maksātnespējas procesa piemērošanas nosacījumi un tā efektivitāte” </w:t>
      </w:r>
      <w:r>
        <w:rPr>
          <w:b/>
          <w:color w:val="4472C3"/>
          <w:position w:val="10"/>
          <w:sz w:val="18"/>
        </w:rPr>
        <w:t>532</w:t>
      </w:r>
    </w:p>
    <w:p>
      <w:pPr>
        <w:pStyle w:val="BodyText"/>
        <w:spacing w:before="2"/>
        <w:jc w:val="left"/>
        <w:rPr>
          <w:b/>
          <w:sz w:val="28"/>
        </w:rPr>
      </w:pPr>
    </w:p>
    <w:tbl>
      <w:tblPr>
        <w:tblW w:w="0" w:type="auto"/>
        <w:jc w:val="left"/>
        <w:tblInd w:w="635" w:type="dxa"/>
        <w:tblBorders>
          <w:top w:val="single" w:sz="6" w:space="0" w:color="414142"/>
          <w:left w:val="single" w:sz="6" w:space="0" w:color="414142"/>
          <w:bottom w:val="single" w:sz="6" w:space="0" w:color="414142"/>
          <w:right w:val="single" w:sz="6" w:space="0" w:color="414142"/>
          <w:insideH w:val="single" w:sz="6" w:space="0" w:color="414142"/>
          <w:insideV w:val="single" w:sz="6" w:space="0" w:color="414142"/>
        </w:tblBorders>
        <w:tblLayout w:type="fixed"/>
        <w:tblCellMar>
          <w:top w:w="0" w:type="dxa"/>
          <w:left w:w="0" w:type="dxa"/>
          <w:bottom w:w="0" w:type="dxa"/>
          <w:right w:w="0" w:type="dxa"/>
        </w:tblCellMar>
        <w:tblLook w:val="01E0"/>
      </w:tblPr>
      <w:tblGrid>
        <w:gridCol w:w="4322"/>
        <w:gridCol w:w="4322"/>
      </w:tblGrid>
      <w:tr>
        <w:trPr>
          <w:trHeight w:val="729" w:hRule="atLeast"/>
        </w:trPr>
        <w:tc>
          <w:tcPr>
            <w:tcW w:w="4322" w:type="dxa"/>
            <w:tcBorders>
              <w:bottom w:val="nil"/>
            </w:tcBorders>
          </w:tcPr>
          <w:p>
            <w:pPr>
              <w:pStyle w:val="TableParagraph"/>
              <w:spacing w:before="37"/>
              <w:ind w:left="40" w:right="380" w:firstLine="720"/>
              <w:rPr>
                <w:b/>
                <w:sz w:val="24"/>
              </w:rPr>
            </w:pPr>
            <w:r>
              <w:rPr>
                <w:b/>
                <w:sz w:val="24"/>
              </w:rPr>
              <w:t>Pētījuma mērķis, uzdevumi un galvenie rezultāti latviešu valodā</w:t>
            </w:r>
          </w:p>
        </w:tc>
        <w:tc>
          <w:tcPr>
            <w:tcW w:w="4322" w:type="dxa"/>
            <w:tcBorders>
              <w:bottom w:val="nil"/>
            </w:tcBorders>
          </w:tcPr>
          <w:p>
            <w:pPr>
              <w:pStyle w:val="TableParagraph"/>
              <w:spacing w:before="37"/>
              <w:ind w:left="40" w:right="200"/>
              <w:rPr>
                <w:b/>
                <w:sz w:val="24"/>
              </w:rPr>
            </w:pPr>
            <w:r>
              <w:rPr>
                <w:b/>
                <w:sz w:val="24"/>
              </w:rPr>
              <w:t>Pētījuma mērķis, uzdevumi un galvenie rezultāti angļu valodā</w:t>
            </w:r>
          </w:p>
        </w:tc>
      </w:tr>
      <w:tr>
        <w:trPr>
          <w:trHeight w:val="10667" w:hRule="atLeast"/>
        </w:trPr>
        <w:tc>
          <w:tcPr>
            <w:tcW w:w="4322" w:type="dxa"/>
            <w:tcBorders>
              <w:top w:val="nil"/>
            </w:tcBorders>
          </w:tcPr>
          <w:p>
            <w:pPr>
              <w:pStyle w:val="TableParagraph"/>
              <w:tabs>
                <w:tab w:pos="1741" w:val="left" w:leader="none"/>
                <w:tab w:pos="1993" w:val="left" w:leader="none"/>
                <w:tab w:pos="3443" w:val="left" w:leader="none"/>
                <w:tab w:pos="3507" w:val="left" w:leader="none"/>
              </w:tabs>
              <w:spacing w:before="130"/>
              <w:ind w:left="40" w:right="20" w:firstLine="720"/>
              <w:jc w:val="both"/>
              <w:rPr>
                <w:sz w:val="24"/>
              </w:rPr>
            </w:pPr>
            <w:r>
              <w:rPr>
                <w:sz w:val="24"/>
              </w:rPr>
              <w:t>Pētījuma mērķis ir analizēt fiziskās personas maksātnespējas </w:t>
            </w:r>
            <w:r>
              <w:rPr>
                <w:spacing w:val="-3"/>
                <w:sz w:val="24"/>
              </w:rPr>
              <w:t>procesa </w:t>
            </w:r>
            <w:r>
              <w:rPr>
                <w:sz w:val="24"/>
              </w:rPr>
              <w:t>piemērošanas Latvijā problemātiskos aspektus un sniegt priekšlikumus </w:t>
            </w:r>
            <w:r>
              <w:rPr>
                <w:spacing w:val="-3"/>
                <w:sz w:val="24"/>
              </w:rPr>
              <w:t>fiziskās </w:t>
            </w:r>
            <w:r>
              <w:rPr>
                <w:sz w:val="24"/>
              </w:rPr>
              <w:t>personas maksātnespējas </w:t>
            </w:r>
            <w:r>
              <w:rPr>
                <w:spacing w:val="-3"/>
                <w:sz w:val="24"/>
              </w:rPr>
              <w:t>procesa </w:t>
            </w:r>
            <w:r>
              <w:rPr>
                <w:sz w:val="24"/>
              </w:rPr>
              <w:t>pilnveidošanai Latvijā, tai skaitā saistībā </w:t>
            </w:r>
            <w:r>
              <w:rPr>
                <w:spacing w:val="-6"/>
                <w:sz w:val="24"/>
              </w:rPr>
              <w:t>ar </w:t>
            </w:r>
            <w:r>
              <w:rPr>
                <w:sz w:val="24"/>
              </w:rPr>
              <w:t>parādnieka</w:t>
              <w:tab/>
              <w:t>godprātības</w:t>
              <w:tab/>
              <w:tab/>
              <w:t>kritēriju konstatēšanu</w:t>
              <w:tab/>
              <w:tab/>
              <w:t>fiziskās</w:t>
              <w:tab/>
            </w:r>
            <w:r>
              <w:rPr>
                <w:spacing w:val="-3"/>
                <w:sz w:val="24"/>
              </w:rPr>
              <w:t>personas </w:t>
            </w:r>
            <w:r>
              <w:rPr>
                <w:sz w:val="24"/>
              </w:rPr>
              <w:t>maksātnespējas procesā un atvieglota fiziskās personas maksātnespējas procesa izstrādi.</w:t>
            </w:r>
          </w:p>
          <w:p>
            <w:pPr>
              <w:pStyle w:val="TableParagraph"/>
              <w:ind w:left="40" w:right="19" w:firstLine="720"/>
              <w:jc w:val="both"/>
              <w:rPr>
                <w:sz w:val="24"/>
              </w:rPr>
            </w:pPr>
            <w:r>
              <w:rPr>
                <w:sz w:val="24"/>
              </w:rPr>
              <w:t>Pētījuma laikā tika identificētas vairākas būtiskas fiziskās personas maksātnespējas procesa piemērošanas problēmas, daļa no kurām ir saistītas ar parādnieku negodprātību (lielākoties, pārmērīgu vai neapdomīga saistību uzņemšanās, patieso ienākumu vai mantas slēpšana, nepatiesas informācijas sniegšana), taču daļa arī – ar tiesiskā regulējuma trūkumiem, nekonsekvenci vai pārlieku biežajām likuma izmaiņām. Pētījumā tika secināts, ka kopš Maksātnespējas likuma spēkā stāšanās ir būtiski mainījušās “tipiskā” parādnieka iezīmes – no hipotekārā kredītņēmēja uz patēriņa kredītņēmēju, kuram absolūtā vairumā gadījumu nepieder manta. Attiecīgi diskutabls ir kļuvis jautājums, ciktāl spēkā esošais regulējums atbilst patēriņa kredītņēmēju vajadzībām.</w:t>
            </w:r>
          </w:p>
          <w:p>
            <w:pPr>
              <w:pStyle w:val="TableParagraph"/>
              <w:tabs>
                <w:tab w:pos="2092" w:val="left" w:leader="none"/>
                <w:tab w:pos="3630" w:val="left" w:leader="none"/>
              </w:tabs>
              <w:spacing w:before="1"/>
              <w:ind w:left="40" w:right="21" w:firstLine="720"/>
              <w:jc w:val="both"/>
              <w:rPr>
                <w:sz w:val="24"/>
              </w:rPr>
            </w:pPr>
            <w:r>
              <w:rPr>
                <w:sz w:val="24"/>
              </w:rPr>
              <w:t>Pētot ārvalstu regulējumu, </w:t>
            </w:r>
            <w:r>
              <w:rPr>
                <w:spacing w:val="-4"/>
                <w:sz w:val="24"/>
              </w:rPr>
              <w:t>tika </w:t>
            </w:r>
            <w:r>
              <w:rPr>
                <w:sz w:val="24"/>
              </w:rPr>
              <w:t>secināts, ka Latvijā būtu vēlams noteikt kreditoriem tiesības iesniegt fiziskās personas maksātnespējas </w:t>
            </w:r>
            <w:r>
              <w:rPr>
                <w:spacing w:val="-3"/>
                <w:sz w:val="24"/>
              </w:rPr>
              <w:t>procesa </w:t>
            </w:r>
            <w:r>
              <w:rPr>
                <w:sz w:val="24"/>
              </w:rPr>
              <w:t>pieteikumu,</w:t>
              <w:tab/>
              <w:t>ieviest</w:t>
              <w:tab/>
            </w:r>
            <w:r>
              <w:rPr>
                <w:spacing w:val="-4"/>
                <w:sz w:val="24"/>
              </w:rPr>
              <w:t>parādu </w:t>
            </w:r>
            <w:r>
              <w:rPr>
                <w:sz w:val="24"/>
              </w:rPr>
              <w:t>restrukturizēšanas procedūru un speciālu maksātnespējas procedūru parādniekiem</w:t>
            </w:r>
            <w:r>
              <w:rPr>
                <w:spacing w:val="-47"/>
                <w:sz w:val="24"/>
              </w:rPr>
              <w:t> </w:t>
            </w:r>
            <w:r>
              <w:rPr>
                <w:spacing w:val="-4"/>
                <w:sz w:val="24"/>
              </w:rPr>
              <w:t>bez</w:t>
            </w:r>
          </w:p>
        </w:tc>
        <w:tc>
          <w:tcPr>
            <w:tcW w:w="4322" w:type="dxa"/>
            <w:tcBorders>
              <w:top w:val="nil"/>
            </w:tcBorders>
          </w:tcPr>
          <w:p>
            <w:pPr>
              <w:pStyle w:val="TableParagraph"/>
              <w:spacing w:before="130"/>
              <w:ind w:left="40" w:right="21" w:firstLine="720"/>
              <w:jc w:val="both"/>
              <w:rPr>
                <w:sz w:val="24"/>
              </w:rPr>
            </w:pPr>
            <w:r>
              <w:rPr>
                <w:sz w:val="24"/>
              </w:rPr>
              <w:t>The</w:t>
            </w:r>
            <w:r>
              <w:rPr>
                <w:spacing w:val="-15"/>
                <w:sz w:val="24"/>
              </w:rPr>
              <w:t> </w:t>
            </w:r>
            <w:r>
              <w:rPr>
                <w:sz w:val="24"/>
              </w:rPr>
              <w:t>goal</w:t>
            </w:r>
            <w:r>
              <w:rPr>
                <w:spacing w:val="-17"/>
                <w:sz w:val="24"/>
              </w:rPr>
              <w:t> </w:t>
            </w:r>
            <w:r>
              <w:rPr>
                <w:sz w:val="24"/>
              </w:rPr>
              <w:t>of</w:t>
            </w:r>
            <w:r>
              <w:rPr>
                <w:spacing w:val="-15"/>
                <w:sz w:val="24"/>
              </w:rPr>
              <w:t> </w:t>
            </w:r>
            <w:r>
              <w:rPr>
                <w:sz w:val="24"/>
              </w:rPr>
              <w:t>the</w:t>
            </w:r>
            <w:r>
              <w:rPr>
                <w:spacing w:val="-15"/>
                <w:sz w:val="24"/>
              </w:rPr>
              <w:t> </w:t>
            </w:r>
            <w:r>
              <w:rPr>
                <w:sz w:val="24"/>
              </w:rPr>
              <w:t>study</w:t>
            </w:r>
            <w:r>
              <w:rPr>
                <w:spacing w:val="-19"/>
                <w:sz w:val="24"/>
              </w:rPr>
              <w:t> </w:t>
            </w:r>
            <w:r>
              <w:rPr>
                <w:sz w:val="24"/>
              </w:rPr>
              <w:t>is</w:t>
            </w:r>
            <w:r>
              <w:rPr>
                <w:spacing w:val="-15"/>
                <w:sz w:val="24"/>
              </w:rPr>
              <w:t> </w:t>
            </w:r>
            <w:r>
              <w:rPr>
                <w:sz w:val="24"/>
              </w:rPr>
              <w:t>to</w:t>
            </w:r>
            <w:r>
              <w:rPr>
                <w:spacing w:val="-12"/>
                <w:sz w:val="24"/>
              </w:rPr>
              <w:t> </w:t>
            </w:r>
            <w:r>
              <w:rPr>
                <w:sz w:val="24"/>
              </w:rPr>
              <w:t>analyse</w:t>
            </w:r>
            <w:r>
              <w:rPr>
                <w:spacing w:val="-17"/>
                <w:sz w:val="24"/>
              </w:rPr>
              <w:t> </w:t>
            </w:r>
            <w:r>
              <w:rPr>
                <w:sz w:val="24"/>
              </w:rPr>
              <w:t>the problematic aspects of applying </w:t>
            </w:r>
            <w:r>
              <w:rPr>
                <w:spacing w:val="-4"/>
                <w:sz w:val="24"/>
              </w:rPr>
              <w:t>the </w:t>
            </w:r>
            <w:r>
              <w:rPr>
                <w:sz w:val="24"/>
              </w:rPr>
              <w:t>insolvency process of natural persons in Latvia and to provide suggestions for the improvement of the insolvency process </w:t>
            </w:r>
            <w:r>
              <w:rPr>
                <w:spacing w:val="-5"/>
                <w:sz w:val="24"/>
              </w:rPr>
              <w:t>of </w:t>
            </w:r>
            <w:r>
              <w:rPr>
                <w:sz w:val="24"/>
              </w:rPr>
              <w:t>natural persons in Latvia, including regarding the statement of the debtor’s</w:t>
            </w:r>
            <w:r>
              <w:rPr>
                <w:spacing w:val="-19"/>
                <w:sz w:val="24"/>
              </w:rPr>
              <w:t> </w:t>
            </w:r>
            <w:r>
              <w:rPr>
                <w:sz w:val="24"/>
              </w:rPr>
              <w:t>good faith criteria in the process of insolvency of a natural person and development of the relieved insolvency process of a natural person.</w:t>
            </w:r>
          </w:p>
          <w:p>
            <w:pPr>
              <w:pStyle w:val="TableParagraph"/>
              <w:ind w:left="40" w:right="17" w:firstLine="720"/>
              <w:jc w:val="both"/>
              <w:rPr>
                <w:sz w:val="24"/>
              </w:rPr>
            </w:pPr>
            <w:r>
              <w:rPr>
                <w:sz w:val="24"/>
              </w:rPr>
              <w:t>During the study, several important issues related to the application of the insolvency process of a natural person were identified, some of which are related to the debtors’ dishonesty (largely excessive or reckless engagement of liabilities, concealment of actual income or goods, provision of false information), but partly also due to deficiencies in the legal regulation, their inconsistency or changes in the law that take place too often. The study also</w:t>
            </w:r>
            <w:r>
              <w:rPr>
                <w:spacing w:val="-8"/>
                <w:sz w:val="24"/>
              </w:rPr>
              <w:t> </w:t>
            </w:r>
            <w:r>
              <w:rPr>
                <w:sz w:val="24"/>
              </w:rPr>
              <w:t>concluded</w:t>
            </w:r>
            <w:r>
              <w:rPr>
                <w:spacing w:val="-8"/>
                <w:sz w:val="24"/>
              </w:rPr>
              <w:t> </w:t>
            </w:r>
            <w:r>
              <w:rPr>
                <w:sz w:val="24"/>
              </w:rPr>
              <w:t>that</w:t>
            </w:r>
            <w:r>
              <w:rPr>
                <w:spacing w:val="-8"/>
                <w:sz w:val="24"/>
              </w:rPr>
              <w:t> </w:t>
            </w:r>
            <w:r>
              <w:rPr>
                <w:sz w:val="24"/>
              </w:rPr>
              <w:t>since</w:t>
            </w:r>
            <w:r>
              <w:rPr>
                <w:spacing w:val="-9"/>
                <w:sz w:val="24"/>
              </w:rPr>
              <w:t> </w:t>
            </w:r>
            <w:r>
              <w:rPr>
                <w:sz w:val="24"/>
              </w:rPr>
              <w:t>the</w:t>
            </w:r>
            <w:r>
              <w:rPr>
                <w:spacing w:val="-10"/>
                <w:sz w:val="24"/>
              </w:rPr>
              <w:t> </w:t>
            </w:r>
            <w:r>
              <w:rPr>
                <w:sz w:val="24"/>
              </w:rPr>
              <w:t>entry</w:t>
            </w:r>
            <w:r>
              <w:rPr>
                <w:spacing w:val="-12"/>
                <w:sz w:val="24"/>
              </w:rPr>
              <w:t> </w:t>
            </w:r>
            <w:r>
              <w:rPr>
                <w:sz w:val="24"/>
              </w:rPr>
              <w:t>into</w:t>
            </w:r>
            <w:r>
              <w:rPr>
                <w:spacing w:val="-8"/>
                <w:sz w:val="24"/>
              </w:rPr>
              <w:t> </w:t>
            </w:r>
            <w:r>
              <w:rPr>
                <w:sz w:val="24"/>
              </w:rPr>
              <w:t>force of the Insolvency Law, the characteristics</w:t>
            </w:r>
            <w:r>
              <w:rPr>
                <w:spacing w:val="-23"/>
                <w:sz w:val="24"/>
              </w:rPr>
              <w:t> </w:t>
            </w:r>
            <w:r>
              <w:rPr>
                <w:sz w:val="24"/>
              </w:rPr>
              <w:t>of a “typical” debtor have changed significantly – from a mortgage borrower to consumer borrower, who in the majority of cases does not own any assets.</w:t>
            </w:r>
            <w:r>
              <w:rPr>
                <w:spacing w:val="-18"/>
                <w:sz w:val="24"/>
              </w:rPr>
              <w:t> </w:t>
            </w:r>
            <w:r>
              <w:rPr>
                <w:sz w:val="24"/>
              </w:rPr>
              <w:t>Accordingly, it has become disputable, whether the current regulation is in line with consumer borrowers’</w:t>
            </w:r>
            <w:r>
              <w:rPr>
                <w:spacing w:val="-1"/>
                <w:sz w:val="24"/>
              </w:rPr>
              <w:t> </w:t>
            </w:r>
            <w:r>
              <w:rPr>
                <w:sz w:val="24"/>
              </w:rPr>
              <w:t>needs.</w:t>
            </w:r>
          </w:p>
          <w:p>
            <w:pPr>
              <w:pStyle w:val="TableParagraph"/>
              <w:spacing w:before="1"/>
              <w:ind w:left="40" w:right="19" w:firstLine="720"/>
              <w:jc w:val="both"/>
              <w:rPr>
                <w:sz w:val="24"/>
              </w:rPr>
            </w:pPr>
            <w:r>
              <w:rPr>
                <w:sz w:val="24"/>
              </w:rPr>
              <w:t>When studying foreign regulations, it was concluded that in Latvia it would </w:t>
            </w:r>
            <w:r>
              <w:rPr>
                <w:spacing w:val="-6"/>
                <w:sz w:val="24"/>
              </w:rPr>
              <w:t>be </w:t>
            </w:r>
            <w:r>
              <w:rPr>
                <w:sz w:val="24"/>
              </w:rPr>
              <w:t>advisable to establish rights to creditors to file an application for the insolvency proceeding of a natural person, to introduce a debt restructuring procedure and special insolvency procedure for debtors that do</w:t>
            </w:r>
            <w:r>
              <w:rPr>
                <w:spacing w:val="-19"/>
                <w:sz w:val="24"/>
              </w:rPr>
              <w:t> </w:t>
            </w:r>
            <w:r>
              <w:rPr>
                <w:sz w:val="24"/>
              </w:rPr>
              <w:t>not</w:t>
            </w:r>
          </w:p>
        </w:tc>
      </w:tr>
    </w:tbl>
    <w:p>
      <w:pPr>
        <w:pStyle w:val="BodyText"/>
        <w:spacing w:before="4"/>
        <w:jc w:val="left"/>
        <w:rPr>
          <w:b/>
          <w:sz w:val="10"/>
        </w:rPr>
      </w:pPr>
      <w:r>
        <w:rPr/>
        <w:pict>
          <v:shape style="position:absolute;margin-left:90pt;margin-top:8.220016pt;width:144pt;height:.1pt;mso-position-horizontal-relative:page;mso-position-vertical-relative:paragraph;z-index:-251427840;mso-wrap-distance-left:0;mso-wrap-distance-right:0" coordorigin="1800,164" coordsize="2880,0" path="m1800,164l4680,164e" filled="false" stroked="true" strokeweight=".600037pt" strokecolor="#000000">
            <v:path arrowok="t"/>
            <v:stroke dashstyle="solid"/>
            <w10:wrap type="topAndBottom"/>
          </v:shape>
        </w:pict>
      </w:r>
    </w:p>
    <w:p>
      <w:pPr>
        <w:spacing w:before="58"/>
        <w:ind w:left="620" w:right="0" w:firstLine="0"/>
        <w:jc w:val="left"/>
        <w:rPr>
          <w:sz w:val="20"/>
        </w:rPr>
      </w:pPr>
      <w:r>
        <w:rPr>
          <w:position w:val="9"/>
          <w:sz w:val="16"/>
        </w:rPr>
        <w:t>532 </w:t>
      </w:r>
      <w:r>
        <w:rPr>
          <w:sz w:val="20"/>
        </w:rPr>
        <w:t>Ministru kabineta 2013.gada 3.janvāra noteikumu Nr.1 3.pielikums</w:t>
      </w:r>
    </w:p>
    <w:p>
      <w:pPr>
        <w:spacing w:after="0"/>
        <w:jc w:val="left"/>
        <w:rPr>
          <w:sz w:val="20"/>
        </w:rPr>
        <w:sectPr>
          <w:pgSz w:w="11910" w:h="16840"/>
          <w:pgMar w:header="0" w:footer="1055" w:top="1360" w:bottom="1240" w:left="1180" w:right="1040"/>
        </w:sectPr>
      </w:pPr>
    </w:p>
    <w:tbl>
      <w:tblPr>
        <w:tblW w:w="0" w:type="auto"/>
        <w:jc w:val="left"/>
        <w:tblInd w:w="275" w:type="dxa"/>
        <w:tblBorders>
          <w:top w:val="single" w:sz="6" w:space="0" w:color="414142"/>
          <w:left w:val="single" w:sz="6" w:space="0" w:color="414142"/>
          <w:bottom w:val="single" w:sz="6" w:space="0" w:color="414142"/>
          <w:right w:val="single" w:sz="6" w:space="0" w:color="414142"/>
          <w:insideH w:val="single" w:sz="6" w:space="0" w:color="414142"/>
          <w:insideV w:val="single" w:sz="6" w:space="0" w:color="414142"/>
        </w:tblBorders>
        <w:tblLayout w:type="fixed"/>
        <w:tblCellMar>
          <w:top w:w="0" w:type="dxa"/>
          <w:left w:w="0" w:type="dxa"/>
          <w:bottom w:w="0" w:type="dxa"/>
          <w:right w:w="0" w:type="dxa"/>
        </w:tblCellMar>
        <w:tblLook w:val="01E0"/>
      </w:tblPr>
      <w:tblGrid>
        <w:gridCol w:w="4322"/>
        <w:gridCol w:w="4322"/>
      </w:tblGrid>
      <w:tr>
        <w:trPr>
          <w:trHeight w:val="2013" w:hRule="atLeast"/>
        </w:trPr>
        <w:tc>
          <w:tcPr>
            <w:tcW w:w="4322" w:type="dxa"/>
          </w:tcPr>
          <w:p>
            <w:pPr>
              <w:pStyle w:val="TableParagraph"/>
              <w:spacing w:before="32"/>
              <w:ind w:left="40" w:right="18"/>
              <w:jc w:val="both"/>
              <w:rPr>
                <w:sz w:val="24"/>
              </w:rPr>
            </w:pPr>
            <w:r>
              <w:rPr>
                <w:sz w:val="24"/>
              </w:rPr>
              <w:t>mantas un ar zemiem ienākumiem, noteikt plašāku pārsūdzamo tiesu nolēmumu klāstu, paredzēt “plūstošā” saistību dzēšanas procedūras termiņa regulējumu, izstrādāt speciālus darījumu apstrīdēšanas noteikumus, ieviest zvēresta institūtu u.c.</w:t>
            </w:r>
          </w:p>
        </w:tc>
        <w:tc>
          <w:tcPr>
            <w:tcW w:w="4322" w:type="dxa"/>
          </w:tcPr>
          <w:p>
            <w:pPr>
              <w:pStyle w:val="TableParagraph"/>
              <w:spacing w:before="32"/>
              <w:ind w:left="40" w:right="18"/>
              <w:jc w:val="both"/>
              <w:rPr>
                <w:sz w:val="24"/>
              </w:rPr>
            </w:pPr>
            <w:r>
              <w:rPr>
                <w:sz w:val="24"/>
              </w:rPr>
              <w:t>own any assets and have low income, to determine a wider range of appealable court decisions, to provide regulations for the “flowing” time period of the procedure for releasing debtor from his liabilities, </w:t>
            </w:r>
            <w:r>
              <w:rPr>
                <w:spacing w:val="-7"/>
                <w:sz w:val="24"/>
              </w:rPr>
              <w:t>to </w:t>
            </w:r>
            <w:r>
              <w:rPr>
                <w:sz w:val="24"/>
              </w:rPr>
              <w:t>develop special rules for disputing the</w:t>
            </w:r>
            <w:r>
              <w:rPr>
                <w:spacing w:val="-36"/>
                <w:sz w:val="24"/>
              </w:rPr>
              <w:t> </w:t>
            </w:r>
            <w:r>
              <w:rPr>
                <w:sz w:val="24"/>
              </w:rPr>
              <w:t>deals, to introduce an oath institution,</w:t>
            </w:r>
            <w:r>
              <w:rPr>
                <w:spacing w:val="-4"/>
                <w:sz w:val="24"/>
              </w:rPr>
              <w:t> </w:t>
            </w:r>
            <w:r>
              <w:rPr>
                <w:sz w:val="24"/>
              </w:rPr>
              <w:t>etc.</w:t>
            </w:r>
          </w:p>
        </w:tc>
      </w:tr>
      <w:tr>
        <w:trPr>
          <w:trHeight w:val="6426" w:hRule="atLeast"/>
        </w:trPr>
        <w:tc>
          <w:tcPr>
            <w:tcW w:w="4322" w:type="dxa"/>
          </w:tcPr>
          <w:p>
            <w:pPr>
              <w:pStyle w:val="TableParagraph"/>
              <w:spacing w:before="35"/>
              <w:ind w:left="40"/>
              <w:rPr>
                <w:b/>
                <w:sz w:val="24"/>
              </w:rPr>
            </w:pPr>
            <w:r>
              <w:rPr>
                <w:b/>
                <w:sz w:val="24"/>
              </w:rPr>
              <w:t>Galvenās pētījumā aplūkotās tēmas</w:t>
            </w:r>
          </w:p>
        </w:tc>
        <w:tc>
          <w:tcPr>
            <w:tcW w:w="4322" w:type="dxa"/>
          </w:tcPr>
          <w:p>
            <w:pPr>
              <w:pStyle w:val="TableParagraph"/>
              <w:spacing w:before="30"/>
              <w:ind w:left="40" w:right="115"/>
              <w:rPr>
                <w:sz w:val="24"/>
              </w:rPr>
            </w:pPr>
            <w:r>
              <w:rPr>
                <w:sz w:val="24"/>
              </w:rPr>
              <w:t>Nolūkā identificēt fiziskās personas maksātnespējas procesa piemērošanas problemātiskos aspektus, Pētījumā tika analizēta tiesu prakse un konkrēti maksātnespējas procesi, kā arī tika īstenota anketēšana.</w:t>
            </w:r>
          </w:p>
          <w:p>
            <w:pPr>
              <w:pStyle w:val="TableParagraph"/>
              <w:ind w:left="40" w:right="34"/>
              <w:rPr>
                <w:sz w:val="24"/>
              </w:rPr>
            </w:pPr>
            <w:r>
              <w:rPr>
                <w:sz w:val="24"/>
              </w:rPr>
              <w:t>Papildus minētajam tika pētīta ārvalstu – Lielbritānijas, Igaunijas, Dānijas un Vācijas pieredze, tiesiskais regulējums un tiesību literatūra.</w:t>
            </w:r>
          </w:p>
          <w:p>
            <w:pPr>
              <w:pStyle w:val="TableParagraph"/>
              <w:ind w:left="40" w:right="41"/>
              <w:rPr>
                <w:sz w:val="24"/>
              </w:rPr>
            </w:pPr>
            <w:r>
              <w:rPr>
                <w:sz w:val="24"/>
              </w:rPr>
              <w:t>Ņemot vērā Pētījuma mērķi, detalizēti tika analizētas būtiskākās konstatētās problēmas</w:t>
            </w:r>
          </w:p>
          <w:p>
            <w:pPr>
              <w:pStyle w:val="TableParagraph"/>
              <w:ind w:left="40" w:right="41"/>
              <w:rPr>
                <w:sz w:val="24"/>
              </w:rPr>
            </w:pPr>
            <w:r>
              <w:rPr>
                <w:sz w:val="24"/>
              </w:rPr>
              <w:t>– patieso ienākumu slēpšana, motivācijas trūkums gūt lielākus ienākumus, saistību dzēšanas procedūras termiņa un </w:t>
            </w:r>
            <w:r>
              <w:rPr>
                <w:spacing w:val="-3"/>
                <w:sz w:val="24"/>
              </w:rPr>
              <w:t>kreditoriem </w:t>
            </w:r>
            <w:r>
              <w:rPr>
                <w:sz w:val="24"/>
              </w:rPr>
              <w:t>maksājamo summu tiesiskais regulējums, nepatiesas informācijas sniegšana, novēloti uzsākti maksātnespējas procesi, maksātnespējas procesa pieejamība, uzsākto maksātnespējas procesu skaita sarukums, iesaistīto personu kompetence, vienotas tiesu prakses</w:t>
            </w:r>
            <w:r>
              <w:rPr>
                <w:spacing w:val="-1"/>
                <w:sz w:val="24"/>
              </w:rPr>
              <w:t> </w:t>
            </w:r>
            <w:r>
              <w:rPr>
                <w:sz w:val="24"/>
              </w:rPr>
              <w:t>trūkums.</w:t>
            </w:r>
          </w:p>
        </w:tc>
      </w:tr>
      <w:tr>
        <w:trPr>
          <w:trHeight w:val="354" w:hRule="atLeast"/>
        </w:trPr>
        <w:tc>
          <w:tcPr>
            <w:tcW w:w="4322" w:type="dxa"/>
          </w:tcPr>
          <w:p>
            <w:pPr>
              <w:pStyle w:val="TableParagraph"/>
              <w:spacing w:before="37"/>
              <w:ind w:left="40"/>
              <w:rPr>
                <w:b/>
                <w:sz w:val="24"/>
              </w:rPr>
            </w:pPr>
            <w:r>
              <w:rPr>
                <w:b/>
                <w:sz w:val="24"/>
              </w:rPr>
              <w:t>Pētījuma pasūtītājs</w:t>
            </w:r>
          </w:p>
        </w:tc>
        <w:tc>
          <w:tcPr>
            <w:tcW w:w="4322" w:type="dxa"/>
          </w:tcPr>
          <w:p>
            <w:pPr>
              <w:pStyle w:val="TableParagraph"/>
              <w:spacing w:before="32"/>
              <w:ind w:left="40"/>
              <w:rPr>
                <w:sz w:val="24"/>
              </w:rPr>
            </w:pPr>
            <w:r>
              <w:rPr>
                <w:sz w:val="24"/>
              </w:rPr>
              <w:t>Maksātnespējas kontroles dienests</w:t>
            </w:r>
          </w:p>
        </w:tc>
      </w:tr>
      <w:tr>
        <w:trPr>
          <w:trHeight w:val="356" w:hRule="atLeast"/>
        </w:trPr>
        <w:tc>
          <w:tcPr>
            <w:tcW w:w="4322" w:type="dxa"/>
          </w:tcPr>
          <w:p>
            <w:pPr>
              <w:pStyle w:val="TableParagraph"/>
              <w:spacing w:before="37"/>
              <w:ind w:left="40"/>
              <w:rPr>
                <w:b/>
                <w:sz w:val="24"/>
              </w:rPr>
            </w:pPr>
            <w:r>
              <w:rPr>
                <w:b/>
                <w:sz w:val="24"/>
              </w:rPr>
              <w:t>Pētījuma īstenotājs</w:t>
            </w:r>
          </w:p>
        </w:tc>
        <w:tc>
          <w:tcPr>
            <w:tcW w:w="4322" w:type="dxa"/>
          </w:tcPr>
          <w:p>
            <w:pPr>
              <w:pStyle w:val="TableParagraph"/>
              <w:spacing w:before="32"/>
              <w:ind w:left="40"/>
              <w:rPr>
                <w:sz w:val="24"/>
              </w:rPr>
            </w:pPr>
            <w:r>
              <w:rPr>
                <w:sz w:val="24"/>
              </w:rPr>
              <w:t>Zvērinātu advokātu birojs “NOVIUS”</w:t>
            </w:r>
          </w:p>
        </w:tc>
      </w:tr>
      <w:tr>
        <w:trPr>
          <w:trHeight w:val="357" w:hRule="atLeast"/>
        </w:trPr>
        <w:tc>
          <w:tcPr>
            <w:tcW w:w="4322" w:type="dxa"/>
          </w:tcPr>
          <w:p>
            <w:pPr>
              <w:pStyle w:val="TableParagraph"/>
              <w:spacing w:before="37"/>
              <w:ind w:left="40"/>
              <w:rPr>
                <w:b/>
                <w:sz w:val="24"/>
              </w:rPr>
            </w:pPr>
            <w:r>
              <w:rPr>
                <w:b/>
                <w:sz w:val="24"/>
              </w:rPr>
              <w:t>Pētījuma īstenošanas gads</w:t>
            </w:r>
          </w:p>
        </w:tc>
        <w:tc>
          <w:tcPr>
            <w:tcW w:w="4322" w:type="dxa"/>
          </w:tcPr>
          <w:p>
            <w:pPr>
              <w:pStyle w:val="TableParagraph"/>
              <w:spacing w:before="32"/>
              <w:ind w:left="40"/>
              <w:rPr>
                <w:sz w:val="24"/>
              </w:rPr>
            </w:pPr>
            <w:r>
              <w:rPr>
                <w:sz w:val="24"/>
              </w:rPr>
              <w:t>2018.gads</w:t>
            </w:r>
          </w:p>
        </w:tc>
      </w:tr>
      <w:tr>
        <w:trPr>
          <w:trHeight w:val="630" w:hRule="atLeast"/>
        </w:trPr>
        <w:tc>
          <w:tcPr>
            <w:tcW w:w="4322" w:type="dxa"/>
          </w:tcPr>
          <w:p>
            <w:pPr>
              <w:pStyle w:val="TableParagraph"/>
              <w:spacing w:before="37"/>
              <w:ind w:left="40" w:right="826"/>
              <w:rPr>
                <w:b/>
                <w:sz w:val="24"/>
              </w:rPr>
            </w:pPr>
            <w:r>
              <w:rPr>
                <w:b/>
                <w:sz w:val="24"/>
              </w:rPr>
              <w:t>Pētījuma finansēšanas summa un finansēšanas avots</w:t>
            </w:r>
          </w:p>
        </w:tc>
        <w:tc>
          <w:tcPr>
            <w:tcW w:w="4322" w:type="dxa"/>
          </w:tcPr>
          <w:p>
            <w:pPr>
              <w:pStyle w:val="TableParagraph"/>
              <w:spacing w:before="32"/>
              <w:ind w:left="40" w:right="360" w:firstLine="60"/>
              <w:rPr>
                <w:sz w:val="24"/>
              </w:rPr>
            </w:pPr>
            <w:r>
              <w:rPr>
                <w:sz w:val="24"/>
              </w:rPr>
              <w:t>EUR 38841,00 (ieskaitot PVN), finansē Pētījuma pasūtītājs</w:t>
            </w:r>
          </w:p>
        </w:tc>
      </w:tr>
      <w:tr>
        <w:trPr>
          <w:trHeight w:val="633" w:hRule="atLeast"/>
        </w:trPr>
        <w:tc>
          <w:tcPr>
            <w:tcW w:w="4322" w:type="dxa"/>
          </w:tcPr>
          <w:p>
            <w:pPr>
              <w:pStyle w:val="TableParagraph"/>
              <w:spacing w:before="37"/>
              <w:ind w:left="40"/>
              <w:rPr>
                <w:b/>
                <w:sz w:val="24"/>
              </w:rPr>
            </w:pPr>
            <w:r>
              <w:rPr>
                <w:b/>
                <w:sz w:val="24"/>
              </w:rPr>
              <w:t>Pētījuma klasifikācija*</w:t>
            </w:r>
          </w:p>
        </w:tc>
        <w:tc>
          <w:tcPr>
            <w:tcW w:w="4322" w:type="dxa"/>
          </w:tcPr>
          <w:p>
            <w:pPr>
              <w:pStyle w:val="TableParagraph"/>
              <w:spacing w:before="32"/>
              <w:ind w:left="40" w:right="187"/>
              <w:rPr>
                <w:sz w:val="24"/>
              </w:rPr>
            </w:pPr>
            <w:r>
              <w:rPr>
                <w:sz w:val="24"/>
              </w:rPr>
              <w:t>Padziļinātas ekspertīzes pētījums politikas vai tiesiskā regulējuma izstrādei</w:t>
            </w:r>
          </w:p>
        </w:tc>
      </w:tr>
      <w:tr>
        <w:trPr>
          <w:trHeight w:val="354" w:hRule="atLeast"/>
        </w:trPr>
        <w:tc>
          <w:tcPr>
            <w:tcW w:w="4322" w:type="dxa"/>
          </w:tcPr>
          <w:p>
            <w:pPr>
              <w:pStyle w:val="TableParagraph"/>
              <w:spacing w:before="37"/>
              <w:ind w:left="40"/>
              <w:rPr>
                <w:b/>
                <w:sz w:val="24"/>
              </w:rPr>
            </w:pPr>
            <w:r>
              <w:rPr>
                <w:b/>
                <w:sz w:val="24"/>
              </w:rPr>
              <w:t>Politikas joma, nozare**</w:t>
            </w:r>
          </w:p>
        </w:tc>
        <w:tc>
          <w:tcPr>
            <w:tcW w:w="4322" w:type="dxa"/>
          </w:tcPr>
          <w:p>
            <w:pPr>
              <w:pStyle w:val="TableParagraph"/>
              <w:spacing w:before="32"/>
              <w:ind w:left="40"/>
              <w:rPr>
                <w:sz w:val="24"/>
              </w:rPr>
            </w:pPr>
            <w:r>
              <w:rPr>
                <w:sz w:val="24"/>
              </w:rPr>
              <w:t>Tieslietu politika, civiltiesību politika</w:t>
            </w:r>
          </w:p>
        </w:tc>
      </w:tr>
      <w:tr>
        <w:trPr>
          <w:trHeight w:val="633" w:hRule="atLeast"/>
        </w:trPr>
        <w:tc>
          <w:tcPr>
            <w:tcW w:w="4322" w:type="dxa"/>
          </w:tcPr>
          <w:p>
            <w:pPr>
              <w:pStyle w:val="TableParagraph"/>
              <w:spacing w:line="274" w:lineRule="exact" w:before="37"/>
              <w:ind w:left="40"/>
              <w:rPr>
                <w:b/>
                <w:sz w:val="24"/>
              </w:rPr>
            </w:pPr>
            <w:r>
              <w:rPr>
                <w:b/>
                <w:sz w:val="24"/>
              </w:rPr>
              <w:t>Pētījuma ģeogrāfiskais aptvērums</w:t>
            </w:r>
          </w:p>
          <w:p>
            <w:pPr>
              <w:pStyle w:val="TableParagraph"/>
              <w:spacing w:line="274" w:lineRule="exact"/>
              <w:ind w:left="40"/>
              <w:rPr>
                <w:sz w:val="24"/>
              </w:rPr>
            </w:pPr>
            <w:r>
              <w:rPr>
                <w:sz w:val="24"/>
              </w:rPr>
              <w:t>(visa Latvija vai noteikts reģions/novads)</w:t>
            </w:r>
          </w:p>
        </w:tc>
        <w:tc>
          <w:tcPr>
            <w:tcW w:w="4322" w:type="dxa"/>
          </w:tcPr>
          <w:p>
            <w:pPr>
              <w:pStyle w:val="TableParagraph"/>
              <w:spacing w:before="32"/>
              <w:ind w:left="40"/>
              <w:rPr>
                <w:sz w:val="24"/>
              </w:rPr>
            </w:pPr>
            <w:r>
              <w:rPr>
                <w:sz w:val="24"/>
              </w:rPr>
              <w:t>Visa Latvija</w:t>
            </w:r>
          </w:p>
        </w:tc>
      </w:tr>
      <w:tr>
        <w:trPr>
          <w:trHeight w:val="2013" w:hRule="atLeast"/>
        </w:trPr>
        <w:tc>
          <w:tcPr>
            <w:tcW w:w="4322" w:type="dxa"/>
          </w:tcPr>
          <w:p>
            <w:pPr>
              <w:pStyle w:val="TableParagraph"/>
              <w:spacing w:line="274" w:lineRule="exact" w:before="37"/>
              <w:ind w:left="40"/>
              <w:rPr>
                <w:b/>
                <w:sz w:val="24"/>
              </w:rPr>
            </w:pPr>
            <w:r>
              <w:rPr>
                <w:b/>
                <w:sz w:val="24"/>
              </w:rPr>
              <w:t>Pētījuma mērķa grupa/-as</w:t>
            </w:r>
          </w:p>
          <w:p>
            <w:pPr>
              <w:pStyle w:val="TableParagraph"/>
              <w:ind w:left="40" w:right="168"/>
              <w:rPr>
                <w:sz w:val="24"/>
              </w:rPr>
            </w:pPr>
            <w:r>
              <w:rPr>
                <w:sz w:val="24"/>
              </w:rPr>
              <w:t>(piemēram, Latvijas iedzīvotāji darbspējas vecumā)</w:t>
            </w:r>
          </w:p>
        </w:tc>
        <w:tc>
          <w:tcPr>
            <w:tcW w:w="4322" w:type="dxa"/>
          </w:tcPr>
          <w:p>
            <w:pPr>
              <w:pStyle w:val="TableParagraph"/>
              <w:spacing w:before="32"/>
              <w:ind w:left="40" w:right="61"/>
              <w:rPr>
                <w:sz w:val="24"/>
              </w:rPr>
            </w:pPr>
            <w:r>
              <w:rPr>
                <w:sz w:val="24"/>
              </w:rPr>
              <w:t>Tiesību politikas īstenotāji, Maksātnespējas likuma piemērotāji (tiesneši, Maksātnespējas kontroles dienests, maksātnespējas procesa administratori) un fiziskās personas maksātnespējas procesā iesaistītās personas (parādnieki, kreditori).</w:t>
            </w:r>
          </w:p>
        </w:tc>
      </w:tr>
    </w:tbl>
    <w:p>
      <w:pPr>
        <w:spacing w:after="0"/>
        <w:rPr>
          <w:sz w:val="24"/>
        </w:rPr>
        <w:sectPr>
          <w:pgSz w:w="11910" w:h="16840"/>
          <w:pgMar w:header="0" w:footer="1055" w:top="1420" w:bottom="1160" w:left="1180" w:right="1040"/>
        </w:sectPr>
      </w:pPr>
    </w:p>
    <w:tbl>
      <w:tblPr>
        <w:tblW w:w="0" w:type="auto"/>
        <w:jc w:val="left"/>
        <w:tblInd w:w="635" w:type="dxa"/>
        <w:tblBorders>
          <w:top w:val="single" w:sz="6" w:space="0" w:color="414142"/>
          <w:left w:val="single" w:sz="6" w:space="0" w:color="414142"/>
          <w:bottom w:val="single" w:sz="6" w:space="0" w:color="414142"/>
          <w:right w:val="single" w:sz="6" w:space="0" w:color="414142"/>
          <w:insideH w:val="single" w:sz="6" w:space="0" w:color="414142"/>
          <w:insideV w:val="single" w:sz="6" w:space="0" w:color="414142"/>
        </w:tblBorders>
        <w:tblLayout w:type="fixed"/>
        <w:tblCellMar>
          <w:top w:w="0" w:type="dxa"/>
          <w:left w:w="0" w:type="dxa"/>
          <w:bottom w:w="0" w:type="dxa"/>
          <w:right w:w="0" w:type="dxa"/>
        </w:tblCellMar>
        <w:tblLook w:val="01E0"/>
      </w:tblPr>
      <w:tblGrid>
        <w:gridCol w:w="4322"/>
        <w:gridCol w:w="4322"/>
      </w:tblGrid>
      <w:tr>
        <w:trPr>
          <w:trHeight w:val="633" w:hRule="atLeast"/>
        </w:trPr>
        <w:tc>
          <w:tcPr>
            <w:tcW w:w="4322" w:type="dxa"/>
          </w:tcPr>
          <w:p>
            <w:pPr>
              <w:pStyle w:val="TableParagraph"/>
              <w:spacing w:before="37"/>
              <w:ind w:left="40" w:right="827"/>
              <w:rPr>
                <w:b/>
                <w:sz w:val="24"/>
              </w:rPr>
            </w:pPr>
            <w:r>
              <w:rPr>
                <w:b/>
                <w:sz w:val="24"/>
              </w:rPr>
              <w:t>Pētījumā izmantotās metodes pēc informācijas ieguves veida:</w:t>
            </w:r>
          </w:p>
        </w:tc>
        <w:tc>
          <w:tcPr>
            <w:tcW w:w="4322" w:type="dxa"/>
          </w:tcPr>
          <w:p>
            <w:pPr>
              <w:pStyle w:val="TableParagraph"/>
              <w:rPr>
                <w:sz w:val="24"/>
              </w:rPr>
            </w:pPr>
          </w:p>
        </w:tc>
      </w:tr>
      <w:tr>
        <w:trPr>
          <w:trHeight w:val="630" w:hRule="atLeast"/>
        </w:trPr>
        <w:tc>
          <w:tcPr>
            <w:tcW w:w="4322" w:type="dxa"/>
          </w:tcPr>
          <w:p>
            <w:pPr>
              <w:pStyle w:val="TableParagraph"/>
              <w:spacing w:before="30"/>
              <w:ind w:left="558" w:right="796"/>
              <w:rPr>
                <w:sz w:val="24"/>
              </w:rPr>
            </w:pPr>
            <w:r>
              <w:rPr>
                <w:sz w:val="24"/>
              </w:rPr>
              <w:t>1) tiesību aktu vai politikas plānošanas dokumentu analīze</w:t>
            </w:r>
          </w:p>
        </w:tc>
        <w:tc>
          <w:tcPr>
            <w:tcW w:w="4322" w:type="dxa"/>
          </w:tcPr>
          <w:p>
            <w:pPr>
              <w:pStyle w:val="TableParagraph"/>
              <w:spacing w:before="30"/>
              <w:ind w:left="40"/>
              <w:rPr>
                <w:sz w:val="24"/>
              </w:rPr>
            </w:pPr>
            <w:r>
              <w:rPr>
                <w:sz w:val="24"/>
              </w:rPr>
              <w:t>Ir izmantota.</w:t>
            </w:r>
          </w:p>
        </w:tc>
      </w:tr>
      <w:tr>
        <w:trPr>
          <w:trHeight w:val="356" w:hRule="atLeast"/>
        </w:trPr>
        <w:tc>
          <w:tcPr>
            <w:tcW w:w="4322" w:type="dxa"/>
          </w:tcPr>
          <w:p>
            <w:pPr>
              <w:pStyle w:val="TableParagraph"/>
              <w:spacing w:before="32"/>
              <w:ind w:left="558"/>
              <w:rPr>
                <w:sz w:val="24"/>
              </w:rPr>
            </w:pPr>
            <w:r>
              <w:rPr>
                <w:sz w:val="24"/>
              </w:rPr>
              <w:t>2) statistikas datu analīze</w:t>
            </w:r>
          </w:p>
        </w:tc>
        <w:tc>
          <w:tcPr>
            <w:tcW w:w="4322" w:type="dxa"/>
          </w:tcPr>
          <w:p>
            <w:pPr>
              <w:pStyle w:val="TableParagraph"/>
              <w:spacing w:before="32"/>
              <w:ind w:left="40"/>
              <w:rPr>
                <w:sz w:val="24"/>
              </w:rPr>
            </w:pPr>
            <w:r>
              <w:rPr>
                <w:sz w:val="24"/>
              </w:rPr>
              <w:t>Ir izmantota.</w:t>
            </w:r>
          </w:p>
        </w:tc>
      </w:tr>
      <w:tr>
        <w:trPr>
          <w:trHeight w:val="630" w:hRule="atLeast"/>
        </w:trPr>
        <w:tc>
          <w:tcPr>
            <w:tcW w:w="4322" w:type="dxa"/>
          </w:tcPr>
          <w:p>
            <w:pPr>
              <w:pStyle w:val="TableParagraph"/>
              <w:spacing w:before="32"/>
              <w:ind w:left="558" w:right="516"/>
              <w:rPr>
                <w:sz w:val="24"/>
              </w:rPr>
            </w:pPr>
            <w:r>
              <w:rPr>
                <w:sz w:val="24"/>
              </w:rPr>
              <w:t>3) esošo pētījumu datu sekundārā analīze</w:t>
            </w:r>
          </w:p>
        </w:tc>
        <w:tc>
          <w:tcPr>
            <w:tcW w:w="4322" w:type="dxa"/>
          </w:tcPr>
          <w:p>
            <w:pPr>
              <w:pStyle w:val="TableParagraph"/>
              <w:spacing w:before="32"/>
              <w:ind w:left="40"/>
              <w:rPr>
                <w:sz w:val="24"/>
              </w:rPr>
            </w:pPr>
            <w:r>
              <w:rPr>
                <w:sz w:val="24"/>
              </w:rPr>
              <w:t>Ir izmantota.</w:t>
            </w:r>
          </w:p>
        </w:tc>
      </w:tr>
      <w:tr>
        <w:trPr>
          <w:trHeight w:val="632" w:hRule="atLeast"/>
        </w:trPr>
        <w:tc>
          <w:tcPr>
            <w:tcW w:w="4322" w:type="dxa"/>
          </w:tcPr>
          <w:p>
            <w:pPr>
              <w:pStyle w:val="TableParagraph"/>
              <w:spacing w:before="32"/>
              <w:ind w:left="558" w:right="649"/>
              <w:rPr>
                <w:sz w:val="24"/>
              </w:rPr>
            </w:pPr>
            <w:r>
              <w:rPr>
                <w:sz w:val="24"/>
              </w:rPr>
              <w:t>4) padziļināto/ekspertu interviju veikšana un analīze</w:t>
            </w:r>
          </w:p>
        </w:tc>
        <w:tc>
          <w:tcPr>
            <w:tcW w:w="4322" w:type="dxa"/>
          </w:tcPr>
          <w:p>
            <w:pPr>
              <w:pStyle w:val="TableParagraph"/>
              <w:spacing w:before="32"/>
              <w:ind w:left="40"/>
              <w:rPr>
                <w:sz w:val="24"/>
              </w:rPr>
            </w:pPr>
            <w:r>
              <w:rPr>
                <w:sz w:val="24"/>
              </w:rPr>
              <w:t>Ir izmantota.</w:t>
            </w:r>
          </w:p>
        </w:tc>
      </w:tr>
      <w:tr>
        <w:trPr>
          <w:trHeight w:val="630" w:hRule="atLeast"/>
        </w:trPr>
        <w:tc>
          <w:tcPr>
            <w:tcW w:w="4322" w:type="dxa"/>
          </w:tcPr>
          <w:p>
            <w:pPr>
              <w:pStyle w:val="TableParagraph"/>
              <w:spacing w:before="32"/>
              <w:ind w:left="558" w:right="82"/>
              <w:rPr>
                <w:sz w:val="24"/>
              </w:rPr>
            </w:pPr>
            <w:r>
              <w:rPr>
                <w:sz w:val="24"/>
              </w:rPr>
              <w:t>5) fokusa grupu diskusiju veikšana un analīze</w:t>
            </w:r>
          </w:p>
        </w:tc>
        <w:tc>
          <w:tcPr>
            <w:tcW w:w="4322" w:type="dxa"/>
          </w:tcPr>
          <w:p>
            <w:pPr>
              <w:pStyle w:val="TableParagraph"/>
              <w:spacing w:before="32"/>
              <w:ind w:left="40"/>
              <w:rPr>
                <w:sz w:val="24"/>
              </w:rPr>
            </w:pPr>
            <w:r>
              <w:rPr>
                <w:sz w:val="24"/>
              </w:rPr>
              <w:t>Nav izmantota.</w:t>
            </w:r>
          </w:p>
        </w:tc>
      </w:tr>
      <w:tr>
        <w:trPr>
          <w:trHeight w:val="356" w:hRule="atLeast"/>
        </w:trPr>
        <w:tc>
          <w:tcPr>
            <w:tcW w:w="4322" w:type="dxa"/>
          </w:tcPr>
          <w:p>
            <w:pPr>
              <w:pStyle w:val="TableParagraph"/>
              <w:spacing w:before="32"/>
              <w:ind w:left="558"/>
              <w:rPr>
                <w:sz w:val="24"/>
              </w:rPr>
            </w:pPr>
            <w:r>
              <w:rPr>
                <w:sz w:val="24"/>
              </w:rPr>
              <w:t>6) gadījumu izpēte</w:t>
            </w:r>
          </w:p>
        </w:tc>
        <w:tc>
          <w:tcPr>
            <w:tcW w:w="4322" w:type="dxa"/>
          </w:tcPr>
          <w:p>
            <w:pPr>
              <w:pStyle w:val="TableParagraph"/>
              <w:spacing w:before="32"/>
              <w:ind w:left="40"/>
              <w:rPr>
                <w:sz w:val="24"/>
              </w:rPr>
            </w:pPr>
            <w:r>
              <w:rPr>
                <w:sz w:val="24"/>
              </w:rPr>
              <w:t>Ir izmantota.</w:t>
            </w:r>
          </w:p>
        </w:tc>
      </w:tr>
      <w:tr>
        <w:trPr>
          <w:trHeight w:val="633" w:hRule="atLeast"/>
        </w:trPr>
        <w:tc>
          <w:tcPr>
            <w:tcW w:w="4322" w:type="dxa"/>
          </w:tcPr>
          <w:p>
            <w:pPr>
              <w:pStyle w:val="TableParagraph"/>
              <w:spacing w:before="32"/>
              <w:ind w:left="558" w:right="196"/>
              <w:rPr>
                <w:sz w:val="24"/>
              </w:rPr>
            </w:pPr>
            <w:r>
              <w:rPr>
                <w:sz w:val="24"/>
              </w:rPr>
              <w:t>7) kvantitatīvās aptaujas veikšana un datu analīze</w:t>
            </w:r>
          </w:p>
        </w:tc>
        <w:tc>
          <w:tcPr>
            <w:tcW w:w="4322" w:type="dxa"/>
          </w:tcPr>
          <w:p>
            <w:pPr>
              <w:pStyle w:val="TableParagraph"/>
              <w:spacing w:before="32"/>
              <w:ind w:left="40"/>
              <w:rPr>
                <w:sz w:val="24"/>
              </w:rPr>
            </w:pPr>
            <w:r>
              <w:rPr>
                <w:sz w:val="24"/>
              </w:rPr>
              <w:t>Ir izmantota.</w:t>
            </w:r>
          </w:p>
        </w:tc>
      </w:tr>
      <w:tr>
        <w:trPr>
          <w:trHeight w:val="630" w:hRule="atLeast"/>
        </w:trPr>
        <w:tc>
          <w:tcPr>
            <w:tcW w:w="4322" w:type="dxa"/>
          </w:tcPr>
          <w:p>
            <w:pPr>
              <w:pStyle w:val="TableParagraph"/>
              <w:spacing w:before="30"/>
              <w:ind w:left="558"/>
              <w:rPr>
                <w:sz w:val="24"/>
              </w:rPr>
            </w:pPr>
            <w:r>
              <w:rPr>
                <w:sz w:val="24"/>
              </w:rPr>
              <w:t>8) citas metodes (norādīt, kādas)</w:t>
            </w:r>
          </w:p>
        </w:tc>
        <w:tc>
          <w:tcPr>
            <w:tcW w:w="4322" w:type="dxa"/>
          </w:tcPr>
          <w:p>
            <w:pPr>
              <w:pStyle w:val="TableParagraph"/>
              <w:spacing w:before="30"/>
              <w:ind w:left="40" w:right="388"/>
              <w:rPr>
                <w:sz w:val="24"/>
              </w:rPr>
            </w:pPr>
            <w:r>
              <w:rPr>
                <w:sz w:val="24"/>
              </w:rPr>
              <w:t>Aprakstošā metode, salīdzinošā metode, vēsturiskā metode.</w:t>
            </w:r>
          </w:p>
        </w:tc>
      </w:tr>
      <w:tr>
        <w:trPr>
          <w:trHeight w:val="632" w:hRule="atLeast"/>
        </w:trPr>
        <w:tc>
          <w:tcPr>
            <w:tcW w:w="4322" w:type="dxa"/>
          </w:tcPr>
          <w:p>
            <w:pPr>
              <w:pStyle w:val="TableParagraph"/>
              <w:spacing w:line="274" w:lineRule="exact" w:before="37"/>
              <w:ind w:left="40"/>
              <w:rPr>
                <w:b/>
                <w:sz w:val="24"/>
              </w:rPr>
            </w:pPr>
            <w:r>
              <w:rPr>
                <w:b/>
                <w:sz w:val="24"/>
              </w:rPr>
              <w:t>Kvantitatīvās pētījuma metodes</w:t>
            </w:r>
          </w:p>
          <w:p>
            <w:pPr>
              <w:pStyle w:val="TableParagraph"/>
              <w:spacing w:line="274" w:lineRule="exact"/>
              <w:ind w:left="40"/>
              <w:rPr>
                <w:sz w:val="24"/>
              </w:rPr>
            </w:pPr>
            <w:r>
              <w:rPr>
                <w:sz w:val="24"/>
              </w:rPr>
              <w:t>(ja attiecināms):</w:t>
            </w:r>
          </w:p>
        </w:tc>
        <w:tc>
          <w:tcPr>
            <w:tcW w:w="4322" w:type="dxa"/>
          </w:tcPr>
          <w:p>
            <w:pPr>
              <w:pStyle w:val="TableParagraph"/>
              <w:rPr>
                <w:sz w:val="24"/>
              </w:rPr>
            </w:pPr>
          </w:p>
        </w:tc>
      </w:tr>
      <w:tr>
        <w:trPr>
          <w:trHeight w:val="354" w:hRule="atLeast"/>
        </w:trPr>
        <w:tc>
          <w:tcPr>
            <w:tcW w:w="4322" w:type="dxa"/>
          </w:tcPr>
          <w:p>
            <w:pPr>
              <w:pStyle w:val="TableParagraph"/>
              <w:spacing w:before="32"/>
              <w:ind w:left="558"/>
              <w:rPr>
                <w:sz w:val="24"/>
              </w:rPr>
            </w:pPr>
            <w:r>
              <w:rPr>
                <w:sz w:val="24"/>
              </w:rPr>
              <w:t>1) aptaujas izlases metode</w:t>
            </w:r>
          </w:p>
        </w:tc>
        <w:tc>
          <w:tcPr>
            <w:tcW w:w="4322" w:type="dxa"/>
          </w:tcPr>
          <w:p>
            <w:pPr>
              <w:pStyle w:val="TableParagraph"/>
              <w:spacing w:before="32"/>
              <w:ind w:left="41"/>
              <w:rPr>
                <w:sz w:val="24"/>
              </w:rPr>
            </w:pPr>
            <w:r>
              <w:rPr>
                <w:sz w:val="24"/>
              </w:rPr>
              <w:t>Anketēšana</w:t>
            </w:r>
          </w:p>
        </w:tc>
      </w:tr>
      <w:tr>
        <w:trPr>
          <w:trHeight w:val="1460" w:hRule="atLeast"/>
        </w:trPr>
        <w:tc>
          <w:tcPr>
            <w:tcW w:w="4322" w:type="dxa"/>
          </w:tcPr>
          <w:p>
            <w:pPr>
              <w:pStyle w:val="TableParagraph"/>
              <w:spacing w:before="32"/>
              <w:ind w:left="558" w:right="1162"/>
              <w:rPr>
                <w:sz w:val="24"/>
              </w:rPr>
            </w:pPr>
            <w:r>
              <w:rPr>
                <w:sz w:val="24"/>
              </w:rPr>
              <w:t>2) aptaujāto/anketēto respondentu/vienību skaits</w:t>
            </w:r>
          </w:p>
        </w:tc>
        <w:tc>
          <w:tcPr>
            <w:tcW w:w="4322" w:type="dxa"/>
          </w:tcPr>
          <w:p>
            <w:pPr>
              <w:pStyle w:val="TableParagraph"/>
              <w:spacing w:before="32"/>
              <w:ind w:left="40"/>
              <w:rPr>
                <w:sz w:val="24"/>
              </w:rPr>
            </w:pPr>
            <w:r>
              <w:rPr>
                <w:sz w:val="24"/>
              </w:rPr>
              <w:t>49 tiesneši, 75 maksātnespējas procesa</w:t>
            </w:r>
          </w:p>
          <w:p>
            <w:pPr>
              <w:pStyle w:val="TableParagraph"/>
              <w:ind w:left="40" w:right="8"/>
              <w:rPr>
                <w:sz w:val="24"/>
              </w:rPr>
            </w:pPr>
            <w:r>
              <w:rPr>
                <w:sz w:val="24"/>
              </w:rPr>
              <w:t>administratori, 5 kredītiestāžu pārstāvji un 4 nebanku kredītdevēju pārstāvji, 1 preču tirgotājs uz nomaksu, 9 citu kreditoru pārstāvji, 5 cita veida personas.</w:t>
            </w:r>
          </w:p>
        </w:tc>
      </w:tr>
      <w:tr>
        <w:trPr>
          <w:trHeight w:val="630" w:hRule="atLeast"/>
        </w:trPr>
        <w:tc>
          <w:tcPr>
            <w:tcW w:w="4322" w:type="dxa"/>
          </w:tcPr>
          <w:p>
            <w:pPr>
              <w:pStyle w:val="TableParagraph"/>
              <w:spacing w:line="274" w:lineRule="exact" w:before="37"/>
              <w:ind w:left="40"/>
              <w:rPr>
                <w:b/>
                <w:sz w:val="24"/>
              </w:rPr>
            </w:pPr>
            <w:r>
              <w:rPr>
                <w:b/>
                <w:sz w:val="24"/>
              </w:rPr>
              <w:t>Kvalitatīvās pētījuma metodes</w:t>
            </w:r>
          </w:p>
          <w:p>
            <w:pPr>
              <w:pStyle w:val="TableParagraph"/>
              <w:spacing w:line="274" w:lineRule="exact"/>
              <w:ind w:left="40"/>
              <w:rPr>
                <w:sz w:val="24"/>
              </w:rPr>
            </w:pPr>
            <w:r>
              <w:rPr>
                <w:sz w:val="24"/>
              </w:rPr>
              <w:t>(ja attiecināms):</w:t>
            </w:r>
          </w:p>
        </w:tc>
        <w:tc>
          <w:tcPr>
            <w:tcW w:w="4322" w:type="dxa"/>
          </w:tcPr>
          <w:p>
            <w:pPr>
              <w:pStyle w:val="TableParagraph"/>
              <w:rPr>
                <w:sz w:val="24"/>
              </w:rPr>
            </w:pPr>
          </w:p>
        </w:tc>
      </w:tr>
      <w:tr>
        <w:trPr>
          <w:trHeight w:val="633" w:hRule="atLeast"/>
        </w:trPr>
        <w:tc>
          <w:tcPr>
            <w:tcW w:w="4322" w:type="dxa"/>
          </w:tcPr>
          <w:p>
            <w:pPr>
              <w:pStyle w:val="TableParagraph"/>
              <w:spacing w:before="32"/>
              <w:ind w:left="558" w:right="43"/>
              <w:rPr>
                <w:sz w:val="24"/>
              </w:rPr>
            </w:pPr>
            <w:r>
              <w:rPr>
                <w:sz w:val="24"/>
              </w:rPr>
              <w:t>1) padziļināto/ekspertu interviju skaits (ja attiecināms)</w:t>
            </w:r>
          </w:p>
        </w:tc>
        <w:tc>
          <w:tcPr>
            <w:tcW w:w="4322" w:type="dxa"/>
          </w:tcPr>
          <w:p>
            <w:pPr>
              <w:pStyle w:val="TableParagraph"/>
              <w:spacing w:before="32"/>
              <w:ind w:left="40" w:right="15"/>
              <w:rPr>
                <w:sz w:val="24"/>
              </w:rPr>
            </w:pPr>
            <w:r>
              <w:rPr>
                <w:sz w:val="24"/>
              </w:rPr>
              <w:t>Latvijas finanšu nozares asociācija, Latvijas kredītņēmēju asociācija</w:t>
            </w:r>
          </w:p>
        </w:tc>
      </w:tr>
      <w:tr>
        <w:trPr>
          <w:trHeight w:val="630" w:hRule="atLeast"/>
        </w:trPr>
        <w:tc>
          <w:tcPr>
            <w:tcW w:w="4322" w:type="dxa"/>
          </w:tcPr>
          <w:p>
            <w:pPr>
              <w:pStyle w:val="TableParagraph"/>
              <w:spacing w:before="32"/>
              <w:ind w:left="558" w:right="362"/>
              <w:rPr>
                <w:sz w:val="24"/>
              </w:rPr>
            </w:pPr>
            <w:r>
              <w:rPr>
                <w:sz w:val="24"/>
              </w:rPr>
              <w:t>2) fokusa grupu diskusiju skaits (ja attiecināms)</w:t>
            </w:r>
          </w:p>
        </w:tc>
        <w:tc>
          <w:tcPr>
            <w:tcW w:w="4322" w:type="dxa"/>
          </w:tcPr>
          <w:p>
            <w:pPr>
              <w:pStyle w:val="TableParagraph"/>
              <w:spacing w:before="32"/>
              <w:ind w:left="40"/>
              <w:rPr>
                <w:sz w:val="24"/>
              </w:rPr>
            </w:pPr>
            <w:r>
              <w:rPr>
                <w:sz w:val="24"/>
              </w:rPr>
              <w:t>Nav attiecināms.</w:t>
            </w:r>
          </w:p>
        </w:tc>
      </w:tr>
      <w:tr>
        <w:trPr>
          <w:trHeight w:val="632" w:hRule="atLeast"/>
        </w:trPr>
        <w:tc>
          <w:tcPr>
            <w:tcW w:w="4322" w:type="dxa"/>
          </w:tcPr>
          <w:p>
            <w:pPr>
              <w:pStyle w:val="TableParagraph"/>
              <w:spacing w:before="37"/>
              <w:ind w:left="40"/>
              <w:rPr>
                <w:b/>
                <w:sz w:val="24"/>
              </w:rPr>
            </w:pPr>
            <w:r>
              <w:rPr>
                <w:b/>
                <w:sz w:val="24"/>
              </w:rPr>
              <w:t>Izmantotās analīzes grupas (griezumi)</w:t>
            </w:r>
          </w:p>
        </w:tc>
        <w:tc>
          <w:tcPr>
            <w:tcW w:w="4322" w:type="dxa"/>
          </w:tcPr>
          <w:p>
            <w:pPr>
              <w:pStyle w:val="TableParagraph"/>
              <w:spacing w:before="32"/>
              <w:ind w:left="40" w:right="527"/>
              <w:rPr>
                <w:sz w:val="24"/>
              </w:rPr>
            </w:pPr>
            <w:r>
              <w:rPr>
                <w:sz w:val="24"/>
              </w:rPr>
              <w:t>2010.gada 1.novembris līdz 2015.gada 28.februāris un no 2015.gada 1.marta</w:t>
            </w:r>
          </w:p>
        </w:tc>
      </w:tr>
      <w:tr>
        <w:trPr>
          <w:trHeight w:val="2840" w:hRule="atLeast"/>
        </w:trPr>
        <w:tc>
          <w:tcPr>
            <w:tcW w:w="4322" w:type="dxa"/>
          </w:tcPr>
          <w:p>
            <w:pPr>
              <w:pStyle w:val="TableParagraph"/>
              <w:spacing w:before="37"/>
              <w:ind w:left="40"/>
              <w:rPr>
                <w:b/>
                <w:sz w:val="24"/>
              </w:rPr>
            </w:pPr>
            <w:r>
              <w:rPr>
                <w:b/>
                <w:sz w:val="24"/>
              </w:rPr>
              <w:t>Pētījuma pasūtītāja kontaktinformācija</w:t>
            </w:r>
          </w:p>
        </w:tc>
        <w:tc>
          <w:tcPr>
            <w:tcW w:w="4322" w:type="dxa"/>
          </w:tcPr>
          <w:p>
            <w:pPr>
              <w:pStyle w:val="TableParagraph"/>
              <w:spacing w:before="32"/>
              <w:ind w:left="40" w:right="88"/>
              <w:rPr>
                <w:sz w:val="24"/>
              </w:rPr>
            </w:pPr>
            <w:r>
              <w:rPr>
                <w:sz w:val="24"/>
              </w:rPr>
              <w:t>Maksātnespējas kontroles dienesta Finanšu departamenta iepirkumu un apgādes speciāliste Ieva Spūle, tālrunis 29589967, e-pasts: </w:t>
            </w:r>
            <w:hyperlink r:id="rId125">
              <w:r>
                <w:rPr>
                  <w:sz w:val="24"/>
                  <w:u w:val="single"/>
                </w:rPr>
                <w:t>ieva.spule@mkd.gov.lv</w:t>
              </w:r>
            </w:hyperlink>
            <w:r>
              <w:rPr>
                <w:sz w:val="24"/>
              </w:rPr>
              <w:t> un Maksātnespējas kontroles dienesta Otrā uzraudzības departamenta direktora vietniece Žanete Strode-Pastore, tālrunis 67099146, e-pasts: </w:t>
            </w:r>
            <w:r>
              <w:rPr>
                <w:sz w:val="24"/>
                <w:u w:val="single"/>
              </w:rPr>
              <w:t>zanete.strode-</w:t>
            </w:r>
            <w:r>
              <w:rPr>
                <w:sz w:val="24"/>
              </w:rPr>
              <w:t> </w:t>
            </w:r>
            <w:hyperlink r:id="rId126">
              <w:r>
                <w:rPr>
                  <w:sz w:val="24"/>
                  <w:u w:val="single"/>
                </w:rPr>
                <w:t>pastore@mkd.gov.lv</w:t>
              </w:r>
              <w:r>
                <w:rPr>
                  <w:sz w:val="24"/>
                </w:rPr>
                <w:t>.</w:t>
              </w:r>
            </w:hyperlink>
          </w:p>
        </w:tc>
      </w:tr>
      <w:tr>
        <w:trPr>
          <w:trHeight w:val="630" w:hRule="atLeast"/>
        </w:trPr>
        <w:tc>
          <w:tcPr>
            <w:tcW w:w="4322" w:type="dxa"/>
          </w:tcPr>
          <w:p>
            <w:pPr>
              <w:pStyle w:val="TableParagraph"/>
              <w:spacing w:before="35"/>
              <w:ind w:left="40" w:right="887"/>
              <w:rPr>
                <w:b/>
                <w:sz w:val="24"/>
              </w:rPr>
            </w:pPr>
            <w:r>
              <w:rPr>
                <w:b/>
                <w:sz w:val="24"/>
              </w:rPr>
              <w:t>Pētījuma autori*** (autortiesību subjekti)</w:t>
            </w:r>
          </w:p>
        </w:tc>
        <w:tc>
          <w:tcPr>
            <w:tcW w:w="4322" w:type="dxa"/>
          </w:tcPr>
          <w:p>
            <w:pPr>
              <w:pStyle w:val="TableParagraph"/>
              <w:spacing w:before="30"/>
              <w:ind w:left="40" w:right="301"/>
              <w:rPr>
                <w:sz w:val="24"/>
              </w:rPr>
            </w:pPr>
            <w:r>
              <w:rPr>
                <w:sz w:val="24"/>
              </w:rPr>
              <w:t>Kaspars Novicāns, Evija Novicāne, ZAB “NOVIUS”</w:t>
            </w:r>
          </w:p>
        </w:tc>
      </w:tr>
    </w:tbl>
    <w:p>
      <w:pPr>
        <w:spacing w:after="0"/>
        <w:rPr>
          <w:sz w:val="24"/>
        </w:rPr>
        <w:sectPr>
          <w:pgSz w:w="11910" w:h="16840"/>
          <w:pgMar w:header="0" w:footer="1055" w:top="1420" w:bottom="1160" w:left="1180" w:right="1040"/>
        </w:sectPr>
      </w:pPr>
    </w:p>
    <w:p>
      <w:pPr>
        <w:pStyle w:val="Heading2"/>
        <w:spacing w:before="115"/>
        <w:ind w:left="813" w:right="1320"/>
        <w:jc w:val="center"/>
      </w:pPr>
      <w:r>
        <w:rPr>
          <w:color w:val="4472C3"/>
        </w:rPr>
        <w:t>ANALIZĒTO TIESU NOLĒMUMU SARAKSTS</w:t>
      </w:r>
    </w:p>
    <w:p>
      <w:pPr>
        <w:pStyle w:val="BodyText"/>
        <w:jc w:val="left"/>
        <w:rPr>
          <w:b/>
          <w:sz w:val="30"/>
        </w:rPr>
      </w:pPr>
    </w:p>
    <w:p>
      <w:pPr>
        <w:spacing w:before="185"/>
        <w:ind w:left="1086" w:right="1320" w:firstLine="0"/>
        <w:jc w:val="center"/>
        <w:rPr>
          <w:b/>
          <w:sz w:val="28"/>
        </w:rPr>
      </w:pPr>
      <w:r>
        <w:rPr>
          <w:b/>
          <w:sz w:val="28"/>
        </w:rPr>
        <w:t>Nolēmumi par maksātnespējas procesa nepasludināšanu</w:t>
      </w:r>
    </w:p>
    <w:p>
      <w:pPr>
        <w:pStyle w:val="BodyText"/>
        <w:spacing w:before="1"/>
        <w:jc w:val="left"/>
        <w:rPr>
          <w:b/>
          <w:sz w:val="22"/>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2460"/>
        <w:gridCol w:w="2592"/>
        <w:gridCol w:w="3118"/>
      </w:tblGrid>
      <w:tr>
        <w:trPr>
          <w:trHeight w:val="779" w:hRule="atLeast"/>
        </w:trPr>
        <w:tc>
          <w:tcPr>
            <w:tcW w:w="761" w:type="dxa"/>
          </w:tcPr>
          <w:p>
            <w:pPr>
              <w:pStyle w:val="TableParagraph"/>
              <w:rPr>
                <w:b/>
                <w:sz w:val="22"/>
              </w:rPr>
            </w:pPr>
          </w:p>
          <w:p>
            <w:pPr>
              <w:pStyle w:val="TableParagraph"/>
              <w:ind w:left="88" w:right="78"/>
              <w:jc w:val="center"/>
              <w:rPr>
                <w:rFonts w:ascii="Calibri"/>
                <w:b/>
                <w:sz w:val="22"/>
              </w:rPr>
            </w:pPr>
            <w:r>
              <w:rPr>
                <w:rFonts w:ascii="Calibri"/>
                <w:b/>
                <w:sz w:val="22"/>
              </w:rPr>
              <w:t>N.p.k.</w:t>
            </w:r>
          </w:p>
        </w:tc>
        <w:tc>
          <w:tcPr>
            <w:tcW w:w="2460" w:type="dxa"/>
          </w:tcPr>
          <w:p>
            <w:pPr>
              <w:pStyle w:val="TableParagraph"/>
              <w:rPr>
                <w:b/>
                <w:sz w:val="22"/>
              </w:rPr>
            </w:pPr>
          </w:p>
          <w:p>
            <w:pPr>
              <w:pStyle w:val="TableParagraph"/>
              <w:ind w:left="570" w:right="559"/>
              <w:jc w:val="center"/>
              <w:rPr>
                <w:rFonts w:ascii="Calibri"/>
                <w:b/>
                <w:sz w:val="22"/>
              </w:rPr>
            </w:pPr>
            <w:r>
              <w:rPr>
                <w:rFonts w:ascii="Calibri"/>
                <w:b/>
                <w:sz w:val="22"/>
              </w:rPr>
              <w:t>Lietas numurs</w:t>
            </w:r>
          </w:p>
        </w:tc>
        <w:tc>
          <w:tcPr>
            <w:tcW w:w="2592" w:type="dxa"/>
          </w:tcPr>
          <w:p>
            <w:pPr>
              <w:pStyle w:val="TableParagraph"/>
              <w:rPr>
                <w:b/>
                <w:sz w:val="22"/>
              </w:rPr>
            </w:pPr>
          </w:p>
          <w:p>
            <w:pPr>
              <w:pStyle w:val="TableParagraph"/>
              <w:ind w:left="401" w:right="390"/>
              <w:jc w:val="center"/>
              <w:rPr>
                <w:rFonts w:ascii="Calibri" w:hAnsi="Calibri"/>
                <w:b/>
                <w:sz w:val="22"/>
              </w:rPr>
            </w:pPr>
            <w:r>
              <w:rPr>
                <w:rFonts w:ascii="Calibri" w:hAnsi="Calibri"/>
                <w:b/>
                <w:sz w:val="22"/>
              </w:rPr>
              <w:t>Nolēmuma datums</w:t>
            </w:r>
          </w:p>
        </w:tc>
        <w:tc>
          <w:tcPr>
            <w:tcW w:w="3118" w:type="dxa"/>
          </w:tcPr>
          <w:p>
            <w:pPr>
              <w:pStyle w:val="TableParagraph"/>
              <w:rPr>
                <w:b/>
                <w:sz w:val="22"/>
              </w:rPr>
            </w:pPr>
          </w:p>
          <w:p>
            <w:pPr>
              <w:pStyle w:val="TableParagraph"/>
              <w:ind w:left="251" w:right="236"/>
              <w:jc w:val="center"/>
              <w:rPr>
                <w:rFonts w:ascii="Calibri"/>
                <w:b/>
                <w:sz w:val="22"/>
              </w:rPr>
            </w:pPr>
            <w:r>
              <w:rPr>
                <w:rFonts w:ascii="Calibri"/>
                <w:b/>
                <w:sz w:val="22"/>
              </w:rPr>
              <w:t>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1</w:t>
            </w:r>
          </w:p>
        </w:tc>
        <w:tc>
          <w:tcPr>
            <w:tcW w:w="2460" w:type="dxa"/>
          </w:tcPr>
          <w:p>
            <w:pPr>
              <w:pStyle w:val="TableParagraph"/>
              <w:spacing w:before="4"/>
              <w:rPr>
                <w:b/>
                <w:sz w:val="22"/>
              </w:rPr>
            </w:pPr>
          </w:p>
          <w:p>
            <w:pPr>
              <w:pStyle w:val="TableParagraph"/>
              <w:ind w:left="567" w:right="559"/>
              <w:jc w:val="center"/>
              <w:rPr>
                <w:sz w:val="22"/>
              </w:rPr>
            </w:pPr>
            <w:r>
              <w:rPr>
                <w:sz w:val="22"/>
              </w:rPr>
              <w:t>C09048114</w:t>
            </w:r>
          </w:p>
        </w:tc>
        <w:tc>
          <w:tcPr>
            <w:tcW w:w="2592" w:type="dxa"/>
          </w:tcPr>
          <w:p>
            <w:pPr>
              <w:pStyle w:val="TableParagraph"/>
              <w:spacing w:before="4"/>
              <w:rPr>
                <w:b/>
                <w:sz w:val="22"/>
              </w:rPr>
            </w:pPr>
          </w:p>
          <w:p>
            <w:pPr>
              <w:pStyle w:val="TableParagraph"/>
              <w:ind w:left="398" w:right="390"/>
              <w:jc w:val="center"/>
              <w:rPr>
                <w:sz w:val="22"/>
              </w:rPr>
            </w:pPr>
            <w:r>
              <w:rPr>
                <w:sz w:val="22"/>
              </w:rPr>
              <w:t>04.11.2014.</w:t>
            </w:r>
          </w:p>
        </w:tc>
        <w:tc>
          <w:tcPr>
            <w:tcW w:w="3118" w:type="dxa"/>
          </w:tcPr>
          <w:p>
            <w:pPr>
              <w:pStyle w:val="TableParagraph"/>
              <w:spacing w:before="4"/>
              <w:rPr>
                <w:b/>
                <w:sz w:val="22"/>
              </w:rPr>
            </w:pPr>
          </w:p>
          <w:p>
            <w:pPr>
              <w:pStyle w:val="TableParagraph"/>
              <w:ind w:left="251" w:right="238"/>
              <w:jc w:val="center"/>
              <w:rPr>
                <w:sz w:val="22"/>
              </w:rPr>
            </w:pPr>
            <w:r>
              <w:rPr>
                <w:sz w:val="22"/>
              </w:rPr>
              <w:t>Balvu rajona tiesa</w:t>
            </w:r>
          </w:p>
        </w:tc>
      </w:tr>
      <w:tr>
        <w:trPr>
          <w:trHeight w:val="782"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2</w:t>
            </w:r>
          </w:p>
        </w:tc>
        <w:tc>
          <w:tcPr>
            <w:tcW w:w="2460" w:type="dxa"/>
          </w:tcPr>
          <w:p>
            <w:pPr>
              <w:pStyle w:val="TableParagraph"/>
              <w:spacing w:before="4"/>
              <w:rPr>
                <w:b/>
                <w:sz w:val="22"/>
              </w:rPr>
            </w:pPr>
          </w:p>
          <w:p>
            <w:pPr>
              <w:pStyle w:val="TableParagraph"/>
              <w:ind w:left="567" w:right="559"/>
              <w:jc w:val="center"/>
              <w:rPr>
                <w:sz w:val="22"/>
              </w:rPr>
            </w:pPr>
            <w:r>
              <w:rPr>
                <w:sz w:val="22"/>
              </w:rPr>
              <w:t>C13051314</w:t>
            </w:r>
          </w:p>
        </w:tc>
        <w:tc>
          <w:tcPr>
            <w:tcW w:w="2592" w:type="dxa"/>
          </w:tcPr>
          <w:p>
            <w:pPr>
              <w:pStyle w:val="TableParagraph"/>
              <w:spacing w:before="4"/>
              <w:rPr>
                <w:b/>
                <w:sz w:val="22"/>
              </w:rPr>
            </w:pPr>
          </w:p>
          <w:p>
            <w:pPr>
              <w:pStyle w:val="TableParagraph"/>
              <w:ind w:left="398" w:right="390"/>
              <w:jc w:val="center"/>
              <w:rPr>
                <w:sz w:val="22"/>
              </w:rPr>
            </w:pPr>
            <w:r>
              <w:rPr>
                <w:sz w:val="22"/>
              </w:rPr>
              <w:t>28.08.2014.</w:t>
            </w:r>
          </w:p>
        </w:tc>
        <w:tc>
          <w:tcPr>
            <w:tcW w:w="3118" w:type="dxa"/>
          </w:tcPr>
          <w:p>
            <w:pPr>
              <w:pStyle w:val="TableParagraph"/>
              <w:spacing w:before="4"/>
              <w:rPr>
                <w:b/>
                <w:sz w:val="22"/>
              </w:rPr>
            </w:pPr>
          </w:p>
          <w:p>
            <w:pPr>
              <w:pStyle w:val="TableParagraph"/>
              <w:ind w:left="247" w:right="238"/>
              <w:jc w:val="center"/>
              <w:rPr>
                <w:sz w:val="22"/>
              </w:rPr>
            </w:pPr>
            <w:r>
              <w:rPr>
                <w:sz w:val="22"/>
              </w:rPr>
              <w:t>Dobeles rajona tiesa</w:t>
            </w:r>
          </w:p>
        </w:tc>
      </w:tr>
      <w:tr>
        <w:trPr>
          <w:trHeight w:val="779" w:hRule="atLeast"/>
        </w:trPr>
        <w:tc>
          <w:tcPr>
            <w:tcW w:w="761" w:type="dxa"/>
          </w:tcPr>
          <w:p>
            <w:pPr>
              <w:pStyle w:val="TableParagraph"/>
              <w:spacing w:before="9"/>
              <w:rPr>
                <w:b/>
                <w:sz w:val="21"/>
              </w:rPr>
            </w:pPr>
          </w:p>
          <w:p>
            <w:pPr>
              <w:pStyle w:val="TableParagraph"/>
              <w:ind w:left="8"/>
              <w:jc w:val="center"/>
              <w:rPr>
                <w:rFonts w:ascii="Calibri"/>
                <w:sz w:val="22"/>
              </w:rPr>
            </w:pPr>
            <w:r>
              <w:rPr>
                <w:rFonts w:ascii="Calibri"/>
                <w:w w:val="100"/>
                <w:sz w:val="22"/>
              </w:rPr>
              <w:t>3</w:t>
            </w:r>
          </w:p>
        </w:tc>
        <w:tc>
          <w:tcPr>
            <w:tcW w:w="2460" w:type="dxa"/>
          </w:tcPr>
          <w:p>
            <w:pPr>
              <w:pStyle w:val="TableParagraph"/>
              <w:spacing w:before="4"/>
              <w:rPr>
                <w:b/>
                <w:sz w:val="22"/>
              </w:rPr>
            </w:pPr>
          </w:p>
          <w:p>
            <w:pPr>
              <w:pStyle w:val="TableParagraph"/>
              <w:ind w:left="567" w:right="559"/>
              <w:jc w:val="center"/>
              <w:rPr>
                <w:sz w:val="22"/>
              </w:rPr>
            </w:pPr>
            <w:r>
              <w:rPr>
                <w:sz w:val="22"/>
              </w:rPr>
              <w:t>C17070915</w:t>
            </w:r>
          </w:p>
        </w:tc>
        <w:tc>
          <w:tcPr>
            <w:tcW w:w="2592" w:type="dxa"/>
          </w:tcPr>
          <w:p>
            <w:pPr>
              <w:pStyle w:val="TableParagraph"/>
              <w:spacing w:before="4"/>
              <w:rPr>
                <w:b/>
                <w:sz w:val="22"/>
              </w:rPr>
            </w:pPr>
          </w:p>
          <w:p>
            <w:pPr>
              <w:pStyle w:val="TableParagraph"/>
              <w:ind w:left="398" w:right="390"/>
              <w:jc w:val="center"/>
              <w:rPr>
                <w:sz w:val="22"/>
              </w:rPr>
            </w:pPr>
            <w:r>
              <w:rPr>
                <w:sz w:val="22"/>
              </w:rPr>
              <w:t>22.01.2015.</w:t>
            </w:r>
          </w:p>
        </w:tc>
        <w:tc>
          <w:tcPr>
            <w:tcW w:w="3118" w:type="dxa"/>
          </w:tcPr>
          <w:p>
            <w:pPr>
              <w:pStyle w:val="TableParagraph"/>
              <w:spacing w:before="4"/>
              <w:rPr>
                <w:b/>
                <w:sz w:val="22"/>
              </w:rPr>
            </w:pPr>
          </w:p>
          <w:p>
            <w:pPr>
              <w:pStyle w:val="TableParagraph"/>
              <w:ind w:left="249" w:right="238"/>
              <w:jc w:val="center"/>
              <w:rPr>
                <w:sz w:val="22"/>
              </w:rPr>
            </w:pPr>
            <w:r>
              <w:rPr>
                <w:sz w:val="22"/>
              </w:rPr>
              <w:t>Jūrmalas pilsētas 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4</w:t>
            </w:r>
          </w:p>
        </w:tc>
        <w:tc>
          <w:tcPr>
            <w:tcW w:w="2460" w:type="dxa"/>
          </w:tcPr>
          <w:p>
            <w:pPr>
              <w:pStyle w:val="TableParagraph"/>
              <w:spacing w:before="4"/>
              <w:rPr>
                <w:b/>
                <w:sz w:val="22"/>
              </w:rPr>
            </w:pPr>
          </w:p>
          <w:p>
            <w:pPr>
              <w:pStyle w:val="TableParagraph"/>
              <w:ind w:left="567" w:right="559"/>
              <w:jc w:val="center"/>
              <w:rPr>
                <w:sz w:val="22"/>
              </w:rPr>
            </w:pPr>
            <w:r>
              <w:rPr>
                <w:sz w:val="22"/>
              </w:rPr>
              <w:t>C17076815</w:t>
            </w:r>
          </w:p>
        </w:tc>
        <w:tc>
          <w:tcPr>
            <w:tcW w:w="2592" w:type="dxa"/>
          </w:tcPr>
          <w:p>
            <w:pPr>
              <w:pStyle w:val="TableParagraph"/>
              <w:spacing w:before="4"/>
              <w:rPr>
                <w:b/>
                <w:sz w:val="22"/>
              </w:rPr>
            </w:pPr>
          </w:p>
          <w:p>
            <w:pPr>
              <w:pStyle w:val="TableParagraph"/>
              <w:ind w:left="398" w:right="390"/>
              <w:jc w:val="center"/>
              <w:rPr>
                <w:sz w:val="22"/>
              </w:rPr>
            </w:pPr>
            <w:r>
              <w:rPr>
                <w:sz w:val="22"/>
              </w:rPr>
              <w:t>13.02.2015.</w:t>
            </w:r>
          </w:p>
        </w:tc>
        <w:tc>
          <w:tcPr>
            <w:tcW w:w="3118" w:type="dxa"/>
          </w:tcPr>
          <w:p>
            <w:pPr>
              <w:pStyle w:val="TableParagraph"/>
              <w:spacing w:before="4"/>
              <w:rPr>
                <w:b/>
                <w:sz w:val="22"/>
              </w:rPr>
            </w:pPr>
          </w:p>
          <w:p>
            <w:pPr>
              <w:pStyle w:val="TableParagraph"/>
              <w:ind w:left="249" w:right="238"/>
              <w:jc w:val="center"/>
              <w:rPr>
                <w:sz w:val="22"/>
              </w:rPr>
            </w:pPr>
            <w:r>
              <w:rPr>
                <w:sz w:val="22"/>
              </w:rPr>
              <w:t>Jūrmalas pilsētas 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5</w:t>
            </w:r>
          </w:p>
        </w:tc>
        <w:tc>
          <w:tcPr>
            <w:tcW w:w="2460" w:type="dxa"/>
          </w:tcPr>
          <w:p>
            <w:pPr>
              <w:pStyle w:val="TableParagraph"/>
              <w:spacing w:before="4"/>
              <w:rPr>
                <w:b/>
                <w:sz w:val="22"/>
              </w:rPr>
            </w:pPr>
          </w:p>
          <w:p>
            <w:pPr>
              <w:pStyle w:val="TableParagraph"/>
              <w:ind w:left="567" w:right="559"/>
              <w:jc w:val="center"/>
              <w:rPr>
                <w:sz w:val="22"/>
              </w:rPr>
            </w:pPr>
            <w:r>
              <w:rPr>
                <w:sz w:val="22"/>
              </w:rPr>
              <w:t>C17146414</w:t>
            </w:r>
          </w:p>
        </w:tc>
        <w:tc>
          <w:tcPr>
            <w:tcW w:w="2592" w:type="dxa"/>
          </w:tcPr>
          <w:p>
            <w:pPr>
              <w:pStyle w:val="TableParagraph"/>
              <w:spacing w:before="4"/>
              <w:rPr>
                <w:b/>
                <w:sz w:val="22"/>
              </w:rPr>
            </w:pPr>
          </w:p>
          <w:p>
            <w:pPr>
              <w:pStyle w:val="TableParagraph"/>
              <w:ind w:left="398" w:right="390"/>
              <w:jc w:val="center"/>
              <w:rPr>
                <w:sz w:val="22"/>
              </w:rPr>
            </w:pPr>
            <w:r>
              <w:rPr>
                <w:sz w:val="22"/>
              </w:rPr>
              <w:t>02.10.2014.</w:t>
            </w:r>
          </w:p>
        </w:tc>
        <w:tc>
          <w:tcPr>
            <w:tcW w:w="3118" w:type="dxa"/>
          </w:tcPr>
          <w:p>
            <w:pPr>
              <w:pStyle w:val="TableParagraph"/>
              <w:spacing w:before="4"/>
              <w:rPr>
                <w:b/>
                <w:sz w:val="22"/>
              </w:rPr>
            </w:pPr>
          </w:p>
          <w:p>
            <w:pPr>
              <w:pStyle w:val="TableParagraph"/>
              <w:ind w:left="249" w:right="238"/>
              <w:jc w:val="center"/>
              <w:rPr>
                <w:sz w:val="22"/>
              </w:rPr>
            </w:pPr>
            <w:r>
              <w:rPr>
                <w:sz w:val="22"/>
              </w:rPr>
              <w:t>Jūrmalas pilsētas 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6</w:t>
            </w:r>
          </w:p>
        </w:tc>
        <w:tc>
          <w:tcPr>
            <w:tcW w:w="2460" w:type="dxa"/>
          </w:tcPr>
          <w:p>
            <w:pPr>
              <w:pStyle w:val="TableParagraph"/>
              <w:spacing w:before="4"/>
              <w:rPr>
                <w:b/>
                <w:sz w:val="22"/>
              </w:rPr>
            </w:pPr>
          </w:p>
          <w:p>
            <w:pPr>
              <w:pStyle w:val="TableParagraph"/>
              <w:ind w:left="567" w:right="559"/>
              <w:jc w:val="center"/>
              <w:rPr>
                <w:sz w:val="22"/>
              </w:rPr>
            </w:pPr>
            <w:r>
              <w:rPr>
                <w:sz w:val="22"/>
              </w:rPr>
              <w:t>C17155114</w:t>
            </w:r>
          </w:p>
        </w:tc>
        <w:tc>
          <w:tcPr>
            <w:tcW w:w="2592" w:type="dxa"/>
          </w:tcPr>
          <w:p>
            <w:pPr>
              <w:pStyle w:val="TableParagraph"/>
              <w:spacing w:before="4"/>
              <w:rPr>
                <w:b/>
                <w:sz w:val="22"/>
              </w:rPr>
            </w:pPr>
          </w:p>
          <w:p>
            <w:pPr>
              <w:pStyle w:val="TableParagraph"/>
              <w:ind w:left="398" w:right="390"/>
              <w:jc w:val="center"/>
              <w:rPr>
                <w:sz w:val="22"/>
              </w:rPr>
            </w:pPr>
            <w:r>
              <w:rPr>
                <w:sz w:val="22"/>
              </w:rPr>
              <w:t>28.10.2015.</w:t>
            </w:r>
          </w:p>
        </w:tc>
        <w:tc>
          <w:tcPr>
            <w:tcW w:w="3118" w:type="dxa"/>
          </w:tcPr>
          <w:p>
            <w:pPr>
              <w:pStyle w:val="TableParagraph"/>
              <w:spacing w:before="4"/>
              <w:rPr>
                <w:b/>
                <w:sz w:val="22"/>
              </w:rPr>
            </w:pPr>
          </w:p>
          <w:p>
            <w:pPr>
              <w:pStyle w:val="TableParagraph"/>
              <w:ind w:left="249" w:right="238"/>
              <w:jc w:val="center"/>
              <w:rPr>
                <w:sz w:val="22"/>
              </w:rPr>
            </w:pPr>
            <w:r>
              <w:rPr>
                <w:sz w:val="22"/>
              </w:rPr>
              <w:t>Jūrmalas pilsētas 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7</w:t>
            </w:r>
          </w:p>
        </w:tc>
        <w:tc>
          <w:tcPr>
            <w:tcW w:w="2460" w:type="dxa"/>
          </w:tcPr>
          <w:p>
            <w:pPr>
              <w:pStyle w:val="TableParagraph"/>
              <w:spacing w:before="4"/>
              <w:rPr>
                <w:b/>
                <w:sz w:val="22"/>
              </w:rPr>
            </w:pPr>
          </w:p>
          <w:p>
            <w:pPr>
              <w:pStyle w:val="TableParagraph"/>
              <w:ind w:left="567" w:right="559"/>
              <w:jc w:val="center"/>
              <w:rPr>
                <w:sz w:val="22"/>
              </w:rPr>
            </w:pPr>
            <w:r>
              <w:rPr>
                <w:sz w:val="22"/>
              </w:rPr>
              <w:t>C17160114</w:t>
            </w:r>
          </w:p>
        </w:tc>
        <w:tc>
          <w:tcPr>
            <w:tcW w:w="2592" w:type="dxa"/>
          </w:tcPr>
          <w:p>
            <w:pPr>
              <w:pStyle w:val="TableParagraph"/>
              <w:spacing w:before="4"/>
              <w:rPr>
                <w:b/>
                <w:sz w:val="22"/>
              </w:rPr>
            </w:pPr>
          </w:p>
          <w:p>
            <w:pPr>
              <w:pStyle w:val="TableParagraph"/>
              <w:ind w:left="398" w:right="390"/>
              <w:jc w:val="center"/>
              <w:rPr>
                <w:sz w:val="22"/>
              </w:rPr>
            </w:pPr>
            <w:r>
              <w:rPr>
                <w:sz w:val="22"/>
              </w:rPr>
              <w:t>14.11.2014.</w:t>
            </w:r>
          </w:p>
        </w:tc>
        <w:tc>
          <w:tcPr>
            <w:tcW w:w="3118" w:type="dxa"/>
          </w:tcPr>
          <w:p>
            <w:pPr>
              <w:pStyle w:val="TableParagraph"/>
              <w:spacing w:before="4"/>
              <w:rPr>
                <w:b/>
                <w:sz w:val="22"/>
              </w:rPr>
            </w:pPr>
          </w:p>
          <w:p>
            <w:pPr>
              <w:pStyle w:val="TableParagraph"/>
              <w:ind w:left="249" w:right="238"/>
              <w:jc w:val="center"/>
              <w:rPr>
                <w:sz w:val="22"/>
              </w:rPr>
            </w:pPr>
            <w:r>
              <w:rPr>
                <w:sz w:val="22"/>
              </w:rPr>
              <w:t>Jūrmalas pilsētas tiesa</w:t>
            </w:r>
          </w:p>
        </w:tc>
      </w:tr>
      <w:tr>
        <w:trPr>
          <w:trHeight w:val="782"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8</w:t>
            </w:r>
          </w:p>
        </w:tc>
        <w:tc>
          <w:tcPr>
            <w:tcW w:w="2460" w:type="dxa"/>
          </w:tcPr>
          <w:p>
            <w:pPr>
              <w:pStyle w:val="TableParagraph"/>
              <w:spacing w:before="4"/>
              <w:rPr>
                <w:b/>
                <w:sz w:val="22"/>
              </w:rPr>
            </w:pPr>
          </w:p>
          <w:p>
            <w:pPr>
              <w:pStyle w:val="TableParagraph"/>
              <w:ind w:left="567" w:right="559"/>
              <w:jc w:val="center"/>
              <w:rPr>
                <w:sz w:val="22"/>
              </w:rPr>
            </w:pPr>
            <w:r>
              <w:rPr>
                <w:sz w:val="22"/>
              </w:rPr>
              <w:t>C17163614</w:t>
            </w:r>
          </w:p>
        </w:tc>
        <w:tc>
          <w:tcPr>
            <w:tcW w:w="2592" w:type="dxa"/>
          </w:tcPr>
          <w:p>
            <w:pPr>
              <w:pStyle w:val="TableParagraph"/>
              <w:spacing w:before="4"/>
              <w:rPr>
                <w:b/>
                <w:sz w:val="22"/>
              </w:rPr>
            </w:pPr>
          </w:p>
          <w:p>
            <w:pPr>
              <w:pStyle w:val="TableParagraph"/>
              <w:ind w:left="398" w:right="390"/>
              <w:jc w:val="center"/>
              <w:rPr>
                <w:sz w:val="22"/>
              </w:rPr>
            </w:pPr>
            <w:r>
              <w:rPr>
                <w:sz w:val="22"/>
              </w:rPr>
              <w:t>01.12.2014.</w:t>
            </w:r>
          </w:p>
        </w:tc>
        <w:tc>
          <w:tcPr>
            <w:tcW w:w="3118" w:type="dxa"/>
          </w:tcPr>
          <w:p>
            <w:pPr>
              <w:pStyle w:val="TableParagraph"/>
              <w:spacing w:before="4"/>
              <w:rPr>
                <w:b/>
                <w:sz w:val="22"/>
              </w:rPr>
            </w:pPr>
          </w:p>
          <w:p>
            <w:pPr>
              <w:pStyle w:val="TableParagraph"/>
              <w:ind w:left="249" w:right="238"/>
              <w:jc w:val="center"/>
              <w:rPr>
                <w:sz w:val="22"/>
              </w:rPr>
            </w:pPr>
            <w:r>
              <w:rPr>
                <w:sz w:val="22"/>
              </w:rPr>
              <w:t>Jūrmalas pilsētas tiesa</w:t>
            </w:r>
          </w:p>
        </w:tc>
      </w:tr>
      <w:tr>
        <w:trPr>
          <w:trHeight w:val="779" w:hRule="atLeast"/>
        </w:trPr>
        <w:tc>
          <w:tcPr>
            <w:tcW w:w="761" w:type="dxa"/>
          </w:tcPr>
          <w:p>
            <w:pPr>
              <w:pStyle w:val="TableParagraph"/>
              <w:spacing w:before="9"/>
              <w:rPr>
                <w:b/>
                <w:sz w:val="21"/>
              </w:rPr>
            </w:pPr>
          </w:p>
          <w:p>
            <w:pPr>
              <w:pStyle w:val="TableParagraph"/>
              <w:ind w:left="8"/>
              <w:jc w:val="center"/>
              <w:rPr>
                <w:rFonts w:ascii="Calibri"/>
                <w:sz w:val="22"/>
              </w:rPr>
            </w:pPr>
            <w:r>
              <w:rPr>
                <w:rFonts w:ascii="Calibri"/>
                <w:w w:val="100"/>
                <w:sz w:val="22"/>
              </w:rPr>
              <w:t>9</w:t>
            </w:r>
          </w:p>
        </w:tc>
        <w:tc>
          <w:tcPr>
            <w:tcW w:w="2460" w:type="dxa"/>
          </w:tcPr>
          <w:p>
            <w:pPr>
              <w:pStyle w:val="TableParagraph"/>
              <w:spacing w:before="4"/>
              <w:rPr>
                <w:b/>
                <w:sz w:val="22"/>
              </w:rPr>
            </w:pPr>
          </w:p>
          <w:p>
            <w:pPr>
              <w:pStyle w:val="TableParagraph"/>
              <w:ind w:left="567" w:right="559"/>
              <w:jc w:val="center"/>
              <w:rPr>
                <w:sz w:val="22"/>
              </w:rPr>
            </w:pPr>
            <w:r>
              <w:rPr>
                <w:sz w:val="22"/>
              </w:rPr>
              <w:t>C17172114</w:t>
            </w:r>
          </w:p>
        </w:tc>
        <w:tc>
          <w:tcPr>
            <w:tcW w:w="2592" w:type="dxa"/>
          </w:tcPr>
          <w:p>
            <w:pPr>
              <w:pStyle w:val="TableParagraph"/>
              <w:spacing w:before="4"/>
              <w:rPr>
                <w:b/>
                <w:sz w:val="22"/>
              </w:rPr>
            </w:pPr>
          </w:p>
          <w:p>
            <w:pPr>
              <w:pStyle w:val="TableParagraph"/>
              <w:ind w:left="398" w:right="390"/>
              <w:jc w:val="center"/>
              <w:rPr>
                <w:sz w:val="22"/>
              </w:rPr>
            </w:pPr>
            <w:r>
              <w:rPr>
                <w:sz w:val="22"/>
              </w:rPr>
              <w:t>23.12.2014.</w:t>
            </w:r>
          </w:p>
        </w:tc>
        <w:tc>
          <w:tcPr>
            <w:tcW w:w="3118" w:type="dxa"/>
          </w:tcPr>
          <w:p>
            <w:pPr>
              <w:pStyle w:val="TableParagraph"/>
              <w:spacing w:before="4"/>
              <w:rPr>
                <w:b/>
                <w:sz w:val="22"/>
              </w:rPr>
            </w:pPr>
          </w:p>
          <w:p>
            <w:pPr>
              <w:pStyle w:val="TableParagraph"/>
              <w:ind w:left="249" w:right="238"/>
              <w:jc w:val="center"/>
              <w:rPr>
                <w:sz w:val="22"/>
              </w:rPr>
            </w:pPr>
            <w:r>
              <w:rPr>
                <w:sz w:val="22"/>
              </w:rPr>
              <w:t>Jūrmalas pilsētas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10</w:t>
            </w:r>
          </w:p>
        </w:tc>
        <w:tc>
          <w:tcPr>
            <w:tcW w:w="2460" w:type="dxa"/>
          </w:tcPr>
          <w:p>
            <w:pPr>
              <w:pStyle w:val="TableParagraph"/>
              <w:spacing w:before="4"/>
              <w:rPr>
                <w:b/>
                <w:sz w:val="22"/>
              </w:rPr>
            </w:pPr>
          </w:p>
          <w:p>
            <w:pPr>
              <w:pStyle w:val="TableParagraph"/>
              <w:ind w:left="567" w:right="559"/>
              <w:jc w:val="center"/>
              <w:rPr>
                <w:sz w:val="22"/>
              </w:rPr>
            </w:pPr>
            <w:r>
              <w:rPr>
                <w:sz w:val="22"/>
              </w:rPr>
              <w:t>C24178414</w:t>
            </w:r>
          </w:p>
        </w:tc>
        <w:tc>
          <w:tcPr>
            <w:tcW w:w="2592" w:type="dxa"/>
          </w:tcPr>
          <w:p>
            <w:pPr>
              <w:pStyle w:val="TableParagraph"/>
              <w:spacing w:before="4"/>
              <w:rPr>
                <w:b/>
                <w:sz w:val="22"/>
              </w:rPr>
            </w:pPr>
          </w:p>
          <w:p>
            <w:pPr>
              <w:pStyle w:val="TableParagraph"/>
              <w:ind w:left="398" w:right="390"/>
              <w:jc w:val="center"/>
              <w:rPr>
                <w:sz w:val="22"/>
              </w:rPr>
            </w:pPr>
            <w:r>
              <w:rPr>
                <w:sz w:val="22"/>
              </w:rPr>
              <w:t>05.12.2014.</w:t>
            </w:r>
          </w:p>
        </w:tc>
        <w:tc>
          <w:tcPr>
            <w:tcW w:w="3118" w:type="dxa"/>
          </w:tcPr>
          <w:p>
            <w:pPr>
              <w:pStyle w:val="TableParagraph"/>
              <w:spacing w:before="4"/>
              <w:rPr>
                <w:b/>
                <w:sz w:val="22"/>
              </w:rPr>
            </w:pPr>
          </w:p>
          <w:p>
            <w:pPr>
              <w:pStyle w:val="TableParagraph"/>
              <w:ind w:left="251" w:right="238"/>
              <w:jc w:val="center"/>
              <w:rPr>
                <w:sz w:val="22"/>
              </w:rPr>
            </w:pPr>
            <w:r>
              <w:rPr>
                <w:sz w:val="22"/>
              </w:rPr>
              <w:t>Ogres rajona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11</w:t>
            </w:r>
          </w:p>
        </w:tc>
        <w:tc>
          <w:tcPr>
            <w:tcW w:w="2460" w:type="dxa"/>
          </w:tcPr>
          <w:p>
            <w:pPr>
              <w:pStyle w:val="TableParagraph"/>
              <w:spacing w:before="4"/>
              <w:rPr>
                <w:b/>
                <w:sz w:val="22"/>
              </w:rPr>
            </w:pPr>
          </w:p>
          <w:p>
            <w:pPr>
              <w:pStyle w:val="TableParagraph"/>
              <w:ind w:left="567" w:right="559"/>
              <w:jc w:val="center"/>
              <w:rPr>
                <w:sz w:val="22"/>
              </w:rPr>
            </w:pPr>
            <w:r>
              <w:rPr>
                <w:sz w:val="22"/>
              </w:rPr>
              <w:t>C28207215</w:t>
            </w:r>
          </w:p>
        </w:tc>
        <w:tc>
          <w:tcPr>
            <w:tcW w:w="2592" w:type="dxa"/>
          </w:tcPr>
          <w:p>
            <w:pPr>
              <w:pStyle w:val="TableParagraph"/>
              <w:spacing w:before="4"/>
              <w:rPr>
                <w:b/>
                <w:sz w:val="22"/>
              </w:rPr>
            </w:pPr>
          </w:p>
          <w:p>
            <w:pPr>
              <w:pStyle w:val="TableParagraph"/>
              <w:ind w:left="398" w:right="390"/>
              <w:jc w:val="center"/>
              <w:rPr>
                <w:sz w:val="22"/>
              </w:rPr>
            </w:pPr>
            <w:r>
              <w:rPr>
                <w:sz w:val="22"/>
              </w:rPr>
              <w:t>11.02.2015.</w:t>
            </w:r>
          </w:p>
        </w:tc>
        <w:tc>
          <w:tcPr>
            <w:tcW w:w="3118" w:type="dxa"/>
          </w:tcPr>
          <w:p>
            <w:pPr>
              <w:pStyle w:val="TableParagraph"/>
              <w:spacing w:before="130"/>
              <w:ind w:left="1358" w:right="146" w:hanging="1184"/>
              <w:rPr>
                <w:sz w:val="22"/>
              </w:rPr>
            </w:pPr>
            <w:r>
              <w:rPr>
                <w:sz w:val="22"/>
              </w:rPr>
              <w:t>Rīgas pilsētas Kurzemes rajona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12</w:t>
            </w:r>
          </w:p>
        </w:tc>
        <w:tc>
          <w:tcPr>
            <w:tcW w:w="2460" w:type="dxa"/>
          </w:tcPr>
          <w:p>
            <w:pPr>
              <w:pStyle w:val="TableParagraph"/>
              <w:spacing w:before="4"/>
              <w:rPr>
                <w:b/>
                <w:sz w:val="22"/>
              </w:rPr>
            </w:pPr>
          </w:p>
          <w:p>
            <w:pPr>
              <w:pStyle w:val="TableParagraph"/>
              <w:ind w:left="567" w:right="559"/>
              <w:jc w:val="center"/>
              <w:rPr>
                <w:sz w:val="22"/>
              </w:rPr>
            </w:pPr>
            <w:r>
              <w:rPr>
                <w:sz w:val="22"/>
              </w:rPr>
              <w:t>C30318815</w:t>
            </w:r>
          </w:p>
        </w:tc>
        <w:tc>
          <w:tcPr>
            <w:tcW w:w="2592" w:type="dxa"/>
          </w:tcPr>
          <w:p>
            <w:pPr>
              <w:pStyle w:val="TableParagraph"/>
              <w:spacing w:before="4"/>
              <w:rPr>
                <w:b/>
                <w:sz w:val="22"/>
              </w:rPr>
            </w:pPr>
          </w:p>
          <w:p>
            <w:pPr>
              <w:pStyle w:val="TableParagraph"/>
              <w:ind w:left="398" w:right="390"/>
              <w:jc w:val="center"/>
              <w:rPr>
                <w:sz w:val="22"/>
              </w:rPr>
            </w:pPr>
            <w:r>
              <w:rPr>
                <w:sz w:val="22"/>
              </w:rPr>
              <w:t>27.02.2015.</w:t>
            </w:r>
          </w:p>
        </w:tc>
        <w:tc>
          <w:tcPr>
            <w:tcW w:w="3118" w:type="dxa"/>
          </w:tcPr>
          <w:p>
            <w:pPr>
              <w:pStyle w:val="TableParagraph"/>
              <w:spacing w:before="130"/>
              <w:ind w:left="731" w:right="454" w:hanging="248"/>
              <w:rPr>
                <w:sz w:val="22"/>
              </w:rPr>
            </w:pPr>
            <w:r>
              <w:rPr>
                <w:sz w:val="22"/>
              </w:rPr>
              <w:t>Rīgas pilsētas Vidzemes priekšpilsētas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13</w:t>
            </w:r>
          </w:p>
        </w:tc>
        <w:tc>
          <w:tcPr>
            <w:tcW w:w="2460" w:type="dxa"/>
          </w:tcPr>
          <w:p>
            <w:pPr>
              <w:pStyle w:val="TableParagraph"/>
              <w:spacing w:before="4"/>
              <w:rPr>
                <w:b/>
                <w:sz w:val="22"/>
              </w:rPr>
            </w:pPr>
          </w:p>
          <w:p>
            <w:pPr>
              <w:pStyle w:val="TableParagraph"/>
              <w:ind w:left="567" w:right="559"/>
              <w:jc w:val="center"/>
              <w:rPr>
                <w:sz w:val="22"/>
              </w:rPr>
            </w:pPr>
            <w:r>
              <w:rPr>
                <w:sz w:val="22"/>
              </w:rPr>
              <w:t>C28368914</w:t>
            </w:r>
          </w:p>
        </w:tc>
        <w:tc>
          <w:tcPr>
            <w:tcW w:w="2592" w:type="dxa"/>
          </w:tcPr>
          <w:p>
            <w:pPr>
              <w:pStyle w:val="TableParagraph"/>
              <w:spacing w:before="4"/>
              <w:rPr>
                <w:b/>
                <w:sz w:val="22"/>
              </w:rPr>
            </w:pPr>
          </w:p>
          <w:p>
            <w:pPr>
              <w:pStyle w:val="TableParagraph"/>
              <w:ind w:left="398" w:right="390"/>
              <w:jc w:val="center"/>
              <w:rPr>
                <w:sz w:val="22"/>
              </w:rPr>
            </w:pPr>
            <w:r>
              <w:rPr>
                <w:sz w:val="22"/>
              </w:rPr>
              <w:t>23.09.2014.</w:t>
            </w:r>
          </w:p>
        </w:tc>
        <w:tc>
          <w:tcPr>
            <w:tcW w:w="3118" w:type="dxa"/>
          </w:tcPr>
          <w:p>
            <w:pPr>
              <w:pStyle w:val="TableParagraph"/>
              <w:spacing w:before="133"/>
              <w:ind w:left="1358" w:right="146" w:hanging="1184"/>
              <w:rPr>
                <w:sz w:val="22"/>
              </w:rPr>
            </w:pPr>
            <w:r>
              <w:rPr>
                <w:sz w:val="22"/>
              </w:rPr>
              <w:t>Rīgas pilsētas Kurzemes rajona tiesa</w:t>
            </w:r>
          </w:p>
        </w:tc>
      </w:tr>
      <w:tr>
        <w:trPr>
          <w:trHeight w:val="782"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14</w:t>
            </w:r>
          </w:p>
        </w:tc>
        <w:tc>
          <w:tcPr>
            <w:tcW w:w="2460" w:type="dxa"/>
          </w:tcPr>
          <w:p>
            <w:pPr>
              <w:pStyle w:val="TableParagraph"/>
              <w:spacing w:before="4"/>
              <w:rPr>
                <w:b/>
                <w:sz w:val="22"/>
              </w:rPr>
            </w:pPr>
          </w:p>
          <w:p>
            <w:pPr>
              <w:pStyle w:val="TableParagraph"/>
              <w:ind w:left="567" w:right="559"/>
              <w:jc w:val="center"/>
              <w:rPr>
                <w:sz w:val="22"/>
              </w:rPr>
            </w:pPr>
            <w:r>
              <w:rPr>
                <w:sz w:val="22"/>
              </w:rPr>
              <w:t>C29771814</w:t>
            </w:r>
          </w:p>
        </w:tc>
        <w:tc>
          <w:tcPr>
            <w:tcW w:w="2592" w:type="dxa"/>
          </w:tcPr>
          <w:p>
            <w:pPr>
              <w:pStyle w:val="TableParagraph"/>
              <w:spacing w:before="4"/>
              <w:rPr>
                <w:b/>
                <w:sz w:val="22"/>
              </w:rPr>
            </w:pPr>
          </w:p>
          <w:p>
            <w:pPr>
              <w:pStyle w:val="TableParagraph"/>
              <w:ind w:left="398" w:right="390"/>
              <w:jc w:val="center"/>
              <w:rPr>
                <w:sz w:val="22"/>
              </w:rPr>
            </w:pPr>
            <w:r>
              <w:rPr>
                <w:sz w:val="22"/>
              </w:rPr>
              <w:t>05.01.2015.</w:t>
            </w:r>
          </w:p>
        </w:tc>
        <w:tc>
          <w:tcPr>
            <w:tcW w:w="3118" w:type="dxa"/>
          </w:tcPr>
          <w:p>
            <w:pPr>
              <w:pStyle w:val="TableParagraph"/>
              <w:spacing w:before="133"/>
              <w:ind w:left="731" w:right="523" w:hanging="183"/>
              <w:rPr>
                <w:sz w:val="22"/>
              </w:rPr>
            </w:pPr>
            <w:r>
              <w:rPr>
                <w:sz w:val="22"/>
              </w:rPr>
              <w:t>Rīgas pilsētas Latgales priekšpilsētas tiesa</w:t>
            </w:r>
          </w:p>
        </w:tc>
      </w:tr>
    </w:tbl>
    <w:p>
      <w:pPr>
        <w:spacing w:after="0"/>
        <w:rPr>
          <w:sz w:val="22"/>
        </w:rPr>
        <w:sectPr>
          <w:pgSz w:w="11910" w:h="16840"/>
          <w:pgMar w:header="0" w:footer="1055" w:top="1580" w:bottom="1160" w:left="1180" w:right="1040"/>
        </w:sect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2460"/>
        <w:gridCol w:w="2592"/>
        <w:gridCol w:w="3118"/>
      </w:tblGrid>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15</w:t>
            </w:r>
          </w:p>
        </w:tc>
        <w:tc>
          <w:tcPr>
            <w:tcW w:w="2460" w:type="dxa"/>
          </w:tcPr>
          <w:p>
            <w:pPr>
              <w:pStyle w:val="TableParagraph"/>
              <w:spacing w:before="4"/>
              <w:rPr>
                <w:b/>
                <w:sz w:val="22"/>
              </w:rPr>
            </w:pPr>
          </w:p>
          <w:p>
            <w:pPr>
              <w:pStyle w:val="TableParagraph"/>
              <w:ind w:left="714"/>
              <w:rPr>
                <w:sz w:val="22"/>
              </w:rPr>
            </w:pPr>
            <w:r>
              <w:rPr>
                <w:sz w:val="22"/>
              </w:rPr>
              <w:t>C29775314</w:t>
            </w:r>
          </w:p>
        </w:tc>
        <w:tc>
          <w:tcPr>
            <w:tcW w:w="2592" w:type="dxa"/>
          </w:tcPr>
          <w:p>
            <w:pPr>
              <w:pStyle w:val="TableParagraph"/>
              <w:spacing w:before="4"/>
              <w:rPr>
                <w:b/>
                <w:sz w:val="22"/>
              </w:rPr>
            </w:pPr>
          </w:p>
          <w:p>
            <w:pPr>
              <w:pStyle w:val="TableParagraph"/>
              <w:ind w:left="772"/>
              <w:rPr>
                <w:sz w:val="22"/>
              </w:rPr>
            </w:pPr>
            <w:r>
              <w:rPr>
                <w:sz w:val="22"/>
              </w:rPr>
              <w:t>06.01.2015.</w:t>
            </w:r>
          </w:p>
        </w:tc>
        <w:tc>
          <w:tcPr>
            <w:tcW w:w="3118" w:type="dxa"/>
          </w:tcPr>
          <w:p>
            <w:pPr>
              <w:pStyle w:val="TableParagraph"/>
              <w:spacing w:before="130"/>
              <w:ind w:left="731" w:right="523" w:hanging="183"/>
              <w:rPr>
                <w:sz w:val="22"/>
              </w:rPr>
            </w:pPr>
            <w:r>
              <w:rPr>
                <w:sz w:val="22"/>
              </w:rPr>
              <w:t>Rīgas pilsētas Latgales priekšpilsētas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16</w:t>
            </w:r>
          </w:p>
        </w:tc>
        <w:tc>
          <w:tcPr>
            <w:tcW w:w="2460" w:type="dxa"/>
          </w:tcPr>
          <w:p>
            <w:pPr>
              <w:pStyle w:val="TableParagraph"/>
              <w:spacing w:before="4"/>
              <w:rPr>
                <w:b/>
                <w:sz w:val="22"/>
              </w:rPr>
            </w:pPr>
          </w:p>
          <w:p>
            <w:pPr>
              <w:pStyle w:val="TableParagraph"/>
              <w:ind w:left="714"/>
              <w:rPr>
                <w:sz w:val="22"/>
              </w:rPr>
            </w:pPr>
            <w:r>
              <w:rPr>
                <w:sz w:val="22"/>
              </w:rPr>
              <w:t>C28397314</w:t>
            </w:r>
          </w:p>
        </w:tc>
        <w:tc>
          <w:tcPr>
            <w:tcW w:w="2592" w:type="dxa"/>
          </w:tcPr>
          <w:p>
            <w:pPr>
              <w:pStyle w:val="TableParagraph"/>
              <w:spacing w:before="4"/>
              <w:rPr>
                <w:b/>
                <w:sz w:val="22"/>
              </w:rPr>
            </w:pPr>
          </w:p>
          <w:p>
            <w:pPr>
              <w:pStyle w:val="TableParagraph"/>
              <w:ind w:left="772"/>
              <w:rPr>
                <w:sz w:val="22"/>
              </w:rPr>
            </w:pPr>
            <w:r>
              <w:rPr>
                <w:sz w:val="22"/>
              </w:rPr>
              <w:t>07.11.2014.</w:t>
            </w:r>
          </w:p>
        </w:tc>
        <w:tc>
          <w:tcPr>
            <w:tcW w:w="3118" w:type="dxa"/>
          </w:tcPr>
          <w:p>
            <w:pPr>
              <w:pStyle w:val="TableParagraph"/>
              <w:spacing w:before="130"/>
              <w:ind w:left="1358" w:right="146" w:hanging="1184"/>
              <w:rPr>
                <w:sz w:val="22"/>
              </w:rPr>
            </w:pPr>
            <w:r>
              <w:rPr>
                <w:sz w:val="22"/>
              </w:rPr>
              <w:t>Rīgas pilsētas Kurzemes rajona tiesa</w:t>
            </w:r>
          </w:p>
        </w:tc>
      </w:tr>
      <w:tr>
        <w:trPr>
          <w:trHeight w:val="782"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17</w:t>
            </w:r>
          </w:p>
        </w:tc>
        <w:tc>
          <w:tcPr>
            <w:tcW w:w="2460" w:type="dxa"/>
          </w:tcPr>
          <w:p>
            <w:pPr>
              <w:pStyle w:val="TableParagraph"/>
              <w:spacing w:before="4"/>
              <w:rPr>
                <w:b/>
                <w:sz w:val="22"/>
              </w:rPr>
            </w:pPr>
          </w:p>
          <w:p>
            <w:pPr>
              <w:pStyle w:val="TableParagraph"/>
              <w:ind w:left="714"/>
              <w:rPr>
                <w:sz w:val="22"/>
              </w:rPr>
            </w:pPr>
            <w:r>
              <w:rPr>
                <w:sz w:val="22"/>
              </w:rPr>
              <w:t>C28416214</w:t>
            </w:r>
          </w:p>
        </w:tc>
        <w:tc>
          <w:tcPr>
            <w:tcW w:w="2592" w:type="dxa"/>
          </w:tcPr>
          <w:p>
            <w:pPr>
              <w:pStyle w:val="TableParagraph"/>
              <w:spacing w:before="4"/>
              <w:rPr>
                <w:b/>
                <w:sz w:val="22"/>
              </w:rPr>
            </w:pPr>
          </w:p>
          <w:p>
            <w:pPr>
              <w:pStyle w:val="TableParagraph"/>
              <w:ind w:left="772"/>
              <w:rPr>
                <w:sz w:val="22"/>
              </w:rPr>
            </w:pPr>
            <w:r>
              <w:rPr>
                <w:sz w:val="22"/>
              </w:rPr>
              <w:t>10.12.2014.</w:t>
            </w:r>
          </w:p>
        </w:tc>
        <w:tc>
          <w:tcPr>
            <w:tcW w:w="3118" w:type="dxa"/>
          </w:tcPr>
          <w:p>
            <w:pPr>
              <w:pStyle w:val="TableParagraph"/>
              <w:spacing w:before="133"/>
              <w:ind w:left="1358" w:right="146" w:hanging="1184"/>
              <w:rPr>
                <w:sz w:val="22"/>
              </w:rPr>
            </w:pPr>
            <w:r>
              <w:rPr>
                <w:sz w:val="22"/>
              </w:rPr>
              <w:t>Rīgas pilsētas Kurzemes rajona tiesa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18</w:t>
            </w:r>
          </w:p>
        </w:tc>
        <w:tc>
          <w:tcPr>
            <w:tcW w:w="2460" w:type="dxa"/>
          </w:tcPr>
          <w:p>
            <w:pPr>
              <w:pStyle w:val="TableParagraph"/>
              <w:spacing w:before="2"/>
              <w:rPr>
                <w:b/>
                <w:sz w:val="22"/>
              </w:rPr>
            </w:pPr>
          </w:p>
          <w:p>
            <w:pPr>
              <w:pStyle w:val="TableParagraph"/>
              <w:ind w:left="714"/>
              <w:rPr>
                <w:sz w:val="22"/>
              </w:rPr>
            </w:pPr>
            <w:r>
              <w:rPr>
                <w:sz w:val="22"/>
              </w:rPr>
              <w:t>C28419514</w:t>
            </w:r>
          </w:p>
        </w:tc>
        <w:tc>
          <w:tcPr>
            <w:tcW w:w="2592" w:type="dxa"/>
          </w:tcPr>
          <w:p>
            <w:pPr>
              <w:pStyle w:val="TableParagraph"/>
              <w:spacing w:before="2"/>
              <w:rPr>
                <w:b/>
                <w:sz w:val="22"/>
              </w:rPr>
            </w:pPr>
          </w:p>
          <w:p>
            <w:pPr>
              <w:pStyle w:val="TableParagraph"/>
              <w:ind w:left="772"/>
              <w:rPr>
                <w:sz w:val="22"/>
              </w:rPr>
            </w:pPr>
            <w:r>
              <w:rPr>
                <w:sz w:val="22"/>
              </w:rPr>
              <w:t>12.12.2014.</w:t>
            </w:r>
          </w:p>
        </w:tc>
        <w:tc>
          <w:tcPr>
            <w:tcW w:w="3118" w:type="dxa"/>
          </w:tcPr>
          <w:p>
            <w:pPr>
              <w:pStyle w:val="TableParagraph"/>
              <w:spacing w:before="130"/>
              <w:ind w:left="1358" w:right="146" w:hanging="1184"/>
              <w:rPr>
                <w:sz w:val="22"/>
              </w:rPr>
            </w:pPr>
            <w:r>
              <w:rPr>
                <w:sz w:val="22"/>
              </w:rPr>
              <w:t>Rīgas pilsētas Kurzemes rajona tiesa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19</w:t>
            </w:r>
          </w:p>
        </w:tc>
        <w:tc>
          <w:tcPr>
            <w:tcW w:w="2460" w:type="dxa"/>
          </w:tcPr>
          <w:p>
            <w:pPr>
              <w:pStyle w:val="TableParagraph"/>
              <w:spacing w:before="4"/>
              <w:rPr>
                <w:b/>
                <w:sz w:val="22"/>
              </w:rPr>
            </w:pPr>
          </w:p>
          <w:p>
            <w:pPr>
              <w:pStyle w:val="TableParagraph"/>
              <w:ind w:left="714"/>
              <w:rPr>
                <w:sz w:val="22"/>
              </w:rPr>
            </w:pPr>
            <w:r>
              <w:rPr>
                <w:sz w:val="22"/>
              </w:rPr>
              <w:t>C30532514</w:t>
            </w:r>
          </w:p>
        </w:tc>
        <w:tc>
          <w:tcPr>
            <w:tcW w:w="2592" w:type="dxa"/>
          </w:tcPr>
          <w:p>
            <w:pPr>
              <w:pStyle w:val="TableParagraph"/>
              <w:spacing w:before="4"/>
              <w:rPr>
                <w:b/>
                <w:sz w:val="22"/>
              </w:rPr>
            </w:pPr>
          </w:p>
          <w:p>
            <w:pPr>
              <w:pStyle w:val="TableParagraph"/>
              <w:ind w:left="772"/>
              <w:rPr>
                <w:sz w:val="22"/>
              </w:rPr>
            </w:pPr>
            <w:r>
              <w:rPr>
                <w:sz w:val="22"/>
              </w:rPr>
              <w:t>15.09.2014.</w:t>
            </w:r>
          </w:p>
        </w:tc>
        <w:tc>
          <w:tcPr>
            <w:tcW w:w="3118" w:type="dxa"/>
          </w:tcPr>
          <w:p>
            <w:pPr>
              <w:pStyle w:val="TableParagraph"/>
              <w:spacing w:before="130"/>
              <w:ind w:left="731" w:right="454" w:hanging="248"/>
              <w:rPr>
                <w:sz w:val="22"/>
              </w:rPr>
            </w:pPr>
            <w:r>
              <w:rPr>
                <w:sz w:val="22"/>
              </w:rPr>
              <w:t>Rīgas pilsētas Vidzemes priekšpilsētas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20</w:t>
            </w:r>
          </w:p>
        </w:tc>
        <w:tc>
          <w:tcPr>
            <w:tcW w:w="2460" w:type="dxa"/>
          </w:tcPr>
          <w:p>
            <w:pPr>
              <w:pStyle w:val="TableParagraph"/>
              <w:spacing w:before="4"/>
              <w:rPr>
                <w:b/>
                <w:sz w:val="22"/>
              </w:rPr>
            </w:pPr>
          </w:p>
          <w:p>
            <w:pPr>
              <w:pStyle w:val="TableParagraph"/>
              <w:ind w:left="714"/>
              <w:rPr>
                <w:sz w:val="22"/>
              </w:rPr>
            </w:pPr>
            <w:r>
              <w:rPr>
                <w:sz w:val="22"/>
              </w:rPr>
              <w:t>C30548814</w:t>
            </w:r>
          </w:p>
        </w:tc>
        <w:tc>
          <w:tcPr>
            <w:tcW w:w="2592" w:type="dxa"/>
          </w:tcPr>
          <w:p>
            <w:pPr>
              <w:pStyle w:val="TableParagraph"/>
              <w:spacing w:before="4"/>
              <w:rPr>
                <w:b/>
                <w:sz w:val="22"/>
              </w:rPr>
            </w:pPr>
          </w:p>
          <w:p>
            <w:pPr>
              <w:pStyle w:val="TableParagraph"/>
              <w:ind w:left="772"/>
              <w:rPr>
                <w:sz w:val="22"/>
              </w:rPr>
            </w:pPr>
            <w:r>
              <w:rPr>
                <w:sz w:val="22"/>
              </w:rPr>
              <w:t>02.10.2014.</w:t>
            </w:r>
          </w:p>
        </w:tc>
        <w:tc>
          <w:tcPr>
            <w:tcW w:w="3118" w:type="dxa"/>
          </w:tcPr>
          <w:p>
            <w:pPr>
              <w:pStyle w:val="TableParagraph"/>
              <w:spacing w:before="130"/>
              <w:ind w:left="731" w:right="454" w:hanging="248"/>
              <w:rPr>
                <w:sz w:val="22"/>
              </w:rPr>
            </w:pPr>
            <w:r>
              <w:rPr>
                <w:sz w:val="22"/>
              </w:rPr>
              <w:t>Rīgas pilsētas Vidzemes priekšpilsētas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21</w:t>
            </w:r>
          </w:p>
        </w:tc>
        <w:tc>
          <w:tcPr>
            <w:tcW w:w="2460" w:type="dxa"/>
          </w:tcPr>
          <w:p>
            <w:pPr>
              <w:pStyle w:val="TableParagraph"/>
              <w:spacing w:before="4"/>
              <w:rPr>
                <w:b/>
                <w:sz w:val="22"/>
              </w:rPr>
            </w:pPr>
          </w:p>
          <w:p>
            <w:pPr>
              <w:pStyle w:val="TableParagraph"/>
              <w:ind w:left="714"/>
              <w:rPr>
                <w:sz w:val="22"/>
              </w:rPr>
            </w:pPr>
            <w:r>
              <w:rPr>
                <w:sz w:val="22"/>
              </w:rPr>
              <w:t>C29714014</w:t>
            </w:r>
          </w:p>
        </w:tc>
        <w:tc>
          <w:tcPr>
            <w:tcW w:w="2592" w:type="dxa"/>
          </w:tcPr>
          <w:p>
            <w:pPr>
              <w:pStyle w:val="TableParagraph"/>
              <w:spacing w:before="4"/>
              <w:rPr>
                <w:b/>
                <w:sz w:val="22"/>
              </w:rPr>
            </w:pPr>
          </w:p>
          <w:p>
            <w:pPr>
              <w:pStyle w:val="TableParagraph"/>
              <w:ind w:left="772"/>
              <w:rPr>
                <w:sz w:val="22"/>
              </w:rPr>
            </w:pPr>
            <w:r>
              <w:rPr>
                <w:sz w:val="22"/>
              </w:rPr>
              <w:t>27.10.2014.</w:t>
            </w:r>
          </w:p>
        </w:tc>
        <w:tc>
          <w:tcPr>
            <w:tcW w:w="3118" w:type="dxa"/>
          </w:tcPr>
          <w:p>
            <w:pPr>
              <w:pStyle w:val="TableParagraph"/>
              <w:spacing w:before="130"/>
              <w:ind w:left="731" w:right="523" w:hanging="183"/>
              <w:rPr>
                <w:sz w:val="22"/>
              </w:rPr>
            </w:pPr>
            <w:r>
              <w:rPr>
                <w:sz w:val="22"/>
              </w:rPr>
              <w:t>Rīgas pilsētas Latgales priekšpilsētas tiesa</w:t>
            </w:r>
          </w:p>
        </w:tc>
      </w:tr>
      <w:tr>
        <w:trPr>
          <w:trHeight w:val="779" w:hRule="atLeast"/>
        </w:trPr>
        <w:tc>
          <w:tcPr>
            <w:tcW w:w="761" w:type="dxa"/>
          </w:tcPr>
          <w:p>
            <w:pPr>
              <w:pStyle w:val="TableParagraph"/>
              <w:spacing w:before="4"/>
              <w:rPr>
                <w:b/>
                <w:sz w:val="22"/>
              </w:rPr>
            </w:pPr>
          </w:p>
          <w:p>
            <w:pPr>
              <w:pStyle w:val="TableParagraph"/>
              <w:ind w:left="85" w:right="78"/>
              <w:jc w:val="center"/>
              <w:rPr>
                <w:sz w:val="22"/>
              </w:rPr>
            </w:pPr>
            <w:r>
              <w:rPr>
                <w:sz w:val="22"/>
              </w:rPr>
              <w:t>22</w:t>
            </w:r>
          </w:p>
        </w:tc>
        <w:tc>
          <w:tcPr>
            <w:tcW w:w="2460" w:type="dxa"/>
          </w:tcPr>
          <w:p>
            <w:pPr>
              <w:pStyle w:val="TableParagraph"/>
              <w:spacing w:before="4"/>
              <w:rPr>
                <w:b/>
                <w:sz w:val="22"/>
              </w:rPr>
            </w:pPr>
          </w:p>
          <w:p>
            <w:pPr>
              <w:pStyle w:val="TableParagraph"/>
              <w:ind w:left="715"/>
              <w:rPr>
                <w:sz w:val="22"/>
              </w:rPr>
            </w:pPr>
            <w:r>
              <w:rPr>
                <w:sz w:val="22"/>
              </w:rPr>
              <w:t>C11121214</w:t>
            </w:r>
          </w:p>
        </w:tc>
        <w:tc>
          <w:tcPr>
            <w:tcW w:w="2592" w:type="dxa"/>
          </w:tcPr>
          <w:p>
            <w:pPr>
              <w:pStyle w:val="TableParagraph"/>
              <w:spacing w:before="4"/>
              <w:rPr>
                <w:b/>
                <w:sz w:val="22"/>
              </w:rPr>
            </w:pPr>
          </w:p>
          <w:p>
            <w:pPr>
              <w:pStyle w:val="TableParagraph"/>
              <w:ind w:left="772"/>
              <w:rPr>
                <w:sz w:val="22"/>
              </w:rPr>
            </w:pPr>
            <w:r>
              <w:rPr>
                <w:sz w:val="22"/>
              </w:rPr>
              <w:t>19.12.2014.</w:t>
            </w:r>
          </w:p>
        </w:tc>
        <w:tc>
          <w:tcPr>
            <w:tcW w:w="3118" w:type="dxa"/>
          </w:tcPr>
          <w:p>
            <w:pPr>
              <w:pStyle w:val="TableParagraph"/>
              <w:spacing w:before="4"/>
              <w:rPr>
                <w:b/>
                <w:sz w:val="22"/>
              </w:rPr>
            </w:pPr>
          </w:p>
          <w:p>
            <w:pPr>
              <w:pStyle w:val="TableParagraph"/>
              <w:ind w:left="808"/>
              <w:rPr>
                <w:sz w:val="22"/>
              </w:rPr>
            </w:pPr>
            <w:r>
              <w:rPr>
                <w:sz w:val="22"/>
              </w:rPr>
              <w:t>Cēsu rajona tiesa</w:t>
            </w:r>
          </w:p>
        </w:tc>
      </w:tr>
      <w:tr>
        <w:trPr>
          <w:trHeight w:val="781" w:hRule="atLeast"/>
        </w:trPr>
        <w:tc>
          <w:tcPr>
            <w:tcW w:w="761" w:type="dxa"/>
          </w:tcPr>
          <w:p>
            <w:pPr>
              <w:pStyle w:val="TableParagraph"/>
              <w:spacing w:before="4"/>
              <w:rPr>
                <w:b/>
                <w:sz w:val="22"/>
              </w:rPr>
            </w:pPr>
          </w:p>
          <w:p>
            <w:pPr>
              <w:pStyle w:val="TableParagraph"/>
              <w:ind w:left="85" w:right="78"/>
              <w:jc w:val="center"/>
              <w:rPr>
                <w:sz w:val="22"/>
              </w:rPr>
            </w:pPr>
            <w:r>
              <w:rPr>
                <w:sz w:val="22"/>
              </w:rPr>
              <w:t>23</w:t>
            </w:r>
          </w:p>
        </w:tc>
        <w:tc>
          <w:tcPr>
            <w:tcW w:w="2460" w:type="dxa"/>
          </w:tcPr>
          <w:p>
            <w:pPr>
              <w:pStyle w:val="TableParagraph"/>
              <w:spacing w:before="4"/>
              <w:rPr>
                <w:b/>
                <w:sz w:val="22"/>
              </w:rPr>
            </w:pPr>
          </w:p>
          <w:p>
            <w:pPr>
              <w:pStyle w:val="TableParagraph"/>
              <w:ind w:left="715"/>
              <w:rPr>
                <w:sz w:val="22"/>
              </w:rPr>
            </w:pPr>
            <w:r>
              <w:rPr>
                <w:sz w:val="22"/>
              </w:rPr>
              <w:t>C29628615</w:t>
            </w:r>
          </w:p>
        </w:tc>
        <w:tc>
          <w:tcPr>
            <w:tcW w:w="2592" w:type="dxa"/>
          </w:tcPr>
          <w:p>
            <w:pPr>
              <w:pStyle w:val="TableParagraph"/>
              <w:spacing w:before="4"/>
              <w:rPr>
                <w:b/>
                <w:sz w:val="22"/>
              </w:rPr>
            </w:pPr>
          </w:p>
          <w:p>
            <w:pPr>
              <w:pStyle w:val="TableParagraph"/>
              <w:ind w:left="772"/>
              <w:rPr>
                <w:sz w:val="22"/>
              </w:rPr>
            </w:pPr>
            <w:r>
              <w:rPr>
                <w:sz w:val="22"/>
              </w:rPr>
              <w:t>29.09.2015.</w:t>
            </w:r>
          </w:p>
        </w:tc>
        <w:tc>
          <w:tcPr>
            <w:tcW w:w="3118" w:type="dxa"/>
          </w:tcPr>
          <w:p>
            <w:pPr>
              <w:pStyle w:val="TableParagraph"/>
              <w:spacing w:before="133"/>
              <w:ind w:left="731" w:right="523" w:hanging="183"/>
              <w:rPr>
                <w:sz w:val="22"/>
              </w:rPr>
            </w:pPr>
            <w:r>
              <w:rPr>
                <w:sz w:val="22"/>
              </w:rPr>
              <w:t>Rīgas pilsētas Latgales priekšpilsētas tiesa</w:t>
            </w:r>
          </w:p>
        </w:tc>
      </w:tr>
      <w:tr>
        <w:trPr>
          <w:trHeight w:val="779" w:hRule="atLeast"/>
        </w:trPr>
        <w:tc>
          <w:tcPr>
            <w:tcW w:w="761" w:type="dxa"/>
          </w:tcPr>
          <w:p>
            <w:pPr>
              <w:pStyle w:val="TableParagraph"/>
              <w:spacing w:before="2"/>
              <w:rPr>
                <w:b/>
                <w:sz w:val="22"/>
              </w:rPr>
            </w:pPr>
          </w:p>
          <w:p>
            <w:pPr>
              <w:pStyle w:val="TableParagraph"/>
              <w:ind w:left="85" w:right="78"/>
              <w:jc w:val="center"/>
              <w:rPr>
                <w:sz w:val="22"/>
              </w:rPr>
            </w:pPr>
            <w:r>
              <w:rPr>
                <w:sz w:val="22"/>
              </w:rPr>
              <w:t>24</w:t>
            </w:r>
          </w:p>
        </w:tc>
        <w:tc>
          <w:tcPr>
            <w:tcW w:w="2460" w:type="dxa"/>
          </w:tcPr>
          <w:p>
            <w:pPr>
              <w:pStyle w:val="TableParagraph"/>
              <w:spacing w:before="2"/>
              <w:rPr>
                <w:b/>
                <w:sz w:val="22"/>
              </w:rPr>
            </w:pPr>
          </w:p>
          <w:p>
            <w:pPr>
              <w:pStyle w:val="TableParagraph"/>
              <w:ind w:left="715"/>
              <w:rPr>
                <w:sz w:val="22"/>
              </w:rPr>
            </w:pPr>
            <w:r>
              <w:rPr>
                <w:sz w:val="22"/>
              </w:rPr>
              <w:t>C12212515</w:t>
            </w:r>
          </w:p>
        </w:tc>
        <w:tc>
          <w:tcPr>
            <w:tcW w:w="2592" w:type="dxa"/>
          </w:tcPr>
          <w:p>
            <w:pPr>
              <w:pStyle w:val="TableParagraph"/>
              <w:spacing w:before="2"/>
              <w:rPr>
                <w:b/>
                <w:sz w:val="22"/>
              </w:rPr>
            </w:pPr>
          </w:p>
          <w:p>
            <w:pPr>
              <w:pStyle w:val="TableParagraph"/>
              <w:ind w:left="772"/>
              <w:rPr>
                <w:sz w:val="22"/>
              </w:rPr>
            </w:pPr>
            <w:r>
              <w:rPr>
                <w:sz w:val="22"/>
              </w:rPr>
              <w:t>24.07.2015.</w:t>
            </w:r>
          </w:p>
        </w:tc>
        <w:tc>
          <w:tcPr>
            <w:tcW w:w="3118" w:type="dxa"/>
          </w:tcPr>
          <w:p>
            <w:pPr>
              <w:pStyle w:val="TableParagraph"/>
              <w:spacing w:before="2"/>
              <w:rPr>
                <w:b/>
                <w:sz w:val="22"/>
              </w:rPr>
            </w:pPr>
          </w:p>
          <w:p>
            <w:pPr>
              <w:pStyle w:val="TableParagraph"/>
              <w:ind w:left="830"/>
              <w:rPr>
                <w:sz w:val="22"/>
              </w:rPr>
            </w:pPr>
            <w:r>
              <w:rPr>
                <w:sz w:val="22"/>
              </w:rPr>
              <w:t>Daugavpils tiesa</w:t>
            </w:r>
          </w:p>
        </w:tc>
      </w:tr>
      <w:tr>
        <w:trPr>
          <w:trHeight w:val="779" w:hRule="atLeast"/>
        </w:trPr>
        <w:tc>
          <w:tcPr>
            <w:tcW w:w="761" w:type="dxa"/>
          </w:tcPr>
          <w:p>
            <w:pPr>
              <w:pStyle w:val="TableParagraph"/>
              <w:spacing w:before="4"/>
              <w:rPr>
                <w:b/>
                <w:sz w:val="22"/>
              </w:rPr>
            </w:pPr>
          </w:p>
          <w:p>
            <w:pPr>
              <w:pStyle w:val="TableParagraph"/>
              <w:ind w:left="85" w:right="78"/>
              <w:jc w:val="center"/>
              <w:rPr>
                <w:sz w:val="22"/>
              </w:rPr>
            </w:pPr>
            <w:r>
              <w:rPr>
                <w:sz w:val="22"/>
              </w:rPr>
              <w:t>25</w:t>
            </w:r>
          </w:p>
        </w:tc>
        <w:tc>
          <w:tcPr>
            <w:tcW w:w="2460" w:type="dxa"/>
          </w:tcPr>
          <w:p>
            <w:pPr>
              <w:pStyle w:val="TableParagraph"/>
              <w:spacing w:before="4"/>
              <w:rPr>
                <w:b/>
                <w:sz w:val="22"/>
              </w:rPr>
            </w:pPr>
          </w:p>
          <w:p>
            <w:pPr>
              <w:pStyle w:val="TableParagraph"/>
              <w:ind w:left="715"/>
              <w:rPr>
                <w:sz w:val="22"/>
              </w:rPr>
            </w:pPr>
            <w:r>
              <w:rPr>
                <w:sz w:val="22"/>
              </w:rPr>
              <w:t>C29577917</w:t>
            </w:r>
          </w:p>
        </w:tc>
        <w:tc>
          <w:tcPr>
            <w:tcW w:w="2592" w:type="dxa"/>
          </w:tcPr>
          <w:p>
            <w:pPr>
              <w:pStyle w:val="TableParagraph"/>
              <w:spacing w:before="4"/>
              <w:rPr>
                <w:b/>
                <w:sz w:val="22"/>
              </w:rPr>
            </w:pPr>
          </w:p>
          <w:p>
            <w:pPr>
              <w:pStyle w:val="TableParagraph"/>
              <w:ind w:left="772"/>
              <w:rPr>
                <w:sz w:val="22"/>
              </w:rPr>
            </w:pPr>
            <w:r>
              <w:rPr>
                <w:sz w:val="22"/>
              </w:rPr>
              <w:t>04.01.2018.</w:t>
            </w:r>
          </w:p>
        </w:tc>
        <w:tc>
          <w:tcPr>
            <w:tcW w:w="3118" w:type="dxa"/>
          </w:tcPr>
          <w:p>
            <w:pPr>
              <w:pStyle w:val="TableParagraph"/>
              <w:spacing w:before="130"/>
              <w:ind w:left="731" w:right="523" w:hanging="183"/>
              <w:rPr>
                <w:sz w:val="22"/>
              </w:rPr>
            </w:pPr>
            <w:r>
              <w:rPr>
                <w:sz w:val="22"/>
              </w:rPr>
              <w:t>Rīgas pilsētas Latgales priekšpilsētas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26</w:t>
            </w:r>
          </w:p>
        </w:tc>
        <w:tc>
          <w:tcPr>
            <w:tcW w:w="2460" w:type="dxa"/>
          </w:tcPr>
          <w:p>
            <w:pPr>
              <w:pStyle w:val="TableParagraph"/>
              <w:spacing w:before="4"/>
              <w:rPr>
                <w:b/>
                <w:sz w:val="22"/>
              </w:rPr>
            </w:pPr>
          </w:p>
          <w:p>
            <w:pPr>
              <w:pStyle w:val="TableParagraph"/>
              <w:ind w:left="714"/>
              <w:rPr>
                <w:sz w:val="22"/>
              </w:rPr>
            </w:pPr>
            <w:r>
              <w:rPr>
                <w:sz w:val="22"/>
              </w:rPr>
              <w:t>C19050715</w:t>
            </w:r>
          </w:p>
        </w:tc>
        <w:tc>
          <w:tcPr>
            <w:tcW w:w="2592" w:type="dxa"/>
          </w:tcPr>
          <w:p>
            <w:pPr>
              <w:pStyle w:val="TableParagraph"/>
              <w:spacing w:before="4"/>
              <w:rPr>
                <w:b/>
                <w:sz w:val="22"/>
              </w:rPr>
            </w:pPr>
          </w:p>
          <w:p>
            <w:pPr>
              <w:pStyle w:val="TableParagraph"/>
              <w:ind w:left="772"/>
              <w:rPr>
                <w:sz w:val="22"/>
              </w:rPr>
            </w:pPr>
            <w:r>
              <w:rPr>
                <w:sz w:val="22"/>
              </w:rPr>
              <w:t>03.06.2018.</w:t>
            </w:r>
          </w:p>
        </w:tc>
        <w:tc>
          <w:tcPr>
            <w:tcW w:w="3118" w:type="dxa"/>
          </w:tcPr>
          <w:p>
            <w:pPr>
              <w:pStyle w:val="TableParagraph"/>
              <w:spacing w:before="4"/>
              <w:rPr>
                <w:b/>
                <w:sz w:val="22"/>
              </w:rPr>
            </w:pPr>
          </w:p>
          <w:p>
            <w:pPr>
              <w:pStyle w:val="TableParagraph"/>
              <w:ind w:right="615"/>
              <w:jc w:val="right"/>
              <w:rPr>
                <w:sz w:val="22"/>
              </w:rPr>
            </w:pPr>
            <w:r>
              <w:rPr>
                <w:sz w:val="22"/>
              </w:rPr>
              <w:t>Kuldīgas rajona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27</w:t>
            </w:r>
          </w:p>
        </w:tc>
        <w:tc>
          <w:tcPr>
            <w:tcW w:w="2460" w:type="dxa"/>
          </w:tcPr>
          <w:p>
            <w:pPr>
              <w:pStyle w:val="TableParagraph"/>
              <w:spacing w:before="4"/>
              <w:rPr>
                <w:b/>
                <w:sz w:val="22"/>
              </w:rPr>
            </w:pPr>
          </w:p>
          <w:p>
            <w:pPr>
              <w:pStyle w:val="TableParagraph"/>
              <w:ind w:left="666"/>
              <w:rPr>
                <w:sz w:val="22"/>
              </w:rPr>
            </w:pPr>
            <w:r>
              <w:rPr>
                <w:sz w:val="22"/>
              </w:rPr>
              <w:t>C-0222-18/2</w:t>
            </w:r>
          </w:p>
        </w:tc>
        <w:tc>
          <w:tcPr>
            <w:tcW w:w="2592" w:type="dxa"/>
          </w:tcPr>
          <w:p>
            <w:pPr>
              <w:pStyle w:val="TableParagraph"/>
              <w:spacing w:before="4"/>
              <w:rPr>
                <w:b/>
                <w:sz w:val="22"/>
              </w:rPr>
            </w:pPr>
          </w:p>
          <w:p>
            <w:pPr>
              <w:pStyle w:val="TableParagraph"/>
              <w:ind w:left="771"/>
              <w:rPr>
                <w:sz w:val="22"/>
              </w:rPr>
            </w:pPr>
            <w:r>
              <w:rPr>
                <w:sz w:val="22"/>
              </w:rPr>
              <w:t>12.01.2018.</w:t>
            </w:r>
          </w:p>
        </w:tc>
        <w:tc>
          <w:tcPr>
            <w:tcW w:w="3118" w:type="dxa"/>
          </w:tcPr>
          <w:p>
            <w:pPr>
              <w:pStyle w:val="TableParagraph"/>
              <w:spacing w:before="4"/>
              <w:rPr>
                <w:b/>
                <w:sz w:val="22"/>
              </w:rPr>
            </w:pPr>
          </w:p>
          <w:p>
            <w:pPr>
              <w:pStyle w:val="TableParagraph"/>
              <w:ind w:left="734"/>
              <w:rPr>
                <w:sz w:val="22"/>
              </w:rPr>
            </w:pPr>
            <w:r>
              <w:rPr>
                <w:sz w:val="22"/>
              </w:rPr>
              <w:t>Saldus rajona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28</w:t>
            </w:r>
          </w:p>
        </w:tc>
        <w:tc>
          <w:tcPr>
            <w:tcW w:w="2460" w:type="dxa"/>
          </w:tcPr>
          <w:p>
            <w:pPr>
              <w:pStyle w:val="TableParagraph"/>
              <w:spacing w:before="4"/>
              <w:rPr>
                <w:b/>
                <w:sz w:val="22"/>
              </w:rPr>
            </w:pPr>
          </w:p>
          <w:p>
            <w:pPr>
              <w:pStyle w:val="TableParagraph"/>
              <w:ind w:left="714"/>
              <w:rPr>
                <w:sz w:val="22"/>
              </w:rPr>
            </w:pPr>
            <w:r>
              <w:rPr>
                <w:sz w:val="22"/>
              </w:rPr>
              <w:t>C17168314</w:t>
            </w:r>
          </w:p>
        </w:tc>
        <w:tc>
          <w:tcPr>
            <w:tcW w:w="2592" w:type="dxa"/>
          </w:tcPr>
          <w:p>
            <w:pPr>
              <w:pStyle w:val="TableParagraph"/>
              <w:spacing w:before="4"/>
              <w:rPr>
                <w:b/>
                <w:sz w:val="22"/>
              </w:rPr>
            </w:pPr>
          </w:p>
          <w:p>
            <w:pPr>
              <w:pStyle w:val="TableParagraph"/>
              <w:ind w:left="772"/>
              <w:rPr>
                <w:sz w:val="22"/>
              </w:rPr>
            </w:pPr>
            <w:r>
              <w:rPr>
                <w:sz w:val="22"/>
              </w:rPr>
              <w:t>12.12.2018.</w:t>
            </w:r>
          </w:p>
        </w:tc>
        <w:tc>
          <w:tcPr>
            <w:tcW w:w="3118" w:type="dxa"/>
          </w:tcPr>
          <w:p>
            <w:pPr>
              <w:pStyle w:val="TableParagraph"/>
              <w:spacing w:before="4"/>
              <w:rPr>
                <w:b/>
                <w:sz w:val="22"/>
              </w:rPr>
            </w:pPr>
          </w:p>
          <w:p>
            <w:pPr>
              <w:pStyle w:val="TableParagraph"/>
              <w:ind w:right="567"/>
              <w:jc w:val="right"/>
              <w:rPr>
                <w:sz w:val="22"/>
              </w:rPr>
            </w:pPr>
            <w:r>
              <w:rPr>
                <w:sz w:val="22"/>
              </w:rPr>
              <w:t>Jūrmalas pilsētas tiesa</w:t>
            </w:r>
          </w:p>
        </w:tc>
      </w:tr>
      <w:tr>
        <w:trPr>
          <w:trHeight w:val="781"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29</w:t>
            </w:r>
          </w:p>
        </w:tc>
        <w:tc>
          <w:tcPr>
            <w:tcW w:w="2460" w:type="dxa"/>
          </w:tcPr>
          <w:p>
            <w:pPr>
              <w:pStyle w:val="TableParagraph"/>
              <w:spacing w:before="4"/>
              <w:rPr>
                <w:b/>
                <w:sz w:val="22"/>
              </w:rPr>
            </w:pPr>
          </w:p>
          <w:p>
            <w:pPr>
              <w:pStyle w:val="TableParagraph"/>
              <w:ind w:left="714"/>
              <w:rPr>
                <w:sz w:val="22"/>
              </w:rPr>
            </w:pPr>
            <w:r>
              <w:rPr>
                <w:sz w:val="22"/>
              </w:rPr>
              <w:t>C71207218</w:t>
            </w:r>
          </w:p>
        </w:tc>
        <w:tc>
          <w:tcPr>
            <w:tcW w:w="2592" w:type="dxa"/>
          </w:tcPr>
          <w:p>
            <w:pPr>
              <w:pStyle w:val="TableParagraph"/>
              <w:spacing w:before="4"/>
              <w:rPr>
                <w:b/>
                <w:sz w:val="22"/>
              </w:rPr>
            </w:pPr>
          </w:p>
          <w:p>
            <w:pPr>
              <w:pStyle w:val="TableParagraph"/>
              <w:ind w:left="772"/>
              <w:rPr>
                <w:sz w:val="22"/>
              </w:rPr>
            </w:pPr>
            <w:r>
              <w:rPr>
                <w:sz w:val="22"/>
              </w:rPr>
              <w:t>10.07.2018.</w:t>
            </w:r>
          </w:p>
        </w:tc>
        <w:tc>
          <w:tcPr>
            <w:tcW w:w="3118" w:type="dxa"/>
          </w:tcPr>
          <w:p>
            <w:pPr>
              <w:pStyle w:val="TableParagraph"/>
              <w:spacing w:before="4"/>
              <w:rPr>
                <w:b/>
                <w:sz w:val="22"/>
              </w:rPr>
            </w:pPr>
          </w:p>
          <w:p>
            <w:pPr>
              <w:pStyle w:val="TableParagraph"/>
              <w:ind w:left="807"/>
              <w:rPr>
                <w:sz w:val="22"/>
              </w:rPr>
            </w:pPr>
            <w:r>
              <w:rPr>
                <w:sz w:val="22"/>
              </w:rPr>
              <w:t>Cēsu rajona tiesa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30</w:t>
            </w:r>
          </w:p>
        </w:tc>
        <w:tc>
          <w:tcPr>
            <w:tcW w:w="2460" w:type="dxa"/>
          </w:tcPr>
          <w:p>
            <w:pPr>
              <w:pStyle w:val="TableParagraph"/>
              <w:spacing w:before="130"/>
              <w:ind w:left="714" w:right="533" w:hanging="156"/>
              <w:rPr>
                <w:sz w:val="22"/>
              </w:rPr>
            </w:pPr>
            <w:r>
              <w:rPr>
                <w:sz w:val="22"/>
              </w:rPr>
              <w:t>CA-0393-18/7, C71207218</w:t>
            </w:r>
          </w:p>
        </w:tc>
        <w:tc>
          <w:tcPr>
            <w:tcW w:w="2592" w:type="dxa"/>
          </w:tcPr>
          <w:p>
            <w:pPr>
              <w:pStyle w:val="TableParagraph"/>
              <w:spacing w:before="2"/>
              <w:rPr>
                <w:b/>
                <w:sz w:val="22"/>
              </w:rPr>
            </w:pPr>
          </w:p>
          <w:p>
            <w:pPr>
              <w:pStyle w:val="TableParagraph"/>
              <w:ind w:left="772"/>
              <w:rPr>
                <w:sz w:val="22"/>
              </w:rPr>
            </w:pPr>
            <w:r>
              <w:rPr>
                <w:sz w:val="22"/>
              </w:rPr>
              <w:t>14.09.2018.</w:t>
            </w:r>
          </w:p>
        </w:tc>
        <w:tc>
          <w:tcPr>
            <w:tcW w:w="3118" w:type="dxa"/>
          </w:tcPr>
          <w:p>
            <w:pPr>
              <w:pStyle w:val="TableParagraph"/>
              <w:spacing w:before="130"/>
              <w:ind w:left="489" w:right="460" w:firstLine="14"/>
              <w:rPr>
                <w:sz w:val="22"/>
              </w:rPr>
            </w:pPr>
            <w:r>
              <w:rPr>
                <w:sz w:val="22"/>
              </w:rPr>
              <w:t>Vidzemes apgabaltiesas Civillietu tiesas kolēģija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31</w:t>
            </w:r>
          </w:p>
        </w:tc>
        <w:tc>
          <w:tcPr>
            <w:tcW w:w="2460" w:type="dxa"/>
          </w:tcPr>
          <w:p>
            <w:pPr>
              <w:pStyle w:val="TableParagraph"/>
              <w:spacing w:before="4"/>
              <w:rPr>
                <w:b/>
                <w:sz w:val="22"/>
              </w:rPr>
            </w:pPr>
          </w:p>
          <w:p>
            <w:pPr>
              <w:pStyle w:val="TableParagraph"/>
              <w:ind w:left="714"/>
              <w:rPr>
                <w:sz w:val="22"/>
              </w:rPr>
            </w:pPr>
            <w:r>
              <w:rPr>
                <w:sz w:val="22"/>
              </w:rPr>
              <w:t>C71209818</w:t>
            </w:r>
          </w:p>
        </w:tc>
        <w:tc>
          <w:tcPr>
            <w:tcW w:w="2592" w:type="dxa"/>
          </w:tcPr>
          <w:p>
            <w:pPr>
              <w:pStyle w:val="TableParagraph"/>
              <w:spacing w:before="4"/>
              <w:rPr>
                <w:b/>
                <w:sz w:val="22"/>
              </w:rPr>
            </w:pPr>
          </w:p>
          <w:p>
            <w:pPr>
              <w:pStyle w:val="TableParagraph"/>
              <w:ind w:left="772"/>
              <w:rPr>
                <w:sz w:val="22"/>
              </w:rPr>
            </w:pPr>
            <w:r>
              <w:rPr>
                <w:sz w:val="22"/>
              </w:rPr>
              <w:t>18.07.2018.</w:t>
            </w:r>
          </w:p>
        </w:tc>
        <w:tc>
          <w:tcPr>
            <w:tcW w:w="3118" w:type="dxa"/>
          </w:tcPr>
          <w:p>
            <w:pPr>
              <w:pStyle w:val="TableParagraph"/>
              <w:spacing w:before="4"/>
              <w:rPr>
                <w:b/>
                <w:sz w:val="22"/>
              </w:rPr>
            </w:pPr>
          </w:p>
          <w:p>
            <w:pPr>
              <w:pStyle w:val="TableParagraph"/>
              <w:ind w:right="574"/>
              <w:jc w:val="right"/>
              <w:rPr>
                <w:sz w:val="22"/>
              </w:rPr>
            </w:pPr>
            <w:r>
              <w:rPr>
                <w:sz w:val="22"/>
              </w:rPr>
              <w:t>Vidzemes rajona tiesa</w:t>
            </w:r>
          </w:p>
        </w:tc>
      </w:tr>
    </w:tbl>
    <w:p>
      <w:pPr>
        <w:spacing w:after="0"/>
        <w:jc w:val="right"/>
        <w:rPr>
          <w:sz w:val="22"/>
        </w:rPr>
        <w:sectPr>
          <w:pgSz w:w="11910" w:h="16840"/>
          <w:pgMar w:header="0" w:footer="1055" w:top="1420" w:bottom="1160" w:left="1180" w:right="104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2460"/>
        <w:gridCol w:w="2592"/>
        <w:gridCol w:w="3118"/>
      </w:tblGrid>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32</w:t>
            </w:r>
          </w:p>
        </w:tc>
        <w:tc>
          <w:tcPr>
            <w:tcW w:w="2460" w:type="dxa"/>
          </w:tcPr>
          <w:p>
            <w:pPr>
              <w:pStyle w:val="TableParagraph"/>
              <w:spacing w:before="130"/>
              <w:ind w:left="714" w:right="479" w:hanging="212"/>
              <w:rPr>
                <w:sz w:val="22"/>
              </w:rPr>
            </w:pPr>
            <w:r>
              <w:rPr>
                <w:sz w:val="22"/>
              </w:rPr>
              <w:t>CA-0400-18/14, C71209818</w:t>
            </w:r>
          </w:p>
        </w:tc>
        <w:tc>
          <w:tcPr>
            <w:tcW w:w="2592" w:type="dxa"/>
          </w:tcPr>
          <w:p>
            <w:pPr>
              <w:pStyle w:val="TableParagraph"/>
              <w:spacing w:before="4"/>
              <w:rPr>
                <w:b/>
                <w:sz w:val="22"/>
              </w:rPr>
            </w:pPr>
          </w:p>
          <w:p>
            <w:pPr>
              <w:pStyle w:val="TableParagraph"/>
              <w:ind w:left="399" w:right="390"/>
              <w:jc w:val="center"/>
              <w:rPr>
                <w:sz w:val="22"/>
              </w:rPr>
            </w:pPr>
            <w:r>
              <w:rPr>
                <w:sz w:val="22"/>
              </w:rPr>
              <w:t>14.09.2018.</w:t>
            </w:r>
          </w:p>
        </w:tc>
        <w:tc>
          <w:tcPr>
            <w:tcW w:w="3118" w:type="dxa"/>
          </w:tcPr>
          <w:p>
            <w:pPr>
              <w:pStyle w:val="TableParagraph"/>
              <w:spacing w:before="130"/>
              <w:ind w:left="489" w:right="460" w:firstLine="14"/>
              <w:rPr>
                <w:sz w:val="22"/>
              </w:rPr>
            </w:pPr>
            <w:r>
              <w:rPr>
                <w:sz w:val="22"/>
              </w:rPr>
              <w:t>Vidzemes apgabaltiesas Civillietu tiesas kolēģija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33</w:t>
            </w:r>
          </w:p>
        </w:tc>
        <w:tc>
          <w:tcPr>
            <w:tcW w:w="2460" w:type="dxa"/>
          </w:tcPr>
          <w:p>
            <w:pPr>
              <w:pStyle w:val="TableParagraph"/>
              <w:spacing w:before="4"/>
              <w:rPr>
                <w:b/>
                <w:sz w:val="22"/>
              </w:rPr>
            </w:pPr>
          </w:p>
          <w:p>
            <w:pPr>
              <w:pStyle w:val="TableParagraph"/>
              <w:ind w:right="601"/>
              <w:jc w:val="right"/>
              <w:rPr>
                <w:sz w:val="22"/>
              </w:rPr>
            </w:pPr>
            <w:r>
              <w:rPr>
                <w:sz w:val="22"/>
              </w:rPr>
              <w:t>C-2100-18/14</w:t>
            </w:r>
          </w:p>
        </w:tc>
        <w:tc>
          <w:tcPr>
            <w:tcW w:w="2592" w:type="dxa"/>
          </w:tcPr>
          <w:p>
            <w:pPr>
              <w:pStyle w:val="TableParagraph"/>
              <w:spacing w:before="4"/>
              <w:rPr>
                <w:b/>
                <w:sz w:val="22"/>
              </w:rPr>
            </w:pPr>
          </w:p>
          <w:p>
            <w:pPr>
              <w:pStyle w:val="TableParagraph"/>
              <w:ind w:left="397" w:right="390"/>
              <w:jc w:val="center"/>
              <w:rPr>
                <w:sz w:val="22"/>
              </w:rPr>
            </w:pPr>
            <w:r>
              <w:rPr>
                <w:sz w:val="22"/>
              </w:rPr>
              <w:t>18.07.2018.</w:t>
            </w:r>
          </w:p>
        </w:tc>
        <w:tc>
          <w:tcPr>
            <w:tcW w:w="3118" w:type="dxa"/>
          </w:tcPr>
          <w:p>
            <w:pPr>
              <w:pStyle w:val="TableParagraph"/>
              <w:spacing w:before="4"/>
              <w:rPr>
                <w:b/>
                <w:sz w:val="22"/>
              </w:rPr>
            </w:pPr>
          </w:p>
          <w:p>
            <w:pPr>
              <w:pStyle w:val="TableParagraph"/>
              <w:ind w:left="250" w:right="238"/>
              <w:jc w:val="center"/>
              <w:rPr>
                <w:sz w:val="22"/>
              </w:rPr>
            </w:pPr>
            <w:r>
              <w:rPr>
                <w:sz w:val="22"/>
              </w:rPr>
              <w:t>Gulbenes rajona tiesa</w:t>
            </w:r>
          </w:p>
        </w:tc>
      </w:tr>
      <w:tr>
        <w:trPr>
          <w:trHeight w:val="782" w:hRule="atLeast"/>
        </w:trPr>
        <w:tc>
          <w:tcPr>
            <w:tcW w:w="761" w:type="dxa"/>
          </w:tcPr>
          <w:p>
            <w:pPr>
              <w:pStyle w:val="TableParagraph"/>
              <w:rPr>
                <w:b/>
                <w:sz w:val="22"/>
              </w:rPr>
            </w:pPr>
          </w:p>
          <w:p>
            <w:pPr>
              <w:pStyle w:val="TableParagraph"/>
              <w:ind w:left="268"/>
              <w:rPr>
                <w:rFonts w:ascii="Calibri"/>
                <w:sz w:val="22"/>
              </w:rPr>
            </w:pPr>
            <w:r>
              <w:rPr>
                <w:rFonts w:ascii="Calibri"/>
                <w:sz w:val="22"/>
              </w:rPr>
              <w:t>34</w:t>
            </w:r>
          </w:p>
        </w:tc>
        <w:tc>
          <w:tcPr>
            <w:tcW w:w="2460" w:type="dxa"/>
          </w:tcPr>
          <w:p>
            <w:pPr>
              <w:pStyle w:val="TableParagraph"/>
              <w:spacing w:before="4"/>
              <w:rPr>
                <w:b/>
                <w:sz w:val="22"/>
              </w:rPr>
            </w:pPr>
          </w:p>
          <w:p>
            <w:pPr>
              <w:pStyle w:val="TableParagraph"/>
              <w:ind w:right="601"/>
              <w:jc w:val="right"/>
              <w:rPr>
                <w:sz w:val="22"/>
              </w:rPr>
            </w:pPr>
            <w:r>
              <w:rPr>
                <w:sz w:val="22"/>
              </w:rPr>
              <w:t>C-2567-18/18</w:t>
            </w:r>
          </w:p>
        </w:tc>
        <w:tc>
          <w:tcPr>
            <w:tcW w:w="2592" w:type="dxa"/>
          </w:tcPr>
          <w:p>
            <w:pPr>
              <w:pStyle w:val="TableParagraph"/>
              <w:spacing w:before="4"/>
              <w:rPr>
                <w:b/>
                <w:sz w:val="22"/>
              </w:rPr>
            </w:pPr>
          </w:p>
          <w:p>
            <w:pPr>
              <w:pStyle w:val="TableParagraph"/>
              <w:ind w:left="397" w:right="390"/>
              <w:jc w:val="center"/>
              <w:rPr>
                <w:sz w:val="22"/>
              </w:rPr>
            </w:pPr>
            <w:r>
              <w:rPr>
                <w:sz w:val="22"/>
              </w:rPr>
              <w:t>04.07.2018.</w:t>
            </w:r>
          </w:p>
        </w:tc>
        <w:tc>
          <w:tcPr>
            <w:tcW w:w="3118" w:type="dxa"/>
          </w:tcPr>
          <w:p>
            <w:pPr>
              <w:pStyle w:val="TableParagraph"/>
              <w:spacing w:before="4"/>
              <w:rPr>
                <w:b/>
                <w:sz w:val="22"/>
              </w:rPr>
            </w:pPr>
          </w:p>
          <w:p>
            <w:pPr>
              <w:pStyle w:val="TableParagraph"/>
              <w:ind w:left="247" w:right="238"/>
              <w:jc w:val="center"/>
              <w:rPr>
                <w:sz w:val="22"/>
              </w:rPr>
            </w:pPr>
            <w:r>
              <w:rPr>
                <w:sz w:val="22"/>
              </w:rPr>
              <w:t>Kurzemes rajona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35</w:t>
            </w:r>
          </w:p>
        </w:tc>
        <w:tc>
          <w:tcPr>
            <w:tcW w:w="2460" w:type="dxa"/>
          </w:tcPr>
          <w:p>
            <w:pPr>
              <w:pStyle w:val="TableParagraph"/>
              <w:spacing w:before="2"/>
              <w:rPr>
                <w:b/>
                <w:sz w:val="22"/>
              </w:rPr>
            </w:pPr>
          </w:p>
          <w:p>
            <w:pPr>
              <w:pStyle w:val="TableParagraph"/>
              <w:ind w:left="714"/>
              <w:rPr>
                <w:sz w:val="22"/>
              </w:rPr>
            </w:pPr>
            <w:r>
              <w:rPr>
                <w:sz w:val="22"/>
              </w:rPr>
              <w:t>C73421918</w:t>
            </w:r>
          </w:p>
        </w:tc>
        <w:tc>
          <w:tcPr>
            <w:tcW w:w="2592" w:type="dxa"/>
          </w:tcPr>
          <w:p>
            <w:pPr>
              <w:pStyle w:val="TableParagraph"/>
              <w:spacing w:before="2"/>
              <w:rPr>
                <w:b/>
                <w:sz w:val="22"/>
              </w:rPr>
            </w:pPr>
          </w:p>
          <w:p>
            <w:pPr>
              <w:pStyle w:val="TableParagraph"/>
              <w:ind w:left="398" w:right="390"/>
              <w:jc w:val="center"/>
              <w:rPr>
                <w:sz w:val="22"/>
              </w:rPr>
            </w:pPr>
            <w:r>
              <w:rPr>
                <w:sz w:val="22"/>
              </w:rPr>
              <w:t>23.08.2018.</w:t>
            </w:r>
          </w:p>
        </w:tc>
        <w:tc>
          <w:tcPr>
            <w:tcW w:w="3118" w:type="dxa"/>
          </w:tcPr>
          <w:p>
            <w:pPr>
              <w:pStyle w:val="TableParagraph"/>
              <w:spacing w:before="2"/>
              <w:rPr>
                <w:b/>
                <w:sz w:val="22"/>
              </w:rPr>
            </w:pPr>
          </w:p>
          <w:p>
            <w:pPr>
              <w:pStyle w:val="TableParagraph"/>
              <w:ind w:left="249" w:right="238"/>
              <w:jc w:val="center"/>
              <w:rPr>
                <w:sz w:val="22"/>
              </w:rPr>
            </w:pPr>
            <w:r>
              <w:rPr>
                <w:sz w:val="22"/>
              </w:rPr>
              <w:t>Zemgales rajona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36</w:t>
            </w:r>
          </w:p>
        </w:tc>
        <w:tc>
          <w:tcPr>
            <w:tcW w:w="2460" w:type="dxa"/>
          </w:tcPr>
          <w:p>
            <w:pPr>
              <w:pStyle w:val="TableParagraph"/>
              <w:spacing w:before="4"/>
              <w:rPr>
                <w:b/>
                <w:sz w:val="22"/>
              </w:rPr>
            </w:pPr>
          </w:p>
          <w:p>
            <w:pPr>
              <w:pStyle w:val="TableParagraph"/>
              <w:ind w:right="601"/>
              <w:jc w:val="right"/>
              <w:rPr>
                <w:sz w:val="22"/>
              </w:rPr>
            </w:pPr>
            <w:r>
              <w:rPr>
                <w:sz w:val="22"/>
              </w:rPr>
              <w:t>C-4461-18/27</w:t>
            </w:r>
          </w:p>
        </w:tc>
        <w:tc>
          <w:tcPr>
            <w:tcW w:w="2592" w:type="dxa"/>
          </w:tcPr>
          <w:p>
            <w:pPr>
              <w:pStyle w:val="TableParagraph"/>
              <w:spacing w:before="4"/>
              <w:rPr>
                <w:b/>
                <w:sz w:val="22"/>
              </w:rPr>
            </w:pPr>
          </w:p>
          <w:p>
            <w:pPr>
              <w:pStyle w:val="TableParagraph"/>
              <w:ind w:left="397" w:right="390"/>
              <w:jc w:val="center"/>
              <w:rPr>
                <w:sz w:val="22"/>
              </w:rPr>
            </w:pPr>
            <w:r>
              <w:rPr>
                <w:sz w:val="22"/>
              </w:rPr>
              <w:t>20.09.2018.</w:t>
            </w:r>
          </w:p>
        </w:tc>
        <w:tc>
          <w:tcPr>
            <w:tcW w:w="3118" w:type="dxa"/>
          </w:tcPr>
          <w:p>
            <w:pPr>
              <w:pStyle w:val="TableParagraph"/>
              <w:spacing w:before="4"/>
              <w:rPr>
                <w:b/>
                <w:sz w:val="22"/>
              </w:rPr>
            </w:pPr>
          </w:p>
          <w:p>
            <w:pPr>
              <w:pStyle w:val="TableParagraph"/>
              <w:ind w:left="248" w:right="238"/>
              <w:jc w:val="center"/>
              <w:rPr>
                <w:sz w:val="22"/>
              </w:rPr>
            </w:pPr>
            <w:r>
              <w:rPr>
                <w:sz w:val="22"/>
              </w:rPr>
              <w:t>Zemgales rajona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37</w:t>
            </w:r>
          </w:p>
        </w:tc>
        <w:tc>
          <w:tcPr>
            <w:tcW w:w="2460" w:type="dxa"/>
          </w:tcPr>
          <w:p>
            <w:pPr>
              <w:pStyle w:val="TableParagraph"/>
              <w:spacing w:before="4"/>
              <w:rPr>
                <w:b/>
                <w:sz w:val="22"/>
              </w:rPr>
            </w:pPr>
          </w:p>
          <w:p>
            <w:pPr>
              <w:pStyle w:val="TableParagraph"/>
              <w:ind w:left="666"/>
              <w:rPr>
                <w:sz w:val="22"/>
              </w:rPr>
            </w:pPr>
            <w:r>
              <w:rPr>
                <w:sz w:val="22"/>
              </w:rPr>
              <w:t>C-5099-18/1</w:t>
            </w:r>
          </w:p>
        </w:tc>
        <w:tc>
          <w:tcPr>
            <w:tcW w:w="2592" w:type="dxa"/>
          </w:tcPr>
          <w:p>
            <w:pPr>
              <w:pStyle w:val="TableParagraph"/>
              <w:spacing w:before="4"/>
              <w:rPr>
                <w:b/>
                <w:sz w:val="22"/>
              </w:rPr>
            </w:pPr>
          </w:p>
          <w:p>
            <w:pPr>
              <w:pStyle w:val="TableParagraph"/>
              <w:ind w:left="397" w:right="390"/>
              <w:jc w:val="center"/>
              <w:rPr>
                <w:sz w:val="22"/>
              </w:rPr>
            </w:pPr>
            <w:r>
              <w:rPr>
                <w:sz w:val="22"/>
              </w:rPr>
              <w:t>10.09.2018.</w:t>
            </w:r>
          </w:p>
        </w:tc>
        <w:tc>
          <w:tcPr>
            <w:tcW w:w="3118" w:type="dxa"/>
          </w:tcPr>
          <w:p>
            <w:pPr>
              <w:pStyle w:val="TableParagraph"/>
              <w:spacing w:before="4"/>
              <w:rPr>
                <w:b/>
                <w:sz w:val="22"/>
              </w:rPr>
            </w:pPr>
          </w:p>
          <w:p>
            <w:pPr>
              <w:pStyle w:val="TableParagraph"/>
              <w:ind w:left="251" w:right="237"/>
              <w:jc w:val="center"/>
              <w:rPr>
                <w:sz w:val="22"/>
              </w:rPr>
            </w:pPr>
            <w:r>
              <w:rPr>
                <w:sz w:val="22"/>
              </w:rPr>
              <w:t>Rīgas rajona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38</w:t>
            </w:r>
          </w:p>
        </w:tc>
        <w:tc>
          <w:tcPr>
            <w:tcW w:w="2460" w:type="dxa"/>
          </w:tcPr>
          <w:p>
            <w:pPr>
              <w:pStyle w:val="TableParagraph"/>
              <w:spacing w:before="4"/>
              <w:rPr>
                <w:b/>
                <w:sz w:val="22"/>
              </w:rPr>
            </w:pPr>
          </w:p>
          <w:p>
            <w:pPr>
              <w:pStyle w:val="TableParagraph"/>
              <w:ind w:left="714"/>
              <w:rPr>
                <w:sz w:val="22"/>
              </w:rPr>
            </w:pPr>
            <w:r>
              <w:rPr>
                <w:sz w:val="22"/>
              </w:rPr>
              <w:t>C29510916</w:t>
            </w:r>
          </w:p>
        </w:tc>
        <w:tc>
          <w:tcPr>
            <w:tcW w:w="2592" w:type="dxa"/>
          </w:tcPr>
          <w:p>
            <w:pPr>
              <w:pStyle w:val="TableParagraph"/>
              <w:spacing w:before="4"/>
              <w:rPr>
                <w:b/>
                <w:sz w:val="22"/>
              </w:rPr>
            </w:pPr>
          </w:p>
          <w:p>
            <w:pPr>
              <w:pStyle w:val="TableParagraph"/>
              <w:ind w:left="398" w:right="390"/>
              <w:jc w:val="center"/>
              <w:rPr>
                <w:sz w:val="22"/>
              </w:rPr>
            </w:pPr>
            <w:r>
              <w:rPr>
                <w:sz w:val="22"/>
              </w:rPr>
              <w:t>27.06.2016.</w:t>
            </w:r>
          </w:p>
        </w:tc>
        <w:tc>
          <w:tcPr>
            <w:tcW w:w="3118" w:type="dxa"/>
          </w:tcPr>
          <w:p>
            <w:pPr>
              <w:pStyle w:val="TableParagraph"/>
              <w:spacing w:before="130"/>
              <w:ind w:left="731" w:right="523" w:hanging="183"/>
              <w:rPr>
                <w:sz w:val="22"/>
              </w:rPr>
            </w:pPr>
            <w:r>
              <w:rPr>
                <w:sz w:val="22"/>
              </w:rPr>
              <w:t>Rīgas pilsētas Latgales priekšpilsētas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39</w:t>
            </w:r>
          </w:p>
        </w:tc>
        <w:tc>
          <w:tcPr>
            <w:tcW w:w="2460" w:type="dxa"/>
          </w:tcPr>
          <w:p>
            <w:pPr>
              <w:pStyle w:val="TableParagraph"/>
              <w:spacing w:before="4"/>
              <w:rPr>
                <w:b/>
                <w:sz w:val="22"/>
              </w:rPr>
            </w:pPr>
          </w:p>
          <w:p>
            <w:pPr>
              <w:pStyle w:val="TableParagraph"/>
              <w:ind w:right="601"/>
              <w:jc w:val="right"/>
              <w:rPr>
                <w:sz w:val="22"/>
              </w:rPr>
            </w:pPr>
            <w:r>
              <w:rPr>
                <w:sz w:val="22"/>
              </w:rPr>
              <w:t>C-5654-17/22</w:t>
            </w:r>
          </w:p>
        </w:tc>
        <w:tc>
          <w:tcPr>
            <w:tcW w:w="2592" w:type="dxa"/>
          </w:tcPr>
          <w:p>
            <w:pPr>
              <w:pStyle w:val="TableParagraph"/>
              <w:spacing w:before="4"/>
              <w:rPr>
                <w:b/>
                <w:sz w:val="22"/>
              </w:rPr>
            </w:pPr>
          </w:p>
          <w:p>
            <w:pPr>
              <w:pStyle w:val="TableParagraph"/>
              <w:ind w:left="397" w:right="390"/>
              <w:jc w:val="center"/>
              <w:rPr>
                <w:sz w:val="22"/>
              </w:rPr>
            </w:pPr>
            <w:r>
              <w:rPr>
                <w:sz w:val="22"/>
              </w:rPr>
              <w:t>19.09.2017.</w:t>
            </w:r>
          </w:p>
        </w:tc>
        <w:tc>
          <w:tcPr>
            <w:tcW w:w="3118" w:type="dxa"/>
          </w:tcPr>
          <w:p>
            <w:pPr>
              <w:pStyle w:val="TableParagraph"/>
              <w:spacing w:before="130"/>
              <w:ind w:left="731" w:right="523" w:hanging="183"/>
              <w:rPr>
                <w:sz w:val="22"/>
              </w:rPr>
            </w:pPr>
            <w:r>
              <w:rPr>
                <w:sz w:val="22"/>
              </w:rPr>
              <w:t>Rīgas pilsētas Latgales priekšpilsētas tiesa</w:t>
            </w:r>
          </w:p>
        </w:tc>
      </w:tr>
      <w:tr>
        <w:trPr>
          <w:trHeight w:val="781" w:hRule="atLeast"/>
        </w:trPr>
        <w:tc>
          <w:tcPr>
            <w:tcW w:w="761" w:type="dxa"/>
          </w:tcPr>
          <w:p>
            <w:pPr>
              <w:pStyle w:val="TableParagraph"/>
              <w:rPr>
                <w:b/>
                <w:sz w:val="22"/>
              </w:rPr>
            </w:pPr>
          </w:p>
          <w:p>
            <w:pPr>
              <w:pStyle w:val="TableParagraph"/>
              <w:ind w:left="268"/>
              <w:rPr>
                <w:rFonts w:ascii="Calibri"/>
                <w:sz w:val="22"/>
              </w:rPr>
            </w:pPr>
            <w:r>
              <w:rPr>
                <w:rFonts w:ascii="Calibri"/>
                <w:sz w:val="22"/>
              </w:rPr>
              <w:t>40</w:t>
            </w:r>
          </w:p>
        </w:tc>
        <w:tc>
          <w:tcPr>
            <w:tcW w:w="2460" w:type="dxa"/>
          </w:tcPr>
          <w:p>
            <w:pPr>
              <w:pStyle w:val="TableParagraph"/>
              <w:spacing w:before="4"/>
              <w:rPr>
                <w:b/>
                <w:sz w:val="22"/>
              </w:rPr>
            </w:pPr>
          </w:p>
          <w:p>
            <w:pPr>
              <w:pStyle w:val="TableParagraph"/>
              <w:ind w:left="714"/>
              <w:rPr>
                <w:sz w:val="22"/>
              </w:rPr>
            </w:pPr>
            <w:r>
              <w:rPr>
                <w:sz w:val="22"/>
              </w:rPr>
              <w:t>C30618616</w:t>
            </w:r>
          </w:p>
        </w:tc>
        <w:tc>
          <w:tcPr>
            <w:tcW w:w="2592" w:type="dxa"/>
          </w:tcPr>
          <w:p>
            <w:pPr>
              <w:pStyle w:val="TableParagraph"/>
              <w:spacing w:before="4"/>
              <w:rPr>
                <w:b/>
                <w:sz w:val="22"/>
              </w:rPr>
            </w:pPr>
          </w:p>
          <w:p>
            <w:pPr>
              <w:pStyle w:val="TableParagraph"/>
              <w:ind w:left="398" w:right="390"/>
              <w:jc w:val="center"/>
              <w:rPr>
                <w:sz w:val="22"/>
              </w:rPr>
            </w:pPr>
            <w:r>
              <w:rPr>
                <w:sz w:val="22"/>
              </w:rPr>
              <w:t>27.06.2016.</w:t>
            </w:r>
          </w:p>
        </w:tc>
        <w:tc>
          <w:tcPr>
            <w:tcW w:w="3118" w:type="dxa"/>
          </w:tcPr>
          <w:p>
            <w:pPr>
              <w:pStyle w:val="TableParagraph"/>
              <w:spacing w:before="133"/>
              <w:ind w:left="731" w:right="454" w:hanging="248"/>
              <w:rPr>
                <w:sz w:val="22"/>
              </w:rPr>
            </w:pPr>
            <w:r>
              <w:rPr>
                <w:sz w:val="22"/>
              </w:rPr>
              <w:t>Rīgas pilsētas Vidzemes priekšpilsētas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41</w:t>
            </w:r>
          </w:p>
        </w:tc>
        <w:tc>
          <w:tcPr>
            <w:tcW w:w="2460" w:type="dxa"/>
          </w:tcPr>
          <w:p>
            <w:pPr>
              <w:pStyle w:val="TableParagraph"/>
              <w:spacing w:before="2"/>
              <w:rPr>
                <w:b/>
                <w:sz w:val="22"/>
              </w:rPr>
            </w:pPr>
          </w:p>
          <w:p>
            <w:pPr>
              <w:pStyle w:val="TableParagraph"/>
              <w:ind w:left="714"/>
              <w:rPr>
                <w:sz w:val="22"/>
              </w:rPr>
            </w:pPr>
            <w:r>
              <w:rPr>
                <w:sz w:val="22"/>
              </w:rPr>
              <w:t>C33651717</w:t>
            </w:r>
          </w:p>
        </w:tc>
        <w:tc>
          <w:tcPr>
            <w:tcW w:w="2592" w:type="dxa"/>
          </w:tcPr>
          <w:p>
            <w:pPr>
              <w:pStyle w:val="TableParagraph"/>
              <w:spacing w:before="2"/>
              <w:rPr>
                <w:b/>
                <w:sz w:val="22"/>
              </w:rPr>
            </w:pPr>
          </w:p>
          <w:p>
            <w:pPr>
              <w:pStyle w:val="TableParagraph"/>
              <w:ind w:left="398" w:right="390"/>
              <w:jc w:val="center"/>
              <w:rPr>
                <w:sz w:val="22"/>
              </w:rPr>
            </w:pPr>
            <w:r>
              <w:rPr>
                <w:sz w:val="22"/>
              </w:rPr>
              <w:t>27.12.2017.</w:t>
            </w:r>
          </w:p>
        </w:tc>
        <w:tc>
          <w:tcPr>
            <w:tcW w:w="3118" w:type="dxa"/>
          </w:tcPr>
          <w:p>
            <w:pPr>
              <w:pStyle w:val="TableParagraph"/>
              <w:spacing w:before="2"/>
              <w:rPr>
                <w:b/>
                <w:sz w:val="22"/>
              </w:rPr>
            </w:pPr>
          </w:p>
          <w:p>
            <w:pPr>
              <w:pStyle w:val="TableParagraph"/>
              <w:ind w:left="249" w:right="238"/>
              <w:jc w:val="center"/>
              <w:rPr>
                <w:sz w:val="22"/>
              </w:rPr>
            </w:pPr>
            <w:r>
              <w:rPr>
                <w:sz w:val="22"/>
              </w:rPr>
              <w:t>Jūrmalas pilsētas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42</w:t>
            </w:r>
          </w:p>
        </w:tc>
        <w:tc>
          <w:tcPr>
            <w:tcW w:w="2460" w:type="dxa"/>
          </w:tcPr>
          <w:p>
            <w:pPr>
              <w:pStyle w:val="TableParagraph"/>
              <w:spacing w:before="4"/>
              <w:rPr>
                <w:b/>
                <w:sz w:val="22"/>
              </w:rPr>
            </w:pPr>
          </w:p>
          <w:p>
            <w:pPr>
              <w:pStyle w:val="TableParagraph"/>
              <w:ind w:right="649"/>
              <w:jc w:val="right"/>
              <w:rPr>
                <w:sz w:val="22"/>
              </w:rPr>
            </w:pPr>
            <w:r>
              <w:rPr>
                <w:sz w:val="22"/>
              </w:rPr>
              <w:t>C 23033816</w:t>
            </w:r>
          </w:p>
        </w:tc>
        <w:tc>
          <w:tcPr>
            <w:tcW w:w="2592" w:type="dxa"/>
          </w:tcPr>
          <w:p>
            <w:pPr>
              <w:pStyle w:val="TableParagraph"/>
              <w:spacing w:before="4"/>
              <w:rPr>
                <w:b/>
                <w:sz w:val="22"/>
              </w:rPr>
            </w:pPr>
          </w:p>
          <w:p>
            <w:pPr>
              <w:pStyle w:val="TableParagraph"/>
              <w:ind w:left="398" w:right="390"/>
              <w:jc w:val="center"/>
              <w:rPr>
                <w:sz w:val="22"/>
              </w:rPr>
            </w:pPr>
            <w:r>
              <w:rPr>
                <w:sz w:val="22"/>
              </w:rPr>
              <w:t>15.02.2016.</w:t>
            </w:r>
          </w:p>
        </w:tc>
        <w:tc>
          <w:tcPr>
            <w:tcW w:w="3118" w:type="dxa"/>
          </w:tcPr>
          <w:p>
            <w:pPr>
              <w:pStyle w:val="TableParagraph"/>
              <w:spacing w:before="4"/>
              <w:rPr>
                <w:b/>
                <w:sz w:val="22"/>
              </w:rPr>
            </w:pPr>
          </w:p>
          <w:p>
            <w:pPr>
              <w:pStyle w:val="TableParagraph"/>
              <w:ind w:left="249" w:right="238"/>
              <w:jc w:val="center"/>
              <w:rPr>
                <w:sz w:val="22"/>
              </w:rPr>
            </w:pPr>
            <w:r>
              <w:rPr>
                <w:sz w:val="22"/>
              </w:rPr>
              <w:t>Madonas rajona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43</w:t>
            </w:r>
          </w:p>
        </w:tc>
        <w:tc>
          <w:tcPr>
            <w:tcW w:w="2460" w:type="dxa"/>
          </w:tcPr>
          <w:p>
            <w:pPr>
              <w:pStyle w:val="TableParagraph"/>
              <w:spacing w:before="4"/>
              <w:rPr>
                <w:b/>
                <w:sz w:val="22"/>
              </w:rPr>
            </w:pPr>
          </w:p>
          <w:p>
            <w:pPr>
              <w:pStyle w:val="TableParagraph"/>
              <w:ind w:left="714"/>
              <w:rPr>
                <w:sz w:val="22"/>
              </w:rPr>
            </w:pPr>
            <w:r>
              <w:rPr>
                <w:sz w:val="22"/>
              </w:rPr>
              <w:t>C30647715</w:t>
            </w:r>
          </w:p>
        </w:tc>
        <w:tc>
          <w:tcPr>
            <w:tcW w:w="2592" w:type="dxa"/>
          </w:tcPr>
          <w:p>
            <w:pPr>
              <w:pStyle w:val="TableParagraph"/>
              <w:spacing w:before="4"/>
              <w:rPr>
                <w:b/>
                <w:sz w:val="22"/>
              </w:rPr>
            </w:pPr>
          </w:p>
          <w:p>
            <w:pPr>
              <w:pStyle w:val="TableParagraph"/>
              <w:ind w:left="398" w:right="390"/>
              <w:jc w:val="center"/>
              <w:rPr>
                <w:sz w:val="22"/>
              </w:rPr>
            </w:pPr>
            <w:r>
              <w:rPr>
                <w:sz w:val="22"/>
              </w:rPr>
              <w:t>20.11.2015.</w:t>
            </w:r>
          </w:p>
        </w:tc>
        <w:tc>
          <w:tcPr>
            <w:tcW w:w="3118" w:type="dxa"/>
          </w:tcPr>
          <w:p>
            <w:pPr>
              <w:pStyle w:val="TableParagraph"/>
              <w:spacing w:before="130"/>
              <w:ind w:left="731" w:right="454" w:hanging="248"/>
              <w:rPr>
                <w:sz w:val="22"/>
              </w:rPr>
            </w:pPr>
            <w:r>
              <w:rPr>
                <w:sz w:val="22"/>
              </w:rPr>
              <w:t>Rīgas pilsētas Vidzemes priekšpilsētas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44</w:t>
            </w:r>
          </w:p>
        </w:tc>
        <w:tc>
          <w:tcPr>
            <w:tcW w:w="2460" w:type="dxa"/>
          </w:tcPr>
          <w:p>
            <w:pPr>
              <w:pStyle w:val="TableParagraph"/>
              <w:spacing w:before="4"/>
              <w:rPr>
                <w:b/>
                <w:sz w:val="22"/>
              </w:rPr>
            </w:pPr>
          </w:p>
          <w:p>
            <w:pPr>
              <w:pStyle w:val="TableParagraph"/>
              <w:ind w:left="714"/>
              <w:rPr>
                <w:sz w:val="22"/>
              </w:rPr>
            </w:pPr>
            <w:r>
              <w:rPr>
                <w:sz w:val="22"/>
              </w:rPr>
              <w:t>C71207418</w:t>
            </w:r>
          </w:p>
        </w:tc>
        <w:tc>
          <w:tcPr>
            <w:tcW w:w="2592" w:type="dxa"/>
          </w:tcPr>
          <w:p>
            <w:pPr>
              <w:pStyle w:val="TableParagraph"/>
              <w:spacing w:before="4"/>
              <w:rPr>
                <w:b/>
                <w:sz w:val="22"/>
              </w:rPr>
            </w:pPr>
          </w:p>
          <w:p>
            <w:pPr>
              <w:pStyle w:val="TableParagraph"/>
              <w:ind w:left="398" w:right="390"/>
              <w:jc w:val="center"/>
              <w:rPr>
                <w:sz w:val="22"/>
              </w:rPr>
            </w:pPr>
            <w:r>
              <w:rPr>
                <w:sz w:val="22"/>
              </w:rPr>
              <w:t>11.07.2018.</w:t>
            </w:r>
          </w:p>
        </w:tc>
        <w:tc>
          <w:tcPr>
            <w:tcW w:w="3118" w:type="dxa"/>
          </w:tcPr>
          <w:p>
            <w:pPr>
              <w:pStyle w:val="TableParagraph"/>
              <w:spacing w:before="4"/>
              <w:rPr>
                <w:b/>
                <w:sz w:val="22"/>
              </w:rPr>
            </w:pPr>
          </w:p>
          <w:p>
            <w:pPr>
              <w:pStyle w:val="TableParagraph"/>
              <w:ind w:left="248" w:right="238"/>
              <w:jc w:val="center"/>
              <w:rPr>
                <w:sz w:val="22"/>
              </w:rPr>
            </w:pPr>
            <w:r>
              <w:rPr>
                <w:sz w:val="22"/>
              </w:rPr>
              <w:t>Vidzemes rajona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45</w:t>
            </w:r>
          </w:p>
        </w:tc>
        <w:tc>
          <w:tcPr>
            <w:tcW w:w="2460" w:type="dxa"/>
          </w:tcPr>
          <w:p>
            <w:pPr>
              <w:pStyle w:val="TableParagraph"/>
              <w:spacing w:before="130"/>
              <w:ind w:left="714" w:right="533" w:hanging="156"/>
              <w:rPr>
                <w:sz w:val="22"/>
              </w:rPr>
            </w:pPr>
            <w:r>
              <w:rPr>
                <w:sz w:val="22"/>
              </w:rPr>
              <w:t>CA-0394-18/4, C71207418</w:t>
            </w:r>
          </w:p>
        </w:tc>
        <w:tc>
          <w:tcPr>
            <w:tcW w:w="2592" w:type="dxa"/>
          </w:tcPr>
          <w:p>
            <w:pPr>
              <w:pStyle w:val="TableParagraph"/>
              <w:spacing w:before="4"/>
              <w:rPr>
                <w:b/>
                <w:sz w:val="22"/>
              </w:rPr>
            </w:pPr>
          </w:p>
          <w:p>
            <w:pPr>
              <w:pStyle w:val="TableParagraph"/>
              <w:ind w:left="399" w:right="390"/>
              <w:jc w:val="center"/>
              <w:rPr>
                <w:sz w:val="22"/>
              </w:rPr>
            </w:pPr>
            <w:r>
              <w:rPr>
                <w:sz w:val="22"/>
              </w:rPr>
              <w:t>14.09.2018.</w:t>
            </w:r>
          </w:p>
        </w:tc>
        <w:tc>
          <w:tcPr>
            <w:tcW w:w="3118" w:type="dxa"/>
          </w:tcPr>
          <w:p>
            <w:pPr>
              <w:pStyle w:val="TableParagraph"/>
              <w:spacing w:before="130"/>
              <w:ind w:left="489" w:right="460" w:firstLine="14"/>
              <w:rPr>
                <w:sz w:val="22"/>
              </w:rPr>
            </w:pPr>
            <w:r>
              <w:rPr>
                <w:sz w:val="22"/>
              </w:rPr>
              <w:t>Vidzemes apgabaltiesas Civillietu tiesas kolēģija</w:t>
            </w:r>
          </w:p>
        </w:tc>
      </w:tr>
      <w:tr>
        <w:trPr>
          <w:trHeight w:val="1214" w:hRule="atLeast"/>
        </w:trPr>
        <w:tc>
          <w:tcPr>
            <w:tcW w:w="761" w:type="dxa"/>
          </w:tcPr>
          <w:p>
            <w:pPr>
              <w:pStyle w:val="TableParagraph"/>
              <w:rPr>
                <w:b/>
                <w:sz w:val="22"/>
              </w:rPr>
            </w:pPr>
          </w:p>
          <w:p>
            <w:pPr>
              <w:pStyle w:val="TableParagraph"/>
              <w:spacing w:before="9"/>
              <w:rPr>
                <w:b/>
                <w:sz w:val="18"/>
              </w:rPr>
            </w:pPr>
          </w:p>
          <w:p>
            <w:pPr>
              <w:pStyle w:val="TableParagraph"/>
              <w:ind w:left="268"/>
              <w:rPr>
                <w:rFonts w:ascii="Calibri"/>
                <w:sz w:val="22"/>
              </w:rPr>
            </w:pPr>
            <w:r>
              <w:rPr>
                <w:rFonts w:ascii="Calibri"/>
                <w:sz w:val="22"/>
              </w:rPr>
              <w:t>46</w:t>
            </w:r>
          </w:p>
        </w:tc>
        <w:tc>
          <w:tcPr>
            <w:tcW w:w="2460" w:type="dxa"/>
          </w:tcPr>
          <w:p>
            <w:pPr>
              <w:pStyle w:val="TableParagraph"/>
              <w:rPr>
                <w:b/>
                <w:sz w:val="24"/>
              </w:rPr>
            </w:pPr>
          </w:p>
          <w:p>
            <w:pPr>
              <w:pStyle w:val="TableParagraph"/>
              <w:spacing w:before="197"/>
              <w:ind w:left="714"/>
              <w:rPr>
                <w:sz w:val="22"/>
              </w:rPr>
            </w:pPr>
            <w:r>
              <w:rPr>
                <w:sz w:val="22"/>
              </w:rPr>
              <w:t>C33596715</w:t>
            </w:r>
          </w:p>
        </w:tc>
        <w:tc>
          <w:tcPr>
            <w:tcW w:w="2592" w:type="dxa"/>
          </w:tcPr>
          <w:p>
            <w:pPr>
              <w:pStyle w:val="TableParagraph"/>
              <w:rPr>
                <w:b/>
                <w:sz w:val="24"/>
              </w:rPr>
            </w:pPr>
          </w:p>
          <w:p>
            <w:pPr>
              <w:pStyle w:val="TableParagraph"/>
              <w:spacing w:before="197"/>
              <w:ind w:left="398" w:right="390"/>
              <w:jc w:val="center"/>
              <w:rPr>
                <w:sz w:val="22"/>
              </w:rPr>
            </w:pPr>
            <w:r>
              <w:rPr>
                <w:sz w:val="22"/>
              </w:rPr>
              <w:t>24.02.2016.</w:t>
            </w:r>
          </w:p>
        </w:tc>
        <w:tc>
          <w:tcPr>
            <w:tcW w:w="3118" w:type="dxa"/>
          </w:tcPr>
          <w:p>
            <w:pPr>
              <w:pStyle w:val="TableParagraph"/>
              <w:spacing w:before="3"/>
              <w:rPr>
                <w:b/>
                <w:sz w:val="19"/>
              </w:rPr>
            </w:pPr>
          </w:p>
          <w:p>
            <w:pPr>
              <w:pStyle w:val="TableParagraph"/>
              <w:ind w:left="184" w:right="172" w:firstLine="1"/>
              <w:jc w:val="center"/>
              <w:rPr>
                <w:sz w:val="22"/>
              </w:rPr>
            </w:pPr>
            <w:r>
              <w:rPr>
                <w:sz w:val="22"/>
              </w:rPr>
              <w:t>Rīgas apgabaltiesas Civillietu tiesas kolēģija par Rīgas rajona tiesas spriedumu</w:t>
            </w:r>
          </w:p>
        </w:tc>
      </w:tr>
      <w:tr>
        <w:trPr>
          <w:trHeight w:val="1010" w:hRule="atLeast"/>
        </w:trPr>
        <w:tc>
          <w:tcPr>
            <w:tcW w:w="761" w:type="dxa"/>
          </w:tcPr>
          <w:p>
            <w:pPr>
              <w:pStyle w:val="TableParagraph"/>
              <w:rPr>
                <w:b/>
                <w:sz w:val="32"/>
              </w:rPr>
            </w:pPr>
          </w:p>
          <w:p>
            <w:pPr>
              <w:pStyle w:val="TableParagraph"/>
              <w:ind w:left="268"/>
              <w:rPr>
                <w:rFonts w:ascii="Calibri"/>
                <w:sz w:val="22"/>
              </w:rPr>
            </w:pPr>
            <w:r>
              <w:rPr>
                <w:rFonts w:ascii="Calibri"/>
                <w:sz w:val="22"/>
              </w:rPr>
              <w:t>47</w:t>
            </w:r>
          </w:p>
        </w:tc>
        <w:tc>
          <w:tcPr>
            <w:tcW w:w="2460" w:type="dxa"/>
          </w:tcPr>
          <w:p>
            <w:pPr>
              <w:pStyle w:val="TableParagraph"/>
              <w:spacing w:before="4"/>
              <w:rPr>
                <w:b/>
                <w:sz w:val="32"/>
              </w:rPr>
            </w:pPr>
          </w:p>
          <w:p>
            <w:pPr>
              <w:pStyle w:val="TableParagraph"/>
              <w:spacing w:before="1"/>
              <w:ind w:left="714"/>
              <w:rPr>
                <w:sz w:val="22"/>
              </w:rPr>
            </w:pPr>
            <w:r>
              <w:rPr>
                <w:sz w:val="22"/>
              </w:rPr>
              <w:t>C33443517</w:t>
            </w:r>
          </w:p>
        </w:tc>
        <w:tc>
          <w:tcPr>
            <w:tcW w:w="2592" w:type="dxa"/>
          </w:tcPr>
          <w:p>
            <w:pPr>
              <w:pStyle w:val="TableParagraph"/>
              <w:spacing w:before="4"/>
              <w:rPr>
                <w:b/>
                <w:sz w:val="32"/>
              </w:rPr>
            </w:pPr>
          </w:p>
          <w:p>
            <w:pPr>
              <w:pStyle w:val="TableParagraph"/>
              <w:spacing w:before="1"/>
              <w:ind w:left="398" w:right="390"/>
              <w:jc w:val="center"/>
              <w:rPr>
                <w:sz w:val="22"/>
              </w:rPr>
            </w:pPr>
            <w:r>
              <w:rPr>
                <w:sz w:val="22"/>
              </w:rPr>
              <w:t>14.06.2017.</w:t>
            </w:r>
          </w:p>
        </w:tc>
        <w:tc>
          <w:tcPr>
            <w:tcW w:w="3118" w:type="dxa"/>
          </w:tcPr>
          <w:p>
            <w:pPr>
              <w:pStyle w:val="TableParagraph"/>
              <w:ind w:left="184" w:right="172" w:firstLine="1"/>
              <w:jc w:val="center"/>
              <w:rPr>
                <w:sz w:val="22"/>
              </w:rPr>
            </w:pPr>
            <w:r>
              <w:rPr>
                <w:sz w:val="22"/>
              </w:rPr>
              <w:t>Rīgas apgabaltiesas Civillietu tiesas kolēģija par Rīgas rajona tiesas Jūrmalas tiesu nama</w:t>
            </w:r>
          </w:p>
          <w:p>
            <w:pPr>
              <w:pStyle w:val="TableParagraph"/>
              <w:spacing w:line="237" w:lineRule="exact"/>
              <w:ind w:left="247" w:right="238"/>
              <w:jc w:val="center"/>
              <w:rPr>
                <w:sz w:val="22"/>
              </w:rPr>
            </w:pPr>
            <w:r>
              <w:rPr>
                <w:sz w:val="22"/>
              </w:rPr>
              <w:t>spriedumu</w:t>
            </w:r>
          </w:p>
        </w:tc>
      </w:tr>
    </w:tbl>
    <w:p>
      <w:pPr>
        <w:spacing w:after="0" w:line="237" w:lineRule="exact"/>
        <w:jc w:val="center"/>
        <w:rPr>
          <w:sz w:val="22"/>
        </w:rPr>
        <w:sectPr>
          <w:pgSz w:w="11910" w:h="16840"/>
          <w:pgMar w:header="0" w:footer="1055" w:top="1420" w:bottom="1160" w:left="1180" w:right="1040"/>
        </w:sect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2460"/>
        <w:gridCol w:w="2592"/>
        <w:gridCol w:w="3118"/>
      </w:tblGrid>
      <w:tr>
        <w:trPr>
          <w:trHeight w:val="1055" w:hRule="atLeast"/>
        </w:trPr>
        <w:tc>
          <w:tcPr>
            <w:tcW w:w="761" w:type="dxa"/>
          </w:tcPr>
          <w:p>
            <w:pPr>
              <w:pStyle w:val="TableParagraph"/>
              <w:rPr>
                <w:b/>
                <w:sz w:val="22"/>
              </w:rPr>
            </w:pPr>
          </w:p>
          <w:p>
            <w:pPr>
              <w:pStyle w:val="TableParagraph"/>
              <w:spacing w:before="137"/>
              <w:ind w:left="88" w:right="78"/>
              <w:jc w:val="center"/>
              <w:rPr>
                <w:rFonts w:ascii="Calibri"/>
                <w:sz w:val="22"/>
              </w:rPr>
            </w:pPr>
            <w:r>
              <w:rPr>
                <w:rFonts w:ascii="Calibri"/>
                <w:sz w:val="22"/>
              </w:rPr>
              <w:t>48</w:t>
            </w:r>
          </w:p>
        </w:tc>
        <w:tc>
          <w:tcPr>
            <w:tcW w:w="2460" w:type="dxa"/>
          </w:tcPr>
          <w:p>
            <w:pPr>
              <w:pStyle w:val="TableParagraph"/>
              <w:spacing w:before="3"/>
              <w:rPr>
                <w:b/>
                <w:sz w:val="34"/>
              </w:rPr>
            </w:pPr>
          </w:p>
          <w:p>
            <w:pPr>
              <w:pStyle w:val="TableParagraph"/>
              <w:ind w:left="567" w:right="559"/>
              <w:jc w:val="center"/>
              <w:rPr>
                <w:sz w:val="22"/>
              </w:rPr>
            </w:pPr>
            <w:r>
              <w:rPr>
                <w:sz w:val="22"/>
              </w:rPr>
              <w:t>C17123515</w:t>
            </w:r>
          </w:p>
        </w:tc>
        <w:tc>
          <w:tcPr>
            <w:tcW w:w="2592" w:type="dxa"/>
          </w:tcPr>
          <w:p>
            <w:pPr>
              <w:pStyle w:val="TableParagraph"/>
              <w:spacing w:before="3"/>
              <w:rPr>
                <w:b/>
                <w:sz w:val="34"/>
              </w:rPr>
            </w:pPr>
          </w:p>
          <w:p>
            <w:pPr>
              <w:pStyle w:val="TableParagraph"/>
              <w:ind w:left="772"/>
              <w:rPr>
                <w:sz w:val="22"/>
              </w:rPr>
            </w:pPr>
            <w:r>
              <w:rPr>
                <w:sz w:val="22"/>
              </w:rPr>
              <w:t>12.11.2015.</w:t>
            </w:r>
          </w:p>
        </w:tc>
        <w:tc>
          <w:tcPr>
            <w:tcW w:w="3118" w:type="dxa"/>
          </w:tcPr>
          <w:p>
            <w:pPr>
              <w:pStyle w:val="TableParagraph"/>
              <w:spacing w:before="142"/>
              <w:ind w:left="251" w:right="238"/>
              <w:jc w:val="center"/>
              <w:rPr>
                <w:sz w:val="22"/>
              </w:rPr>
            </w:pPr>
            <w:r>
              <w:rPr>
                <w:sz w:val="22"/>
              </w:rPr>
              <w:t>Rīgas apgabaltiesas Civillietu tiesu kolēģija par Jūrmalas pilsētas tiesas spriedumu</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49</w:t>
            </w:r>
          </w:p>
        </w:tc>
        <w:tc>
          <w:tcPr>
            <w:tcW w:w="2460" w:type="dxa"/>
          </w:tcPr>
          <w:p>
            <w:pPr>
              <w:pStyle w:val="TableParagraph"/>
              <w:spacing w:before="4"/>
              <w:rPr>
                <w:b/>
                <w:sz w:val="22"/>
              </w:rPr>
            </w:pPr>
          </w:p>
          <w:p>
            <w:pPr>
              <w:pStyle w:val="TableParagraph"/>
              <w:ind w:left="567" w:right="559"/>
              <w:jc w:val="center"/>
              <w:rPr>
                <w:sz w:val="22"/>
              </w:rPr>
            </w:pPr>
            <w:r>
              <w:rPr>
                <w:sz w:val="22"/>
              </w:rPr>
              <w:t>C33517515</w:t>
            </w:r>
          </w:p>
        </w:tc>
        <w:tc>
          <w:tcPr>
            <w:tcW w:w="2592" w:type="dxa"/>
          </w:tcPr>
          <w:p>
            <w:pPr>
              <w:pStyle w:val="TableParagraph"/>
              <w:spacing w:before="4"/>
              <w:rPr>
                <w:b/>
                <w:sz w:val="22"/>
              </w:rPr>
            </w:pPr>
          </w:p>
          <w:p>
            <w:pPr>
              <w:pStyle w:val="TableParagraph"/>
              <w:ind w:left="772"/>
              <w:rPr>
                <w:sz w:val="22"/>
              </w:rPr>
            </w:pPr>
            <w:r>
              <w:rPr>
                <w:sz w:val="22"/>
              </w:rPr>
              <w:t>17.11.2015.</w:t>
            </w:r>
          </w:p>
        </w:tc>
        <w:tc>
          <w:tcPr>
            <w:tcW w:w="3118" w:type="dxa"/>
          </w:tcPr>
          <w:p>
            <w:pPr>
              <w:pStyle w:val="TableParagraph"/>
              <w:spacing w:before="5"/>
              <w:ind w:left="184" w:right="172" w:firstLine="1"/>
              <w:jc w:val="center"/>
              <w:rPr>
                <w:sz w:val="22"/>
              </w:rPr>
            </w:pPr>
            <w:r>
              <w:rPr>
                <w:sz w:val="22"/>
              </w:rPr>
              <w:t>Rīgas apgabaltiesas Civillietu tiesas kolēģija par Rīgas rajona</w:t>
            </w:r>
          </w:p>
          <w:p>
            <w:pPr>
              <w:pStyle w:val="TableParagraph"/>
              <w:spacing w:line="248" w:lineRule="exact" w:before="1"/>
              <w:ind w:left="250" w:right="238"/>
              <w:jc w:val="center"/>
              <w:rPr>
                <w:sz w:val="22"/>
              </w:rPr>
            </w:pPr>
            <w:r>
              <w:rPr>
                <w:sz w:val="22"/>
              </w:rPr>
              <w:t>tiesas (Jūrmalā) spriedumu</w:t>
            </w:r>
          </w:p>
        </w:tc>
      </w:tr>
      <w:tr>
        <w:trPr>
          <w:trHeight w:val="782"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50</w:t>
            </w:r>
          </w:p>
        </w:tc>
        <w:tc>
          <w:tcPr>
            <w:tcW w:w="2460" w:type="dxa"/>
          </w:tcPr>
          <w:p>
            <w:pPr>
              <w:pStyle w:val="TableParagraph"/>
              <w:spacing w:before="4"/>
              <w:rPr>
                <w:b/>
                <w:sz w:val="22"/>
              </w:rPr>
            </w:pPr>
          </w:p>
          <w:p>
            <w:pPr>
              <w:pStyle w:val="TableParagraph"/>
              <w:ind w:left="567" w:right="559"/>
              <w:jc w:val="center"/>
              <w:rPr>
                <w:sz w:val="22"/>
              </w:rPr>
            </w:pPr>
            <w:r>
              <w:rPr>
                <w:sz w:val="22"/>
              </w:rPr>
              <w:t>C68374917</w:t>
            </w:r>
          </w:p>
        </w:tc>
        <w:tc>
          <w:tcPr>
            <w:tcW w:w="2592" w:type="dxa"/>
          </w:tcPr>
          <w:p>
            <w:pPr>
              <w:pStyle w:val="TableParagraph"/>
              <w:spacing w:before="4"/>
              <w:rPr>
                <w:b/>
                <w:sz w:val="22"/>
              </w:rPr>
            </w:pPr>
          </w:p>
          <w:p>
            <w:pPr>
              <w:pStyle w:val="TableParagraph"/>
              <w:ind w:left="772"/>
              <w:rPr>
                <w:sz w:val="22"/>
              </w:rPr>
            </w:pPr>
            <w:r>
              <w:rPr>
                <w:sz w:val="22"/>
              </w:rPr>
              <w:t>10.05.2017.</w:t>
            </w:r>
          </w:p>
        </w:tc>
        <w:tc>
          <w:tcPr>
            <w:tcW w:w="3118" w:type="dxa"/>
          </w:tcPr>
          <w:p>
            <w:pPr>
              <w:pStyle w:val="TableParagraph"/>
              <w:spacing w:before="4"/>
              <w:rPr>
                <w:b/>
                <w:sz w:val="22"/>
              </w:rPr>
            </w:pPr>
          </w:p>
          <w:p>
            <w:pPr>
              <w:pStyle w:val="TableParagraph"/>
              <w:ind w:left="138"/>
              <w:rPr>
                <w:sz w:val="22"/>
              </w:rPr>
            </w:pPr>
            <w:r>
              <w:rPr>
                <w:sz w:val="22"/>
              </w:rPr>
              <w:t>Rīgas pilsētas Pārdaugavas tiesa</w:t>
            </w:r>
          </w:p>
        </w:tc>
      </w:tr>
    </w:tbl>
    <w:p>
      <w:pPr>
        <w:pStyle w:val="BodyText"/>
        <w:jc w:val="left"/>
        <w:rPr>
          <w:b/>
          <w:sz w:val="20"/>
        </w:rPr>
      </w:pPr>
    </w:p>
    <w:p>
      <w:pPr>
        <w:pStyle w:val="BodyText"/>
        <w:spacing w:before="1"/>
        <w:jc w:val="left"/>
        <w:rPr>
          <w:b/>
          <w:sz w:val="20"/>
        </w:rPr>
      </w:pPr>
    </w:p>
    <w:p>
      <w:pPr>
        <w:spacing w:before="89"/>
        <w:ind w:left="3891" w:right="421" w:hanging="2974"/>
        <w:jc w:val="left"/>
        <w:rPr>
          <w:b/>
          <w:sz w:val="28"/>
        </w:rPr>
      </w:pPr>
      <w:r>
        <w:rPr>
          <w:b/>
          <w:sz w:val="28"/>
        </w:rPr>
        <w:t>Nolēmumi par bankrota procedūras izbeigšanu, nepasludinot saistību dzēšanas procedūru</w:t>
      </w:r>
    </w:p>
    <w:p>
      <w:pPr>
        <w:pStyle w:val="BodyText"/>
        <w:jc w:val="left"/>
        <w:rPr>
          <w:b/>
          <w:sz w:val="20"/>
        </w:rPr>
      </w:pPr>
    </w:p>
    <w:p>
      <w:pPr>
        <w:pStyle w:val="BodyText"/>
        <w:spacing w:before="1"/>
        <w:jc w:val="left"/>
        <w:rPr>
          <w:b/>
          <w:sz w:val="14"/>
        </w:r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2501"/>
        <w:gridCol w:w="2551"/>
        <w:gridCol w:w="3117"/>
      </w:tblGrid>
      <w:tr>
        <w:trPr>
          <w:trHeight w:val="779" w:hRule="atLeast"/>
        </w:trPr>
        <w:tc>
          <w:tcPr>
            <w:tcW w:w="761" w:type="dxa"/>
          </w:tcPr>
          <w:p>
            <w:pPr>
              <w:pStyle w:val="TableParagraph"/>
              <w:spacing w:before="9"/>
              <w:rPr>
                <w:b/>
                <w:sz w:val="21"/>
              </w:rPr>
            </w:pPr>
          </w:p>
          <w:p>
            <w:pPr>
              <w:pStyle w:val="TableParagraph"/>
              <w:ind w:left="88" w:right="78"/>
              <w:jc w:val="center"/>
              <w:rPr>
                <w:rFonts w:ascii="Calibri"/>
                <w:b/>
                <w:sz w:val="22"/>
              </w:rPr>
            </w:pPr>
            <w:r>
              <w:rPr>
                <w:rFonts w:ascii="Calibri"/>
                <w:b/>
                <w:sz w:val="22"/>
              </w:rPr>
              <w:t>N.p.k.</w:t>
            </w:r>
          </w:p>
        </w:tc>
        <w:tc>
          <w:tcPr>
            <w:tcW w:w="2501" w:type="dxa"/>
          </w:tcPr>
          <w:p>
            <w:pPr>
              <w:pStyle w:val="TableParagraph"/>
              <w:spacing w:before="9"/>
              <w:rPr>
                <w:b/>
                <w:sz w:val="21"/>
              </w:rPr>
            </w:pPr>
          </w:p>
          <w:p>
            <w:pPr>
              <w:pStyle w:val="TableParagraph"/>
              <w:ind w:left="184" w:right="176"/>
              <w:jc w:val="center"/>
              <w:rPr>
                <w:rFonts w:ascii="Calibri"/>
                <w:b/>
                <w:sz w:val="22"/>
              </w:rPr>
            </w:pPr>
            <w:r>
              <w:rPr>
                <w:rFonts w:ascii="Calibri"/>
                <w:b/>
                <w:sz w:val="22"/>
              </w:rPr>
              <w:t>Lietas numurs</w:t>
            </w:r>
          </w:p>
        </w:tc>
        <w:tc>
          <w:tcPr>
            <w:tcW w:w="2551" w:type="dxa"/>
          </w:tcPr>
          <w:p>
            <w:pPr>
              <w:pStyle w:val="TableParagraph"/>
              <w:spacing w:before="9"/>
              <w:rPr>
                <w:b/>
                <w:sz w:val="21"/>
              </w:rPr>
            </w:pPr>
          </w:p>
          <w:p>
            <w:pPr>
              <w:pStyle w:val="TableParagraph"/>
              <w:ind w:left="366" w:right="354"/>
              <w:jc w:val="center"/>
              <w:rPr>
                <w:rFonts w:ascii="Calibri" w:hAnsi="Calibri"/>
                <w:b/>
                <w:sz w:val="22"/>
              </w:rPr>
            </w:pPr>
            <w:r>
              <w:rPr>
                <w:rFonts w:ascii="Calibri" w:hAnsi="Calibri"/>
                <w:b/>
                <w:sz w:val="22"/>
              </w:rPr>
              <w:t>Nolēmuma datums</w:t>
            </w:r>
          </w:p>
        </w:tc>
        <w:tc>
          <w:tcPr>
            <w:tcW w:w="3117" w:type="dxa"/>
          </w:tcPr>
          <w:p>
            <w:pPr>
              <w:pStyle w:val="TableParagraph"/>
              <w:spacing w:before="9"/>
              <w:rPr>
                <w:b/>
                <w:sz w:val="21"/>
              </w:rPr>
            </w:pPr>
          </w:p>
          <w:p>
            <w:pPr>
              <w:pStyle w:val="TableParagraph"/>
              <w:ind w:left="119" w:right="104"/>
              <w:jc w:val="center"/>
              <w:rPr>
                <w:rFonts w:ascii="Calibri"/>
                <w:b/>
                <w:sz w:val="22"/>
              </w:rPr>
            </w:pPr>
            <w:r>
              <w:rPr>
                <w:rFonts w:ascii="Calibri"/>
                <w:b/>
                <w:sz w:val="22"/>
              </w:rPr>
              <w:t>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1</w:t>
            </w:r>
          </w:p>
        </w:tc>
        <w:tc>
          <w:tcPr>
            <w:tcW w:w="2501" w:type="dxa"/>
          </w:tcPr>
          <w:p>
            <w:pPr>
              <w:pStyle w:val="TableParagraph"/>
              <w:spacing w:before="4"/>
              <w:rPr>
                <w:b/>
                <w:sz w:val="22"/>
              </w:rPr>
            </w:pPr>
          </w:p>
          <w:p>
            <w:pPr>
              <w:pStyle w:val="TableParagraph"/>
              <w:ind w:left="184" w:right="174"/>
              <w:jc w:val="center"/>
              <w:rPr>
                <w:sz w:val="22"/>
              </w:rPr>
            </w:pPr>
            <w:r>
              <w:rPr>
                <w:sz w:val="22"/>
              </w:rPr>
              <w:t>C35072211</w:t>
            </w:r>
          </w:p>
        </w:tc>
        <w:tc>
          <w:tcPr>
            <w:tcW w:w="2551" w:type="dxa"/>
          </w:tcPr>
          <w:p>
            <w:pPr>
              <w:pStyle w:val="TableParagraph"/>
              <w:spacing w:before="4"/>
              <w:rPr>
                <w:b/>
                <w:sz w:val="22"/>
              </w:rPr>
            </w:pPr>
          </w:p>
          <w:p>
            <w:pPr>
              <w:pStyle w:val="TableParagraph"/>
              <w:ind w:left="365" w:right="355"/>
              <w:jc w:val="center"/>
              <w:rPr>
                <w:sz w:val="22"/>
              </w:rPr>
            </w:pPr>
            <w:r>
              <w:rPr>
                <w:sz w:val="22"/>
              </w:rPr>
              <w:t>10.02.2015.</w:t>
            </w:r>
          </w:p>
        </w:tc>
        <w:tc>
          <w:tcPr>
            <w:tcW w:w="3117" w:type="dxa"/>
          </w:tcPr>
          <w:p>
            <w:pPr>
              <w:pStyle w:val="TableParagraph"/>
              <w:spacing w:before="4"/>
              <w:rPr>
                <w:b/>
                <w:sz w:val="22"/>
              </w:rPr>
            </w:pPr>
          </w:p>
          <w:p>
            <w:pPr>
              <w:pStyle w:val="TableParagraph"/>
              <w:ind w:left="118" w:right="106"/>
              <w:jc w:val="center"/>
              <w:rPr>
                <w:sz w:val="22"/>
              </w:rPr>
            </w:pPr>
            <w:r>
              <w:rPr>
                <w:sz w:val="22"/>
              </w:rPr>
              <w:t>Siguldas 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2</w:t>
            </w:r>
          </w:p>
        </w:tc>
        <w:tc>
          <w:tcPr>
            <w:tcW w:w="2501" w:type="dxa"/>
          </w:tcPr>
          <w:p>
            <w:pPr>
              <w:pStyle w:val="TableParagraph"/>
              <w:spacing w:before="4"/>
              <w:rPr>
                <w:b/>
                <w:sz w:val="22"/>
              </w:rPr>
            </w:pPr>
          </w:p>
          <w:p>
            <w:pPr>
              <w:pStyle w:val="TableParagraph"/>
              <w:ind w:left="184" w:right="174"/>
              <w:jc w:val="center"/>
              <w:rPr>
                <w:sz w:val="22"/>
              </w:rPr>
            </w:pPr>
            <w:r>
              <w:rPr>
                <w:sz w:val="22"/>
              </w:rPr>
              <w:t>C36061711</w:t>
            </w:r>
          </w:p>
        </w:tc>
        <w:tc>
          <w:tcPr>
            <w:tcW w:w="2551" w:type="dxa"/>
          </w:tcPr>
          <w:p>
            <w:pPr>
              <w:pStyle w:val="TableParagraph"/>
              <w:spacing w:before="4"/>
              <w:rPr>
                <w:b/>
                <w:sz w:val="22"/>
              </w:rPr>
            </w:pPr>
          </w:p>
          <w:p>
            <w:pPr>
              <w:pStyle w:val="TableParagraph"/>
              <w:ind w:left="365" w:right="355"/>
              <w:jc w:val="center"/>
              <w:rPr>
                <w:sz w:val="22"/>
              </w:rPr>
            </w:pPr>
            <w:r>
              <w:rPr>
                <w:sz w:val="22"/>
              </w:rPr>
              <w:t>16.02.2015.</w:t>
            </w:r>
          </w:p>
        </w:tc>
        <w:tc>
          <w:tcPr>
            <w:tcW w:w="3117" w:type="dxa"/>
          </w:tcPr>
          <w:p>
            <w:pPr>
              <w:pStyle w:val="TableParagraph"/>
              <w:spacing w:before="4"/>
              <w:rPr>
                <w:b/>
                <w:sz w:val="22"/>
              </w:rPr>
            </w:pPr>
          </w:p>
          <w:p>
            <w:pPr>
              <w:pStyle w:val="TableParagraph"/>
              <w:ind w:left="118" w:right="106"/>
              <w:jc w:val="center"/>
              <w:rPr>
                <w:sz w:val="22"/>
              </w:rPr>
            </w:pPr>
            <w:r>
              <w:rPr>
                <w:sz w:val="22"/>
              </w:rPr>
              <w:t>Talsu rajona 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3</w:t>
            </w:r>
          </w:p>
        </w:tc>
        <w:tc>
          <w:tcPr>
            <w:tcW w:w="2501" w:type="dxa"/>
          </w:tcPr>
          <w:p>
            <w:pPr>
              <w:pStyle w:val="TableParagraph"/>
              <w:spacing w:before="4"/>
              <w:rPr>
                <w:b/>
                <w:sz w:val="22"/>
              </w:rPr>
            </w:pPr>
          </w:p>
          <w:p>
            <w:pPr>
              <w:pStyle w:val="TableParagraph"/>
              <w:ind w:left="184" w:right="174"/>
              <w:jc w:val="center"/>
              <w:rPr>
                <w:sz w:val="22"/>
              </w:rPr>
            </w:pPr>
            <w:r>
              <w:rPr>
                <w:sz w:val="22"/>
              </w:rPr>
              <w:t>C35086013</w:t>
            </w:r>
          </w:p>
        </w:tc>
        <w:tc>
          <w:tcPr>
            <w:tcW w:w="2551" w:type="dxa"/>
          </w:tcPr>
          <w:p>
            <w:pPr>
              <w:pStyle w:val="TableParagraph"/>
              <w:spacing w:before="4"/>
              <w:rPr>
                <w:b/>
                <w:sz w:val="22"/>
              </w:rPr>
            </w:pPr>
          </w:p>
          <w:p>
            <w:pPr>
              <w:pStyle w:val="TableParagraph"/>
              <w:ind w:left="365" w:right="355"/>
              <w:jc w:val="center"/>
              <w:rPr>
                <w:sz w:val="22"/>
              </w:rPr>
            </w:pPr>
            <w:r>
              <w:rPr>
                <w:sz w:val="22"/>
              </w:rPr>
              <w:t>10.03.2014.</w:t>
            </w:r>
          </w:p>
        </w:tc>
        <w:tc>
          <w:tcPr>
            <w:tcW w:w="3117" w:type="dxa"/>
          </w:tcPr>
          <w:p>
            <w:pPr>
              <w:pStyle w:val="TableParagraph"/>
              <w:spacing w:before="4"/>
              <w:rPr>
                <w:b/>
                <w:sz w:val="22"/>
              </w:rPr>
            </w:pPr>
          </w:p>
          <w:p>
            <w:pPr>
              <w:pStyle w:val="TableParagraph"/>
              <w:ind w:left="118" w:right="106"/>
              <w:jc w:val="center"/>
              <w:rPr>
                <w:sz w:val="22"/>
              </w:rPr>
            </w:pPr>
            <w:r>
              <w:rPr>
                <w:sz w:val="22"/>
              </w:rPr>
              <w:t>Siguldas tiesa</w:t>
            </w:r>
          </w:p>
        </w:tc>
      </w:tr>
      <w:tr>
        <w:trPr>
          <w:trHeight w:val="781"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4</w:t>
            </w:r>
          </w:p>
        </w:tc>
        <w:tc>
          <w:tcPr>
            <w:tcW w:w="2501" w:type="dxa"/>
          </w:tcPr>
          <w:p>
            <w:pPr>
              <w:pStyle w:val="TableParagraph"/>
              <w:spacing w:before="4"/>
              <w:rPr>
                <w:b/>
                <w:sz w:val="22"/>
              </w:rPr>
            </w:pPr>
          </w:p>
          <w:p>
            <w:pPr>
              <w:pStyle w:val="TableParagraph"/>
              <w:ind w:left="184" w:right="174"/>
              <w:jc w:val="center"/>
              <w:rPr>
                <w:sz w:val="22"/>
              </w:rPr>
            </w:pPr>
            <w:r>
              <w:rPr>
                <w:sz w:val="22"/>
              </w:rPr>
              <w:t>C11061513</w:t>
            </w:r>
          </w:p>
        </w:tc>
        <w:tc>
          <w:tcPr>
            <w:tcW w:w="2551" w:type="dxa"/>
          </w:tcPr>
          <w:p>
            <w:pPr>
              <w:pStyle w:val="TableParagraph"/>
              <w:spacing w:before="4"/>
              <w:rPr>
                <w:b/>
                <w:sz w:val="22"/>
              </w:rPr>
            </w:pPr>
          </w:p>
          <w:p>
            <w:pPr>
              <w:pStyle w:val="TableParagraph"/>
              <w:ind w:left="365" w:right="355"/>
              <w:jc w:val="center"/>
              <w:rPr>
                <w:sz w:val="22"/>
              </w:rPr>
            </w:pPr>
            <w:r>
              <w:rPr>
                <w:sz w:val="22"/>
              </w:rPr>
              <w:t>03.01.2014.</w:t>
            </w:r>
          </w:p>
        </w:tc>
        <w:tc>
          <w:tcPr>
            <w:tcW w:w="3117" w:type="dxa"/>
          </w:tcPr>
          <w:p>
            <w:pPr>
              <w:pStyle w:val="TableParagraph"/>
              <w:spacing w:before="4"/>
              <w:rPr>
                <w:b/>
                <w:sz w:val="22"/>
              </w:rPr>
            </w:pPr>
          </w:p>
          <w:p>
            <w:pPr>
              <w:pStyle w:val="TableParagraph"/>
              <w:ind w:left="119" w:right="105"/>
              <w:jc w:val="center"/>
              <w:rPr>
                <w:sz w:val="22"/>
              </w:rPr>
            </w:pPr>
            <w:r>
              <w:rPr>
                <w:sz w:val="22"/>
              </w:rPr>
              <w:t>Cēsu rajona tiesa</w:t>
            </w:r>
          </w:p>
        </w:tc>
      </w:tr>
      <w:tr>
        <w:trPr>
          <w:trHeight w:val="779" w:hRule="atLeast"/>
        </w:trPr>
        <w:tc>
          <w:tcPr>
            <w:tcW w:w="761" w:type="dxa"/>
          </w:tcPr>
          <w:p>
            <w:pPr>
              <w:pStyle w:val="TableParagraph"/>
              <w:spacing w:before="9"/>
              <w:rPr>
                <w:b/>
                <w:sz w:val="21"/>
              </w:rPr>
            </w:pPr>
          </w:p>
          <w:p>
            <w:pPr>
              <w:pStyle w:val="TableParagraph"/>
              <w:ind w:left="8"/>
              <w:jc w:val="center"/>
              <w:rPr>
                <w:rFonts w:ascii="Calibri"/>
                <w:sz w:val="22"/>
              </w:rPr>
            </w:pPr>
            <w:r>
              <w:rPr>
                <w:rFonts w:ascii="Calibri"/>
                <w:w w:val="100"/>
                <w:sz w:val="22"/>
              </w:rPr>
              <w:t>5</w:t>
            </w:r>
          </w:p>
        </w:tc>
        <w:tc>
          <w:tcPr>
            <w:tcW w:w="2501" w:type="dxa"/>
          </w:tcPr>
          <w:p>
            <w:pPr>
              <w:pStyle w:val="TableParagraph"/>
              <w:spacing w:before="4"/>
              <w:rPr>
                <w:b/>
                <w:sz w:val="22"/>
              </w:rPr>
            </w:pPr>
          </w:p>
          <w:p>
            <w:pPr>
              <w:pStyle w:val="TableParagraph"/>
              <w:ind w:left="184" w:right="174"/>
              <w:jc w:val="center"/>
              <w:rPr>
                <w:sz w:val="22"/>
              </w:rPr>
            </w:pPr>
            <w:r>
              <w:rPr>
                <w:sz w:val="22"/>
              </w:rPr>
              <w:t>C33394611</w:t>
            </w:r>
          </w:p>
        </w:tc>
        <w:tc>
          <w:tcPr>
            <w:tcW w:w="2551" w:type="dxa"/>
          </w:tcPr>
          <w:p>
            <w:pPr>
              <w:pStyle w:val="TableParagraph"/>
              <w:spacing w:before="4"/>
              <w:rPr>
                <w:b/>
                <w:sz w:val="22"/>
              </w:rPr>
            </w:pPr>
          </w:p>
          <w:p>
            <w:pPr>
              <w:pStyle w:val="TableParagraph"/>
              <w:ind w:left="365" w:right="355"/>
              <w:jc w:val="center"/>
              <w:rPr>
                <w:sz w:val="22"/>
              </w:rPr>
            </w:pPr>
            <w:r>
              <w:rPr>
                <w:sz w:val="22"/>
              </w:rPr>
              <w:t>31.01.2014.</w:t>
            </w:r>
          </w:p>
        </w:tc>
        <w:tc>
          <w:tcPr>
            <w:tcW w:w="3117" w:type="dxa"/>
          </w:tcPr>
          <w:p>
            <w:pPr>
              <w:pStyle w:val="TableParagraph"/>
              <w:spacing w:before="4"/>
              <w:rPr>
                <w:b/>
                <w:sz w:val="22"/>
              </w:rPr>
            </w:pPr>
          </w:p>
          <w:p>
            <w:pPr>
              <w:pStyle w:val="TableParagraph"/>
              <w:ind w:left="118" w:right="106"/>
              <w:jc w:val="center"/>
              <w:rPr>
                <w:sz w:val="22"/>
              </w:rPr>
            </w:pPr>
            <w:r>
              <w:rPr>
                <w:sz w:val="22"/>
              </w:rPr>
              <w:t>Rīgas rajona tiesa</w:t>
            </w:r>
          </w:p>
        </w:tc>
      </w:tr>
      <w:tr>
        <w:trPr>
          <w:trHeight w:val="779" w:hRule="atLeast"/>
        </w:trPr>
        <w:tc>
          <w:tcPr>
            <w:tcW w:w="761" w:type="dxa"/>
          </w:tcPr>
          <w:p>
            <w:pPr>
              <w:pStyle w:val="TableParagraph"/>
              <w:spacing w:before="9"/>
              <w:rPr>
                <w:b/>
                <w:sz w:val="21"/>
              </w:rPr>
            </w:pPr>
          </w:p>
          <w:p>
            <w:pPr>
              <w:pStyle w:val="TableParagraph"/>
              <w:ind w:left="8"/>
              <w:jc w:val="center"/>
              <w:rPr>
                <w:rFonts w:ascii="Calibri"/>
                <w:sz w:val="22"/>
              </w:rPr>
            </w:pPr>
            <w:r>
              <w:rPr>
                <w:rFonts w:ascii="Calibri"/>
                <w:w w:val="100"/>
                <w:sz w:val="22"/>
              </w:rPr>
              <w:t>6</w:t>
            </w:r>
          </w:p>
        </w:tc>
        <w:tc>
          <w:tcPr>
            <w:tcW w:w="2501" w:type="dxa"/>
          </w:tcPr>
          <w:p>
            <w:pPr>
              <w:pStyle w:val="TableParagraph"/>
              <w:spacing w:before="4"/>
              <w:rPr>
                <w:b/>
                <w:sz w:val="22"/>
              </w:rPr>
            </w:pPr>
          </w:p>
          <w:p>
            <w:pPr>
              <w:pStyle w:val="TableParagraph"/>
              <w:ind w:left="184" w:right="174"/>
              <w:jc w:val="center"/>
              <w:rPr>
                <w:sz w:val="22"/>
              </w:rPr>
            </w:pPr>
            <w:r>
              <w:rPr>
                <w:sz w:val="22"/>
              </w:rPr>
              <w:t>C28358611</w:t>
            </w:r>
          </w:p>
        </w:tc>
        <w:tc>
          <w:tcPr>
            <w:tcW w:w="2551" w:type="dxa"/>
          </w:tcPr>
          <w:p>
            <w:pPr>
              <w:pStyle w:val="TableParagraph"/>
              <w:spacing w:before="4"/>
              <w:rPr>
                <w:b/>
                <w:sz w:val="22"/>
              </w:rPr>
            </w:pPr>
          </w:p>
          <w:p>
            <w:pPr>
              <w:pStyle w:val="TableParagraph"/>
              <w:ind w:left="365" w:right="355"/>
              <w:jc w:val="center"/>
              <w:rPr>
                <w:sz w:val="22"/>
              </w:rPr>
            </w:pPr>
            <w:r>
              <w:rPr>
                <w:sz w:val="22"/>
              </w:rPr>
              <w:t>07.11.2014.</w:t>
            </w:r>
          </w:p>
        </w:tc>
        <w:tc>
          <w:tcPr>
            <w:tcW w:w="3117" w:type="dxa"/>
          </w:tcPr>
          <w:p>
            <w:pPr>
              <w:pStyle w:val="TableParagraph"/>
              <w:spacing w:before="130"/>
              <w:ind w:left="1358" w:right="145" w:hanging="1184"/>
              <w:rPr>
                <w:sz w:val="22"/>
              </w:rPr>
            </w:pPr>
            <w:r>
              <w:rPr>
                <w:sz w:val="22"/>
              </w:rPr>
              <w:t>Rīgas pilsētas Kurzemes rajona 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7</w:t>
            </w:r>
          </w:p>
        </w:tc>
        <w:tc>
          <w:tcPr>
            <w:tcW w:w="2501" w:type="dxa"/>
          </w:tcPr>
          <w:p>
            <w:pPr>
              <w:pStyle w:val="TableParagraph"/>
              <w:spacing w:before="4"/>
              <w:rPr>
                <w:b/>
                <w:sz w:val="22"/>
              </w:rPr>
            </w:pPr>
          </w:p>
          <w:p>
            <w:pPr>
              <w:pStyle w:val="TableParagraph"/>
              <w:ind w:left="184" w:right="174"/>
              <w:jc w:val="center"/>
              <w:rPr>
                <w:sz w:val="22"/>
              </w:rPr>
            </w:pPr>
            <w:r>
              <w:rPr>
                <w:sz w:val="22"/>
              </w:rPr>
              <w:t>C20203413</w:t>
            </w:r>
          </w:p>
        </w:tc>
        <w:tc>
          <w:tcPr>
            <w:tcW w:w="2551" w:type="dxa"/>
          </w:tcPr>
          <w:p>
            <w:pPr>
              <w:pStyle w:val="TableParagraph"/>
              <w:spacing w:before="4"/>
              <w:rPr>
                <w:b/>
                <w:sz w:val="22"/>
              </w:rPr>
            </w:pPr>
          </w:p>
          <w:p>
            <w:pPr>
              <w:pStyle w:val="TableParagraph"/>
              <w:ind w:left="365" w:right="355"/>
              <w:jc w:val="center"/>
              <w:rPr>
                <w:sz w:val="22"/>
              </w:rPr>
            </w:pPr>
            <w:r>
              <w:rPr>
                <w:sz w:val="22"/>
              </w:rPr>
              <w:t>03.01.2014.</w:t>
            </w:r>
          </w:p>
        </w:tc>
        <w:tc>
          <w:tcPr>
            <w:tcW w:w="3117" w:type="dxa"/>
          </w:tcPr>
          <w:p>
            <w:pPr>
              <w:pStyle w:val="TableParagraph"/>
              <w:spacing w:before="4"/>
              <w:rPr>
                <w:b/>
                <w:sz w:val="22"/>
              </w:rPr>
            </w:pPr>
          </w:p>
          <w:p>
            <w:pPr>
              <w:pStyle w:val="TableParagraph"/>
              <w:ind w:left="117" w:right="106"/>
              <w:jc w:val="center"/>
              <w:rPr>
                <w:sz w:val="22"/>
              </w:rPr>
            </w:pPr>
            <w:r>
              <w:rPr>
                <w:sz w:val="22"/>
              </w:rPr>
              <w:t>Liepājas 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8</w:t>
            </w:r>
          </w:p>
        </w:tc>
        <w:tc>
          <w:tcPr>
            <w:tcW w:w="2501" w:type="dxa"/>
          </w:tcPr>
          <w:p>
            <w:pPr>
              <w:pStyle w:val="TableParagraph"/>
              <w:spacing w:before="4"/>
              <w:rPr>
                <w:b/>
                <w:sz w:val="22"/>
              </w:rPr>
            </w:pPr>
          </w:p>
          <w:p>
            <w:pPr>
              <w:pStyle w:val="TableParagraph"/>
              <w:ind w:left="184" w:right="174"/>
              <w:jc w:val="center"/>
              <w:rPr>
                <w:sz w:val="22"/>
              </w:rPr>
            </w:pPr>
            <w:r>
              <w:rPr>
                <w:sz w:val="22"/>
              </w:rPr>
              <w:t>C21045514</w:t>
            </w:r>
          </w:p>
        </w:tc>
        <w:tc>
          <w:tcPr>
            <w:tcW w:w="2551" w:type="dxa"/>
          </w:tcPr>
          <w:p>
            <w:pPr>
              <w:pStyle w:val="TableParagraph"/>
              <w:spacing w:before="4"/>
              <w:rPr>
                <w:b/>
                <w:sz w:val="22"/>
              </w:rPr>
            </w:pPr>
          </w:p>
          <w:p>
            <w:pPr>
              <w:pStyle w:val="TableParagraph"/>
              <w:ind w:left="365" w:right="355"/>
              <w:jc w:val="center"/>
              <w:rPr>
                <w:sz w:val="22"/>
              </w:rPr>
            </w:pPr>
            <w:r>
              <w:rPr>
                <w:sz w:val="22"/>
              </w:rPr>
              <w:t>04.11.2014.</w:t>
            </w:r>
          </w:p>
        </w:tc>
        <w:tc>
          <w:tcPr>
            <w:tcW w:w="3117" w:type="dxa"/>
          </w:tcPr>
          <w:p>
            <w:pPr>
              <w:pStyle w:val="TableParagraph"/>
              <w:spacing w:before="4"/>
              <w:rPr>
                <w:b/>
                <w:sz w:val="22"/>
              </w:rPr>
            </w:pPr>
          </w:p>
          <w:p>
            <w:pPr>
              <w:pStyle w:val="TableParagraph"/>
              <w:ind w:left="116" w:right="106"/>
              <w:jc w:val="center"/>
              <w:rPr>
                <w:sz w:val="22"/>
              </w:rPr>
            </w:pPr>
            <w:r>
              <w:rPr>
                <w:sz w:val="22"/>
              </w:rPr>
              <w:t>Limbažu rajona tiesa</w:t>
            </w:r>
          </w:p>
        </w:tc>
      </w:tr>
      <w:tr>
        <w:trPr>
          <w:trHeight w:val="779" w:hRule="atLeast"/>
        </w:trPr>
        <w:tc>
          <w:tcPr>
            <w:tcW w:w="761" w:type="dxa"/>
          </w:tcPr>
          <w:p>
            <w:pPr>
              <w:pStyle w:val="TableParagraph"/>
              <w:rPr>
                <w:b/>
                <w:sz w:val="22"/>
              </w:rPr>
            </w:pPr>
          </w:p>
          <w:p>
            <w:pPr>
              <w:pStyle w:val="TableParagraph"/>
              <w:ind w:left="8"/>
              <w:jc w:val="center"/>
              <w:rPr>
                <w:rFonts w:ascii="Calibri"/>
                <w:sz w:val="22"/>
              </w:rPr>
            </w:pPr>
            <w:r>
              <w:rPr>
                <w:rFonts w:ascii="Calibri"/>
                <w:w w:val="100"/>
                <w:sz w:val="22"/>
              </w:rPr>
              <w:t>9</w:t>
            </w:r>
          </w:p>
        </w:tc>
        <w:tc>
          <w:tcPr>
            <w:tcW w:w="2501" w:type="dxa"/>
          </w:tcPr>
          <w:p>
            <w:pPr>
              <w:pStyle w:val="TableParagraph"/>
              <w:spacing w:before="4"/>
              <w:rPr>
                <w:b/>
                <w:sz w:val="22"/>
              </w:rPr>
            </w:pPr>
          </w:p>
          <w:p>
            <w:pPr>
              <w:pStyle w:val="TableParagraph"/>
              <w:ind w:left="184" w:right="174"/>
              <w:jc w:val="center"/>
              <w:rPr>
                <w:sz w:val="22"/>
              </w:rPr>
            </w:pPr>
            <w:r>
              <w:rPr>
                <w:sz w:val="22"/>
              </w:rPr>
              <w:t>C24141013</w:t>
            </w:r>
          </w:p>
        </w:tc>
        <w:tc>
          <w:tcPr>
            <w:tcW w:w="2551" w:type="dxa"/>
          </w:tcPr>
          <w:p>
            <w:pPr>
              <w:pStyle w:val="TableParagraph"/>
              <w:spacing w:before="4"/>
              <w:rPr>
                <w:b/>
                <w:sz w:val="22"/>
              </w:rPr>
            </w:pPr>
          </w:p>
          <w:p>
            <w:pPr>
              <w:pStyle w:val="TableParagraph"/>
              <w:ind w:left="365" w:right="355"/>
              <w:jc w:val="center"/>
              <w:rPr>
                <w:sz w:val="22"/>
              </w:rPr>
            </w:pPr>
            <w:r>
              <w:rPr>
                <w:sz w:val="22"/>
              </w:rPr>
              <w:t>23.09.2014.</w:t>
            </w:r>
          </w:p>
        </w:tc>
        <w:tc>
          <w:tcPr>
            <w:tcW w:w="3117" w:type="dxa"/>
          </w:tcPr>
          <w:p>
            <w:pPr>
              <w:pStyle w:val="TableParagraph"/>
              <w:spacing w:before="4"/>
              <w:rPr>
                <w:b/>
                <w:sz w:val="22"/>
              </w:rPr>
            </w:pPr>
          </w:p>
          <w:p>
            <w:pPr>
              <w:pStyle w:val="TableParagraph"/>
              <w:ind w:left="119" w:right="105"/>
              <w:jc w:val="center"/>
              <w:rPr>
                <w:sz w:val="22"/>
              </w:rPr>
            </w:pPr>
            <w:r>
              <w:rPr>
                <w:sz w:val="22"/>
              </w:rPr>
              <w:t>Ogres rajona tiesa</w:t>
            </w:r>
          </w:p>
        </w:tc>
      </w:tr>
      <w:tr>
        <w:trPr>
          <w:trHeight w:val="781"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10</w:t>
            </w:r>
          </w:p>
        </w:tc>
        <w:tc>
          <w:tcPr>
            <w:tcW w:w="2501" w:type="dxa"/>
          </w:tcPr>
          <w:p>
            <w:pPr>
              <w:pStyle w:val="TableParagraph"/>
              <w:spacing w:before="4"/>
              <w:rPr>
                <w:b/>
                <w:sz w:val="22"/>
              </w:rPr>
            </w:pPr>
          </w:p>
          <w:p>
            <w:pPr>
              <w:pStyle w:val="TableParagraph"/>
              <w:ind w:left="184" w:right="174"/>
              <w:jc w:val="center"/>
              <w:rPr>
                <w:sz w:val="22"/>
              </w:rPr>
            </w:pPr>
            <w:r>
              <w:rPr>
                <w:sz w:val="22"/>
              </w:rPr>
              <w:t>C35073914</w:t>
            </w:r>
          </w:p>
        </w:tc>
        <w:tc>
          <w:tcPr>
            <w:tcW w:w="2551" w:type="dxa"/>
          </w:tcPr>
          <w:p>
            <w:pPr>
              <w:pStyle w:val="TableParagraph"/>
              <w:spacing w:before="4"/>
              <w:rPr>
                <w:b/>
                <w:sz w:val="22"/>
              </w:rPr>
            </w:pPr>
          </w:p>
          <w:p>
            <w:pPr>
              <w:pStyle w:val="TableParagraph"/>
              <w:ind w:left="365" w:right="355"/>
              <w:jc w:val="center"/>
              <w:rPr>
                <w:sz w:val="22"/>
              </w:rPr>
            </w:pPr>
            <w:r>
              <w:rPr>
                <w:sz w:val="22"/>
              </w:rPr>
              <w:t>05.11.2014.</w:t>
            </w:r>
          </w:p>
        </w:tc>
        <w:tc>
          <w:tcPr>
            <w:tcW w:w="3117" w:type="dxa"/>
          </w:tcPr>
          <w:p>
            <w:pPr>
              <w:pStyle w:val="TableParagraph"/>
              <w:spacing w:before="4"/>
              <w:rPr>
                <w:b/>
                <w:sz w:val="22"/>
              </w:rPr>
            </w:pPr>
          </w:p>
          <w:p>
            <w:pPr>
              <w:pStyle w:val="TableParagraph"/>
              <w:ind w:left="118" w:right="106"/>
              <w:jc w:val="center"/>
              <w:rPr>
                <w:sz w:val="22"/>
              </w:rPr>
            </w:pPr>
            <w:r>
              <w:rPr>
                <w:sz w:val="22"/>
              </w:rPr>
              <w:t>Siguldas tiesa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11</w:t>
            </w:r>
          </w:p>
        </w:tc>
        <w:tc>
          <w:tcPr>
            <w:tcW w:w="2501" w:type="dxa"/>
          </w:tcPr>
          <w:p>
            <w:pPr>
              <w:pStyle w:val="TableParagraph"/>
              <w:spacing w:before="4"/>
              <w:rPr>
                <w:b/>
                <w:sz w:val="22"/>
              </w:rPr>
            </w:pPr>
          </w:p>
          <w:p>
            <w:pPr>
              <w:pStyle w:val="TableParagraph"/>
              <w:ind w:left="184" w:right="174"/>
              <w:jc w:val="center"/>
              <w:rPr>
                <w:sz w:val="22"/>
              </w:rPr>
            </w:pPr>
            <w:r>
              <w:rPr>
                <w:sz w:val="22"/>
              </w:rPr>
              <w:t>C35076614</w:t>
            </w:r>
          </w:p>
        </w:tc>
        <w:tc>
          <w:tcPr>
            <w:tcW w:w="2551" w:type="dxa"/>
          </w:tcPr>
          <w:p>
            <w:pPr>
              <w:pStyle w:val="TableParagraph"/>
              <w:spacing w:before="4"/>
              <w:rPr>
                <w:b/>
                <w:sz w:val="22"/>
              </w:rPr>
            </w:pPr>
          </w:p>
          <w:p>
            <w:pPr>
              <w:pStyle w:val="TableParagraph"/>
              <w:ind w:left="365" w:right="355"/>
              <w:jc w:val="center"/>
              <w:rPr>
                <w:sz w:val="22"/>
              </w:rPr>
            </w:pPr>
            <w:r>
              <w:rPr>
                <w:sz w:val="22"/>
              </w:rPr>
              <w:t>31.10.2014.</w:t>
            </w:r>
          </w:p>
        </w:tc>
        <w:tc>
          <w:tcPr>
            <w:tcW w:w="3117" w:type="dxa"/>
          </w:tcPr>
          <w:p>
            <w:pPr>
              <w:pStyle w:val="TableParagraph"/>
              <w:spacing w:before="4"/>
              <w:rPr>
                <w:b/>
                <w:sz w:val="22"/>
              </w:rPr>
            </w:pPr>
          </w:p>
          <w:p>
            <w:pPr>
              <w:pStyle w:val="TableParagraph"/>
              <w:ind w:left="118" w:right="106"/>
              <w:jc w:val="center"/>
              <w:rPr>
                <w:sz w:val="22"/>
              </w:rPr>
            </w:pPr>
            <w:r>
              <w:rPr>
                <w:sz w:val="22"/>
              </w:rPr>
              <w:t>Siguldas tiesa</w:t>
            </w:r>
          </w:p>
        </w:tc>
      </w:tr>
    </w:tbl>
    <w:p>
      <w:pPr>
        <w:spacing w:after="0"/>
        <w:jc w:val="center"/>
        <w:rPr>
          <w:sz w:val="22"/>
        </w:rPr>
        <w:sectPr>
          <w:pgSz w:w="11910" w:h="16840"/>
          <w:pgMar w:header="0" w:footer="1055" w:top="1420" w:bottom="1160" w:left="1180" w:right="104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2501"/>
        <w:gridCol w:w="2551"/>
        <w:gridCol w:w="3117"/>
      </w:tblGrid>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12</w:t>
            </w:r>
          </w:p>
        </w:tc>
        <w:tc>
          <w:tcPr>
            <w:tcW w:w="2501" w:type="dxa"/>
          </w:tcPr>
          <w:p>
            <w:pPr>
              <w:pStyle w:val="TableParagraph"/>
              <w:spacing w:before="4"/>
              <w:rPr>
                <w:b/>
                <w:sz w:val="22"/>
              </w:rPr>
            </w:pPr>
          </w:p>
          <w:p>
            <w:pPr>
              <w:pStyle w:val="TableParagraph"/>
              <w:ind w:left="184" w:right="174"/>
              <w:jc w:val="center"/>
              <w:rPr>
                <w:sz w:val="22"/>
              </w:rPr>
            </w:pPr>
            <w:r>
              <w:rPr>
                <w:sz w:val="22"/>
              </w:rPr>
              <w:t>C35080714</w:t>
            </w:r>
          </w:p>
        </w:tc>
        <w:tc>
          <w:tcPr>
            <w:tcW w:w="2551" w:type="dxa"/>
          </w:tcPr>
          <w:p>
            <w:pPr>
              <w:pStyle w:val="TableParagraph"/>
              <w:spacing w:before="4"/>
              <w:rPr>
                <w:b/>
                <w:sz w:val="22"/>
              </w:rPr>
            </w:pPr>
          </w:p>
          <w:p>
            <w:pPr>
              <w:pStyle w:val="TableParagraph"/>
              <w:ind w:left="752"/>
              <w:rPr>
                <w:sz w:val="22"/>
              </w:rPr>
            </w:pPr>
            <w:r>
              <w:rPr>
                <w:sz w:val="22"/>
              </w:rPr>
              <w:t>03.10.2014.</w:t>
            </w:r>
          </w:p>
        </w:tc>
        <w:tc>
          <w:tcPr>
            <w:tcW w:w="3117" w:type="dxa"/>
          </w:tcPr>
          <w:p>
            <w:pPr>
              <w:pStyle w:val="TableParagraph"/>
              <w:spacing w:before="4"/>
              <w:rPr>
                <w:b/>
                <w:sz w:val="22"/>
              </w:rPr>
            </w:pPr>
          </w:p>
          <w:p>
            <w:pPr>
              <w:pStyle w:val="TableParagraph"/>
              <w:ind w:left="118" w:right="106"/>
              <w:jc w:val="center"/>
              <w:rPr>
                <w:sz w:val="22"/>
              </w:rPr>
            </w:pPr>
            <w:r>
              <w:rPr>
                <w:sz w:val="22"/>
              </w:rPr>
              <w:t>Siguldas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13</w:t>
            </w:r>
          </w:p>
        </w:tc>
        <w:tc>
          <w:tcPr>
            <w:tcW w:w="2501" w:type="dxa"/>
          </w:tcPr>
          <w:p>
            <w:pPr>
              <w:pStyle w:val="TableParagraph"/>
              <w:spacing w:before="4"/>
              <w:rPr>
                <w:b/>
                <w:sz w:val="22"/>
              </w:rPr>
            </w:pPr>
          </w:p>
          <w:p>
            <w:pPr>
              <w:pStyle w:val="TableParagraph"/>
              <w:ind w:left="184" w:right="174"/>
              <w:jc w:val="center"/>
              <w:rPr>
                <w:sz w:val="22"/>
              </w:rPr>
            </w:pPr>
            <w:r>
              <w:rPr>
                <w:sz w:val="22"/>
              </w:rPr>
              <w:t>C40089114</w:t>
            </w:r>
          </w:p>
        </w:tc>
        <w:tc>
          <w:tcPr>
            <w:tcW w:w="2551" w:type="dxa"/>
          </w:tcPr>
          <w:p>
            <w:pPr>
              <w:pStyle w:val="TableParagraph"/>
              <w:spacing w:before="4"/>
              <w:rPr>
                <w:b/>
                <w:sz w:val="22"/>
              </w:rPr>
            </w:pPr>
          </w:p>
          <w:p>
            <w:pPr>
              <w:pStyle w:val="TableParagraph"/>
              <w:ind w:left="752"/>
              <w:rPr>
                <w:sz w:val="22"/>
              </w:rPr>
            </w:pPr>
            <w:r>
              <w:rPr>
                <w:sz w:val="22"/>
              </w:rPr>
              <w:t>01.12.2014.</w:t>
            </w:r>
          </w:p>
        </w:tc>
        <w:tc>
          <w:tcPr>
            <w:tcW w:w="3117" w:type="dxa"/>
          </w:tcPr>
          <w:p>
            <w:pPr>
              <w:pStyle w:val="TableParagraph"/>
              <w:spacing w:before="4"/>
              <w:rPr>
                <w:b/>
                <w:sz w:val="22"/>
              </w:rPr>
            </w:pPr>
          </w:p>
          <w:p>
            <w:pPr>
              <w:pStyle w:val="TableParagraph"/>
              <w:ind w:left="116" w:right="106"/>
              <w:jc w:val="center"/>
              <w:rPr>
                <w:sz w:val="22"/>
              </w:rPr>
            </w:pPr>
            <w:r>
              <w:rPr>
                <w:sz w:val="22"/>
              </w:rPr>
              <w:t>Ventspils tiesa</w:t>
            </w:r>
          </w:p>
        </w:tc>
      </w:tr>
      <w:tr>
        <w:trPr>
          <w:trHeight w:val="782" w:hRule="atLeast"/>
        </w:trPr>
        <w:tc>
          <w:tcPr>
            <w:tcW w:w="761" w:type="dxa"/>
          </w:tcPr>
          <w:p>
            <w:pPr>
              <w:pStyle w:val="TableParagraph"/>
              <w:rPr>
                <w:b/>
                <w:sz w:val="22"/>
              </w:rPr>
            </w:pPr>
          </w:p>
          <w:p>
            <w:pPr>
              <w:pStyle w:val="TableParagraph"/>
              <w:ind w:left="268"/>
              <w:rPr>
                <w:rFonts w:ascii="Calibri"/>
                <w:sz w:val="22"/>
              </w:rPr>
            </w:pPr>
            <w:r>
              <w:rPr>
                <w:rFonts w:ascii="Calibri"/>
                <w:sz w:val="22"/>
              </w:rPr>
              <w:t>14</w:t>
            </w:r>
          </w:p>
        </w:tc>
        <w:tc>
          <w:tcPr>
            <w:tcW w:w="2501" w:type="dxa"/>
          </w:tcPr>
          <w:p>
            <w:pPr>
              <w:pStyle w:val="TableParagraph"/>
              <w:spacing w:before="4"/>
              <w:rPr>
                <w:b/>
                <w:sz w:val="22"/>
              </w:rPr>
            </w:pPr>
          </w:p>
          <w:p>
            <w:pPr>
              <w:pStyle w:val="TableParagraph"/>
              <w:ind w:left="184" w:right="174"/>
              <w:jc w:val="center"/>
              <w:rPr>
                <w:sz w:val="22"/>
              </w:rPr>
            </w:pPr>
            <w:r>
              <w:rPr>
                <w:sz w:val="22"/>
              </w:rPr>
              <w:t>C32319013</w:t>
            </w:r>
          </w:p>
        </w:tc>
        <w:tc>
          <w:tcPr>
            <w:tcW w:w="2551" w:type="dxa"/>
          </w:tcPr>
          <w:p>
            <w:pPr>
              <w:pStyle w:val="TableParagraph"/>
              <w:spacing w:before="4"/>
              <w:rPr>
                <w:b/>
                <w:sz w:val="22"/>
              </w:rPr>
            </w:pPr>
          </w:p>
          <w:p>
            <w:pPr>
              <w:pStyle w:val="TableParagraph"/>
              <w:ind w:left="752"/>
              <w:rPr>
                <w:sz w:val="22"/>
              </w:rPr>
            </w:pPr>
            <w:r>
              <w:rPr>
                <w:sz w:val="22"/>
              </w:rPr>
              <w:t>19.11.2014.</w:t>
            </w:r>
          </w:p>
        </w:tc>
        <w:tc>
          <w:tcPr>
            <w:tcW w:w="3117" w:type="dxa"/>
          </w:tcPr>
          <w:p>
            <w:pPr>
              <w:pStyle w:val="TableParagraph"/>
              <w:spacing w:before="133"/>
              <w:ind w:left="1358" w:right="224" w:hanging="1104"/>
              <w:rPr>
                <w:sz w:val="22"/>
              </w:rPr>
            </w:pPr>
            <w:r>
              <w:rPr>
                <w:sz w:val="22"/>
              </w:rPr>
              <w:t>Rīgas pilsētas Ziemeļu rajona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15</w:t>
            </w:r>
          </w:p>
        </w:tc>
        <w:tc>
          <w:tcPr>
            <w:tcW w:w="2501" w:type="dxa"/>
          </w:tcPr>
          <w:p>
            <w:pPr>
              <w:pStyle w:val="TableParagraph"/>
              <w:spacing w:before="2"/>
              <w:rPr>
                <w:b/>
                <w:sz w:val="22"/>
              </w:rPr>
            </w:pPr>
          </w:p>
          <w:p>
            <w:pPr>
              <w:pStyle w:val="TableParagraph"/>
              <w:ind w:left="184" w:right="174"/>
              <w:jc w:val="center"/>
              <w:rPr>
                <w:sz w:val="22"/>
              </w:rPr>
            </w:pPr>
            <w:r>
              <w:rPr>
                <w:sz w:val="22"/>
              </w:rPr>
              <w:t>C28373613</w:t>
            </w:r>
          </w:p>
        </w:tc>
        <w:tc>
          <w:tcPr>
            <w:tcW w:w="2551" w:type="dxa"/>
          </w:tcPr>
          <w:p>
            <w:pPr>
              <w:pStyle w:val="TableParagraph"/>
              <w:spacing w:before="2"/>
              <w:rPr>
                <w:b/>
                <w:sz w:val="22"/>
              </w:rPr>
            </w:pPr>
          </w:p>
          <w:p>
            <w:pPr>
              <w:pStyle w:val="TableParagraph"/>
              <w:ind w:left="752"/>
              <w:rPr>
                <w:sz w:val="22"/>
              </w:rPr>
            </w:pPr>
            <w:r>
              <w:rPr>
                <w:sz w:val="22"/>
              </w:rPr>
              <w:t>28.02.2014.</w:t>
            </w:r>
          </w:p>
        </w:tc>
        <w:tc>
          <w:tcPr>
            <w:tcW w:w="3117" w:type="dxa"/>
          </w:tcPr>
          <w:p>
            <w:pPr>
              <w:pStyle w:val="TableParagraph"/>
              <w:spacing w:before="130"/>
              <w:ind w:left="1358" w:right="145" w:hanging="1184"/>
              <w:rPr>
                <w:sz w:val="22"/>
              </w:rPr>
            </w:pPr>
            <w:r>
              <w:rPr>
                <w:sz w:val="22"/>
              </w:rPr>
              <w:t>Rīgas pilsētas Kurzemes rajona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16</w:t>
            </w:r>
          </w:p>
        </w:tc>
        <w:tc>
          <w:tcPr>
            <w:tcW w:w="2501" w:type="dxa"/>
          </w:tcPr>
          <w:p>
            <w:pPr>
              <w:pStyle w:val="TableParagraph"/>
              <w:spacing w:before="4"/>
              <w:rPr>
                <w:b/>
                <w:sz w:val="22"/>
              </w:rPr>
            </w:pPr>
          </w:p>
          <w:p>
            <w:pPr>
              <w:pStyle w:val="TableParagraph"/>
              <w:ind w:left="184" w:right="174"/>
              <w:jc w:val="center"/>
              <w:rPr>
                <w:sz w:val="22"/>
              </w:rPr>
            </w:pPr>
            <w:r>
              <w:rPr>
                <w:sz w:val="22"/>
              </w:rPr>
              <w:t>C28418413</w:t>
            </w:r>
          </w:p>
        </w:tc>
        <w:tc>
          <w:tcPr>
            <w:tcW w:w="2551" w:type="dxa"/>
          </w:tcPr>
          <w:p>
            <w:pPr>
              <w:pStyle w:val="TableParagraph"/>
              <w:spacing w:before="4"/>
              <w:rPr>
                <w:b/>
                <w:sz w:val="22"/>
              </w:rPr>
            </w:pPr>
          </w:p>
          <w:p>
            <w:pPr>
              <w:pStyle w:val="TableParagraph"/>
              <w:ind w:left="752"/>
              <w:rPr>
                <w:sz w:val="22"/>
              </w:rPr>
            </w:pPr>
            <w:r>
              <w:rPr>
                <w:sz w:val="22"/>
              </w:rPr>
              <w:t>25.02.2014.</w:t>
            </w:r>
          </w:p>
        </w:tc>
        <w:tc>
          <w:tcPr>
            <w:tcW w:w="3117" w:type="dxa"/>
          </w:tcPr>
          <w:p>
            <w:pPr>
              <w:pStyle w:val="TableParagraph"/>
              <w:spacing w:before="130"/>
              <w:ind w:left="1358" w:right="145" w:hanging="1184"/>
              <w:rPr>
                <w:sz w:val="22"/>
              </w:rPr>
            </w:pPr>
            <w:r>
              <w:rPr>
                <w:sz w:val="22"/>
              </w:rPr>
              <w:t>Rīgas pilsētas Kurzemes rajona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17</w:t>
            </w:r>
          </w:p>
        </w:tc>
        <w:tc>
          <w:tcPr>
            <w:tcW w:w="2501" w:type="dxa"/>
          </w:tcPr>
          <w:p>
            <w:pPr>
              <w:pStyle w:val="TableParagraph"/>
              <w:spacing w:before="4"/>
              <w:rPr>
                <w:b/>
                <w:sz w:val="22"/>
              </w:rPr>
            </w:pPr>
          </w:p>
          <w:p>
            <w:pPr>
              <w:pStyle w:val="TableParagraph"/>
              <w:ind w:left="184" w:right="174"/>
              <w:jc w:val="center"/>
              <w:rPr>
                <w:sz w:val="22"/>
              </w:rPr>
            </w:pPr>
            <w:r>
              <w:rPr>
                <w:sz w:val="22"/>
              </w:rPr>
              <w:t>C32356013</w:t>
            </w:r>
          </w:p>
        </w:tc>
        <w:tc>
          <w:tcPr>
            <w:tcW w:w="2551" w:type="dxa"/>
          </w:tcPr>
          <w:p>
            <w:pPr>
              <w:pStyle w:val="TableParagraph"/>
              <w:spacing w:before="4"/>
              <w:rPr>
                <w:b/>
                <w:sz w:val="22"/>
              </w:rPr>
            </w:pPr>
          </w:p>
          <w:p>
            <w:pPr>
              <w:pStyle w:val="TableParagraph"/>
              <w:ind w:left="752"/>
              <w:rPr>
                <w:sz w:val="22"/>
              </w:rPr>
            </w:pPr>
            <w:r>
              <w:rPr>
                <w:sz w:val="22"/>
              </w:rPr>
              <w:t>19.09.2014.</w:t>
            </w:r>
          </w:p>
        </w:tc>
        <w:tc>
          <w:tcPr>
            <w:tcW w:w="3117" w:type="dxa"/>
          </w:tcPr>
          <w:p>
            <w:pPr>
              <w:pStyle w:val="TableParagraph"/>
              <w:spacing w:before="130"/>
              <w:ind w:left="1358" w:right="224" w:hanging="1104"/>
              <w:rPr>
                <w:sz w:val="22"/>
              </w:rPr>
            </w:pPr>
            <w:r>
              <w:rPr>
                <w:sz w:val="22"/>
              </w:rPr>
              <w:t>Rīgas pilsētas Ziemeļu rajona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18</w:t>
            </w:r>
          </w:p>
        </w:tc>
        <w:tc>
          <w:tcPr>
            <w:tcW w:w="2501" w:type="dxa"/>
          </w:tcPr>
          <w:p>
            <w:pPr>
              <w:pStyle w:val="TableParagraph"/>
              <w:spacing w:before="4"/>
              <w:rPr>
                <w:b/>
                <w:sz w:val="22"/>
              </w:rPr>
            </w:pPr>
          </w:p>
          <w:p>
            <w:pPr>
              <w:pStyle w:val="TableParagraph"/>
              <w:ind w:left="184" w:right="174"/>
              <w:jc w:val="center"/>
              <w:rPr>
                <w:sz w:val="22"/>
              </w:rPr>
            </w:pPr>
            <w:r>
              <w:rPr>
                <w:sz w:val="22"/>
              </w:rPr>
              <w:t>C29794713</w:t>
            </w:r>
          </w:p>
        </w:tc>
        <w:tc>
          <w:tcPr>
            <w:tcW w:w="2551" w:type="dxa"/>
          </w:tcPr>
          <w:p>
            <w:pPr>
              <w:pStyle w:val="TableParagraph"/>
              <w:spacing w:before="4"/>
              <w:rPr>
                <w:b/>
                <w:sz w:val="22"/>
              </w:rPr>
            </w:pPr>
          </w:p>
          <w:p>
            <w:pPr>
              <w:pStyle w:val="TableParagraph"/>
              <w:ind w:left="752"/>
              <w:rPr>
                <w:sz w:val="22"/>
              </w:rPr>
            </w:pPr>
            <w:r>
              <w:rPr>
                <w:sz w:val="22"/>
              </w:rPr>
              <w:t>18.02.2015.</w:t>
            </w:r>
          </w:p>
        </w:tc>
        <w:tc>
          <w:tcPr>
            <w:tcW w:w="3117" w:type="dxa"/>
          </w:tcPr>
          <w:p>
            <w:pPr>
              <w:pStyle w:val="TableParagraph"/>
              <w:spacing w:before="130"/>
              <w:ind w:left="731" w:right="522" w:hanging="183"/>
              <w:rPr>
                <w:sz w:val="22"/>
              </w:rPr>
            </w:pPr>
            <w:r>
              <w:rPr>
                <w:sz w:val="22"/>
              </w:rPr>
              <w:t>Rīgas pilsētas Latgales priekšpilsētas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19</w:t>
            </w:r>
          </w:p>
        </w:tc>
        <w:tc>
          <w:tcPr>
            <w:tcW w:w="2501" w:type="dxa"/>
          </w:tcPr>
          <w:p>
            <w:pPr>
              <w:pStyle w:val="TableParagraph"/>
              <w:spacing w:before="4"/>
              <w:rPr>
                <w:b/>
                <w:sz w:val="22"/>
              </w:rPr>
            </w:pPr>
          </w:p>
          <w:p>
            <w:pPr>
              <w:pStyle w:val="TableParagraph"/>
              <w:ind w:left="184" w:right="174"/>
              <w:jc w:val="center"/>
              <w:rPr>
                <w:sz w:val="22"/>
              </w:rPr>
            </w:pPr>
            <w:r>
              <w:rPr>
                <w:sz w:val="22"/>
              </w:rPr>
              <w:t>C30491714</w:t>
            </w:r>
          </w:p>
        </w:tc>
        <w:tc>
          <w:tcPr>
            <w:tcW w:w="2551" w:type="dxa"/>
          </w:tcPr>
          <w:p>
            <w:pPr>
              <w:pStyle w:val="TableParagraph"/>
              <w:spacing w:before="4"/>
              <w:rPr>
                <w:b/>
                <w:sz w:val="22"/>
              </w:rPr>
            </w:pPr>
          </w:p>
          <w:p>
            <w:pPr>
              <w:pStyle w:val="TableParagraph"/>
              <w:ind w:left="752"/>
              <w:rPr>
                <w:sz w:val="22"/>
              </w:rPr>
            </w:pPr>
            <w:r>
              <w:rPr>
                <w:sz w:val="22"/>
              </w:rPr>
              <w:t>20.02.2015.</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81" w:hRule="atLeast"/>
        </w:trPr>
        <w:tc>
          <w:tcPr>
            <w:tcW w:w="761" w:type="dxa"/>
          </w:tcPr>
          <w:p>
            <w:pPr>
              <w:pStyle w:val="TableParagraph"/>
              <w:rPr>
                <w:b/>
                <w:sz w:val="22"/>
              </w:rPr>
            </w:pPr>
          </w:p>
          <w:p>
            <w:pPr>
              <w:pStyle w:val="TableParagraph"/>
              <w:ind w:left="268"/>
              <w:rPr>
                <w:rFonts w:ascii="Calibri"/>
                <w:sz w:val="22"/>
              </w:rPr>
            </w:pPr>
            <w:r>
              <w:rPr>
                <w:rFonts w:ascii="Calibri"/>
                <w:sz w:val="22"/>
              </w:rPr>
              <w:t>20</w:t>
            </w:r>
          </w:p>
        </w:tc>
        <w:tc>
          <w:tcPr>
            <w:tcW w:w="2501" w:type="dxa"/>
          </w:tcPr>
          <w:p>
            <w:pPr>
              <w:pStyle w:val="TableParagraph"/>
              <w:spacing w:before="4"/>
              <w:rPr>
                <w:b/>
                <w:sz w:val="22"/>
              </w:rPr>
            </w:pPr>
          </w:p>
          <w:p>
            <w:pPr>
              <w:pStyle w:val="TableParagraph"/>
              <w:ind w:left="184" w:right="174"/>
              <w:jc w:val="center"/>
              <w:rPr>
                <w:sz w:val="22"/>
              </w:rPr>
            </w:pPr>
            <w:r>
              <w:rPr>
                <w:sz w:val="22"/>
              </w:rPr>
              <w:t>C30489913</w:t>
            </w:r>
          </w:p>
        </w:tc>
        <w:tc>
          <w:tcPr>
            <w:tcW w:w="2551" w:type="dxa"/>
          </w:tcPr>
          <w:p>
            <w:pPr>
              <w:pStyle w:val="TableParagraph"/>
              <w:spacing w:before="4"/>
              <w:rPr>
                <w:b/>
                <w:sz w:val="22"/>
              </w:rPr>
            </w:pPr>
          </w:p>
          <w:p>
            <w:pPr>
              <w:pStyle w:val="TableParagraph"/>
              <w:ind w:left="752"/>
              <w:rPr>
                <w:sz w:val="22"/>
              </w:rPr>
            </w:pPr>
            <w:r>
              <w:rPr>
                <w:sz w:val="22"/>
              </w:rPr>
              <w:t>30.04.2014.</w:t>
            </w:r>
          </w:p>
        </w:tc>
        <w:tc>
          <w:tcPr>
            <w:tcW w:w="3117" w:type="dxa"/>
          </w:tcPr>
          <w:p>
            <w:pPr>
              <w:pStyle w:val="TableParagraph"/>
              <w:spacing w:before="133"/>
              <w:ind w:left="731" w:right="453" w:hanging="248"/>
              <w:rPr>
                <w:sz w:val="22"/>
              </w:rPr>
            </w:pPr>
            <w:r>
              <w:rPr>
                <w:sz w:val="22"/>
              </w:rPr>
              <w:t>Rīgas pilsētas Vidzemes priekšpilsētas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21</w:t>
            </w:r>
          </w:p>
        </w:tc>
        <w:tc>
          <w:tcPr>
            <w:tcW w:w="2501" w:type="dxa"/>
          </w:tcPr>
          <w:p>
            <w:pPr>
              <w:pStyle w:val="TableParagraph"/>
              <w:spacing w:before="2"/>
              <w:rPr>
                <w:b/>
                <w:sz w:val="22"/>
              </w:rPr>
            </w:pPr>
          </w:p>
          <w:p>
            <w:pPr>
              <w:pStyle w:val="TableParagraph"/>
              <w:ind w:left="184" w:right="174"/>
              <w:jc w:val="center"/>
              <w:rPr>
                <w:sz w:val="22"/>
              </w:rPr>
            </w:pPr>
            <w:r>
              <w:rPr>
                <w:sz w:val="22"/>
              </w:rPr>
              <w:t>C33485513</w:t>
            </w:r>
          </w:p>
        </w:tc>
        <w:tc>
          <w:tcPr>
            <w:tcW w:w="2551" w:type="dxa"/>
          </w:tcPr>
          <w:p>
            <w:pPr>
              <w:pStyle w:val="TableParagraph"/>
              <w:spacing w:before="2"/>
              <w:rPr>
                <w:b/>
                <w:sz w:val="22"/>
              </w:rPr>
            </w:pPr>
          </w:p>
          <w:p>
            <w:pPr>
              <w:pStyle w:val="TableParagraph"/>
              <w:ind w:left="752"/>
              <w:rPr>
                <w:sz w:val="22"/>
              </w:rPr>
            </w:pPr>
            <w:r>
              <w:rPr>
                <w:sz w:val="22"/>
              </w:rPr>
              <w:t>26.09.2014.</w:t>
            </w:r>
          </w:p>
        </w:tc>
        <w:tc>
          <w:tcPr>
            <w:tcW w:w="3117" w:type="dxa"/>
          </w:tcPr>
          <w:p>
            <w:pPr>
              <w:pStyle w:val="TableParagraph"/>
              <w:spacing w:before="2"/>
              <w:rPr>
                <w:b/>
                <w:sz w:val="22"/>
              </w:rPr>
            </w:pPr>
          </w:p>
          <w:p>
            <w:pPr>
              <w:pStyle w:val="TableParagraph"/>
              <w:ind w:left="118" w:right="106"/>
              <w:jc w:val="center"/>
              <w:rPr>
                <w:sz w:val="22"/>
              </w:rPr>
            </w:pPr>
            <w:r>
              <w:rPr>
                <w:sz w:val="22"/>
              </w:rPr>
              <w:t>Rīgas rajona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22</w:t>
            </w:r>
          </w:p>
        </w:tc>
        <w:tc>
          <w:tcPr>
            <w:tcW w:w="2501" w:type="dxa"/>
          </w:tcPr>
          <w:p>
            <w:pPr>
              <w:pStyle w:val="TableParagraph"/>
              <w:spacing w:before="4"/>
              <w:rPr>
                <w:b/>
                <w:sz w:val="22"/>
              </w:rPr>
            </w:pPr>
          </w:p>
          <w:p>
            <w:pPr>
              <w:pStyle w:val="TableParagraph"/>
              <w:ind w:left="184" w:right="174"/>
              <w:jc w:val="center"/>
              <w:rPr>
                <w:sz w:val="22"/>
              </w:rPr>
            </w:pPr>
            <w:r>
              <w:rPr>
                <w:sz w:val="22"/>
              </w:rPr>
              <w:t>C30340814</w:t>
            </w:r>
          </w:p>
        </w:tc>
        <w:tc>
          <w:tcPr>
            <w:tcW w:w="2551" w:type="dxa"/>
          </w:tcPr>
          <w:p>
            <w:pPr>
              <w:pStyle w:val="TableParagraph"/>
              <w:spacing w:before="4"/>
              <w:rPr>
                <w:b/>
                <w:sz w:val="22"/>
              </w:rPr>
            </w:pPr>
          </w:p>
          <w:p>
            <w:pPr>
              <w:pStyle w:val="TableParagraph"/>
              <w:ind w:left="752"/>
              <w:rPr>
                <w:sz w:val="22"/>
              </w:rPr>
            </w:pPr>
            <w:r>
              <w:rPr>
                <w:sz w:val="22"/>
              </w:rPr>
              <w:t>19.09.2014.</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23</w:t>
            </w:r>
          </w:p>
        </w:tc>
        <w:tc>
          <w:tcPr>
            <w:tcW w:w="2501" w:type="dxa"/>
          </w:tcPr>
          <w:p>
            <w:pPr>
              <w:pStyle w:val="TableParagraph"/>
              <w:spacing w:before="4"/>
              <w:rPr>
                <w:b/>
                <w:sz w:val="22"/>
              </w:rPr>
            </w:pPr>
          </w:p>
          <w:p>
            <w:pPr>
              <w:pStyle w:val="TableParagraph"/>
              <w:ind w:left="184" w:right="174"/>
              <w:jc w:val="center"/>
              <w:rPr>
                <w:sz w:val="22"/>
              </w:rPr>
            </w:pPr>
            <w:r>
              <w:rPr>
                <w:sz w:val="22"/>
              </w:rPr>
              <w:t>C29742613</w:t>
            </w:r>
          </w:p>
        </w:tc>
        <w:tc>
          <w:tcPr>
            <w:tcW w:w="2551" w:type="dxa"/>
          </w:tcPr>
          <w:p>
            <w:pPr>
              <w:pStyle w:val="TableParagraph"/>
              <w:spacing w:before="4"/>
              <w:rPr>
                <w:b/>
                <w:sz w:val="22"/>
              </w:rPr>
            </w:pPr>
          </w:p>
          <w:p>
            <w:pPr>
              <w:pStyle w:val="TableParagraph"/>
              <w:ind w:left="752"/>
              <w:rPr>
                <w:sz w:val="22"/>
              </w:rPr>
            </w:pPr>
            <w:r>
              <w:rPr>
                <w:sz w:val="22"/>
              </w:rPr>
              <w:t>06.05.2014.</w:t>
            </w:r>
          </w:p>
        </w:tc>
        <w:tc>
          <w:tcPr>
            <w:tcW w:w="3117" w:type="dxa"/>
          </w:tcPr>
          <w:p>
            <w:pPr>
              <w:pStyle w:val="TableParagraph"/>
              <w:spacing w:before="130"/>
              <w:ind w:left="731" w:right="522" w:hanging="183"/>
              <w:rPr>
                <w:sz w:val="22"/>
              </w:rPr>
            </w:pPr>
            <w:r>
              <w:rPr>
                <w:sz w:val="22"/>
              </w:rPr>
              <w:t>Rīgas pilsētas Latgales priekšpilsētas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24</w:t>
            </w:r>
          </w:p>
        </w:tc>
        <w:tc>
          <w:tcPr>
            <w:tcW w:w="2501" w:type="dxa"/>
          </w:tcPr>
          <w:p>
            <w:pPr>
              <w:pStyle w:val="TableParagraph"/>
              <w:spacing w:before="4"/>
              <w:rPr>
                <w:b/>
                <w:sz w:val="22"/>
              </w:rPr>
            </w:pPr>
          </w:p>
          <w:p>
            <w:pPr>
              <w:pStyle w:val="TableParagraph"/>
              <w:ind w:left="184" w:right="174"/>
              <w:jc w:val="center"/>
              <w:rPr>
                <w:sz w:val="22"/>
              </w:rPr>
            </w:pPr>
            <w:r>
              <w:rPr>
                <w:sz w:val="22"/>
              </w:rPr>
              <w:t>C15229813</w:t>
            </w:r>
          </w:p>
        </w:tc>
        <w:tc>
          <w:tcPr>
            <w:tcW w:w="2551" w:type="dxa"/>
          </w:tcPr>
          <w:p>
            <w:pPr>
              <w:pStyle w:val="TableParagraph"/>
              <w:spacing w:before="4"/>
              <w:rPr>
                <w:b/>
                <w:sz w:val="22"/>
              </w:rPr>
            </w:pPr>
          </w:p>
          <w:p>
            <w:pPr>
              <w:pStyle w:val="TableParagraph"/>
              <w:ind w:left="752"/>
              <w:rPr>
                <w:sz w:val="22"/>
              </w:rPr>
            </w:pPr>
            <w:r>
              <w:rPr>
                <w:sz w:val="22"/>
              </w:rPr>
              <w:t>28.01.2014.</w:t>
            </w:r>
          </w:p>
        </w:tc>
        <w:tc>
          <w:tcPr>
            <w:tcW w:w="3117" w:type="dxa"/>
          </w:tcPr>
          <w:p>
            <w:pPr>
              <w:pStyle w:val="TableParagraph"/>
              <w:spacing w:before="4"/>
              <w:rPr>
                <w:b/>
                <w:sz w:val="22"/>
              </w:rPr>
            </w:pPr>
          </w:p>
          <w:p>
            <w:pPr>
              <w:pStyle w:val="TableParagraph"/>
              <w:ind w:left="117" w:right="106"/>
              <w:jc w:val="center"/>
              <w:rPr>
                <w:sz w:val="22"/>
              </w:rPr>
            </w:pPr>
            <w:r>
              <w:rPr>
                <w:sz w:val="22"/>
              </w:rPr>
              <w:t>Jelgavas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25</w:t>
            </w:r>
          </w:p>
        </w:tc>
        <w:tc>
          <w:tcPr>
            <w:tcW w:w="2501" w:type="dxa"/>
          </w:tcPr>
          <w:p>
            <w:pPr>
              <w:pStyle w:val="TableParagraph"/>
              <w:spacing w:before="4"/>
              <w:rPr>
                <w:b/>
                <w:sz w:val="22"/>
              </w:rPr>
            </w:pPr>
          </w:p>
          <w:p>
            <w:pPr>
              <w:pStyle w:val="TableParagraph"/>
              <w:ind w:left="184" w:right="174"/>
              <w:jc w:val="center"/>
              <w:rPr>
                <w:sz w:val="22"/>
              </w:rPr>
            </w:pPr>
            <w:r>
              <w:rPr>
                <w:sz w:val="22"/>
              </w:rPr>
              <w:t>C40108413</w:t>
            </w:r>
          </w:p>
        </w:tc>
        <w:tc>
          <w:tcPr>
            <w:tcW w:w="2551" w:type="dxa"/>
          </w:tcPr>
          <w:p>
            <w:pPr>
              <w:pStyle w:val="TableParagraph"/>
              <w:spacing w:before="4"/>
              <w:rPr>
                <w:b/>
                <w:sz w:val="22"/>
              </w:rPr>
            </w:pPr>
          </w:p>
          <w:p>
            <w:pPr>
              <w:pStyle w:val="TableParagraph"/>
              <w:ind w:left="752"/>
              <w:rPr>
                <w:sz w:val="22"/>
              </w:rPr>
            </w:pPr>
            <w:r>
              <w:rPr>
                <w:sz w:val="22"/>
              </w:rPr>
              <w:t>24.01.2014.</w:t>
            </w:r>
          </w:p>
        </w:tc>
        <w:tc>
          <w:tcPr>
            <w:tcW w:w="3117" w:type="dxa"/>
          </w:tcPr>
          <w:p>
            <w:pPr>
              <w:pStyle w:val="TableParagraph"/>
              <w:spacing w:before="4"/>
              <w:rPr>
                <w:b/>
                <w:sz w:val="22"/>
              </w:rPr>
            </w:pPr>
          </w:p>
          <w:p>
            <w:pPr>
              <w:pStyle w:val="TableParagraph"/>
              <w:ind w:left="116" w:right="106"/>
              <w:jc w:val="center"/>
              <w:rPr>
                <w:sz w:val="22"/>
              </w:rPr>
            </w:pPr>
            <w:r>
              <w:rPr>
                <w:sz w:val="22"/>
              </w:rPr>
              <w:t>Ventspils tiesa</w:t>
            </w:r>
          </w:p>
        </w:tc>
      </w:tr>
      <w:tr>
        <w:trPr>
          <w:trHeight w:val="781" w:hRule="atLeast"/>
        </w:trPr>
        <w:tc>
          <w:tcPr>
            <w:tcW w:w="761" w:type="dxa"/>
          </w:tcPr>
          <w:p>
            <w:pPr>
              <w:pStyle w:val="TableParagraph"/>
              <w:rPr>
                <w:b/>
                <w:sz w:val="22"/>
              </w:rPr>
            </w:pPr>
          </w:p>
          <w:p>
            <w:pPr>
              <w:pStyle w:val="TableParagraph"/>
              <w:ind w:left="268"/>
              <w:rPr>
                <w:rFonts w:ascii="Calibri"/>
                <w:sz w:val="22"/>
              </w:rPr>
            </w:pPr>
            <w:r>
              <w:rPr>
                <w:rFonts w:ascii="Calibri"/>
                <w:sz w:val="22"/>
              </w:rPr>
              <w:t>26</w:t>
            </w:r>
          </w:p>
        </w:tc>
        <w:tc>
          <w:tcPr>
            <w:tcW w:w="2501" w:type="dxa"/>
          </w:tcPr>
          <w:p>
            <w:pPr>
              <w:pStyle w:val="TableParagraph"/>
              <w:spacing w:before="4"/>
              <w:rPr>
                <w:b/>
                <w:sz w:val="22"/>
              </w:rPr>
            </w:pPr>
          </w:p>
          <w:p>
            <w:pPr>
              <w:pStyle w:val="TableParagraph"/>
              <w:ind w:left="184" w:right="174"/>
              <w:jc w:val="center"/>
              <w:rPr>
                <w:sz w:val="22"/>
              </w:rPr>
            </w:pPr>
            <w:r>
              <w:rPr>
                <w:sz w:val="22"/>
              </w:rPr>
              <w:t>C29589912</w:t>
            </w:r>
          </w:p>
        </w:tc>
        <w:tc>
          <w:tcPr>
            <w:tcW w:w="2551" w:type="dxa"/>
          </w:tcPr>
          <w:p>
            <w:pPr>
              <w:pStyle w:val="TableParagraph"/>
              <w:spacing w:before="4"/>
              <w:rPr>
                <w:b/>
                <w:sz w:val="22"/>
              </w:rPr>
            </w:pPr>
          </w:p>
          <w:p>
            <w:pPr>
              <w:pStyle w:val="TableParagraph"/>
              <w:ind w:left="752"/>
              <w:rPr>
                <w:sz w:val="22"/>
              </w:rPr>
            </w:pPr>
            <w:r>
              <w:rPr>
                <w:sz w:val="22"/>
              </w:rPr>
              <w:t>13.09.2016.</w:t>
            </w:r>
          </w:p>
        </w:tc>
        <w:tc>
          <w:tcPr>
            <w:tcW w:w="3117" w:type="dxa"/>
          </w:tcPr>
          <w:p>
            <w:pPr>
              <w:pStyle w:val="TableParagraph"/>
              <w:spacing w:before="133"/>
              <w:ind w:left="731" w:right="522" w:hanging="183"/>
              <w:rPr>
                <w:sz w:val="22"/>
              </w:rPr>
            </w:pPr>
            <w:r>
              <w:rPr>
                <w:sz w:val="22"/>
              </w:rPr>
              <w:t>Rīgas pilsētas Latgales priekšpilsētas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27</w:t>
            </w:r>
          </w:p>
        </w:tc>
        <w:tc>
          <w:tcPr>
            <w:tcW w:w="2501" w:type="dxa"/>
          </w:tcPr>
          <w:p>
            <w:pPr>
              <w:pStyle w:val="TableParagraph"/>
              <w:spacing w:before="2"/>
              <w:rPr>
                <w:b/>
                <w:sz w:val="22"/>
              </w:rPr>
            </w:pPr>
          </w:p>
          <w:p>
            <w:pPr>
              <w:pStyle w:val="TableParagraph"/>
              <w:ind w:left="184" w:right="174"/>
              <w:jc w:val="center"/>
              <w:rPr>
                <w:sz w:val="22"/>
              </w:rPr>
            </w:pPr>
            <w:r>
              <w:rPr>
                <w:sz w:val="22"/>
              </w:rPr>
              <w:t>C37093414</w:t>
            </w:r>
          </w:p>
        </w:tc>
        <w:tc>
          <w:tcPr>
            <w:tcW w:w="2551" w:type="dxa"/>
          </w:tcPr>
          <w:p>
            <w:pPr>
              <w:pStyle w:val="TableParagraph"/>
              <w:spacing w:before="2"/>
              <w:rPr>
                <w:b/>
                <w:sz w:val="22"/>
              </w:rPr>
            </w:pPr>
          </w:p>
          <w:p>
            <w:pPr>
              <w:pStyle w:val="TableParagraph"/>
              <w:ind w:left="752"/>
              <w:rPr>
                <w:sz w:val="22"/>
              </w:rPr>
            </w:pPr>
            <w:r>
              <w:rPr>
                <w:sz w:val="22"/>
              </w:rPr>
              <w:t>12.08.2015.</w:t>
            </w:r>
          </w:p>
        </w:tc>
        <w:tc>
          <w:tcPr>
            <w:tcW w:w="3117" w:type="dxa"/>
          </w:tcPr>
          <w:p>
            <w:pPr>
              <w:pStyle w:val="TableParagraph"/>
              <w:spacing w:before="2"/>
              <w:rPr>
                <w:b/>
                <w:sz w:val="22"/>
              </w:rPr>
            </w:pPr>
          </w:p>
          <w:p>
            <w:pPr>
              <w:pStyle w:val="TableParagraph"/>
              <w:ind w:left="119" w:right="106"/>
              <w:jc w:val="center"/>
              <w:rPr>
                <w:sz w:val="22"/>
              </w:rPr>
            </w:pPr>
            <w:r>
              <w:rPr>
                <w:sz w:val="22"/>
              </w:rPr>
              <w:t>Tukuma rajona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28</w:t>
            </w:r>
          </w:p>
        </w:tc>
        <w:tc>
          <w:tcPr>
            <w:tcW w:w="2501" w:type="dxa"/>
          </w:tcPr>
          <w:p>
            <w:pPr>
              <w:pStyle w:val="TableParagraph"/>
              <w:spacing w:before="4"/>
              <w:rPr>
                <w:b/>
                <w:sz w:val="22"/>
              </w:rPr>
            </w:pPr>
          </w:p>
          <w:p>
            <w:pPr>
              <w:pStyle w:val="TableParagraph"/>
              <w:ind w:left="184" w:right="174"/>
              <w:jc w:val="center"/>
              <w:rPr>
                <w:sz w:val="22"/>
              </w:rPr>
            </w:pPr>
            <w:r>
              <w:rPr>
                <w:sz w:val="22"/>
              </w:rPr>
              <w:t>C37097714</w:t>
            </w:r>
          </w:p>
        </w:tc>
        <w:tc>
          <w:tcPr>
            <w:tcW w:w="2551" w:type="dxa"/>
          </w:tcPr>
          <w:p>
            <w:pPr>
              <w:pStyle w:val="TableParagraph"/>
              <w:spacing w:before="4"/>
              <w:rPr>
                <w:b/>
                <w:sz w:val="22"/>
              </w:rPr>
            </w:pPr>
          </w:p>
          <w:p>
            <w:pPr>
              <w:pStyle w:val="TableParagraph"/>
              <w:ind w:left="752"/>
              <w:rPr>
                <w:sz w:val="22"/>
              </w:rPr>
            </w:pPr>
            <w:r>
              <w:rPr>
                <w:sz w:val="22"/>
              </w:rPr>
              <w:t>24.08.2015.</w:t>
            </w:r>
          </w:p>
        </w:tc>
        <w:tc>
          <w:tcPr>
            <w:tcW w:w="3117" w:type="dxa"/>
          </w:tcPr>
          <w:p>
            <w:pPr>
              <w:pStyle w:val="TableParagraph"/>
              <w:spacing w:before="4"/>
              <w:rPr>
                <w:b/>
                <w:sz w:val="22"/>
              </w:rPr>
            </w:pPr>
          </w:p>
          <w:p>
            <w:pPr>
              <w:pStyle w:val="TableParagraph"/>
              <w:ind w:left="119" w:right="106"/>
              <w:jc w:val="center"/>
              <w:rPr>
                <w:sz w:val="22"/>
              </w:rPr>
            </w:pPr>
            <w:r>
              <w:rPr>
                <w:sz w:val="22"/>
              </w:rPr>
              <w:t>Tukuma rajona tiesa</w:t>
            </w:r>
          </w:p>
        </w:tc>
      </w:tr>
    </w:tbl>
    <w:p>
      <w:pPr>
        <w:spacing w:after="0"/>
        <w:jc w:val="center"/>
        <w:rPr>
          <w:sz w:val="22"/>
        </w:rPr>
        <w:sectPr>
          <w:pgSz w:w="11910" w:h="16840"/>
          <w:pgMar w:header="0" w:footer="1055" w:top="1420" w:bottom="1160" w:left="1180" w:right="1040"/>
        </w:sect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2501"/>
        <w:gridCol w:w="2551"/>
        <w:gridCol w:w="3117"/>
      </w:tblGrid>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29</w:t>
            </w:r>
          </w:p>
        </w:tc>
        <w:tc>
          <w:tcPr>
            <w:tcW w:w="2501" w:type="dxa"/>
          </w:tcPr>
          <w:p>
            <w:pPr>
              <w:pStyle w:val="TableParagraph"/>
              <w:spacing w:before="4"/>
              <w:rPr>
                <w:b/>
                <w:sz w:val="22"/>
              </w:rPr>
            </w:pPr>
          </w:p>
          <w:p>
            <w:pPr>
              <w:pStyle w:val="TableParagraph"/>
              <w:ind w:left="184" w:right="176"/>
              <w:jc w:val="center"/>
              <w:rPr>
                <w:sz w:val="22"/>
              </w:rPr>
            </w:pPr>
            <w:r>
              <w:rPr>
                <w:sz w:val="22"/>
              </w:rPr>
              <w:t>C-0379-18, C07063317</w:t>
            </w:r>
          </w:p>
        </w:tc>
        <w:tc>
          <w:tcPr>
            <w:tcW w:w="2551" w:type="dxa"/>
          </w:tcPr>
          <w:p>
            <w:pPr>
              <w:pStyle w:val="TableParagraph"/>
              <w:spacing w:before="4"/>
              <w:rPr>
                <w:b/>
                <w:sz w:val="22"/>
              </w:rPr>
            </w:pPr>
          </w:p>
          <w:p>
            <w:pPr>
              <w:pStyle w:val="TableParagraph"/>
              <w:ind w:right="738"/>
              <w:jc w:val="right"/>
              <w:rPr>
                <w:sz w:val="22"/>
              </w:rPr>
            </w:pPr>
            <w:r>
              <w:rPr>
                <w:sz w:val="22"/>
              </w:rPr>
              <w:t>05.09.2018.</w:t>
            </w:r>
          </w:p>
        </w:tc>
        <w:tc>
          <w:tcPr>
            <w:tcW w:w="3117" w:type="dxa"/>
          </w:tcPr>
          <w:p>
            <w:pPr>
              <w:pStyle w:val="TableParagraph"/>
              <w:spacing w:before="4"/>
              <w:rPr>
                <w:b/>
                <w:sz w:val="22"/>
              </w:rPr>
            </w:pPr>
          </w:p>
          <w:p>
            <w:pPr>
              <w:pStyle w:val="TableParagraph"/>
              <w:ind w:left="119" w:right="106"/>
              <w:jc w:val="center"/>
              <w:rPr>
                <w:sz w:val="22"/>
              </w:rPr>
            </w:pPr>
            <w:r>
              <w:rPr>
                <w:sz w:val="22"/>
              </w:rPr>
              <w:t>Zemgales rajona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30</w:t>
            </w:r>
          </w:p>
        </w:tc>
        <w:tc>
          <w:tcPr>
            <w:tcW w:w="2501" w:type="dxa"/>
          </w:tcPr>
          <w:p>
            <w:pPr>
              <w:pStyle w:val="TableParagraph"/>
              <w:spacing w:before="4"/>
              <w:rPr>
                <w:b/>
                <w:sz w:val="22"/>
              </w:rPr>
            </w:pPr>
          </w:p>
          <w:p>
            <w:pPr>
              <w:pStyle w:val="TableParagraph"/>
              <w:ind w:left="184" w:right="174"/>
              <w:jc w:val="center"/>
              <w:rPr>
                <w:sz w:val="22"/>
              </w:rPr>
            </w:pPr>
            <w:r>
              <w:rPr>
                <w:sz w:val="22"/>
              </w:rPr>
              <w:t>C30528212</w:t>
            </w:r>
          </w:p>
        </w:tc>
        <w:tc>
          <w:tcPr>
            <w:tcW w:w="2551" w:type="dxa"/>
          </w:tcPr>
          <w:p>
            <w:pPr>
              <w:pStyle w:val="TableParagraph"/>
              <w:spacing w:before="4"/>
              <w:rPr>
                <w:b/>
                <w:sz w:val="22"/>
              </w:rPr>
            </w:pPr>
          </w:p>
          <w:p>
            <w:pPr>
              <w:pStyle w:val="TableParagraph"/>
              <w:ind w:right="739"/>
              <w:jc w:val="right"/>
              <w:rPr>
                <w:sz w:val="22"/>
              </w:rPr>
            </w:pPr>
            <w:r>
              <w:rPr>
                <w:sz w:val="22"/>
              </w:rPr>
              <w:t>11.08.2015.</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82"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31</w:t>
            </w:r>
          </w:p>
        </w:tc>
        <w:tc>
          <w:tcPr>
            <w:tcW w:w="2501" w:type="dxa"/>
          </w:tcPr>
          <w:p>
            <w:pPr>
              <w:pStyle w:val="TableParagraph"/>
              <w:spacing w:before="4"/>
              <w:rPr>
                <w:b/>
                <w:sz w:val="22"/>
              </w:rPr>
            </w:pPr>
          </w:p>
          <w:p>
            <w:pPr>
              <w:pStyle w:val="TableParagraph"/>
              <w:ind w:left="184" w:right="174"/>
              <w:jc w:val="center"/>
              <w:rPr>
                <w:sz w:val="22"/>
              </w:rPr>
            </w:pPr>
            <w:r>
              <w:rPr>
                <w:sz w:val="22"/>
              </w:rPr>
              <w:t>C33360213</w:t>
            </w:r>
          </w:p>
        </w:tc>
        <w:tc>
          <w:tcPr>
            <w:tcW w:w="2551" w:type="dxa"/>
          </w:tcPr>
          <w:p>
            <w:pPr>
              <w:pStyle w:val="TableParagraph"/>
              <w:spacing w:before="4"/>
              <w:rPr>
                <w:b/>
                <w:sz w:val="22"/>
              </w:rPr>
            </w:pPr>
          </w:p>
          <w:p>
            <w:pPr>
              <w:pStyle w:val="TableParagraph"/>
              <w:ind w:right="739"/>
              <w:jc w:val="right"/>
              <w:rPr>
                <w:sz w:val="22"/>
              </w:rPr>
            </w:pPr>
            <w:r>
              <w:rPr>
                <w:sz w:val="22"/>
              </w:rPr>
              <w:t>09.03.2015.</w:t>
            </w:r>
          </w:p>
        </w:tc>
        <w:tc>
          <w:tcPr>
            <w:tcW w:w="3117" w:type="dxa"/>
          </w:tcPr>
          <w:p>
            <w:pPr>
              <w:pStyle w:val="TableParagraph"/>
              <w:spacing w:before="4"/>
              <w:rPr>
                <w:b/>
                <w:sz w:val="22"/>
              </w:rPr>
            </w:pPr>
          </w:p>
          <w:p>
            <w:pPr>
              <w:pStyle w:val="TableParagraph"/>
              <w:ind w:left="118" w:right="106"/>
              <w:jc w:val="center"/>
              <w:rPr>
                <w:sz w:val="22"/>
              </w:rPr>
            </w:pPr>
            <w:r>
              <w:rPr>
                <w:sz w:val="22"/>
              </w:rPr>
              <w:t>Rīgas rajona tiesa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32</w:t>
            </w:r>
          </w:p>
        </w:tc>
        <w:tc>
          <w:tcPr>
            <w:tcW w:w="2501" w:type="dxa"/>
          </w:tcPr>
          <w:p>
            <w:pPr>
              <w:pStyle w:val="TableParagraph"/>
              <w:spacing w:before="2"/>
              <w:rPr>
                <w:b/>
                <w:sz w:val="22"/>
              </w:rPr>
            </w:pPr>
          </w:p>
          <w:p>
            <w:pPr>
              <w:pStyle w:val="TableParagraph"/>
              <w:ind w:left="184" w:right="174"/>
              <w:jc w:val="center"/>
              <w:rPr>
                <w:sz w:val="22"/>
              </w:rPr>
            </w:pPr>
            <w:r>
              <w:rPr>
                <w:sz w:val="22"/>
              </w:rPr>
              <w:t>C29568813</w:t>
            </w:r>
          </w:p>
        </w:tc>
        <w:tc>
          <w:tcPr>
            <w:tcW w:w="2551" w:type="dxa"/>
          </w:tcPr>
          <w:p>
            <w:pPr>
              <w:pStyle w:val="TableParagraph"/>
              <w:spacing w:before="2"/>
              <w:rPr>
                <w:b/>
                <w:sz w:val="22"/>
              </w:rPr>
            </w:pPr>
          </w:p>
          <w:p>
            <w:pPr>
              <w:pStyle w:val="TableParagraph"/>
              <w:ind w:right="739"/>
              <w:jc w:val="right"/>
              <w:rPr>
                <w:sz w:val="22"/>
              </w:rPr>
            </w:pPr>
            <w:r>
              <w:rPr>
                <w:sz w:val="22"/>
              </w:rPr>
              <w:t>03.08.2015.</w:t>
            </w:r>
          </w:p>
        </w:tc>
        <w:tc>
          <w:tcPr>
            <w:tcW w:w="3117" w:type="dxa"/>
          </w:tcPr>
          <w:p>
            <w:pPr>
              <w:pStyle w:val="TableParagraph"/>
              <w:spacing w:before="130"/>
              <w:ind w:left="731" w:right="522" w:hanging="183"/>
              <w:rPr>
                <w:sz w:val="22"/>
              </w:rPr>
            </w:pPr>
            <w:r>
              <w:rPr>
                <w:sz w:val="22"/>
              </w:rPr>
              <w:t>Rīgas pilsētas Latgales priekšpilsētas tiesa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33</w:t>
            </w:r>
          </w:p>
        </w:tc>
        <w:tc>
          <w:tcPr>
            <w:tcW w:w="2501" w:type="dxa"/>
          </w:tcPr>
          <w:p>
            <w:pPr>
              <w:pStyle w:val="TableParagraph"/>
              <w:spacing w:before="4"/>
              <w:rPr>
                <w:b/>
                <w:sz w:val="22"/>
              </w:rPr>
            </w:pPr>
          </w:p>
          <w:p>
            <w:pPr>
              <w:pStyle w:val="TableParagraph"/>
              <w:ind w:left="184" w:right="174"/>
              <w:jc w:val="center"/>
              <w:rPr>
                <w:sz w:val="22"/>
              </w:rPr>
            </w:pPr>
            <w:r>
              <w:rPr>
                <w:sz w:val="22"/>
              </w:rPr>
              <w:t>C28323314</w:t>
            </w:r>
          </w:p>
        </w:tc>
        <w:tc>
          <w:tcPr>
            <w:tcW w:w="2551" w:type="dxa"/>
          </w:tcPr>
          <w:p>
            <w:pPr>
              <w:pStyle w:val="TableParagraph"/>
              <w:spacing w:before="4"/>
              <w:rPr>
                <w:b/>
                <w:sz w:val="22"/>
              </w:rPr>
            </w:pPr>
          </w:p>
          <w:p>
            <w:pPr>
              <w:pStyle w:val="TableParagraph"/>
              <w:ind w:right="739"/>
              <w:jc w:val="right"/>
              <w:rPr>
                <w:sz w:val="22"/>
              </w:rPr>
            </w:pPr>
            <w:r>
              <w:rPr>
                <w:sz w:val="22"/>
              </w:rPr>
              <w:t>16.03.2015.</w:t>
            </w:r>
          </w:p>
        </w:tc>
        <w:tc>
          <w:tcPr>
            <w:tcW w:w="3117" w:type="dxa"/>
          </w:tcPr>
          <w:p>
            <w:pPr>
              <w:pStyle w:val="TableParagraph"/>
              <w:spacing w:before="130"/>
              <w:ind w:left="1358" w:right="145" w:hanging="1184"/>
              <w:rPr>
                <w:sz w:val="22"/>
              </w:rPr>
            </w:pPr>
            <w:r>
              <w:rPr>
                <w:sz w:val="22"/>
              </w:rPr>
              <w:t>Rīgas pilsētas Kurzemes rajona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34</w:t>
            </w:r>
          </w:p>
        </w:tc>
        <w:tc>
          <w:tcPr>
            <w:tcW w:w="2501" w:type="dxa"/>
          </w:tcPr>
          <w:p>
            <w:pPr>
              <w:pStyle w:val="TableParagraph"/>
              <w:spacing w:before="4"/>
              <w:rPr>
                <w:b/>
                <w:sz w:val="22"/>
              </w:rPr>
            </w:pPr>
          </w:p>
          <w:p>
            <w:pPr>
              <w:pStyle w:val="TableParagraph"/>
              <w:ind w:left="184" w:right="174"/>
              <w:jc w:val="center"/>
              <w:rPr>
                <w:sz w:val="22"/>
              </w:rPr>
            </w:pPr>
            <w:r>
              <w:rPr>
                <w:sz w:val="22"/>
              </w:rPr>
              <w:t>C30681813</w:t>
            </w:r>
          </w:p>
        </w:tc>
        <w:tc>
          <w:tcPr>
            <w:tcW w:w="2551" w:type="dxa"/>
          </w:tcPr>
          <w:p>
            <w:pPr>
              <w:pStyle w:val="TableParagraph"/>
              <w:spacing w:before="4"/>
              <w:rPr>
                <w:b/>
                <w:sz w:val="22"/>
              </w:rPr>
            </w:pPr>
          </w:p>
          <w:p>
            <w:pPr>
              <w:pStyle w:val="TableParagraph"/>
              <w:ind w:right="739"/>
              <w:jc w:val="right"/>
              <w:rPr>
                <w:sz w:val="22"/>
              </w:rPr>
            </w:pPr>
            <w:r>
              <w:rPr>
                <w:sz w:val="22"/>
              </w:rPr>
              <w:t>10.03.2015.</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35</w:t>
            </w:r>
          </w:p>
        </w:tc>
        <w:tc>
          <w:tcPr>
            <w:tcW w:w="2501" w:type="dxa"/>
          </w:tcPr>
          <w:p>
            <w:pPr>
              <w:pStyle w:val="TableParagraph"/>
              <w:spacing w:before="4"/>
              <w:rPr>
                <w:b/>
                <w:sz w:val="22"/>
              </w:rPr>
            </w:pPr>
          </w:p>
          <w:p>
            <w:pPr>
              <w:pStyle w:val="TableParagraph"/>
              <w:ind w:left="184" w:right="176"/>
              <w:jc w:val="center"/>
              <w:rPr>
                <w:sz w:val="22"/>
              </w:rPr>
            </w:pPr>
            <w:r>
              <w:rPr>
                <w:sz w:val="22"/>
              </w:rPr>
              <w:t>C-1567-18, C71156718</w:t>
            </w:r>
          </w:p>
        </w:tc>
        <w:tc>
          <w:tcPr>
            <w:tcW w:w="2551" w:type="dxa"/>
          </w:tcPr>
          <w:p>
            <w:pPr>
              <w:pStyle w:val="TableParagraph"/>
              <w:spacing w:before="4"/>
              <w:rPr>
                <w:b/>
                <w:sz w:val="22"/>
              </w:rPr>
            </w:pPr>
          </w:p>
          <w:p>
            <w:pPr>
              <w:pStyle w:val="TableParagraph"/>
              <w:ind w:right="738"/>
              <w:jc w:val="right"/>
              <w:rPr>
                <w:sz w:val="22"/>
              </w:rPr>
            </w:pPr>
            <w:r>
              <w:rPr>
                <w:sz w:val="22"/>
              </w:rPr>
              <w:t>03.08.2018.</w:t>
            </w:r>
          </w:p>
        </w:tc>
        <w:tc>
          <w:tcPr>
            <w:tcW w:w="3117" w:type="dxa"/>
          </w:tcPr>
          <w:p>
            <w:pPr>
              <w:pStyle w:val="TableParagraph"/>
              <w:spacing w:before="4"/>
              <w:rPr>
                <w:b/>
                <w:sz w:val="22"/>
              </w:rPr>
            </w:pPr>
          </w:p>
          <w:p>
            <w:pPr>
              <w:pStyle w:val="TableParagraph"/>
              <w:ind w:left="118" w:right="106"/>
              <w:jc w:val="center"/>
              <w:rPr>
                <w:sz w:val="22"/>
              </w:rPr>
            </w:pPr>
            <w:r>
              <w:rPr>
                <w:sz w:val="22"/>
              </w:rPr>
              <w:t>Vidzemes rajona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36</w:t>
            </w:r>
          </w:p>
        </w:tc>
        <w:tc>
          <w:tcPr>
            <w:tcW w:w="2501" w:type="dxa"/>
          </w:tcPr>
          <w:p>
            <w:pPr>
              <w:pStyle w:val="TableParagraph"/>
              <w:spacing w:before="4"/>
              <w:rPr>
                <w:b/>
                <w:sz w:val="22"/>
              </w:rPr>
            </w:pPr>
          </w:p>
          <w:p>
            <w:pPr>
              <w:pStyle w:val="TableParagraph"/>
              <w:ind w:left="184" w:right="174"/>
              <w:jc w:val="center"/>
              <w:rPr>
                <w:sz w:val="22"/>
              </w:rPr>
            </w:pPr>
            <w:r>
              <w:rPr>
                <w:sz w:val="22"/>
              </w:rPr>
              <w:t>C15169016</w:t>
            </w:r>
          </w:p>
        </w:tc>
        <w:tc>
          <w:tcPr>
            <w:tcW w:w="2551" w:type="dxa"/>
          </w:tcPr>
          <w:p>
            <w:pPr>
              <w:pStyle w:val="TableParagraph"/>
              <w:spacing w:before="4"/>
              <w:rPr>
                <w:b/>
                <w:sz w:val="22"/>
              </w:rPr>
            </w:pPr>
          </w:p>
          <w:p>
            <w:pPr>
              <w:pStyle w:val="TableParagraph"/>
              <w:ind w:right="739"/>
              <w:jc w:val="right"/>
              <w:rPr>
                <w:sz w:val="22"/>
              </w:rPr>
            </w:pPr>
            <w:r>
              <w:rPr>
                <w:sz w:val="22"/>
              </w:rPr>
              <w:t>14.09.2016.</w:t>
            </w:r>
          </w:p>
        </w:tc>
        <w:tc>
          <w:tcPr>
            <w:tcW w:w="3117" w:type="dxa"/>
          </w:tcPr>
          <w:p>
            <w:pPr>
              <w:pStyle w:val="TableParagraph"/>
              <w:spacing w:before="4"/>
              <w:rPr>
                <w:b/>
                <w:sz w:val="22"/>
              </w:rPr>
            </w:pPr>
          </w:p>
          <w:p>
            <w:pPr>
              <w:pStyle w:val="TableParagraph"/>
              <w:ind w:left="117" w:right="106"/>
              <w:jc w:val="center"/>
              <w:rPr>
                <w:sz w:val="22"/>
              </w:rPr>
            </w:pPr>
            <w:r>
              <w:rPr>
                <w:sz w:val="22"/>
              </w:rPr>
              <w:t>Jelgavas tiesa</w:t>
            </w:r>
          </w:p>
        </w:tc>
      </w:tr>
      <w:tr>
        <w:trPr>
          <w:trHeight w:val="781"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37</w:t>
            </w:r>
          </w:p>
        </w:tc>
        <w:tc>
          <w:tcPr>
            <w:tcW w:w="2501" w:type="dxa"/>
          </w:tcPr>
          <w:p>
            <w:pPr>
              <w:pStyle w:val="TableParagraph"/>
              <w:spacing w:before="4"/>
              <w:rPr>
                <w:b/>
                <w:sz w:val="22"/>
              </w:rPr>
            </w:pPr>
          </w:p>
          <w:p>
            <w:pPr>
              <w:pStyle w:val="TableParagraph"/>
              <w:ind w:left="184" w:right="176"/>
              <w:jc w:val="center"/>
              <w:rPr>
                <w:sz w:val="22"/>
              </w:rPr>
            </w:pPr>
            <w:r>
              <w:rPr>
                <w:sz w:val="22"/>
              </w:rPr>
              <w:t>C-1765-18, C30548917</w:t>
            </w:r>
          </w:p>
        </w:tc>
        <w:tc>
          <w:tcPr>
            <w:tcW w:w="2551" w:type="dxa"/>
          </w:tcPr>
          <w:p>
            <w:pPr>
              <w:pStyle w:val="TableParagraph"/>
              <w:spacing w:before="4"/>
              <w:rPr>
                <w:b/>
                <w:sz w:val="22"/>
              </w:rPr>
            </w:pPr>
          </w:p>
          <w:p>
            <w:pPr>
              <w:pStyle w:val="TableParagraph"/>
              <w:ind w:right="738"/>
              <w:jc w:val="right"/>
              <w:rPr>
                <w:sz w:val="22"/>
              </w:rPr>
            </w:pPr>
            <w:r>
              <w:rPr>
                <w:sz w:val="22"/>
              </w:rPr>
              <w:t>12.06.2018.</w:t>
            </w:r>
          </w:p>
        </w:tc>
        <w:tc>
          <w:tcPr>
            <w:tcW w:w="3117" w:type="dxa"/>
          </w:tcPr>
          <w:p>
            <w:pPr>
              <w:pStyle w:val="TableParagraph"/>
              <w:spacing w:before="133"/>
              <w:ind w:left="731" w:right="453" w:hanging="248"/>
              <w:rPr>
                <w:sz w:val="22"/>
              </w:rPr>
            </w:pPr>
            <w:r>
              <w:rPr>
                <w:sz w:val="22"/>
              </w:rPr>
              <w:t>Rīgas pilsētas Vidzemes priekšpilsētas tiesa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38</w:t>
            </w:r>
          </w:p>
        </w:tc>
        <w:tc>
          <w:tcPr>
            <w:tcW w:w="2501" w:type="dxa"/>
          </w:tcPr>
          <w:p>
            <w:pPr>
              <w:pStyle w:val="TableParagraph"/>
              <w:spacing w:before="2"/>
              <w:rPr>
                <w:b/>
                <w:sz w:val="22"/>
              </w:rPr>
            </w:pPr>
          </w:p>
          <w:p>
            <w:pPr>
              <w:pStyle w:val="TableParagraph"/>
              <w:ind w:left="184" w:right="174"/>
              <w:jc w:val="center"/>
              <w:rPr>
                <w:sz w:val="22"/>
              </w:rPr>
            </w:pPr>
            <w:r>
              <w:rPr>
                <w:sz w:val="22"/>
              </w:rPr>
              <w:t>C32212515</w:t>
            </w:r>
          </w:p>
        </w:tc>
        <w:tc>
          <w:tcPr>
            <w:tcW w:w="2551" w:type="dxa"/>
          </w:tcPr>
          <w:p>
            <w:pPr>
              <w:pStyle w:val="TableParagraph"/>
              <w:spacing w:before="2"/>
              <w:rPr>
                <w:b/>
                <w:sz w:val="22"/>
              </w:rPr>
            </w:pPr>
          </w:p>
          <w:p>
            <w:pPr>
              <w:pStyle w:val="TableParagraph"/>
              <w:ind w:right="739"/>
              <w:jc w:val="right"/>
              <w:rPr>
                <w:sz w:val="22"/>
              </w:rPr>
            </w:pPr>
            <w:r>
              <w:rPr>
                <w:sz w:val="22"/>
              </w:rPr>
              <w:t>12.08.2015.</w:t>
            </w:r>
          </w:p>
        </w:tc>
        <w:tc>
          <w:tcPr>
            <w:tcW w:w="3117" w:type="dxa"/>
          </w:tcPr>
          <w:p>
            <w:pPr>
              <w:pStyle w:val="TableParagraph"/>
              <w:spacing w:before="130"/>
              <w:ind w:left="1358" w:right="224" w:hanging="1104"/>
              <w:rPr>
                <w:sz w:val="22"/>
              </w:rPr>
            </w:pPr>
            <w:r>
              <w:rPr>
                <w:sz w:val="22"/>
              </w:rPr>
              <w:t>Rīgas pilsētas Ziemeļu rajona tiesa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39</w:t>
            </w:r>
          </w:p>
        </w:tc>
        <w:tc>
          <w:tcPr>
            <w:tcW w:w="2501" w:type="dxa"/>
          </w:tcPr>
          <w:p>
            <w:pPr>
              <w:pStyle w:val="TableParagraph"/>
              <w:spacing w:before="4"/>
              <w:rPr>
                <w:b/>
                <w:sz w:val="22"/>
              </w:rPr>
            </w:pPr>
          </w:p>
          <w:p>
            <w:pPr>
              <w:pStyle w:val="TableParagraph"/>
              <w:ind w:left="184" w:right="174"/>
              <w:jc w:val="center"/>
              <w:rPr>
                <w:sz w:val="22"/>
              </w:rPr>
            </w:pPr>
            <w:r>
              <w:rPr>
                <w:sz w:val="22"/>
              </w:rPr>
              <w:t>C28224515</w:t>
            </w:r>
          </w:p>
        </w:tc>
        <w:tc>
          <w:tcPr>
            <w:tcW w:w="2551" w:type="dxa"/>
          </w:tcPr>
          <w:p>
            <w:pPr>
              <w:pStyle w:val="TableParagraph"/>
              <w:spacing w:before="4"/>
              <w:rPr>
                <w:b/>
                <w:sz w:val="22"/>
              </w:rPr>
            </w:pPr>
          </w:p>
          <w:p>
            <w:pPr>
              <w:pStyle w:val="TableParagraph"/>
              <w:ind w:right="739"/>
              <w:jc w:val="right"/>
              <w:rPr>
                <w:sz w:val="22"/>
              </w:rPr>
            </w:pPr>
            <w:r>
              <w:rPr>
                <w:sz w:val="22"/>
              </w:rPr>
              <w:t>27.08.2015.</w:t>
            </w:r>
          </w:p>
        </w:tc>
        <w:tc>
          <w:tcPr>
            <w:tcW w:w="3117" w:type="dxa"/>
          </w:tcPr>
          <w:p>
            <w:pPr>
              <w:pStyle w:val="TableParagraph"/>
              <w:spacing w:before="130"/>
              <w:ind w:left="1358" w:right="145" w:hanging="1184"/>
              <w:rPr>
                <w:sz w:val="22"/>
              </w:rPr>
            </w:pPr>
            <w:r>
              <w:rPr>
                <w:sz w:val="22"/>
              </w:rPr>
              <w:t>Rīgas pilsētas Kurzemes rajona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40</w:t>
            </w:r>
          </w:p>
        </w:tc>
        <w:tc>
          <w:tcPr>
            <w:tcW w:w="2501" w:type="dxa"/>
          </w:tcPr>
          <w:p>
            <w:pPr>
              <w:pStyle w:val="TableParagraph"/>
              <w:spacing w:before="4"/>
              <w:rPr>
                <w:b/>
                <w:sz w:val="22"/>
              </w:rPr>
            </w:pPr>
          </w:p>
          <w:p>
            <w:pPr>
              <w:pStyle w:val="TableParagraph"/>
              <w:ind w:left="184" w:right="176"/>
              <w:jc w:val="center"/>
              <w:rPr>
                <w:sz w:val="22"/>
              </w:rPr>
            </w:pPr>
            <w:r>
              <w:rPr>
                <w:sz w:val="22"/>
              </w:rPr>
              <w:t>C-2441-18, C68244118</w:t>
            </w:r>
          </w:p>
        </w:tc>
        <w:tc>
          <w:tcPr>
            <w:tcW w:w="2551" w:type="dxa"/>
          </w:tcPr>
          <w:p>
            <w:pPr>
              <w:pStyle w:val="TableParagraph"/>
              <w:spacing w:before="4"/>
              <w:rPr>
                <w:b/>
                <w:sz w:val="22"/>
              </w:rPr>
            </w:pPr>
          </w:p>
          <w:p>
            <w:pPr>
              <w:pStyle w:val="TableParagraph"/>
              <w:ind w:right="738"/>
              <w:jc w:val="right"/>
              <w:rPr>
                <w:sz w:val="22"/>
              </w:rPr>
            </w:pPr>
            <w:r>
              <w:rPr>
                <w:sz w:val="22"/>
              </w:rPr>
              <w:t>19.09.2018.</w:t>
            </w:r>
          </w:p>
        </w:tc>
        <w:tc>
          <w:tcPr>
            <w:tcW w:w="3117" w:type="dxa"/>
          </w:tcPr>
          <w:p>
            <w:pPr>
              <w:pStyle w:val="TableParagraph"/>
              <w:spacing w:before="4"/>
              <w:rPr>
                <w:b/>
                <w:sz w:val="22"/>
              </w:rPr>
            </w:pPr>
          </w:p>
          <w:p>
            <w:pPr>
              <w:pStyle w:val="TableParagraph"/>
              <w:ind w:left="119" w:right="106"/>
              <w:jc w:val="center"/>
              <w:rPr>
                <w:sz w:val="22"/>
              </w:rPr>
            </w:pPr>
            <w:r>
              <w:rPr>
                <w:sz w:val="22"/>
              </w:rPr>
              <w:t>Rīgas pilsētas Pārdaugavas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41</w:t>
            </w:r>
          </w:p>
        </w:tc>
        <w:tc>
          <w:tcPr>
            <w:tcW w:w="2501" w:type="dxa"/>
          </w:tcPr>
          <w:p>
            <w:pPr>
              <w:pStyle w:val="TableParagraph"/>
              <w:spacing w:before="4"/>
              <w:rPr>
                <w:b/>
                <w:sz w:val="22"/>
              </w:rPr>
            </w:pPr>
          </w:p>
          <w:p>
            <w:pPr>
              <w:pStyle w:val="TableParagraph"/>
              <w:ind w:left="184" w:right="174"/>
              <w:jc w:val="center"/>
              <w:rPr>
                <w:sz w:val="22"/>
              </w:rPr>
            </w:pPr>
            <w:r>
              <w:rPr>
                <w:sz w:val="22"/>
              </w:rPr>
              <w:t>C30601614</w:t>
            </w:r>
          </w:p>
        </w:tc>
        <w:tc>
          <w:tcPr>
            <w:tcW w:w="2551" w:type="dxa"/>
          </w:tcPr>
          <w:p>
            <w:pPr>
              <w:pStyle w:val="TableParagraph"/>
              <w:spacing w:before="4"/>
              <w:rPr>
                <w:b/>
                <w:sz w:val="22"/>
              </w:rPr>
            </w:pPr>
          </w:p>
          <w:p>
            <w:pPr>
              <w:pStyle w:val="TableParagraph"/>
              <w:ind w:right="739"/>
              <w:jc w:val="right"/>
              <w:rPr>
                <w:sz w:val="22"/>
              </w:rPr>
            </w:pPr>
            <w:r>
              <w:rPr>
                <w:sz w:val="22"/>
              </w:rPr>
              <w:t>17.03.2015.</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42</w:t>
            </w:r>
          </w:p>
        </w:tc>
        <w:tc>
          <w:tcPr>
            <w:tcW w:w="2501" w:type="dxa"/>
          </w:tcPr>
          <w:p>
            <w:pPr>
              <w:pStyle w:val="TableParagraph"/>
              <w:spacing w:before="4"/>
              <w:rPr>
                <w:b/>
                <w:sz w:val="22"/>
              </w:rPr>
            </w:pPr>
          </w:p>
          <w:p>
            <w:pPr>
              <w:pStyle w:val="TableParagraph"/>
              <w:ind w:left="183" w:right="176"/>
              <w:jc w:val="center"/>
              <w:rPr>
                <w:sz w:val="22"/>
              </w:rPr>
            </w:pPr>
            <w:r>
              <w:rPr>
                <w:sz w:val="22"/>
              </w:rPr>
              <w:t>C-2709-18</w:t>
            </w:r>
          </w:p>
        </w:tc>
        <w:tc>
          <w:tcPr>
            <w:tcW w:w="2551" w:type="dxa"/>
          </w:tcPr>
          <w:p>
            <w:pPr>
              <w:pStyle w:val="TableParagraph"/>
              <w:spacing w:before="4"/>
              <w:rPr>
                <w:b/>
                <w:sz w:val="22"/>
              </w:rPr>
            </w:pPr>
          </w:p>
          <w:p>
            <w:pPr>
              <w:pStyle w:val="TableParagraph"/>
              <w:ind w:right="739"/>
              <w:jc w:val="right"/>
              <w:rPr>
                <w:sz w:val="22"/>
              </w:rPr>
            </w:pPr>
            <w:r>
              <w:rPr>
                <w:sz w:val="22"/>
              </w:rPr>
              <w:t>22.06.2018.</w:t>
            </w:r>
          </w:p>
        </w:tc>
        <w:tc>
          <w:tcPr>
            <w:tcW w:w="3117" w:type="dxa"/>
          </w:tcPr>
          <w:p>
            <w:pPr>
              <w:pStyle w:val="TableParagraph"/>
              <w:spacing w:before="4"/>
              <w:rPr>
                <w:b/>
                <w:sz w:val="22"/>
              </w:rPr>
            </w:pPr>
          </w:p>
          <w:p>
            <w:pPr>
              <w:pStyle w:val="TableParagraph"/>
              <w:ind w:left="119" w:right="106"/>
              <w:jc w:val="center"/>
              <w:rPr>
                <w:sz w:val="22"/>
              </w:rPr>
            </w:pPr>
            <w:r>
              <w:rPr>
                <w:sz w:val="22"/>
              </w:rPr>
              <w:t>Rīgas pilsētas Pārdaugavas tiesa</w:t>
            </w:r>
          </w:p>
        </w:tc>
      </w:tr>
      <w:tr>
        <w:trPr>
          <w:trHeight w:val="781" w:hRule="atLeast"/>
        </w:trPr>
        <w:tc>
          <w:tcPr>
            <w:tcW w:w="761" w:type="dxa"/>
          </w:tcPr>
          <w:p>
            <w:pPr>
              <w:pStyle w:val="TableParagraph"/>
              <w:rPr>
                <w:b/>
                <w:sz w:val="22"/>
              </w:rPr>
            </w:pPr>
          </w:p>
          <w:p>
            <w:pPr>
              <w:pStyle w:val="TableParagraph"/>
              <w:ind w:left="88" w:right="78"/>
              <w:jc w:val="center"/>
              <w:rPr>
                <w:rFonts w:ascii="Calibri"/>
                <w:sz w:val="22"/>
              </w:rPr>
            </w:pPr>
            <w:r>
              <w:rPr>
                <w:rFonts w:ascii="Calibri"/>
                <w:sz w:val="22"/>
              </w:rPr>
              <w:t>43</w:t>
            </w:r>
          </w:p>
        </w:tc>
        <w:tc>
          <w:tcPr>
            <w:tcW w:w="2501" w:type="dxa"/>
          </w:tcPr>
          <w:p>
            <w:pPr>
              <w:pStyle w:val="TableParagraph"/>
              <w:spacing w:before="4"/>
              <w:rPr>
                <w:b/>
                <w:sz w:val="22"/>
              </w:rPr>
            </w:pPr>
          </w:p>
          <w:p>
            <w:pPr>
              <w:pStyle w:val="TableParagraph"/>
              <w:ind w:left="184" w:right="174"/>
              <w:jc w:val="center"/>
              <w:rPr>
                <w:sz w:val="22"/>
              </w:rPr>
            </w:pPr>
            <w:r>
              <w:rPr>
                <w:sz w:val="22"/>
              </w:rPr>
              <w:t>C29337718</w:t>
            </w:r>
          </w:p>
        </w:tc>
        <w:tc>
          <w:tcPr>
            <w:tcW w:w="2551" w:type="dxa"/>
          </w:tcPr>
          <w:p>
            <w:pPr>
              <w:pStyle w:val="TableParagraph"/>
              <w:spacing w:before="4"/>
              <w:rPr>
                <w:b/>
                <w:sz w:val="22"/>
              </w:rPr>
            </w:pPr>
          </w:p>
          <w:p>
            <w:pPr>
              <w:pStyle w:val="TableParagraph"/>
              <w:ind w:right="739"/>
              <w:jc w:val="right"/>
              <w:rPr>
                <w:sz w:val="22"/>
              </w:rPr>
            </w:pPr>
            <w:r>
              <w:rPr>
                <w:sz w:val="22"/>
              </w:rPr>
              <w:t>10.09.2018.</w:t>
            </w:r>
          </w:p>
        </w:tc>
        <w:tc>
          <w:tcPr>
            <w:tcW w:w="3117" w:type="dxa"/>
          </w:tcPr>
          <w:p>
            <w:pPr>
              <w:pStyle w:val="TableParagraph"/>
              <w:spacing w:before="133"/>
              <w:ind w:left="731" w:right="522" w:hanging="183"/>
              <w:rPr>
                <w:sz w:val="22"/>
              </w:rPr>
            </w:pPr>
            <w:r>
              <w:rPr>
                <w:sz w:val="22"/>
              </w:rPr>
              <w:t>Rīgas pilsētas Latgales priekšpilsētas tiesa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44</w:t>
            </w:r>
          </w:p>
        </w:tc>
        <w:tc>
          <w:tcPr>
            <w:tcW w:w="2501" w:type="dxa"/>
          </w:tcPr>
          <w:p>
            <w:pPr>
              <w:pStyle w:val="TableParagraph"/>
              <w:spacing w:before="2"/>
              <w:rPr>
                <w:b/>
                <w:sz w:val="22"/>
              </w:rPr>
            </w:pPr>
          </w:p>
          <w:p>
            <w:pPr>
              <w:pStyle w:val="TableParagraph"/>
              <w:ind w:left="184" w:right="176"/>
              <w:jc w:val="center"/>
              <w:rPr>
                <w:sz w:val="22"/>
              </w:rPr>
            </w:pPr>
            <w:r>
              <w:rPr>
                <w:sz w:val="22"/>
              </w:rPr>
              <w:t>C-3688-18, C3336818</w:t>
            </w:r>
          </w:p>
        </w:tc>
        <w:tc>
          <w:tcPr>
            <w:tcW w:w="2551" w:type="dxa"/>
          </w:tcPr>
          <w:p>
            <w:pPr>
              <w:pStyle w:val="TableParagraph"/>
              <w:spacing w:before="2"/>
              <w:rPr>
                <w:b/>
                <w:sz w:val="22"/>
              </w:rPr>
            </w:pPr>
          </w:p>
          <w:p>
            <w:pPr>
              <w:pStyle w:val="TableParagraph"/>
              <w:ind w:right="738"/>
              <w:jc w:val="right"/>
              <w:rPr>
                <w:sz w:val="22"/>
              </w:rPr>
            </w:pPr>
            <w:r>
              <w:rPr>
                <w:sz w:val="22"/>
              </w:rPr>
              <w:t>10.07.2018.</w:t>
            </w:r>
          </w:p>
        </w:tc>
        <w:tc>
          <w:tcPr>
            <w:tcW w:w="3117" w:type="dxa"/>
          </w:tcPr>
          <w:p>
            <w:pPr>
              <w:pStyle w:val="TableParagraph"/>
              <w:spacing w:before="2"/>
              <w:rPr>
                <w:b/>
                <w:sz w:val="22"/>
              </w:rPr>
            </w:pPr>
          </w:p>
          <w:p>
            <w:pPr>
              <w:pStyle w:val="TableParagraph"/>
              <w:ind w:left="119" w:right="105"/>
              <w:jc w:val="center"/>
              <w:rPr>
                <w:sz w:val="22"/>
              </w:rPr>
            </w:pPr>
            <w:r>
              <w:rPr>
                <w:sz w:val="22"/>
              </w:rPr>
              <w:t>Rīgas rajona tiesa</w:t>
            </w:r>
          </w:p>
        </w:tc>
      </w:tr>
      <w:tr>
        <w:trPr>
          <w:trHeight w:val="779" w:hRule="atLeast"/>
        </w:trPr>
        <w:tc>
          <w:tcPr>
            <w:tcW w:w="761" w:type="dxa"/>
          </w:tcPr>
          <w:p>
            <w:pPr>
              <w:pStyle w:val="TableParagraph"/>
              <w:spacing w:before="9"/>
              <w:rPr>
                <w:b/>
                <w:sz w:val="21"/>
              </w:rPr>
            </w:pPr>
          </w:p>
          <w:p>
            <w:pPr>
              <w:pStyle w:val="TableParagraph"/>
              <w:ind w:left="88" w:right="78"/>
              <w:jc w:val="center"/>
              <w:rPr>
                <w:rFonts w:ascii="Calibri"/>
                <w:sz w:val="22"/>
              </w:rPr>
            </w:pPr>
            <w:r>
              <w:rPr>
                <w:rFonts w:ascii="Calibri"/>
                <w:sz w:val="22"/>
              </w:rPr>
              <w:t>45</w:t>
            </w:r>
          </w:p>
        </w:tc>
        <w:tc>
          <w:tcPr>
            <w:tcW w:w="2501" w:type="dxa"/>
          </w:tcPr>
          <w:p>
            <w:pPr>
              <w:pStyle w:val="TableParagraph"/>
              <w:spacing w:before="4"/>
              <w:rPr>
                <w:b/>
                <w:sz w:val="22"/>
              </w:rPr>
            </w:pPr>
          </w:p>
          <w:p>
            <w:pPr>
              <w:pStyle w:val="TableParagraph"/>
              <w:ind w:left="184" w:right="174"/>
              <w:jc w:val="center"/>
              <w:rPr>
                <w:sz w:val="22"/>
              </w:rPr>
            </w:pPr>
            <w:r>
              <w:rPr>
                <w:sz w:val="22"/>
              </w:rPr>
              <w:t>C73379918</w:t>
            </w:r>
          </w:p>
        </w:tc>
        <w:tc>
          <w:tcPr>
            <w:tcW w:w="2551" w:type="dxa"/>
          </w:tcPr>
          <w:p>
            <w:pPr>
              <w:pStyle w:val="TableParagraph"/>
              <w:spacing w:before="4"/>
              <w:rPr>
                <w:b/>
                <w:sz w:val="22"/>
              </w:rPr>
            </w:pPr>
          </w:p>
          <w:p>
            <w:pPr>
              <w:pStyle w:val="TableParagraph"/>
              <w:ind w:right="739"/>
              <w:jc w:val="right"/>
              <w:rPr>
                <w:sz w:val="22"/>
              </w:rPr>
            </w:pPr>
            <w:r>
              <w:rPr>
                <w:sz w:val="22"/>
              </w:rPr>
              <w:t>10.09.2018.</w:t>
            </w:r>
          </w:p>
        </w:tc>
        <w:tc>
          <w:tcPr>
            <w:tcW w:w="3117" w:type="dxa"/>
          </w:tcPr>
          <w:p>
            <w:pPr>
              <w:pStyle w:val="TableParagraph"/>
              <w:spacing w:before="4"/>
              <w:rPr>
                <w:b/>
                <w:sz w:val="22"/>
              </w:rPr>
            </w:pPr>
          </w:p>
          <w:p>
            <w:pPr>
              <w:pStyle w:val="TableParagraph"/>
              <w:ind w:left="117" w:right="106"/>
              <w:jc w:val="center"/>
              <w:rPr>
                <w:sz w:val="22"/>
              </w:rPr>
            </w:pPr>
            <w:r>
              <w:rPr>
                <w:sz w:val="22"/>
              </w:rPr>
              <w:t>Zemgales rajona tiesa</w:t>
            </w:r>
          </w:p>
        </w:tc>
      </w:tr>
    </w:tbl>
    <w:p>
      <w:pPr>
        <w:spacing w:after="0"/>
        <w:jc w:val="center"/>
        <w:rPr>
          <w:sz w:val="22"/>
        </w:rPr>
        <w:sectPr>
          <w:pgSz w:w="11910" w:h="16840"/>
          <w:pgMar w:header="0" w:footer="1055" w:top="1420" w:bottom="1160" w:left="1180" w:right="104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2501"/>
        <w:gridCol w:w="2551"/>
        <w:gridCol w:w="3117"/>
      </w:tblGrid>
      <w:tr>
        <w:trPr>
          <w:trHeight w:val="1211" w:hRule="atLeast"/>
        </w:trPr>
        <w:tc>
          <w:tcPr>
            <w:tcW w:w="761" w:type="dxa"/>
          </w:tcPr>
          <w:p>
            <w:pPr>
              <w:pStyle w:val="TableParagraph"/>
              <w:rPr>
                <w:b/>
                <w:sz w:val="22"/>
              </w:rPr>
            </w:pPr>
          </w:p>
          <w:p>
            <w:pPr>
              <w:pStyle w:val="TableParagraph"/>
              <w:spacing w:before="9"/>
              <w:rPr>
                <w:b/>
                <w:sz w:val="18"/>
              </w:rPr>
            </w:pPr>
          </w:p>
          <w:p>
            <w:pPr>
              <w:pStyle w:val="TableParagraph"/>
              <w:ind w:left="268"/>
              <w:rPr>
                <w:rFonts w:ascii="Calibri"/>
                <w:sz w:val="22"/>
              </w:rPr>
            </w:pPr>
            <w:r>
              <w:rPr>
                <w:rFonts w:ascii="Calibri"/>
                <w:sz w:val="22"/>
              </w:rPr>
              <w:t>46</w:t>
            </w:r>
          </w:p>
        </w:tc>
        <w:tc>
          <w:tcPr>
            <w:tcW w:w="2501" w:type="dxa"/>
          </w:tcPr>
          <w:p>
            <w:pPr>
              <w:pStyle w:val="TableParagraph"/>
              <w:rPr>
                <w:b/>
                <w:sz w:val="24"/>
              </w:rPr>
            </w:pPr>
          </w:p>
          <w:p>
            <w:pPr>
              <w:pStyle w:val="TableParagraph"/>
              <w:spacing w:before="197"/>
              <w:ind w:left="184" w:right="176"/>
              <w:jc w:val="center"/>
              <w:rPr>
                <w:sz w:val="22"/>
              </w:rPr>
            </w:pPr>
            <w:r>
              <w:rPr>
                <w:sz w:val="22"/>
              </w:rPr>
              <w:t>C-5020-18, C30502018</w:t>
            </w:r>
          </w:p>
        </w:tc>
        <w:tc>
          <w:tcPr>
            <w:tcW w:w="2551" w:type="dxa"/>
          </w:tcPr>
          <w:p>
            <w:pPr>
              <w:pStyle w:val="TableParagraph"/>
              <w:rPr>
                <w:b/>
                <w:sz w:val="24"/>
              </w:rPr>
            </w:pPr>
          </w:p>
          <w:p>
            <w:pPr>
              <w:pStyle w:val="TableParagraph"/>
              <w:spacing w:before="197"/>
              <w:ind w:left="753"/>
              <w:rPr>
                <w:sz w:val="22"/>
              </w:rPr>
            </w:pPr>
            <w:r>
              <w:rPr>
                <w:sz w:val="22"/>
              </w:rPr>
              <w:t>17.07.2018.</w:t>
            </w:r>
          </w:p>
        </w:tc>
        <w:tc>
          <w:tcPr>
            <w:tcW w:w="3117" w:type="dxa"/>
          </w:tcPr>
          <w:p>
            <w:pPr>
              <w:pStyle w:val="TableParagraph"/>
              <w:spacing w:before="1"/>
              <w:rPr>
                <w:b/>
                <w:sz w:val="30"/>
              </w:rPr>
            </w:pPr>
          </w:p>
          <w:p>
            <w:pPr>
              <w:pStyle w:val="TableParagraph"/>
              <w:ind w:left="731" w:right="453" w:hanging="248"/>
              <w:rPr>
                <w:sz w:val="22"/>
              </w:rPr>
            </w:pPr>
            <w:r>
              <w:rPr>
                <w:sz w:val="22"/>
              </w:rPr>
              <w:t>Rīgas pilsētas Vidzemes priekšpilsētas tiesa</w:t>
            </w:r>
          </w:p>
        </w:tc>
      </w:tr>
      <w:tr>
        <w:trPr>
          <w:trHeight w:val="779" w:hRule="atLeast"/>
        </w:trPr>
        <w:tc>
          <w:tcPr>
            <w:tcW w:w="761" w:type="dxa"/>
          </w:tcPr>
          <w:p>
            <w:pPr>
              <w:pStyle w:val="TableParagraph"/>
              <w:rPr>
                <w:b/>
                <w:sz w:val="22"/>
              </w:rPr>
            </w:pPr>
          </w:p>
          <w:p>
            <w:pPr>
              <w:pStyle w:val="TableParagraph"/>
              <w:ind w:left="268"/>
              <w:rPr>
                <w:rFonts w:ascii="Calibri"/>
                <w:sz w:val="22"/>
              </w:rPr>
            </w:pPr>
            <w:r>
              <w:rPr>
                <w:rFonts w:ascii="Calibri"/>
                <w:sz w:val="22"/>
              </w:rPr>
              <w:t>47</w:t>
            </w:r>
          </w:p>
        </w:tc>
        <w:tc>
          <w:tcPr>
            <w:tcW w:w="2501" w:type="dxa"/>
          </w:tcPr>
          <w:p>
            <w:pPr>
              <w:pStyle w:val="TableParagraph"/>
              <w:spacing w:before="4"/>
              <w:rPr>
                <w:b/>
                <w:sz w:val="22"/>
              </w:rPr>
            </w:pPr>
          </w:p>
          <w:p>
            <w:pPr>
              <w:pStyle w:val="TableParagraph"/>
              <w:ind w:left="184" w:right="176"/>
              <w:jc w:val="center"/>
              <w:rPr>
                <w:sz w:val="22"/>
              </w:rPr>
            </w:pPr>
            <w:r>
              <w:rPr>
                <w:sz w:val="22"/>
              </w:rPr>
              <w:t>C-5497-17, C30549717</w:t>
            </w:r>
          </w:p>
        </w:tc>
        <w:tc>
          <w:tcPr>
            <w:tcW w:w="2551" w:type="dxa"/>
          </w:tcPr>
          <w:p>
            <w:pPr>
              <w:pStyle w:val="TableParagraph"/>
              <w:spacing w:before="4"/>
              <w:rPr>
                <w:b/>
                <w:sz w:val="22"/>
              </w:rPr>
            </w:pPr>
          </w:p>
          <w:p>
            <w:pPr>
              <w:pStyle w:val="TableParagraph"/>
              <w:ind w:left="753"/>
              <w:rPr>
                <w:sz w:val="22"/>
              </w:rPr>
            </w:pPr>
            <w:r>
              <w:rPr>
                <w:sz w:val="22"/>
              </w:rPr>
              <w:t>24.11.2017.</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1058" w:hRule="atLeast"/>
        </w:trPr>
        <w:tc>
          <w:tcPr>
            <w:tcW w:w="761" w:type="dxa"/>
          </w:tcPr>
          <w:p>
            <w:pPr>
              <w:pStyle w:val="TableParagraph"/>
              <w:rPr>
                <w:b/>
                <w:sz w:val="22"/>
              </w:rPr>
            </w:pPr>
          </w:p>
          <w:p>
            <w:pPr>
              <w:pStyle w:val="TableParagraph"/>
              <w:spacing w:before="139"/>
              <w:ind w:left="268"/>
              <w:rPr>
                <w:rFonts w:ascii="Calibri"/>
                <w:sz w:val="22"/>
              </w:rPr>
            </w:pPr>
            <w:r>
              <w:rPr>
                <w:rFonts w:ascii="Calibri"/>
                <w:sz w:val="22"/>
              </w:rPr>
              <w:t>48</w:t>
            </w:r>
          </w:p>
        </w:tc>
        <w:tc>
          <w:tcPr>
            <w:tcW w:w="2501" w:type="dxa"/>
          </w:tcPr>
          <w:p>
            <w:pPr>
              <w:pStyle w:val="TableParagraph"/>
              <w:spacing w:before="5"/>
              <w:rPr>
                <w:b/>
                <w:sz w:val="34"/>
              </w:rPr>
            </w:pPr>
          </w:p>
          <w:p>
            <w:pPr>
              <w:pStyle w:val="TableParagraph"/>
              <w:spacing w:before="1"/>
              <w:ind w:left="184" w:right="174"/>
              <w:jc w:val="center"/>
              <w:rPr>
                <w:sz w:val="22"/>
              </w:rPr>
            </w:pPr>
            <w:r>
              <w:rPr>
                <w:sz w:val="22"/>
              </w:rPr>
              <w:t>C15220017</w:t>
            </w:r>
          </w:p>
        </w:tc>
        <w:tc>
          <w:tcPr>
            <w:tcW w:w="2551" w:type="dxa"/>
          </w:tcPr>
          <w:p>
            <w:pPr>
              <w:pStyle w:val="TableParagraph"/>
              <w:spacing w:before="5"/>
              <w:rPr>
                <w:b/>
                <w:sz w:val="34"/>
              </w:rPr>
            </w:pPr>
          </w:p>
          <w:p>
            <w:pPr>
              <w:pStyle w:val="TableParagraph"/>
              <w:spacing w:before="1"/>
              <w:ind w:left="752"/>
              <w:rPr>
                <w:sz w:val="22"/>
              </w:rPr>
            </w:pPr>
            <w:r>
              <w:rPr>
                <w:sz w:val="22"/>
              </w:rPr>
              <w:t>23.08.2018.</w:t>
            </w:r>
          </w:p>
        </w:tc>
        <w:tc>
          <w:tcPr>
            <w:tcW w:w="3117" w:type="dxa"/>
          </w:tcPr>
          <w:p>
            <w:pPr>
              <w:pStyle w:val="TableParagraph"/>
              <w:spacing w:before="5"/>
              <w:rPr>
                <w:b/>
                <w:sz w:val="34"/>
              </w:rPr>
            </w:pPr>
          </w:p>
          <w:p>
            <w:pPr>
              <w:pStyle w:val="TableParagraph"/>
              <w:spacing w:before="1"/>
              <w:ind w:left="117" w:right="106"/>
              <w:jc w:val="center"/>
              <w:rPr>
                <w:sz w:val="22"/>
              </w:rPr>
            </w:pPr>
            <w:r>
              <w:rPr>
                <w:sz w:val="22"/>
              </w:rPr>
              <w:t>Zemgales rajona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49</w:t>
            </w:r>
          </w:p>
        </w:tc>
        <w:tc>
          <w:tcPr>
            <w:tcW w:w="2501" w:type="dxa"/>
          </w:tcPr>
          <w:p>
            <w:pPr>
              <w:pStyle w:val="TableParagraph"/>
              <w:spacing w:before="2"/>
              <w:rPr>
                <w:b/>
                <w:sz w:val="22"/>
              </w:rPr>
            </w:pPr>
          </w:p>
          <w:p>
            <w:pPr>
              <w:pStyle w:val="TableParagraph"/>
              <w:ind w:left="184" w:right="174"/>
              <w:jc w:val="center"/>
              <w:rPr>
                <w:sz w:val="22"/>
              </w:rPr>
            </w:pPr>
            <w:r>
              <w:rPr>
                <w:sz w:val="22"/>
              </w:rPr>
              <w:t>C33442016</w:t>
            </w:r>
          </w:p>
        </w:tc>
        <w:tc>
          <w:tcPr>
            <w:tcW w:w="2551" w:type="dxa"/>
          </w:tcPr>
          <w:p>
            <w:pPr>
              <w:pStyle w:val="TableParagraph"/>
              <w:spacing w:before="2"/>
              <w:rPr>
                <w:b/>
                <w:sz w:val="22"/>
              </w:rPr>
            </w:pPr>
          </w:p>
          <w:p>
            <w:pPr>
              <w:pStyle w:val="TableParagraph"/>
              <w:ind w:left="752"/>
              <w:rPr>
                <w:sz w:val="22"/>
              </w:rPr>
            </w:pPr>
            <w:r>
              <w:rPr>
                <w:sz w:val="22"/>
              </w:rPr>
              <w:t>07.09.2016.</w:t>
            </w:r>
          </w:p>
        </w:tc>
        <w:tc>
          <w:tcPr>
            <w:tcW w:w="3117" w:type="dxa"/>
          </w:tcPr>
          <w:p>
            <w:pPr>
              <w:pStyle w:val="TableParagraph"/>
              <w:spacing w:before="2"/>
              <w:rPr>
                <w:b/>
                <w:sz w:val="22"/>
              </w:rPr>
            </w:pPr>
          </w:p>
          <w:p>
            <w:pPr>
              <w:pStyle w:val="TableParagraph"/>
              <w:ind w:left="118" w:right="106"/>
              <w:jc w:val="center"/>
              <w:rPr>
                <w:sz w:val="22"/>
              </w:rPr>
            </w:pPr>
            <w:r>
              <w:rPr>
                <w:sz w:val="22"/>
              </w:rPr>
              <w:t>Rīgas rajona tiesa</w:t>
            </w:r>
          </w:p>
        </w:tc>
      </w:tr>
      <w:tr>
        <w:trPr>
          <w:trHeight w:val="779" w:hRule="atLeast"/>
        </w:trPr>
        <w:tc>
          <w:tcPr>
            <w:tcW w:w="761" w:type="dxa"/>
          </w:tcPr>
          <w:p>
            <w:pPr>
              <w:pStyle w:val="TableParagraph"/>
              <w:spacing w:before="9"/>
              <w:rPr>
                <w:b/>
                <w:sz w:val="21"/>
              </w:rPr>
            </w:pPr>
          </w:p>
          <w:p>
            <w:pPr>
              <w:pStyle w:val="TableParagraph"/>
              <w:ind w:left="268"/>
              <w:rPr>
                <w:rFonts w:ascii="Calibri"/>
                <w:sz w:val="22"/>
              </w:rPr>
            </w:pPr>
            <w:r>
              <w:rPr>
                <w:rFonts w:ascii="Calibri"/>
                <w:sz w:val="22"/>
              </w:rPr>
              <w:t>50</w:t>
            </w:r>
          </w:p>
        </w:tc>
        <w:tc>
          <w:tcPr>
            <w:tcW w:w="2501" w:type="dxa"/>
          </w:tcPr>
          <w:p>
            <w:pPr>
              <w:pStyle w:val="TableParagraph"/>
              <w:spacing w:before="4"/>
              <w:rPr>
                <w:b/>
                <w:sz w:val="22"/>
              </w:rPr>
            </w:pPr>
          </w:p>
          <w:p>
            <w:pPr>
              <w:pStyle w:val="TableParagraph"/>
              <w:ind w:left="184" w:right="174"/>
              <w:jc w:val="center"/>
              <w:rPr>
                <w:sz w:val="22"/>
              </w:rPr>
            </w:pPr>
            <w:r>
              <w:rPr>
                <w:sz w:val="22"/>
              </w:rPr>
              <w:t>C73270718</w:t>
            </w:r>
          </w:p>
        </w:tc>
        <w:tc>
          <w:tcPr>
            <w:tcW w:w="2551" w:type="dxa"/>
          </w:tcPr>
          <w:p>
            <w:pPr>
              <w:pStyle w:val="TableParagraph"/>
              <w:spacing w:before="4"/>
              <w:rPr>
                <w:b/>
                <w:sz w:val="22"/>
              </w:rPr>
            </w:pPr>
          </w:p>
          <w:p>
            <w:pPr>
              <w:pStyle w:val="TableParagraph"/>
              <w:ind w:left="752"/>
              <w:rPr>
                <w:sz w:val="22"/>
              </w:rPr>
            </w:pPr>
            <w:r>
              <w:rPr>
                <w:sz w:val="22"/>
              </w:rPr>
              <w:t>23.08.2018.</w:t>
            </w:r>
          </w:p>
        </w:tc>
        <w:tc>
          <w:tcPr>
            <w:tcW w:w="3117" w:type="dxa"/>
          </w:tcPr>
          <w:p>
            <w:pPr>
              <w:pStyle w:val="TableParagraph"/>
              <w:spacing w:before="4"/>
              <w:rPr>
                <w:b/>
                <w:sz w:val="22"/>
              </w:rPr>
            </w:pPr>
          </w:p>
          <w:p>
            <w:pPr>
              <w:pStyle w:val="TableParagraph"/>
              <w:ind w:left="117" w:right="106"/>
              <w:jc w:val="center"/>
              <w:rPr>
                <w:sz w:val="22"/>
              </w:rPr>
            </w:pPr>
            <w:r>
              <w:rPr>
                <w:sz w:val="22"/>
              </w:rPr>
              <w:t>Zemgales rajona tiesa</w:t>
            </w:r>
          </w:p>
        </w:tc>
      </w:tr>
      <w:tr>
        <w:trPr>
          <w:trHeight w:val="551" w:hRule="atLeast"/>
        </w:trPr>
        <w:tc>
          <w:tcPr>
            <w:tcW w:w="761" w:type="dxa"/>
          </w:tcPr>
          <w:p>
            <w:pPr>
              <w:pStyle w:val="TableParagraph"/>
              <w:spacing w:before="138"/>
              <w:ind w:left="268"/>
              <w:rPr>
                <w:rFonts w:ascii="Calibri"/>
                <w:sz w:val="22"/>
              </w:rPr>
            </w:pPr>
            <w:r>
              <w:rPr>
                <w:rFonts w:ascii="Calibri"/>
                <w:sz w:val="22"/>
              </w:rPr>
              <w:t>51</w:t>
            </w:r>
          </w:p>
        </w:tc>
        <w:tc>
          <w:tcPr>
            <w:tcW w:w="2501" w:type="dxa"/>
          </w:tcPr>
          <w:p>
            <w:pPr>
              <w:pStyle w:val="TableParagraph"/>
              <w:spacing w:before="142"/>
              <w:ind w:left="184" w:right="176"/>
              <w:jc w:val="center"/>
              <w:rPr>
                <w:sz w:val="22"/>
              </w:rPr>
            </w:pPr>
            <w:r>
              <w:rPr>
                <w:sz w:val="22"/>
              </w:rPr>
              <w:t>C-1567-18, C71156718</w:t>
            </w:r>
          </w:p>
        </w:tc>
        <w:tc>
          <w:tcPr>
            <w:tcW w:w="2551" w:type="dxa"/>
          </w:tcPr>
          <w:p>
            <w:pPr>
              <w:pStyle w:val="TableParagraph"/>
              <w:spacing w:before="142"/>
              <w:ind w:left="753"/>
              <w:rPr>
                <w:sz w:val="22"/>
              </w:rPr>
            </w:pPr>
            <w:r>
              <w:rPr>
                <w:sz w:val="22"/>
              </w:rPr>
              <w:t>03.08.2018.</w:t>
            </w:r>
          </w:p>
        </w:tc>
        <w:tc>
          <w:tcPr>
            <w:tcW w:w="3117" w:type="dxa"/>
          </w:tcPr>
          <w:p>
            <w:pPr>
              <w:pStyle w:val="TableParagraph"/>
              <w:spacing w:before="142"/>
              <w:ind w:left="118" w:right="106"/>
              <w:jc w:val="center"/>
              <w:rPr>
                <w:sz w:val="22"/>
              </w:rPr>
            </w:pPr>
            <w:r>
              <w:rPr>
                <w:sz w:val="22"/>
              </w:rPr>
              <w:t>Vidzemes rajona tiesa</w:t>
            </w:r>
          </w:p>
        </w:tc>
      </w:tr>
    </w:tbl>
    <w:p>
      <w:pPr>
        <w:pStyle w:val="BodyText"/>
        <w:jc w:val="left"/>
        <w:rPr>
          <w:b/>
          <w:sz w:val="20"/>
        </w:rPr>
      </w:pPr>
    </w:p>
    <w:p>
      <w:pPr>
        <w:pStyle w:val="BodyText"/>
        <w:spacing w:before="2"/>
        <w:jc w:val="left"/>
        <w:rPr>
          <w:b/>
          <w:sz w:val="18"/>
        </w:rPr>
      </w:pPr>
    </w:p>
    <w:p>
      <w:pPr>
        <w:spacing w:before="89"/>
        <w:ind w:left="824" w:right="1057" w:firstLine="0"/>
        <w:jc w:val="center"/>
        <w:rPr>
          <w:b/>
          <w:sz w:val="28"/>
        </w:rPr>
      </w:pPr>
      <w:r>
        <w:rPr>
          <w:b/>
          <w:sz w:val="28"/>
        </w:rPr>
        <w:t>Nolēmumi par procesa izbeigšanu, neatbrīvojot no saistībām</w:t>
      </w:r>
    </w:p>
    <w:p>
      <w:pPr>
        <w:pStyle w:val="BodyText"/>
        <w:spacing w:before="1"/>
        <w:jc w:val="left"/>
        <w:rPr>
          <w:b/>
          <w:sz w:val="22"/>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7"/>
        <w:gridCol w:w="2465"/>
        <w:gridCol w:w="2551"/>
        <w:gridCol w:w="3117"/>
      </w:tblGrid>
      <w:tr>
        <w:trPr>
          <w:trHeight w:val="779" w:hRule="atLeast"/>
        </w:trPr>
        <w:tc>
          <w:tcPr>
            <w:tcW w:w="797" w:type="dxa"/>
          </w:tcPr>
          <w:p>
            <w:pPr>
              <w:pStyle w:val="TableParagraph"/>
              <w:rPr>
                <w:b/>
                <w:sz w:val="22"/>
              </w:rPr>
            </w:pPr>
          </w:p>
          <w:p>
            <w:pPr>
              <w:pStyle w:val="TableParagraph"/>
              <w:ind w:left="105" w:right="97"/>
              <w:jc w:val="center"/>
              <w:rPr>
                <w:rFonts w:ascii="Calibri"/>
                <w:b/>
                <w:sz w:val="22"/>
              </w:rPr>
            </w:pPr>
            <w:r>
              <w:rPr>
                <w:rFonts w:ascii="Calibri"/>
                <w:b/>
                <w:sz w:val="22"/>
              </w:rPr>
              <w:t>N.p.k.</w:t>
            </w:r>
          </w:p>
        </w:tc>
        <w:tc>
          <w:tcPr>
            <w:tcW w:w="2465" w:type="dxa"/>
          </w:tcPr>
          <w:p>
            <w:pPr>
              <w:pStyle w:val="TableParagraph"/>
              <w:rPr>
                <w:b/>
                <w:sz w:val="22"/>
              </w:rPr>
            </w:pPr>
          </w:p>
          <w:p>
            <w:pPr>
              <w:pStyle w:val="TableParagraph"/>
              <w:ind w:left="165" w:right="155"/>
              <w:jc w:val="center"/>
              <w:rPr>
                <w:rFonts w:ascii="Calibri"/>
                <w:b/>
                <w:sz w:val="22"/>
              </w:rPr>
            </w:pPr>
            <w:r>
              <w:rPr>
                <w:rFonts w:ascii="Calibri"/>
                <w:b/>
                <w:sz w:val="22"/>
              </w:rPr>
              <w:t>Lietas numurs</w:t>
            </w:r>
          </w:p>
        </w:tc>
        <w:tc>
          <w:tcPr>
            <w:tcW w:w="2551" w:type="dxa"/>
          </w:tcPr>
          <w:p>
            <w:pPr>
              <w:pStyle w:val="TableParagraph"/>
              <w:rPr>
                <w:b/>
                <w:sz w:val="22"/>
              </w:rPr>
            </w:pPr>
          </w:p>
          <w:p>
            <w:pPr>
              <w:pStyle w:val="TableParagraph"/>
              <w:ind w:left="364" w:right="355"/>
              <w:jc w:val="center"/>
              <w:rPr>
                <w:rFonts w:ascii="Calibri" w:hAnsi="Calibri"/>
                <w:b/>
                <w:sz w:val="22"/>
              </w:rPr>
            </w:pPr>
            <w:r>
              <w:rPr>
                <w:rFonts w:ascii="Calibri" w:hAnsi="Calibri"/>
                <w:b/>
                <w:sz w:val="22"/>
              </w:rPr>
              <w:t>Nolēmuma datums</w:t>
            </w:r>
          </w:p>
        </w:tc>
        <w:tc>
          <w:tcPr>
            <w:tcW w:w="3117" w:type="dxa"/>
          </w:tcPr>
          <w:p>
            <w:pPr>
              <w:pStyle w:val="TableParagraph"/>
              <w:rPr>
                <w:b/>
                <w:sz w:val="22"/>
              </w:rPr>
            </w:pPr>
          </w:p>
          <w:p>
            <w:pPr>
              <w:pStyle w:val="TableParagraph"/>
              <w:ind w:left="119" w:right="103"/>
              <w:jc w:val="center"/>
              <w:rPr>
                <w:rFonts w:ascii="Calibri"/>
                <w:b/>
                <w:sz w:val="22"/>
              </w:rPr>
            </w:pPr>
            <w:r>
              <w:rPr>
                <w:rFonts w:ascii="Calibri"/>
                <w:b/>
                <w:sz w:val="22"/>
              </w:rPr>
              <w:t>Tiesa</w:t>
            </w:r>
          </w:p>
        </w:tc>
      </w:tr>
      <w:tr>
        <w:trPr>
          <w:trHeight w:val="779" w:hRule="atLeast"/>
        </w:trPr>
        <w:tc>
          <w:tcPr>
            <w:tcW w:w="797" w:type="dxa"/>
          </w:tcPr>
          <w:p>
            <w:pPr>
              <w:pStyle w:val="TableParagraph"/>
              <w:rPr>
                <w:b/>
                <w:sz w:val="22"/>
              </w:rPr>
            </w:pPr>
          </w:p>
          <w:p>
            <w:pPr>
              <w:pStyle w:val="TableParagraph"/>
              <w:ind w:left="10"/>
              <w:jc w:val="center"/>
              <w:rPr>
                <w:rFonts w:ascii="Calibri"/>
                <w:sz w:val="22"/>
              </w:rPr>
            </w:pPr>
            <w:r>
              <w:rPr>
                <w:rFonts w:ascii="Calibri"/>
                <w:w w:val="100"/>
                <w:sz w:val="22"/>
              </w:rPr>
              <w:t>1</w:t>
            </w:r>
          </w:p>
        </w:tc>
        <w:tc>
          <w:tcPr>
            <w:tcW w:w="2465" w:type="dxa"/>
          </w:tcPr>
          <w:p>
            <w:pPr>
              <w:pStyle w:val="TableParagraph"/>
              <w:spacing w:before="4"/>
              <w:rPr>
                <w:b/>
                <w:sz w:val="22"/>
              </w:rPr>
            </w:pPr>
          </w:p>
          <w:p>
            <w:pPr>
              <w:pStyle w:val="TableParagraph"/>
              <w:ind w:left="165" w:right="157"/>
              <w:jc w:val="center"/>
              <w:rPr>
                <w:sz w:val="22"/>
              </w:rPr>
            </w:pPr>
            <w:r>
              <w:rPr>
                <w:sz w:val="22"/>
              </w:rPr>
              <w:t>C07064411</w:t>
            </w:r>
          </w:p>
        </w:tc>
        <w:tc>
          <w:tcPr>
            <w:tcW w:w="2551" w:type="dxa"/>
          </w:tcPr>
          <w:p>
            <w:pPr>
              <w:pStyle w:val="TableParagraph"/>
              <w:spacing w:before="4"/>
              <w:rPr>
                <w:b/>
                <w:sz w:val="22"/>
              </w:rPr>
            </w:pPr>
          </w:p>
          <w:p>
            <w:pPr>
              <w:pStyle w:val="TableParagraph"/>
              <w:ind w:left="366" w:right="355"/>
              <w:jc w:val="center"/>
              <w:rPr>
                <w:sz w:val="22"/>
              </w:rPr>
            </w:pPr>
            <w:r>
              <w:rPr>
                <w:sz w:val="22"/>
              </w:rPr>
              <w:t>06.02.2015.</w:t>
            </w:r>
          </w:p>
        </w:tc>
        <w:tc>
          <w:tcPr>
            <w:tcW w:w="3117" w:type="dxa"/>
          </w:tcPr>
          <w:p>
            <w:pPr>
              <w:pStyle w:val="TableParagraph"/>
              <w:spacing w:before="4"/>
              <w:rPr>
                <w:b/>
                <w:sz w:val="22"/>
              </w:rPr>
            </w:pPr>
          </w:p>
          <w:p>
            <w:pPr>
              <w:pStyle w:val="TableParagraph"/>
              <w:ind w:left="119" w:right="105"/>
              <w:jc w:val="center"/>
              <w:rPr>
                <w:sz w:val="22"/>
              </w:rPr>
            </w:pPr>
            <w:r>
              <w:rPr>
                <w:sz w:val="22"/>
              </w:rPr>
              <w:t>Aizkraukles rajona tiesa</w:t>
            </w:r>
          </w:p>
        </w:tc>
      </w:tr>
      <w:tr>
        <w:trPr>
          <w:trHeight w:val="782" w:hRule="atLeast"/>
        </w:trPr>
        <w:tc>
          <w:tcPr>
            <w:tcW w:w="797" w:type="dxa"/>
          </w:tcPr>
          <w:p>
            <w:pPr>
              <w:pStyle w:val="TableParagraph"/>
              <w:rPr>
                <w:b/>
                <w:sz w:val="22"/>
              </w:rPr>
            </w:pPr>
          </w:p>
          <w:p>
            <w:pPr>
              <w:pStyle w:val="TableParagraph"/>
              <w:ind w:left="10"/>
              <w:jc w:val="center"/>
              <w:rPr>
                <w:rFonts w:ascii="Calibri"/>
                <w:sz w:val="22"/>
              </w:rPr>
            </w:pPr>
            <w:r>
              <w:rPr>
                <w:rFonts w:ascii="Calibri"/>
                <w:w w:val="100"/>
                <w:sz w:val="22"/>
              </w:rPr>
              <w:t>2</w:t>
            </w:r>
          </w:p>
        </w:tc>
        <w:tc>
          <w:tcPr>
            <w:tcW w:w="2465" w:type="dxa"/>
          </w:tcPr>
          <w:p>
            <w:pPr>
              <w:pStyle w:val="TableParagraph"/>
              <w:spacing w:before="4"/>
              <w:rPr>
                <w:b/>
                <w:sz w:val="22"/>
              </w:rPr>
            </w:pPr>
          </w:p>
          <w:p>
            <w:pPr>
              <w:pStyle w:val="TableParagraph"/>
              <w:ind w:left="165" w:right="157"/>
              <w:jc w:val="center"/>
              <w:rPr>
                <w:sz w:val="22"/>
              </w:rPr>
            </w:pPr>
            <w:r>
              <w:rPr>
                <w:sz w:val="22"/>
              </w:rPr>
              <w:t>C13035412</w:t>
            </w:r>
          </w:p>
        </w:tc>
        <w:tc>
          <w:tcPr>
            <w:tcW w:w="2551" w:type="dxa"/>
          </w:tcPr>
          <w:p>
            <w:pPr>
              <w:pStyle w:val="TableParagraph"/>
              <w:spacing w:before="4"/>
              <w:rPr>
                <w:b/>
                <w:sz w:val="22"/>
              </w:rPr>
            </w:pPr>
          </w:p>
          <w:p>
            <w:pPr>
              <w:pStyle w:val="TableParagraph"/>
              <w:ind w:left="366" w:right="355"/>
              <w:jc w:val="center"/>
              <w:rPr>
                <w:sz w:val="22"/>
              </w:rPr>
            </w:pPr>
            <w:r>
              <w:rPr>
                <w:sz w:val="22"/>
              </w:rPr>
              <w:t>20.02.2015.</w:t>
            </w:r>
          </w:p>
        </w:tc>
        <w:tc>
          <w:tcPr>
            <w:tcW w:w="3117" w:type="dxa"/>
          </w:tcPr>
          <w:p>
            <w:pPr>
              <w:pStyle w:val="TableParagraph"/>
              <w:spacing w:before="4"/>
              <w:rPr>
                <w:b/>
                <w:sz w:val="22"/>
              </w:rPr>
            </w:pPr>
          </w:p>
          <w:p>
            <w:pPr>
              <w:pStyle w:val="TableParagraph"/>
              <w:ind w:left="119" w:right="105"/>
              <w:jc w:val="center"/>
              <w:rPr>
                <w:sz w:val="22"/>
              </w:rPr>
            </w:pPr>
            <w:r>
              <w:rPr>
                <w:sz w:val="22"/>
              </w:rPr>
              <w:t>Dobeles rajona</w:t>
            </w:r>
            <w:r>
              <w:rPr>
                <w:spacing w:val="54"/>
                <w:sz w:val="22"/>
              </w:rPr>
              <w:t> </w:t>
            </w:r>
            <w:r>
              <w:rPr>
                <w:sz w:val="22"/>
              </w:rPr>
              <w:t>tiesa</w:t>
            </w:r>
          </w:p>
        </w:tc>
      </w:tr>
      <w:tr>
        <w:trPr>
          <w:trHeight w:val="779" w:hRule="atLeast"/>
        </w:trPr>
        <w:tc>
          <w:tcPr>
            <w:tcW w:w="797" w:type="dxa"/>
          </w:tcPr>
          <w:p>
            <w:pPr>
              <w:pStyle w:val="TableParagraph"/>
              <w:spacing w:before="9"/>
              <w:rPr>
                <w:b/>
                <w:sz w:val="21"/>
              </w:rPr>
            </w:pPr>
          </w:p>
          <w:p>
            <w:pPr>
              <w:pStyle w:val="TableParagraph"/>
              <w:ind w:left="10"/>
              <w:jc w:val="center"/>
              <w:rPr>
                <w:rFonts w:ascii="Calibri"/>
                <w:sz w:val="22"/>
              </w:rPr>
            </w:pPr>
            <w:r>
              <w:rPr>
                <w:rFonts w:ascii="Calibri"/>
                <w:w w:val="100"/>
                <w:sz w:val="22"/>
              </w:rPr>
              <w:t>3</w:t>
            </w:r>
          </w:p>
        </w:tc>
        <w:tc>
          <w:tcPr>
            <w:tcW w:w="2465" w:type="dxa"/>
          </w:tcPr>
          <w:p>
            <w:pPr>
              <w:pStyle w:val="TableParagraph"/>
              <w:spacing w:before="4"/>
              <w:rPr>
                <w:b/>
                <w:sz w:val="22"/>
              </w:rPr>
            </w:pPr>
          </w:p>
          <w:p>
            <w:pPr>
              <w:pStyle w:val="TableParagraph"/>
              <w:ind w:left="165" w:right="157"/>
              <w:jc w:val="center"/>
              <w:rPr>
                <w:sz w:val="22"/>
              </w:rPr>
            </w:pPr>
            <w:r>
              <w:rPr>
                <w:sz w:val="22"/>
              </w:rPr>
              <w:t>C13050112</w:t>
            </w:r>
          </w:p>
        </w:tc>
        <w:tc>
          <w:tcPr>
            <w:tcW w:w="2551" w:type="dxa"/>
          </w:tcPr>
          <w:p>
            <w:pPr>
              <w:pStyle w:val="TableParagraph"/>
              <w:spacing w:before="4"/>
              <w:rPr>
                <w:b/>
                <w:sz w:val="22"/>
              </w:rPr>
            </w:pPr>
          </w:p>
          <w:p>
            <w:pPr>
              <w:pStyle w:val="TableParagraph"/>
              <w:ind w:left="366" w:right="355"/>
              <w:jc w:val="center"/>
              <w:rPr>
                <w:sz w:val="22"/>
              </w:rPr>
            </w:pPr>
            <w:r>
              <w:rPr>
                <w:sz w:val="22"/>
              </w:rPr>
              <w:t>21.01.2015.</w:t>
            </w:r>
          </w:p>
        </w:tc>
        <w:tc>
          <w:tcPr>
            <w:tcW w:w="3117" w:type="dxa"/>
          </w:tcPr>
          <w:p>
            <w:pPr>
              <w:pStyle w:val="TableParagraph"/>
              <w:spacing w:before="4"/>
              <w:rPr>
                <w:b/>
                <w:sz w:val="22"/>
              </w:rPr>
            </w:pPr>
          </w:p>
          <w:p>
            <w:pPr>
              <w:pStyle w:val="TableParagraph"/>
              <w:ind w:left="119" w:right="105"/>
              <w:jc w:val="center"/>
              <w:rPr>
                <w:sz w:val="22"/>
              </w:rPr>
            </w:pPr>
            <w:r>
              <w:rPr>
                <w:sz w:val="22"/>
              </w:rPr>
              <w:t>Dobeles rajona</w:t>
            </w:r>
            <w:r>
              <w:rPr>
                <w:spacing w:val="54"/>
                <w:sz w:val="22"/>
              </w:rPr>
              <w:t> </w:t>
            </w:r>
            <w:r>
              <w:rPr>
                <w:sz w:val="22"/>
              </w:rPr>
              <w:t>tiesa</w:t>
            </w:r>
          </w:p>
        </w:tc>
      </w:tr>
      <w:tr>
        <w:trPr>
          <w:trHeight w:val="779" w:hRule="atLeast"/>
        </w:trPr>
        <w:tc>
          <w:tcPr>
            <w:tcW w:w="797" w:type="dxa"/>
          </w:tcPr>
          <w:p>
            <w:pPr>
              <w:pStyle w:val="TableParagraph"/>
              <w:rPr>
                <w:b/>
                <w:sz w:val="22"/>
              </w:rPr>
            </w:pPr>
          </w:p>
          <w:p>
            <w:pPr>
              <w:pStyle w:val="TableParagraph"/>
              <w:ind w:left="10"/>
              <w:jc w:val="center"/>
              <w:rPr>
                <w:rFonts w:ascii="Calibri"/>
                <w:sz w:val="22"/>
              </w:rPr>
            </w:pPr>
            <w:r>
              <w:rPr>
                <w:rFonts w:ascii="Calibri"/>
                <w:w w:val="100"/>
                <w:sz w:val="22"/>
              </w:rPr>
              <w:t>4</w:t>
            </w:r>
          </w:p>
        </w:tc>
        <w:tc>
          <w:tcPr>
            <w:tcW w:w="2465" w:type="dxa"/>
          </w:tcPr>
          <w:p>
            <w:pPr>
              <w:pStyle w:val="TableParagraph"/>
              <w:spacing w:before="4"/>
              <w:rPr>
                <w:b/>
                <w:sz w:val="22"/>
              </w:rPr>
            </w:pPr>
          </w:p>
          <w:p>
            <w:pPr>
              <w:pStyle w:val="TableParagraph"/>
              <w:ind w:left="165" w:right="157"/>
              <w:jc w:val="center"/>
              <w:rPr>
                <w:sz w:val="22"/>
              </w:rPr>
            </w:pPr>
            <w:r>
              <w:rPr>
                <w:sz w:val="22"/>
              </w:rPr>
              <w:t>C22041112</w:t>
            </w:r>
          </w:p>
        </w:tc>
        <w:tc>
          <w:tcPr>
            <w:tcW w:w="2551" w:type="dxa"/>
          </w:tcPr>
          <w:p>
            <w:pPr>
              <w:pStyle w:val="TableParagraph"/>
              <w:spacing w:before="4"/>
              <w:rPr>
                <w:b/>
                <w:sz w:val="22"/>
              </w:rPr>
            </w:pPr>
          </w:p>
          <w:p>
            <w:pPr>
              <w:pStyle w:val="TableParagraph"/>
              <w:ind w:left="366" w:right="355"/>
              <w:jc w:val="center"/>
              <w:rPr>
                <w:sz w:val="22"/>
              </w:rPr>
            </w:pPr>
            <w:r>
              <w:rPr>
                <w:sz w:val="22"/>
              </w:rPr>
              <w:t>08.12.2014.</w:t>
            </w:r>
          </w:p>
        </w:tc>
        <w:tc>
          <w:tcPr>
            <w:tcW w:w="3117" w:type="dxa"/>
          </w:tcPr>
          <w:p>
            <w:pPr>
              <w:pStyle w:val="TableParagraph"/>
              <w:spacing w:before="4"/>
              <w:rPr>
                <w:b/>
                <w:sz w:val="22"/>
              </w:rPr>
            </w:pPr>
          </w:p>
          <w:p>
            <w:pPr>
              <w:pStyle w:val="TableParagraph"/>
              <w:ind w:left="119" w:right="106"/>
              <w:jc w:val="center"/>
              <w:rPr>
                <w:sz w:val="22"/>
              </w:rPr>
            </w:pPr>
            <w:r>
              <w:rPr>
                <w:sz w:val="22"/>
              </w:rPr>
              <w:t>Ludzas rajona tiesa</w:t>
            </w:r>
          </w:p>
        </w:tc>
      </w:tr>
      <w:tr>
        <w:trPr>
          <w:trHeight w:val="779" w:hRule="atLeast"/>
        </w:trPr>
        <w:tc>
          <w:tcPr>
            <w:tcW w:w="797" w:type="dxa"/>
          </w:tcPr>
          <w:p>
            <w:pPr>
              <w:pStyle w:val="TableParagraph"/>
              <w:rPr>
                <w:b/>
                <w:sz w:val="22"/>
              </w:rPr>
            </w:pPr>
          </w:p>
          <w:p>
            <w:pPr>
              <w:pStyle w:val="TableParagraph"/>
              <w:ind w:left="10"/>
              <w:jc w:val="center"/>
              <w:rPr>
                <w:rFonts w:ascii="Calibri"/>
                <w:sz w:val="22"/>
              </w:rPr>
            </w:pPr>
            <w:r>
              <w:rPr>
                <w:rFonts w:ascii="Calibri"/>
                <w:w w:val="100"/>
                <w:sz w:val="22"/>
              </w:rPr>
              <w:t>5</w:t>
            </w:r>
          </w:p>
        </w:tc>
        <w:tc>
          <w:tcPr>
            <w:tcW w:w="2465" w:type="dxa"/>
          </w:tcPr>
          <w:p>
            <w:pPr>
              <w:pStyle w:val="TableParagraph"/>
              <w:spacing w:before="4"/>
              <w:rPr>
                <w:b/>
                <w:sz w:val="22"/>
              </w:rPr>
            </w:pPr>
          </w:p>
          <w:p>
            <w:pPr>
              <w:pStyle w:val="TableParagraph"/>
              <w:ind w:left="165" w:right="157"/>
              <w:jc w:val="center"/>
              <w:rPr>
                <w:sz w:val="22"/>
              </w:rPr>
            </w:pPr>
            <w:r>
              <w:rPr>
                <w:sz w:val="22"/>
              </w:rPr>
              <w:t>C39040513</w:t>
            </w:r>
          </w:p>
        </w:tc>
        <w:tc>
          <w:tcPr>
            <w:tcW w:w="2551" w:type="dxa"/>
          </w:tcPr>
          <w:p>
            <w:pPr>
              <w:pStyle w:val="TableParagraph"/>
              <w:spacing w:before="4"/>
              <w:rPr>
                <w:b/>
                <w:sz w:val="22"/>
              </w:rPr>
            </w:pPr>
          </w:p>
          <w:p>
            <w:pPr>
              <w:pStyle w:val="TableParagraph"/>
              <w:ind w:left="366" w:right="355"/>
              <w:jc w:val="center"/>
              <w:rPr>
                <w:sz w:val="22"/>
              </w:rPr>
            </w:pPr>
            <w:r>
              <w:rPr>
                <w:sz w:val="22"/>
              </w:rPr>
              <w:t>25.07.2014.</w:t>
            </w:r>
          </w:p>
        </w:tc>
        <w:tc>
          <w:tcPr>
            <w:tcW w:w="3117" w:type="dxa"/>
          </w:tcPr>
          <w:p>
            <w:pPr>
              <w:pStyle w:val="TableParagraph"/>
              <w:spacing w:before="4"/>
              <w:rPr>
                <w:b/>
                <w:sz w:val="22"/>
              </w:rPr>
            </w:pPr>
          </w:p>
          <w:p>
            <w:pPr>
              <w:pStyle w:val="TableParagraph"/>
              <w:ind w:left="119" w:right="104"/>
              <w:jc w:val="center"/>
              <w:rPr>
                <w:sz w:val="22"/>
              </w:rPr>
            </w:pPr>
            <w:r>
              <w:rPr>
                <w:sz w:val="22"/>
              </w:rPr>
              <w:t>Valmieras rajona tiesa</w:t>
            </w:r>
          </w:p>
        </w:tc>
      </w:tr>
      <w:tr>
        <w:trPr>
          <w:trHeight w:val="779" w:hRule="atLeast"/>
        </w:trPr>
        <w:tc>
          <w:tcPr>
            <w:tcW w:w="797" w:type="dxa"/>
          </w:tcPr>
          <w:p>
            <w:pPr>
              <w:pStyle w:val="TableParagraph"/>
              <w:rPr>
                <w:b/>
                <w:sz w:val="22"/>
              </w:rPr>
            </w:pPr>
          </w:p>
          <w:p>
            <w:pPr>
              <w:pStyle w:val="TableParagraph"/>
              <w:ind w:left="10"/>
              <w:jc w:val="center"/>
              <w:rPr>
                <w:rFonts w:ascii="Calibri"/>
                <w:sz w:val="22"/>
              </w:rPr>
            </w:pPr>
            <w:r>
              <w:rPr>
                <w:rFonts w:ascii="Calibri"/>
                <w:w w:val="100"/>
                <w:sz w:val="22"/>
              </w:rPr>
              <w:t>6</w:t>
            </w:r>
          </w:p>
        </w:tc>
        <w:tc>
          <w:tcPr>
            <w:tcW w:w="2465" w:type="dxa"/>
          </w:tcPr>
          <w:p>
            <w:pPr>
              <w:pStyle w:val="TableParagraph"/>
              <w:spacing w:before="4"/>
              <w:rPr>
                <w:b/>
                <w:sz w:val="22"/>
              </w:rPr>
            </w:pPr>
          </w:p>
          <w:p>
            <w:pPr>
              <w:pStyle w:val="TableParagraph"/>
              <w:ind w:left="165" w:right="157"/>
              <w:jc w:val="center"/>
              <w:rPr>
                <w:sz w:val="22"/>
              </w:rPr>
            </w:pPr>
            <w:r>
              <w:rPr>
                <w:sz w:val="22"/>
              </w:rPr>
              <w:t>C15175212</w:t>
            </w:r>
          </w:p>
        </w:tc>
        <w:tc>
          <w:tcPr>
            <w:tcW w:w="2551" w:type="dxa"/>
          </w:tcPr>
          <w:p>
            <w:pPr>
              <w:pStyle w:val="TableParagraph"/>
              <w:spacing w:before="4"/>
              <w:rPr>
                <w:b/>
                <w:sz w:val="22"/>
              </w:rPr>
            </w:pPr>
          </w:p>
          <w:p>
            <w:pPr>
              <w:pStyle w:val="TableParagraph"/>
              <w:ind w:left="366" w:right="355"/>
              <w:jc w:val="center"/>
              <w:rPr>
                <w:sz w:val="22"/>
              </w:rPr>
            </w:pPr>
            <w:r>
              <w:rPr>
                <w:sz w:val="22"/>
              </w:rPr>
              <w:t>27.02.2015.</w:t>
            </w:r>
          </w:p>
        </w:tc>
        <w:tc>
          <w:tcPr>
            <w:tcW w:w="3117" w:type="dxa"/>
          </w:tcPr>
          <w:p>
            <w:pPr>
              <w:pStyle w:val="TableParagraph"/>
              <w:spacing w:before="4"/>
              <w:rPr>
                <w:b/>
                <w:sz w:val="22"/>
              </w:rPr>
            </w:pPr>
          </w:p>
          <w:p>
            <w:pPr>
              <w:pStyle w:val="TableParagraph"/>
              <w:ind w:left="116" w:right="106"/>
              <w:jc w:val="center"/>
              <w:rPr>
                <w:sz w:val="22"/>
              </w:rPr>
            </w:pPr>
            <w:r>
              <w:rPr>
                <w:sz w:val="22"/>
              </w:rPr>
              <w:t>Jelgavas tiesa</w:t>
            </w:r>
          </w:p>
        </w:tc>
      </w:tr>
      <w:tr>
        <w:trPr>
          <w:trHeight w:val="779" w:hRule="atLeast"/>
        </w:trPr>
        <w:tc>
          <w:tcPr>
            <w:tcW w:w="797" w:type="dxa"/>
          </w:tcPr>
          <w:p>
            <w:pPr>
              <w:pStyle w:val="TableParagraph"/>
              <w:rPr>
                <w:b/>
                <w:sz w:val="22"/>
              </w:rPr>
            </w:pPr>
          </w:p>
          <w:p>
            <w:pPr>
              <w:pStyle w:val="TableParagraph"/>
              <w:ind w:left="10"/>
              <w:jc w:val="center"/>
              <w:rPr>
                <w:rFonts w:ascii="Calibri"/>
                <w:sz w:val="22"/>
              </w:rPr>
            </w:pPr>
            <w:r>
              <w:rPr>
                <w:rFonts w:ascii="Calibri"/>
                <w:w w:val="100"/>
                <w:sz w:val="22"/>
              </w:rPr>
              <w:t>7</w:t>
            </w:r>
          </w:p>
        </w:tc>
        <w:tc>
          <w:tcPr>
            <w:tcW w:w="2465" w:type="dxa"/>
          </w:tcPr>
          <w:p>
            <w:pPr>
              <w:pStyle w:val="TableParagraph"/>
              <w:spacing w:before="4"/>
              <w:rPr>
                <w:b/>
                <w:sz w:val="22"/>
              </w:rPr>
            </w:pPr>
          </w:p>
          <w:p>
            <w:pPr>
              <w:pStyle w:val="TableParagraph"/>
              <w:ind w:left="165" w:right="157"/>
              <w:jc w:val="center"/>
              <w:rPr>
                <w:sz w:val="22"/>
              </w:rPr>
            </w:pPr>
            <w:r>
              <w:rPr>
                <w:sz w:val="22"/>
              </w:rPr>
              <w:t>C33419111</w:t>
            </w:r>
          </w:p>
        </w:tc>
        <w:tc>
          <w:tcPr>
            <w:tcW w:w="2551" w:type="dxa"/>
          </w:tcPr>
          <w:p>
            <w:pPr>
              <w:pStyle w:val="TableParagraph"/>
              <w:spacing w:before="4"/>
              <w:rPr>
                <w:b/>
                <w:sz w:val="22"/>
              </w:rPr>
            </w:pPr>
          </w:p>
          <w:p>
            <w:pPr>
              <w:pStyle w:val="TableParagraph"/>
              <w:ind w:left="366" w:right="355"/>
              <w:jc w:val="center"/>
              <w:rPr>
                <w:sz w:val="22"/>
              </w:rPr>
            </w:pPr>
            <w:r>
              <w:rPr>
                <w:sz w:val="22"/>
              </w:rPr>
              <w:t>26.02.2015.</w:t>
            </w:r>
          </w:p>
        </w:tc>
        <w:tc>
          <w:tcPr>
            <w:tcW w:w="3117" w:type="dxa"/>
          </w:tcPr>
          <w:p>
            <w:pPr>
              <w:pStyle w:val="TableParagraph"/>
              <w:spacing w:before="4"/>
              <w:rPr>
                <w:b/>
                <w:sz w:val="22"/>
              </w:rPr>
            </w:pPr>
          </w:p>
          <w:p>
            <w:pPr>
              <w:pStyle w:val="TableParagraph"/>
              <w:ind w:left="119" w:right="105"/>
              <w:jc w:val="center"/>
              <w:rPr>
                <w:sz w:val="22"/>
              </w:rPr>
            </w:pPr>
            <w:r>
              <w:rPr>
                <w:sz w:val="22"/>
              </w:rPr>
              <w:t>Rīgas rajona tiesa</w:t>
            </w:r>
          </w:p>
        </w:tc>
      </w:tr>
      <w:tr>
        <w:trPr>
          <w:trHeight w:val="782" w:hRule="atLeast"/>
        </w:trPr>
        <w:tc>
          <w:tcPr>
            <w:tcW w:w="797" w:type="dxa"/>
          </w:tcPr>
          <w:p>
            <w:pPr>
              <w:pStyle w:val="TableParagraph"/>
              <w:rPr>
                <w:b/>
                <w:sz w:val="22"/>
              </w:rPr>
            </w:pPr>
          </w:p>
          <w:p>
            <w:pPr>
              <w:pStyle w:val="TableParagraph"/>
              <w:ind w:left="10"/>
              <w:jc w:val="center"/>
              <w:rPr>
                <w:rFonts w:ascii="Calibri"/>
                <w:sz w:val="22"/>
              </w:rPr>
            </w:pPr>
            <w:r>
              <w:rPr>
                <w:rFonts w:ascii="Calibri"/>
                <w:w w:val="100"/>
                <w:sz w:val="22"/>
              </w:rPr>
              <w:t>8</w:t>
            </w:r>
          </w:p>
        </w:tc>
        <w:tc>
          <w:tcPr>
            <w:tcW w:w="2465" w:type="dxa"/>
          </w:tcPr>
          <w:p>
            <w:pPr>
              <w:pStyle w:val="TableParagraph"/>
              <w:spacing w:before="4"/>
              <w:rPr>
                <w:b/>
                <w:sz w:val="22"/>
              </w:rPr>
            </w:pPr>
          </w:p>
          <w:p>
            <w:pPr>
              <w:pStyle w:val="TableParagraph"/>
              <w:ind w:left="165" w:right="157"/>
              <w:jc w:val="center"/>
              <w:rPr>
                <w:sz w:val="22"/>
              </w:rPr>
            </w:pPr>
            <w:r>
              <w:rPr>
                <w:sz w:val="22"/>
              </w:rPr>
              <w:t>C33422811</w:t>
            </w:r>
          </w:p>
        </w:tc>
        <w:tc>
          <w:tcPr>
            <w:tcW w:w="2551" w:type="dxa"/>
          </w:tcPr>
          <w:p>
            <w:pPr>
              <w:pStyle w:val="TableParagraph"/>
              <w:spacing w:before="4"/>
              <w:rPr>
                <w:b/>
                <w:sz w:val="22"/>
              </w:rPr>
            </w:pPr>
          </w:p>
          <w:p>
            <w:pPr>
              <w:pStyle w:val="TableParagraph"/>
              <w:ind w:left="366" w:right="355"/>
              <w:jc w:val="center"/>
              <w:rPr>
                <w:sz w:val="22"/>
              </w:rPr>
            </w:pPr>
            <w:r>
              <w:rPr>
                <w:sz w:val="22"/>
              </w:rPr>
              <w:t>06.02.2015.</w:t>
            </w:r>
          </w:p>
        </w:tc>
        <w:tc>
          <w:tcPr>
            <w:tcW w:w="3117" w:type="dxa"/>
          </w:tcPr>
          <w:p>
            <w:pPr>
              <w:pStyle w:val="TableParagraph"/>
              <w:spacing w:before="4"/>
              <w:rPr>
                <w:b/>
                <w:sz w:val="22"/>
              </w:rPr>
            </w:pPr>
          </w:p>
          <w:p>
            <w:pPr>
              <w:pStyle w:val="TableParagraph"/>
              <w:ind w:left="119" w:right="105"/>
              <w:jc w:val="center"/>
              <w:rPr>
                <w:sz w:val="22"/>
              </w:rPr>
            </w:pPr>
            <w:r>
              <w:rPr>
                <w:sz w:val="22"/>
              </w:rPr>
              <w:t>Rīgas rajona tiesa</w:t>
            </w:r>
          </w:p>
        </w:tc>
      </w:tr>
    </w:tbl>
    <w:p>
      <w:pPr>
        <w:spacing w:after="0"/>
        <w:jc w:val="center"/>
        <w:rPr>
          <w:sz w:val="22"/>
        </w:rPr>
        <w:sectPr>
          <w:pgSz w:w="11910" w:h="16840"/>
          <w:pgMar w:header="0" w:footer="1055" w:top="1420" w:bottom="1160" w:left="1180" w:right="1040"/>
        </w:sect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7"/>
        <w:gridCol w:w="2465"/>
        <w:gridCol w:w="2551"/>
        <w:gridCol w:w="3117"/>
      </w:tblGrid>
      <w:tr>
        <w:trPr>
          <w:trHeight w:val="779" w:hRule="atLeast"/>
        </w:trPr>
        <w:tc>
          <w:tcPr>
            <w:tcW w:w="797" w:type="dxa"/>
          </w:tcPr>
          <w:p>
            <w:pPr>
              <w:pStyle w:val="TableParagraph"/>
              <w:rPr>
                <w:b/>
                <w:sz w:val="22"/>
              </w:rPr>
            </w:pPr>
          </w:p>
          <w:p>
            <w:pPr>
              <w:pStyle w:val="TableParagraph"/>
              <w:ind w:left="343"/>
              <w:rPr>
                <w:rFonts w:ascii="Calibri"/>
                <w:sz w:val="22"/>
              </w:rPr>
            </w:pPr>
            <w:r>
              <w:rPr>
                <w:rFonts w:ascii="Calibri"/>
                <w:w w:val="100"/>
                <w:sz w:val="22"/>
              </w:rPr>
              <w:t>9</w:t>
            </w:r>
          </w:p>
        </w:tc>
        <w:tc>
          <w:tcPr>
            <w:tcW w:w="2465" w:type="dxa"/>
          </w:tcPr>
          <w:p>
            <w:pPr>
              <w:pStyle w:val="TableParagraph"/>
              <w:spacing w:before="4"/>
              <w:rPr>
                <w:b/>
                <w:sz w:val="22"/>
              </w:rPr>
            </w:pPr>
          </w:p>
          <w:p>
            <w:pPr>
              <w:pStyle w:val="TableParagraph"/>
              <w:ind w:left="165" w:right="157"/>
              <w:jc w:val="center"/>
              <w:rPr>
                <w:sz w:val="22"/>
              </w:rPr>
            </w:pPr>
            <w:r>
              <w:rPr>
                <w:sz w:val="22"/>
              </w:rPr>
              <w:t>C33291411</w:t>
            </w:r>
          </w:p>
        </w:tc>
        <w:tc>
          <w:tcPr>
            <w:tcW w:w="2551" w:type="dxa"/>
          </w:tcPr>
          <w:p>
            <w:pPr>
              <w:pStyle w:val="TableParagraph"/>
              <w:spacing w:before="4"/>
              <w:rPr>
                <w:b/>
                <w:sz w:val="22"/>
              </w:rPr>
            </w:pPr>
          </w:p>
          <w:p>
            <w:pPr>
              <w:pStyle w:val="TableParagraph"/>
              <w:ind w:right="740"/>
              <w:jc w:val="right"/>
              <w:rPr>
                <w:sz w:val="22"/>
              </w:rPr>
            </w:pPr>
            <w:r>
              <w:rPr>
                <w:sz w:val="22"/>
              </w:rPr>
              <w:t>11.09.2014.</w:t>
            </w:r>
          </w:p>
        </w:tc>
        <w:tc>
          <w:tcPr>
            <w:tcW w:w="3117" w:type="dxa"/>
          </w:tcPr>
          <w:p>
            <w:pPr>
              <w:pStyle w:val="TableParagraph"/>
              <w:spacing w:before="4"/>
              <w:rPr>
                <w:b/>
                <w:sz w:val="22"/>
              </w:rPr>
            </w:pPr>
          </w:p>
          <w:p>
            <w:pPr>
              <w:pStyle w:val="TableParagraph"/>
              <w:ind w:left="118" w:right="106"/>
              <w:jc w:val="center"/>
              <w:rPr>
                <w:sz w:val="22"/>
              </w:rPr>
            </w:pPr>
            <w:r>
              <w:rPr>
                <w:sz w:val="22"/>
              </w:rPr>
              <w:t>Rīgas rajona tiesas</w:t>
            </w:r>
          </w:p>
        </w:tc>
      </w:tr>
      <w:tr>
        <w:trPr>
          <w:trHeight w:val="779" w:hRule="atLeast"/>
        </w:trPr>
        <w:tc>
          <w:tcPr>
            <w:tcW w:w="797" w:type="dxa"/>
          </w:tcPr>
          <w:p>
            <w:pPr>
              <w:pStyle w:val="TableParagraph"/>
              <w:rPr>
                <w:b/>
                <w:sz w:val="22"/>
              </w:rPr>
            </w:pPr>
          </w:p>
          <w:p>
            <w:pPr>
              <w:pStyle w:val="TableParagraph"/>
              <w:ind w:left="285"/>
              <w:rPr>
                <w:rFonts w:ascii="Calibri"/>
                <w:sz w:val="22"/>
              </w:rPr>
            </w:pPr>
            <w:r>
              <w:rPr>
                <w:rFonts w:ascii="Calibri"/>
                <w:sz w:val="22"/>
              </w:rPr>
              <w:t>10</w:t>
            </w:r>
          </w:p>
        </w:tc>
        <w:tc>
          <w:tcPr>
            <w:tcW w:w="2465" w:type="dxa"/>
          </w:tcPr>
          <w:p>
            <w:pPr>
              <w:pStyle w:val="TableParagraph"/>
              <w:spacing w:before="4"/>
              <w:rPr>
                <w:b/>
                <w:sz w:val="22"/>
              </w:rPr>
            </w:pPr>
          </w:p>
          <w:p>
            <w:pPr>
              <w:pStyle w:val="TableParagraph"/>
              <w:ind w:left="165" w:right="157"/>
              <w:jc w:val="center"/>
              <w:rPr>
                <w:sz w:val="22"/>
              </w:rPr>
            </w:pPr>
            <w:r>
              <w:rPr>
                <w:sz w:val="22"/>
              </w:rPr>
              <w:t>C33520211</w:t>
            </w:r>
          </w:p>
        </w:tc>
        <w:tc>
          <w:tcPr>
            <w:tcW w:w="2551" w:type="dxa"/>
          </w:tcPr>
          <w:p>
            <w:pPr>
              <w:pStyle w:val="TableParagraph"/>
              <w:spacing w:before="4"/>
              <w:rPr>
                <w:b/>
                <w:sz w:val="22"/>
              </w:rPr>
            </w:pPr>
          </w:p>
          <w:p>
            <w:pPr>
              <w:pStyle w:val="TableParagraph"/>
              <w:ind w:right="740"/>
              <w:jc w:val="right"/>
              <w:rPr>
                <w:sz w:val="22"/>
              </w:rPr>
            </w:pPr>
            <w:r>
              <w:rPr>
                <w:sz w:val="22"/>
              </w:rPr>
              <w:t>30.01.2015.</w:t>
            </w:r>
          </w:p>
        </w:tc>
        <w:tc>
          <w:tcPr>
            <w:tcW w:w="3117" w:type="dxa"/>
          </w:tcPr>
          <w:p>
            <w:pPr>
              <w:pStyle w:val="TableParagraph"/>
              <w:spacing w:before="4"/>
              <w:rPr>
                <w:b/>
                <w:sz w:val="22"/>
              </w:rPr>
            </w:pPr>
          </w:p>
          <w:p>
            <w:pPr>
              <w:pStyle w:val="TableParagraph"/>
              <w:ind w:left="119" w:right="105"/>
              <w:jc w:val="center"/>
              <w:rPr>
                <w:sz w:val="22"/>
              </w:rPr>
            </w:pPr>
            <w:r>
              <w:rPr>
                <w:sz w:val="22"/>
              </w:rPr>
              <w:t>Rīgas rajona tiesa</w:t>
            </w:r>
          </w:p>
        </w:tc>
      </w:tr>
      <w:tr>
        <w:trPr>
          <w:trHeight w:val="782" w:hRule="atLeast"/>
        </w:trPr>
        <w:tc>
          <w:tcPr>
            <w:tcW w:w="797" w:type="dxa"/>
          </w:tcPr>
          <w:p>
            <w:pPr>
              <w:pStyle w:val="TableParagraph"/>
              <w:rPr>
                <w:b/>
                <w:sz w:val="22"/>
              </w:rPr>
            </w:pPr>
          </w:p>
          <w:p>
            <w:pPr>
              <w:pStyle w:val="TableParagraph"/>
              <w:ind w:left="285"/>
              <w:rPr>
                <w:rFonts w:ascii="Calibri"/>
                <w:sz w:val="22"/>
              </w:rPr>
            </w:pPr>
            <w:r>
              <w:rPr>
                <w:rFonts w:ascii="Calibri"/>
                <w:sz w:val="22"/>
              </w:rPr>
              <w:t>11</w:t>
            </w:r>
          </w:p>
        </w:tc>
        <w:tc>
          <w:tcPr>
            <w:tcW w:w="2465" w:type="dxa"/>
          </w:tcPr>
          <w:p>
            <w:pPr>
              <w:pStyle w:val="TableParagraph"/>
              <w:spacing w:before="4"/>
              <w:rPr>
                <w:b/>
                <w:sz w:val="22"/>
              </w:rPr>
            </w:pPr>
          </w:p>
          <w:p>
            <w:pPr>
              <w:pStyle w:val="TableParagraph"/>
              <w:ind w:left="165" w:right="157"/>
              <w:jc w:val="center"/>
              <w:rPr>
                <w:sz w:val="22"/>
              </w:rPr>
            </w:pPr>
            <w:r>
              <w:rPr>
                <w:sz w:val="22"/>
              </w:rPr>
              <w:t>C28300211</w:t>
            </w:r>
          </w:p>
        </w:tc>
        <w:tc>
          <w:tcPr>
            <w:tcW w:w="2551" w:type="dxa"/>
          </w:tcPr>
          <w:p>
            <w:pPr>
              <w:pStyle w:val="TableParagraph"/>
              <w:spacing w:before="4"/>
              <w:rPr>
                <w:b/>
                <w:sz w:val="22"/>
              </w:rPr>
            </w:pPr>
          </w:p>
          <w:p>
            <w:pPr>
              <w:pStyle w:val="TableParagraph"/>
              <w:ind w:right="740"/>
              <w:jc w:val="right"/>
              <w:rPr>
                <w:sz w:val="22"/>
              </w:rPr>
            </w:pPr>
            <w:r>
              <w:rPr>
                <w:sz w:val="22"/>
              </w:rPr>
              <w:t>28.10.2014.</w:t>
            </w:r>
          </w:p>
        </w:tc>
        <w:tc>
          <w:tcPr>
            <w:tcW w:w="3117" w:type="dxa"/>
          </w:tcPr>
          <w:p>
            <w:pPr>
              <w:pStyle w:val="TableParagraph"/>
              <w:spacing w:before="133"/>
              <w:ind w:left="1358" w:right="145" w:hanging="1184"/>
              <w:rPr>
                <w:sz w:val="22"/>
              </w:rPr>
            </w:pPr>
            <w:r>
              <w:rPr>
                <w:sz w:val="22"/>
              </w:rPr>
              <w:t>Rīgas pilsētas Kurzemes rajona tiesa</w:t>
            </w:r>
          </w:p>
        </w:tc>
      </w:tr>
      <w:tr>
        <w:trPr>
          <w:trHeight w:val="779" w:hRule="atLeast"/>
        </w:trPr>
        <w:tc>
          <w:tcPr>
            <w:tcW w:w="797" w:type="dxa"/>
          </w:tcPr>
          <w:p>
            <w:pPr>
              <w:pStyle w:val="TableParagraph"/>
              <w:spacing w:before="9"/>
              <w:rPr>
                <w:b/>
                <w:sz w:val="21"/>
              </w:rPr>
            </w:pPr>
          </w:p>
          <w:p>
            <w:pPr>
              <w:pStyle w:val="TableParagraph"/>
              <w:ind w:left="285"/>
              <w:rPr>
                <w:rFonts w:ascii="Calibri"/>
                <w:sz w:val="22"/>
              </w:rPr>
            </w:pPr>
            <w:r>
              <w:rPr>
                <w:rFonts w:ascii="Calibri"/>
                <w:sz w:val="22"/>
              </w:rPr>
              <w:t>12</w:t>
            </w:r>
          </w:p>
        </w:tc>
        <w:tc>
          <w:tcPr>
            <w:tcW w:w="2465" w:type="dxa"/>
          </w:tcPr>
          <w:p>
            <w:pPr>
              <w:pStyle w:val="TableParagraph"/>
              <w:spacing w:before="2"/>
              <w:rPr>
                <w:b/>
                <w:sz w:val="22"/>
              </w:rPr>
            </w:pPr>
          </w:p>
          <w:p>
            <w:pPr>
              <w:pStyle w:val="TableParagraph"/>
              <w:ind w:left="165" w:right="157"/>
              <w:jc w:val="center"/>
              <w:rPr>
                <w:sz w:val="22"/>
              </w:rPr>
            </w:pPr>
            <w:r>
              <w:rPr>
                <w:sz w:val="22"/>
              </w:rPr>
              <w:t>C15203113</w:t>
            </w:r>
          </w:p>
        </w:tc>
        <w:tc>
          <w:tcPr>
            <w:tcW w:w="2551" w:type="dxa"/>
          </w:tcPr>
          <w:p>
            <w:pPr>
              <w:pStyle w:val="TableParagraph"/>
              <w:spacing w:before="2"/>
              <w:rPr>
                <w:b/>
                <w:sz w:val="22"/>
              </w:rPr>
            </w:pPr>
          </w:p>
          <w:p>
            <w:pPr>
              <w:pStyle w:val="TableParagraph"/>
              <w:ind w:right="740"/>
              <w:jc w:val="right"/>
              <w:rPr>
                <w:sz w:val="22"/>
              </w:rPr>
            </w:pPr>
            <w:r>
              <w:rPr>
                <w:sz w:val="22"/>
              </w:rPr>
              <w:t>19.01.2015.</w:t>
            </w:r>
          </w:p>
        </w:tc>
        <w:tc>
          <w:tcPr>
            <w:tcW w:w="3117" w:type="dxa"/>
          </w:tcPr>
          <w:p>
            <w:pPr>
              <w:pStyle w:val="TableParagraph"/>
              <w:spacing w:before="2"/>
              <w:rPr>
                <w:b/>
                <w:sz w:val="22"/>
              </w:rPr>
            </w:pPr>
          </w:p>
          <w:p>
            <w:pPr>
              <w:pStyle w:val="TableParagraph"/>
              <w:ind w:left="116" w:right="106"/>
              <w:jc w:val="center"/>
              <w:rPr>
                <w:sz w:val="22"/>
              </w:rPr>
            </w:pPr>
            <w:r>
              <w:rPr>
                <w:sz w:val="22"/>
              </w:rPr>
              <w:t>Jelgavas tiesa</w:t>
            </w:r>
          </w:p>
        </w:tc>
      </w:tr>
      <w:tr>
        <w:trPr>
          <w:trHeight w:val="779" w:hRule="atLeast"/>
        </w:trPr>
        <w:tc>
          <w:tcPr>
            <w:tcW w:w="797" w:type="dxa"/>
          </w:tcPr>
          <w:p>
            <w:pPr>
              <w:pStyle w:val="TableParagraph"/>
              <w:spacing w:before="9"/>
              <w:rPr>
                <w:b/>
                <w:sz w:val="21"/>
              </w:rPr>
            </w:pPr>
          </w:p>
          <w:p>
            <w:pPr>
              <w:pStyle w:val="TableParagraph"/>
              <w:ind w:left="285"/>
              <w:rPr>
                <w:rFonts w:ascii="Calibri"/>
                <w:sz w:val="22"/>
              </w:rPr>
            </w:pPr>
            <w:r>
              <w:rPr>
                <w:rFonts w:ascii="Calibri"/>
                <w:sz w:val="22"/>
              </w:rPr>
              <w:t>13</w:t>
            </w:r>
          </w:p>
        </w:tc>
        <w:tc>
          <w:tcPr>
            <w:tcW w:w="2465" w:type="dxa"/>
          </w:tcPr>
          <w:p>
            <w:pPr>
              <w:pStyle w:val="TableParagraph"/>
              <w:spacing w:before="4"/>
              <w:rPr>
                <w:b/>
                <w:sz w:val="22"/>
              </w:rPr>
            </w:pPr>
          </w:p>
          <w:p>
            <w:pPr>
              <w:pStyle w:val="TableParagraph"/>
              <w:ind w:left="165" w:right="157"/>
              <w:jc w:val="center"/>
              <w:rPr>
                <w:sz w:val="22"/>
              </w:rPr>
            </w:pPr>
            <w:r>
              <w:rPr>
                <w:sz w:val="22"/>
              </w:rPr>
              <w:t>C33363512</w:t>
            </w:r>
          </w:p>
        </w:tc>
        <w:tc>
          <w:tcPr>
            <w:tcW w:w="2551" w:type="dxa"/>
          </w:tcPr>
          <w:p>
            <w:pPr>
              <w:pStyle w:val="TableParagraph"/>
              <w:spacing w:before="4"/>
              <w:rPr>
                <w:b/>
                <w:sz w:val="22"/>
              </w:rPr>
            </w:pPr>
          </w:p>
          <w:p>
            <w:pPr>
              <w:pStyle w:val="TableParagraph"/>
              <w:ind w:right="740"/>
              <w:jc w:val="right"/>
              <w:rPr>
                <w:sz w:val="22"/>
              </w:rPr>
            </w:pPr>
            <w:r>
              <w:rPr>
                <w:sz w:val="22"/>
              </w:rPr>
              <w:t>07.11.2014.</w:t>
            </w:r>
          </w:p>
        </w:tc>
        <w:tc>
          <w:tcPr>
            <w:tcW w:w="3117" w:type="dxa"/>
          </w:tcPr>
          <w:p>
            <w:pPr>
              <w:pStyle w:val="TableParagraph"/>
              <w:spacing w:before="4"/>
              <w:rPr>
                <w:b/>
                <w:sz w:val="22"/>
              </w:rPr>
            </w:pPr>
          </w:p>
          <w:p>
            <w:pPr>
              <w:pStyle w:val="TableParagraph"/>
              <w:ind w:left="119" w:right="105"/>
              <w:jc w:val="center"/>
              <w:rPr>
                <w:sz w:val="22"/>
              </w:rPr>
            </w:pPr>
            <w:r>
              <w:rPr>
                <w:sz w:val="22"/>
              </w:rPr>
              <w:t>Rīgas rajona tiesa</w:t>
            </w:r>
          </w:p>
        </w:tc>
      </w:tr>
      <w:tr>
        <w:trPr>
          <w:trHeight w:val="779" w:hRule="atLeast"/>
        </w:trPr>
        <w:tc>
          <w:tcPr>
            <w:tcW w:w="797" w:type="dxa"/>
          </w:tcPr>
          <w:p>
            <w:pPr>
              <w:pStyle w:val="TableParagraph"/>
              <w:rPr>
                <w:b/>
                <w:sz w:val="22"/>
              </w:rPr>
            </w:pPr>
          </w:p>
          <w:p>
            <w:pPr>
              <w:pStyle w:val="TableParagraph"/>
              <w:ind w:left="285"/>
              <w:rPr>
                <w:rFonts w:ascii="Calibri"/>
                <w:sz w:val="22"/>
              </w:rPr>
            </w:pPr>
            <w:r>
              <w:rPr>
                <w:rFonts w:ascii="Calibri"/>
                <w:sz w:val="22"/>
              </w:rPr>
              <w:t>14</w:t>
            </w:r>
          </w:p>
        </w:tc>
        <w:tc>
          <w:tcPr>
            <w:tcW w:w="2465" w:type="dxa"/>
          </w:tcPr>
          <w:p>
            <w:pPr>
              <w:pStyle w:val="TableParagraph"/>
              <w:spacing w:before="4"/>
              <w:rPr>
                <w:b/>
                <w:sz w:val="22"/>
              </w:rPr>
            </w:pPr>
          </w:p>
          <w:p>
            <w:pPr>
              <w:pStyle w:val="TableParagraph"/>
              <w:ind w:left="165" w:right="157"/>
              <w:jc w:val="center"/>
              <w:rPr>
                <w:sz w:val="22"/>
              </w:rPr>
            </w:pPr>
            <w:r>
              <w:rPr>
                <w:sz w:val="22"/>
              </w:rPr>
              <w:t>C29652111</w:t>
            </w:r>
          </w:p>
        </w:tc>
        <w:tc>
          <w:tcPr>
            <w:tcW w:w="2551" w:type="dxa"/>
          </w:tcPr>
          <w:p>
            <w:pPr>
              <w:pStyle w:val="TableParagraph"/>
              <w:spacing w:before="4"/>
              <w:rPr>
                <w:b/>
                <w:sz w:val="22"/>
              </w:rPr>
            </w:pPr>
          </w:p>
          <w:p>
            <w:pPr>
              <w:pStyle w:val="TableParagraph"/>
              <w:ind w:right="740"/>
              <w:jc w:val="right"/>
              <w:rPr>
                <w:sz w:val="22"/>
              </w:rPr>
            </w:pPr>
            <w:r>
              <w:rPr>
                <w:sz w:val="22"/>
              </w:rPr>
              <w:t>11.09.2014.</w:t>
            </w:r>
          </w:p>
        </w:tc>
        <w:tc>
          <w:tcPr>
            <w:tcW w:w="3117" w:type="dxa"/>
          </w:tcPr>
          <w:p>
            <w:pPr>
              <w:pStyle w:val="TableParagraph"/>
              <w:spacing w:before="130"/>
              <w:ind w:left="731" w:right="522" w:hanging="183"/>
              <w:rPr>
                <w:sz w:val="22"/>
              </w:rPr>
            </w:pPr>
            <w:r>
              <w:rPr>
                <w:sz w:val="22"/>
              </w:rPr>
              <w:t>Rīgas pilsētas Latgales priekšpilsētas tiesa</w:t>
            </w:r>
          </w:p>
        </w:tc>
      </w:tr>
      <w:tr>
        <w:trPr>
          <w:trHeight w:val="779" w:hRule="atLeast"/>
        </w:trPr>
        <w:tc>
          <w:tcPr>
            <w:tcW w:w="797" w:type="dxa"/>
          </w:tcPr>
          <w:p>
            <w:pPr>
              <w:pStyle w:val="TableParagraph"/>
              <w:rPr>
                <w:b/>
                <w:sz w:val="22"/>
              </w:rPr>
            </w:pPr>
          </w:p>
          <w:p>
            <w:pPr>
              <w:pStyle w:val="TableParagraph"/>
              <w:ind w:left="285"/>
              <w:rPr>
                <w:rFonts w:ascii="Calibri"/>
                <w:sz w:val="22"/>
              </w:rPr>
            </w:pPr>
            <w:r>
              <w:rPr>
                <w:rFonts w:ascii="Calibri"/>
                <w:sz w:val="22"/>
              </w:rPr>
              <w:t>15</w:t>
            </w:r>
          </w:p>
        </w:tc>
        <w:tc>
          <w:tcPr>
            <w:tcW w:w="2465" w:type="dxa"/>
          </w:tcPr>
          <w:p>
            <w:pPr>
              <w:pStyle w:val="TableParagraph"/>
              <w:spacing w:before="4"/>
              <w:rPr>
                <w:b/>
                <w:sz w:val="22"/>
              </w:rPr>
            </w:pPr>
          </w:p>
          <w:p>
            <w:pPr>
              <w:pStyle w:val="TableParagraph"/>
              <w:ind w:left="165" w:right="155"/>
              <w:jc w:val="center"/>
              <w:rPr>
                <w:sz w:val="22"/>
              </w:rPr>
            </w:pPr>
            <w:r>
              <w:rPr>
                <w:sz w:val="22"/>
              </w:rPr>
              <w:t>C 29 5124 13</w:t>
            </w:r>
          </w:p>
        </w:tc>
        <w:tc>
          <w:tcPr>
            <w:tcW w:w="2551" w:type="dxa"/>
          </w:tcPr>
          <w:p>
            <w:pPr>
              <w:pStyle w:val="TableParagraph"/>
              <w:spacing w:before="4"/>
              <w:rPr>
                <w:b/>
                <w:sz w:val="22"/>
              </w:rPr>
            </w:pPr>
          </w:p>
          <w:p>
            <w:pPr>
              <w:pStyle w:val="TableParagraph"/>
              <w:ind w:right="740"/>
              <w:jc w:val="right"/>
              <w:rPr>
                <w:sz w:val="22"/>
              </w:rPr>
            </w:pPr>
            <w:r>
              <w:rPr>
                <w:sz w:val="22"/>
              </w:rPr>
              <w:t>05.01.2015.</w:t>
            </w:r>
          </w:p>
        </w:tc>
        <w:tc>
          <w:tcPr>
            <w:tcW w:w="3117" w:type="dxa"/>
          </w:tcPr>
          <w:p>
            <w:pPr>
              <w:pStyle w:val="TableParagraph"/>
              <w:spacing w:before="130"/>
              <w:ind w:left="731" w:right="522" w:hanging="183"/>
              <w:rPr>
                <w:sz w:val="22"/>
              </w:rPr>
            </w:pPr>
            <w:r>
              <w:rPr>
                <w:sz w:val="22"/>
              </w:rPr>
              <w:t>Rīgas pilsētas Latgales priekšpilsētas tiesa</w:t>
            </w:r>
          </w:p>
        </w:tc>
      </w:tr>
      <w:tr>
        <w:trPr>
          <w:trHeight w:val="779" w:hRule="atLeast"/>
        </w:trPr>
        <w:tc>
          <w:tcPr>
            <w:tcW w:w="797" w:type="dxa"/>
          </w:tcPr>
          <w:p>
            <w:pPr>
              <w:pStyle w:val="TableParagraph"/>
              <w:rPr>
                <w:b/>
                <w:sz w:val="22"/>
              </w:rPr>
            </w:pPr>
          </w:p>
          <w:p>
            <w:pPr>
              <w:pStyle w:val="TableParagraph"/>
              <w:ind w:left="285"/>
              <w:rPr>
                <w:rFonts w:ascii="Calibri"/>
                <w:sz w:val="22"/>
              </w:rPr>
            </w:pPr>
            <w:r>
              <w:rPr>
                <w:rFonts w:ascii="Calibri"/>
                <w:sz w:val="22"/>
              </w:rPr>
              <w:t>16</w:t>
            </w:r>
          </w:p>
        </w:tc>
        <w:tc>
          <w:tcPr>
            <w:tcW w:w="2465" w:type="dxa"/>
          </w:tcPr>
          <w:p>
            <w:pPr>
              <w:pStyle w:val="TableParagraph"/>
              <w:spacing w:before="4"/>
              <w:rPr>
                <w:b/>
                <w:sz w:val="22"/>
              </w:rPr>
            </w:pPr>
          </w:p>
          <w:p>
            <w:pPr>
              <w:pStyle w:val="TableParagraph"/>
              <w:ind w:left="165" w:right="157"/>
              <w:jc w:val="center"/>
              <w:rPr>
                <w:sz w:val="22"/>
              </w:rPr>
            </w:pPr>
            <w:r>
              <w:rPr>
                <w:sz w:val="22"/>
              </w:rPr>
              <w:t>C30664412</w:t>
            </w:r>
          </w:p>
        </w:tc>
        <w:tc>
          <w:tcPr>
            <w:tcW w:w="2551" w:type="dxa"/>
          </w:tcPr>
          <w:p>
            <w:pPr>
              <w:pStyle w:val="TableParagraph"/>
              <w:spacing w:before="4"/>
              <w:rPr>
                <w:b/>
                <w:sz w:val="22"/>
              </w:rPr>
            </w:pPr>
          </w:p>
          <w:p>
            <w:pPr>
              <w:pStyle w:val="TableParagraph"/>
              <w:ind w:right="740"/>
              <w:jc w:val="right"/>
              <w:rPr>
                <w:sz w:val="22"/>
              </w:rPr>
            </w:pPr>
            <w:r>
              <w:rPr>
                <w:sz w:val="22"/>
              </w:rPr>
              <w:t>14.10.2014.</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81" w:hRule="atLeast"/>
        </w:trPr>
        <w:tc>
          <w:tcPr>
            <w:tcW w:w="797" w:type="dxa"/>
          </w:tcPr>
          <w:p>
            <w:pPr>
              <w:pStyle w:val="TableParagraph"/>
              <w:rPr>
                <w:b/>
                <w:sz w:val="22"/>
              </w:rPr>
            </w:pPr>
          </w:p>
          <w:p>
            <w:pPr>
              <w:pStyle w:val="TableParagraph"/>
              <w:ind w:left="285"/>
              <w:rPr>
                <w:rFonts w:ascii="Calibri"/>
                <w:sz w:val="22"/>
              </w:rPr>
            </w:pPr>
            <w:r>
              <w:rPr>
                <w:rFonts w:ascii="Calibri"/>
                <w:sz w:val="22"/>
              </w:rPr>
              <w:t>17</w:t>
            </w:r>
          </w:p>
        </w:tc>
        <w:tc>
          <w:tcPr>
            <w:tcW w:w="2465" w:type="dxa"/>
          </w:tcPr>
          <w:p>
            <w:pPr>
              <w:pStyle w:val="TableParagraph"/>
              <w:spacing w:before="4"/>
              <w:rPr>
                <w:b/>
                <w:sz w:val="22"/>
              </w:rPr>
            </w:pPr>
          </w:p>
          <w:p>
            <w:pPr>
              <w:pStyle w:val="TableParagraph"/>
              <w:ind w:left="165" w:right="157"/>
              <w:jc w:val="center"/>
              <w:rPr>
                <w:sz w:val="22"/>
              </w:rPr>
            </w:pPr>
            <w:r>
              <w:rPr>
                <w:sz w:val="22"/>
              </w:rPr>
              <w:t>C33365213</w:t>
            </w:r>
          </w:p>
        </w:tc>
        <w:tc>
          <w:tcPr>
            <w:tcW w:w="2551" w:type="dxa"/>
          </w:tcPr>
          <w:p>
            <w:pPr>
              <w:pStyle w:val="TableParagraph"/>
              <w:spacing w:before="4"/>
              <w:rPr>
                <w:b/>
                <w:sz w:val="22"/>
              </w:rPr>
            </w:pPr>
          </w:p>
          <w:p>
            <w:pPr>
              <w:pStyle w:val="TableParagraph"/>
              <w:ind w:right="740"/>
              <w:jc w:val="right"/>
              <w:rPr>
                <w:sz w:val="22"/>
              </w:rPr>
            </w:pPr>
            <w:r>
              <w:rPr>
                <w:sz w:val="22"/>
              </w:rPr>
              <w:t>02.09.2014.</w:t>
            </w:r>
          </w:p>
        </w:tc>
        <w:tc>
          <w:tcPr>
            <w:tcW w:w="3117" w:type="dxa"/>
          </w:tcPr>
          <w:p>
            <w:pPr>
              <w:pStyle w:val="TableParagraph"/>
              <w:spacing w:before="4"/>
              <w:rPr>
                <w:b/>
                <w:sz w:val="22"/>
              </w:rPr>
            </w:pPr>
          </w:p>
          <w:p>
            <w:pPr>
              <w:pStyle w:val="TableParagraph"/>
              <w:ind w:left="119" w:right="105"/>
              <w:jc w:val="center"/>
              <w:rPr>
                <w:sz w:val="22"/>
              </w:rPr>
            </w:pPr>
            <w:r>
              <w:rPr>
                <w:sz w:val="22"/>
              </w:rPr>
              <w:t>Rīgas rajona tiesa</w:t>
            </w:r>
          </w:p>
        </w:tc>
      </w:tr>
      <w:tr>
        <w:trPr>
          <w:trHeight w:val="779" w:hRule="atLeast"/>
        </w:trPr>
        <w:tc>
          <w:tcPr>
            <w:tcW w:w="797" w:type="dxa"/>
          </w:tcPr>
          <w:p>
            <w:pPr>
              <w:pStyle w:val="TableParagraph"/>
              <w:spacing w:before="9"/>
              <w:rPr>
                <w:b/>
                <w:sz w:val="21"/>
              </w:rPr>
            </w:pPr>
          </w:p>
          <w:p>
            <w:pPr>
              <w:pStyle w:val="TableParagraph"/>
              <w:ind w:left="285"/>
              <w:rPr>
                <w:rFonts w:ascii="Calibri"/>
                <w:sz w:val="22"/>
              </w:rPr>
            </w:pPr>
            <w:r>
              <w:rPr>
                <w:rFonts w:ascii="Calibri"/>
                <w:sz w:val="22"/>
              </w:rPr>
              <w:t>18</w:t>
            </w:r>
          </w:p>
        </w:tc>
        <w:tc>
          <w:tcPr>
            <w:tcW w:w="2465" w:type="dxa"/>
          </w:tcPr>
          <w:p>
            <w:pPr>
              <w:pStyle w:val="TableParagraph"/>
              <w:spacing w:before="2"/>
              <w:rPr>
                <w:b/>
                <w:sz w:val="22"/>
              </w:rPr>
            </w:pPr>
          </w:p>
          <w:p>
            <w:pPr>
              <w:pStyle w:val="TableParagraph"/>
              <w:ind w:left="165" w:right="157"/>
              <w:jc w:val="center"/>
              <w:rPr>
                <w:sz w:val="22"/>
              </w:rPr>
            </w:pPr>
            <w:r>
              <w:rPr>
                <w:sz w:val="22"/>
              </w:rPr>
              <w:t>C28346513</w:t>
            </w:r>
          </w:p>
        </w:tc>
        <w:tc>
          <w:tcPr>
            <w:tcW w:w="2551" w:type="dxa"/>
          </w:tcPr>
          <w:p>
            <w:pPr>
              <w:pStyle w:val="TableParagraph"/>
              <w:spacing w:before="2"/>
              <w:rPr>
                <w:b/>
                <w:sz w:val="22"/>
              </w:rPr>
            </w:pPr>
          </w:p>
          <w:p>
            <w:pPr>
              <w:pStyle w:val="TableParagraph"/>
              <w:ind w:right="740"/>
              <w:jc w:val="right"/>
              <w:rPr>
                <w:sz w:val="22"/>
              </w:rPr>
            </w:pPr>
            <w:r>
              <w:rPr>
                <w:sz w:val="22"/>
              </w:rPr>
              <w:t>18.12.2014.</w:t>
            </w:r>
          </w:p>
        </w:tc>
        <w:tc>
          <w:tcPr>
            <w:tcW w:w="3117" w:type="dxa"/>
          </w:tcPr>
          <w:p>
            <w:pPr>
              <w:pStyle w:val="TableParagraph"/>
              <w:spacing w:before="130"/>
              <w:ind w:left="1358" w:right="145" w:hanging="1184"/>
              <w:rPr>
                <w:sz w:val="22"/>
              </w:rPr>
            </w:pPr>
            <w:r>
              <w:rPr>
                <w:sz w:val="22"/>
              </w:rPr>
              <w:t>Rīgas pilsētas Kurzemes rajona tiesa</w:t>
            </w:r>
          </w:p>
        </w:tc>
      </w:tr>
      <w:tr>
        <w:trPr>
          <w:trHeight w:val="779" w:hRule="atLeast"/>
        </w:trPr>
        <w:tc>
          <w:tcPr>
            <w:tcW w:w="797" w:type="dxa"/>
          </w:tcPr>
          <w:p>
            <w:pPr>
              <w:pStyle w:val="TableParagraph"/>
              <w:spacing w:before="9"/>
              <w:rPr>
                <w:b/>
                <w:sz w:val="21"/>
              </w:rPr>
            </w:pPr>
          </w:p>
          <w:p>
            <w:pPr>
              <w:pStyle w:val="TableParagraph"/>
              <w:ind w:left="285"/>
              <w:rPr>
                <w:rFonts w:ascii="Calibri"/>
                <w:sz w:val="22"/>
              </w:rPr>
            </w:pPr>
            <w:r>
              <w:rPr>
                <w:rFonts w:ascii="Calibri"/>
                <w:sz w:val="22"/>
              </w:rPr>
              <w:t>19</w:t>
            </w:r>
          </w:p>
        </w:tc>
        <w:tc>
          <w:tcPr>
            <w:tcW w:w="2465" w:type="dxa"/>
          </w:tcPr>
          <w:p>
            <w:pPr>
              <w:pStyle w:val="TableParagraph"/>
              <w:spacing w:before="4"/>
              <w:rPr>
                <w:b/>
                <w:sz w:val="22"/>
              </w:rPr>
            </w:pPr>
          </w:p>
          <w:p>
            <w:pPr>
              <w:pStyle w:val="TableParagraph"/>
              <w:ind w:left="165" w:right="157"/>
              <w:jc w:val="center"/>
              <w:rPr>
                <w:sz w:val="22"/>
              </w:rPr>
            </w:pPr>
            <w:r>
              <w:rPr>
                <w:sz w:val="22"/>
              </w:rPr>
              <w:t>C32307613</w:t>
            </w:r>
          </w:p>
        </w:tc>
        <w:tc>
          <w:tcPr>
            <w:tcW w:w="2551" w:type="dxa"/>
          </w:tcPr>
          <w:p>
            <w:pPr>
              <w:pStyle w:val="TableParagraph"/>
              <w:spacing w:before="4"/>
              <w:rPr>
                <w:b/>
                <w:sz w:val="22"/>
              </w:rPr>
            </w:pPr>
          </w:p>
          <w:p>
            <w:pPr>
              <w:pStyle w:val="TableParagraph"/>
              <w:ind w:right="740"/>
              <w:jc w:val="right"/>
              <w:rPr>
                <w:sz w:val="22"/>
              </w:rPr>
            </w:pPr>
            <w:r>
              <w:rPr>
                <w:sz w:val="22"/>
              </w:rPr>
              <w:t>27.10.2014.</w:t>
            </w:r>
          </w:p>
        </w:tc>
        <w:tc>
          <w:tcPr>
            <w:tcW w:w="3117" w:type="dxa"/>
          </w:tcPr>
          <w:p>
            <w:pPr>
              <w:pStyle w:val="TableParagraph"/>
              <w:spacing w:before="130"/>
              <w:ind w:left="1358" w:right="224" w:hanging="1104"/>
              <w:rPr>
                <w:sz w:val="22"/>
              </w:rPr>
            </w:pPr>
            <w:r>
              <w:rPr>
                <w:sz w:val="22"/>
              </w:rPr>
              <w:t>Rīgas pilsētas Ziemeļu rajona tiesa</w:t>
            </w:r>
          </w:p>
        </w:tc>
      </w:tr>
      <w:tr>
        <w:trPr>
          <w:trHeight w:val="779" w:hRule="atLeast"/>
        </w:trPr>
        <w:tc>
          <w:tcPr>
            <w:tcW w:w="797" w:type="dxa"/>
          </w:tcPr>
          <w:p>
            <w:pPr>
              <w:pStyle w:val="TableParagraph"/>
              <w:rPr>
                <w:b/>
                <w:sz w:val="22"/>
              </w:rPr>
            </w:pPr>
          </w:p>
          <w:p>
            <w:pPr>
              <w:pStyle w:val="TableParagraph"/>
              <w:ind w:left="285"/>
              <w:rPr>
                <w:rFonts w:ascii="Calibri"/>
                <w:sz w:val="22"/>
              </w:rPr>
            </w:pPr>
            <w:r>
              <w:rPr>
                <w:rFonts w:ascii="Calibri"/>
                <w:sz w:val="22"/>
              </w:rPr>
              <w:t>20</w:t>
            </w:r>
          </w:p>
        </w:tc>
        <w:tc>
          <w:tcPr>
            <w:tcW w:w="2465" w:type="dxa"/>
          </w:tcPr>
          <w:p>
            <w:pPr>
              <w:pStyle w:val="TableParagraph"/>
              <w:spacing w:before="4"/>
              <w:rPr>
                <w:b/>
                <w:sz w:val="22"/>
              </w:rPr>
            </w:pPr>
          </w:p>
          <w:p>
            <w:pPr>
              <w:pStyle w:val="TableParagraph"/>
              <w:ind w:left="165" w:right="157"/>
              <w:jc w:val="center"/>
              <w:rPr>
                <w:sz w:val="22"/>
              </w:rPr>
            </w:pPr>
            <w:r>
              <w:rPr>
                <w:sz w:val="22"/>
              </w:rPr>
              <w:t>C30423313</w:t>
            </w:r>
          </w:p>
        </w:tc>
        <w:tc>
          <w:tcPr>
            <w:tcW w:w="2551" w:type="dxa"/>
          </w:tcPr>
          <w:p>
            <w:pPr>
              <w:pStyle w:val="TableParagraph"/>
              <w:spacing w:before="4"/>
              <w:rPr>
                <w:b/>
                <w:sz w:val="22"/>
              </w:rPr>
            </w:pPr>
          </w:p>
          <w:p>
            <w:pPr>
              <w:pStyle w:val="TableParagraph"/>
              <w:ind w:right="740"/>
              <w:jc w:val="right"/>
              <w:rPr>
                <w:sz w:val="22"/>
              </w:rPr>
            </w:pPr>
            <w:r>
              <w:rPr>
                <w:sz w:val="22"/>
              </w:rPr>
              <w:t>02.09.2014.</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97" w:type="dxa"/>
          </w:tcPr>
          <w:p>
            <w:pPr>
              <w:pStyle w:val="TableParagraph"/>
              <w:rPr>
                <w:b/>
                <w:sz w:val="22"/>
              </w:rPr>
            </w:pPr>
          </w:p>
          <w:p>
            <w:pPr>
              <w:pStyle w:val="TableParagraph"/>
              <w:ind w:left="285"/>
              <w:rPr>
                <w:rFonts w:ascii="Calibri"/>
                <w:sz w:val="22"/>
              </w:rPr>
            </w:pPr>
            <w:r>
              <w:rPr>
                <w:rFonts w:ascii="Calibri"/>
                <w:sz w:val="22"/>
              </w:rPr>
              <w:t>21</w:t>
            </w:r>
          </w:p>
        </w:tc>
        <w:tc>
          <w:tcPr>
            <w:tcW w:w="2465" w:type="dxa"/>
          </w:tcPr>
          <w:p>
            <w:pPr>
              <w:pStyle w:val="TableParagraph"/>
              <w:spacing w:before="4"/>
              <w:rPr>
                <w:b/>
                <w:sz w:val="22"/>
              </w:rPr>
            </w:pPr>
          </w:p>
          <w:p>
            <w:pPr>
              <w:pStyle w:val="TableParagraph"/>
              <w:ind w:left="165" w:right="157"/>
              <w:jc w:val="center"/>
              <w:rPr>
                <w:sz w:val="22"/>
              </w:rPr>
            </w:pPr>
            <w:r>
              <w:rPr>
                <w:sz w:val="22"/>
              </w:rPr>
              <w:t>C30678513</w:t>
            </w:r>
          </w:p>
        </w:tc>
        <w:tc>
          <w:tcPr>
            <w:tcW w:w="2551" w:type="dxa"/>
          </w:tcPr>
          <w:p>
            <w:pPr>
              <w:pStyle w:val="TableParagraph"/>
              <w:spacing w:before="4"/>
              <w:rPr>
                <w:b/>
                <w:sz w:val="22"/>
              </w:rPr>
            </w:pPr>
          </w:p>
          <w:p>
            <w:pPr>
              <w:pStyle w:val="TableParagraph"/>
              <w:ind w:right="740"/>
              <w:jc w:val="right"/>
              <w:rPr>
                <w:sz w:val="22"/>
              </w:rPr>
            </w:pPr>
            <w:r>
              <w:rPr>
                <w:sz w:val="22"/>
              </w:rPr>
              <w:t>28.11.2014.</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97" w:type="dxa"/>
          </w:tcPr>
          <w:p>
            <w:pPr>
              <w:pStyle w:val="TableParagraph"/>
              <w:rPr>
                <w:b/>
                <w:sz w:val="22"/>
              </w:rPr>
            </w:pPr>
          </w:p>
          <w:p>
            <w:pPr>
              <w:pStyle w:val="TableParagraph"/>
              <w:ind w:left="285"/>
              <w:rPr>
                <w:rFonts w:ascii="Calibri"/>
                <w:sz w:val="22"/>
              </w:rPr>
            </w:pPr>
            <w:r>
              <w:rPr>
                <w:rFonts w:ascii="Calibri"/>
                <w:sz w:val="22"/>
              </w:rPr>
              <w:t>22</w:t>
            </w:r>
          </w:p>
        </w:tc>
        <w:tc>
          <w:tcPr>
            <w:tcW w:w="2465" w:type="dxa"/>
          </w:tcPr>
          <w:p>
            <w:pPr>
              <w:pStyle w:val="TableParagraph"/>
              <w:spacing w:before="4"/>
              <w:rPr>
                <w:b/>
                <w:sz w:val="22"/>
              </w:rPr>
            </w:pPr>
          </w:p>
          <w:p>
            <w:pPr>
              <w:pStyle w:val="TableParagraph"/>
              <w:ind w:left="165" w:right="157"/>
              <w:jc w:val="center"/>
              <w:rPr>
                <w:sz w:val="22"/>
              </w:rPr>
            </w:pPr>
            <w:r>
              <w:rPr>
                <w:sz w:val="22"/>
              </w:rPr>
              <w:t>C15138413</w:t>
            </w:r>
          </w:p>
        </w:tc>
        <w:tc>
          <w:tcPr>
            <w:tcW w:w="2551" w:type="dxa"/>
          </w:tcPr>
          <w:p>
            <w:pPr>
              <w:pStyle w:val="TableParagraph"/>
              <w:spacing w:before="4"/>
              <w:rPr>
                <w:b/>
                <w:sz w:val="22"/>
              </w:rPr>
            </w:pPr>
          </w:p>
          <w:p>
            <w:pPr>
              <w:pStyle w:val="TableParagraph"/>
              <w:ind w:right="740"/>
              <w:jc w:val="right"/>
              <w:rPr>
                <w:sz w:val="22"/>
              </w:rPr>
            </w:pPr>
            <w:r>
              <w:rPr>
                <w:sz w:val="22"/>
              </w:rPr>
              <w:t>03.02.2015.</w:t>
            </w:r>
          </w:p>
        </w:tc>
        <w:tc>
          <w:tcPr>
            <w:tcW w:w="3117" w:type="dxa"/>
          </w:tcPr>
          <w:p>
            <w:pPr>
              <w:pStyle w:val="TableParagraph"/>
              <w:spacing w:before="4"/>
              <w:rPr>
                <w:b/>
                <w:sz w:val="22"/>
              </w:rPr>
            </w:pPr>
          </w:p>
          <w:p>
            <w:pPr>
              <w:pStyle w:val="TableParagraph"/>
              <w:ind w:left="116" w:right="106"/>
              <w:jc w:val="center"/>
              <w:rPr>
                <w:sz w:val="22"/>
              </w:rPr>
            </w:pPr>
            <w:r>
              <w:rPr>
                <w:sz w:val="22"/>
              </w:rPr>
              <w:t>Jelgavas tiesa</w:t>
            </w:r>
          </w:p>
        </w:tc>
      </w:tr>
      <w:tr>
        <w:trPr>
          <w:trHeight w:val="781" w:hRule="atLeast"/>
        </w:trPr>
        <w:tc>
          <w:tcPr>
            <w:tcW w:w="797" w:type="dxa"/>
          </w:tcPr>
          <w:p>
            <w:pPr>
              <w:pStyle w:val="TableParagraph"/>
              <w:rPr>
                <w:b/>
                <w:sz w:val="22"/>
              </w:rPr>
            </w:pPr>
          </w:p>
          <w:p>
            <w:pPr>
              <w:pStyle w:val="TableParagraph"/>
              <w:ind w:left="285"/>
              <w:rPr>
                <w:rFonts w:ascii="Calibri"/>
                <w:sz w:val="22"/>
              </w:rPr>
            </w:pPr>
            <w:r>
              <w:rPr>
                <w:rFonts w:ascii="Calibri"/>
                <w:sz w:val="22"/>
              </w:rPr>
              <w:t>23</w:t>
            </w:r>
          </w:p>
        </w:tc>
        <w:tc>
          <w:tcPr>
            <w:tcW w:w="2465" w:type="dxa"/>
          </w:tcPr>
          <w:p>
            <w:pPr>
              <w:pStyle w:val="TableParagraph"/>
              <w:spacing w:before="4"/>
              <w:rPr>
                <w:b/>
                <w:sz w:val="22"/>
              </w:rPr>
            </w:pPr>
          </w:p>
          <w:p>
            <w:pPr>
              <w:pStyle w:val="TableParagraph"/>
              <w:ind w:left="165" w:right="157"/>
              <w:jc w:val="center"/>
              <w:rPr>
                <w:sz w:val="22"/>
              </w:rPr>
            </w:pPr>
            <w:r>
              <w:rPr>
                <w:sz w:val="22"/>
              </w:rPr>
              <w:t>C20147714</w:t>
            </w:r>
          </w:p>
        </w:tc>
        <w:tc>
          <w:tcPr>
            <w:tcW w:w="2551" w:type="dxa"/>
          </w:tcPr>
          <w:p>
            <w:pPr>
              <w:pStyle w:val="TableParagraph"/>
              <w:spacing w:before="4"/>
              <w:rPr>
                <w:b/>
                <w:sz w:val="22"/>
              </w:rPr>
            </w:pPr>
          </w:p>
          <w:p>
            <w:pPr>
              <w:pStyle w:val="TableParagraph"/>
              <w:ind w:right="740"/>
              <w:jc w:val="right"/>
              <w:rPr>
                <w:sz w:val="22"/>
              </w:rPr>
            </w:pPr>
            <w:r>
              <w:rPr>
                <w:sz w:val="22"/>
              </w:rPr>
              <w:t>22.11.2014.</w:t>
            </w:r>
          </w:p>
        </w:tc>
        <w:tc>
          <w:tcPr>
            <w:tcW w:w="3117" w:type="dxa"/>
          </w:tcPr>
          <w:p>
            <w:pPr>
              <w:pStyle w:val="TableParagraph"/>
              <w:spacing w:before="4"/>
              <w:rPr>
                <w:b/>
                <w:sz w:val="22"/>
              </w:rPr>
            </w:pPr>
          </w:p>
          <w:p>
            <w:pPr>
              <w:pStyle w:val="TableParagraph"/>
              <w:ind w:left="116" w:right="106"/>
              <w:jc w:val="center"/>
              <w:rPr>
                <w:sz w:val="22"/>
              </w:rPr>
            </w:pPr>
            <w:r>
              <w:rPr>
                <w:sz w:val="22"/>
              </w:rPr>
              <w:t>Liepājas tiesa</w:t>
            </w:r>
          </w:p>
        </w:tc>
      </w:tr>
      <w:tr>
        <w:trPr>
          <w:trHeight w:val="779" w:hRule="atLeast"/>
        </w:trPr>
        <w:tc>
          <w:tcPr>
            <w:tcW w:w="797" w:type="dxa"/>
          </w:tcPr>
          <w:p>
            <w:pPr>
              <w:pStyle w:val="TableParagraph"/>
              <w:spacing w:before="9"/>
              <w:rPr>
                <w:b/>
                <w:sz w:val="21"/>
              </w:rPr>
            </w:pPr>
          </w:p>
          <w:p>
            <w:pPr>
              <w:pStyle w:val="TableParagraph"/>
              <w:ind w:left="285"/>
              <w:rPr>
                <w:rFonts w:ascii="Calibri"/>
                <w:sz w:val="22"/>
              </w:rPr>
            </w:pPr>
            <w:r>
              <w:rPr>
                <w:rFonts w:ascii="Calibri"/>
                <w:sz w:val="22"/>
              </w:rPr>
              <w:t>24</w:t>
            </w:r>
          </w:p>
        </w:tc>
        <w:tc>
          <w:tcPr>
            <w:tcW w:w="2465" w:type="dxa"/>
          </w:tcPr>
          <w:p>
            <w:pPr>
              <w:pStyle w:val="TableParagraph"/>
              <w:spacing w:before="2"/>
              <w:rPr>
                <w:b/>
                <w:sz w:val="22"/>
              </w:rPr>
            </w:pPr>
          </w:p>
          <w:p>
            <w:pPr>
              <w:pStyle w:val="TableParagraph"/>
              <w:ind w:left="165" w:right="157"/>
              <w:jc w:val="center"/>
              <w:rPr>
                <w:sz w:val="22"/>
              </w:rPr>
            </w:pPr>
            <w:r>
              <w:rPr>
                <w:sz w:val="22"/>
              </w:rPr>
              <w:t>C20285312</w:t>
            </w:r>
          </w:p>
        </w:tc>
        <w:tc>
          <w:tcPr>
            <w:tcW w:w="2551" w:type="dxa"/>
          </w:tcPr>
          <w:p>
            <w:pPr>
              <w:pStyle w:val="TableParagraph"/>
              <w:spacing w:before="2"/>
              <w:rPr>
                <w:b/>
                <w:sz w:val="22"/>
              </w:rPr>
            </w:pPr>
          </w:p>
          <w:p>
            <w:pPr>
              <w:pStyle w:val="TableParagraph"/>
              <w:ind w:right="740"/>
              <w:jc w:val="right"/>
              <w:rPr>
                <w:sz w:val="22"/>
              </w:rPr>
            </w:pPr>
            <w:r>
              <w:rPr>
                <w:sz w:val="22"/>
              </w:rPr>
              <w:t>05.12.2014.</w:t>
            </w:r>
          </w:p>
        </w:tc>
        <w:tc>
          <w:tcPr>
            <w:tcW w:w="3117" w:type="dxa"/>
          </w:tcPr>
          <w:p>
            <w:pPr>
              <w:pStyle w:val="TableParagraph"/>
              <w:spacing w:before="2"/>
              <w:rPr>
                <w:b/>
                <w:sz w:val="22"/>
              </w:rPr>
            </w:pPr>
          </w:p>
          <w:p>
            <w:pPr>
              <w:pStyle w:val="TableParagraph"/>
              <w:ind w:left="116" w:right="106"/>
              <w:jc w:val="center"/>
              <w:rPr>
                <w:sz w:val="22"/>
              </w:rPr>
            </w:pPr>
            <w:r>
              <w:rPr>
                <w:sz w:val="22"/>
              </w:rPr>
              <w:t>Liepājas tiesa</w:t>
            </w:r>
          </w:p>
        </w:tc>
      </w:tr>
      <w:tr>
        <w:trPr>
          <w:trHeight w:val="779" w:hRule="atLeast"/>
        </w:trPr>
        <w:tc>
          <w:tcPr>
            <w:tcW w:w="797" w:type="dxa"/>
          </w:tcPr>
          <w:p>
            <w:pPr>
              <w:pStyle w:val="TableParagraph"/>
              <w:spacing w:before="9"/>
              <w:rPr>
                <w:b/>
                <w:sz w:val="21"/>
              </w:rPr>
            </w:pPr>
          </w:p>
          <w:p>
            <w:pPr>
              <w:pStyle w:val="TableParagraph"/>
              <w:ind w:left="285"/>
              <w:rPr>
                <w:rFonts w:ascii="Calibri"/>
                <w:sz w:val="22"/>
              </w:rPr>
            </w:pPr>
            <w:r>
              <w:rPr>
                <w:rFonts w:ascii="Calibri"/>
                <w:sz w:val="22"/>
              </w:rPr>
              <w:t>25</w:t>
            </w:r>
          </w:p>
        </w:tc>
        <w:tc>
          <w:tcPr>
            <w:tcW w:w="2465" w:type="dxa"/>
          </w:tcPr>
          <w:p>
            <w:pPr>
              <w:pStyle w:val="TableParagraph"/>
              <w:spacing w:before="4"/>
              <w:rPr>
                <w:b/>
                <w:sz w:val="22"/>
              </w:rPr>
            </w:pPr>
          </w:p>
          <w:p>
            <w:pPr>
              <w:pStyle w:val="TableParagraph"/>
              <w:ind w:left="165" w:right="157"/>
              <w:jc w:val="center"/>
              <w:rPr>
                <w:sz w:val="22"/>
              </w:rPr>
            </w:pPr>
            <w:r>
              <w:rPr>
                <w:sz w:val="22"/>
              </w:rPr>
              <w:t>C31390913</w:t>
            </w:r>
          </w:p>
        </w:tc>
        <w:tc>
          <w:tcPr>
            <w:tcW w:w="2551" w:type="dxa"/>
          </w:tcPr>
          <w:p>
            <w:pPr>
              <w:pStyle w:val="TableParagraph"/>
              <w:spacing w:before="4"/>
              <w:rPr>
                <w:b/>
                <w:sz w:val="22"/>
              </w:rPr>
            </w:pPr>
          </w:p>
          <w:p>
            <w:pPr>
              <w:pStyle w:val="TableParagraph"/>
              <w:ind w:right="740"/>
              <w:jc w:val="right"/>
              <w:rPr>
                <w:sz w:val="22"/>
              </w:rPr>
            </w:pPr>
            <w:r>
              <w:rPr>
                <w:sz w:val="22"/>
              </w:rPr>
              <w:t>21.11.2014.</w:t>
            </w:r>
          </w:p>
        </w:tc>
        <w:tc>
          <w:tcPr>
            <w:tcW w:w="3117" w:type="dxa"/>
          </w:tcPr>
          <w:p>
            <w:pPr>
              <w:pStyle w:val="TableParagraph"/>
              <w:spacing w:before="130"/>
              <w:ind w:left="731" w:right="465" w:hanging="236"/>
              <w:rPr>
                <w:sz w:val="22"/>
              </w:rPr>
            </w:pPr>
            <w:r>
              <w:rPr>
                <w:sz w:val="22"/>
              </w:rPr>
              <w:t>Rīgas pilsētas Zemgales priekšpilsētas tiesa</w:t>
            </w:r>
          </w:p>
        </w:tc>
      </w:tr>
    </w:tbl>
    <w:p>
      <w:pPr>
        <w:spacing w:after="0"/>
        <w:rPr>
          <w:sz w:val="22"/>
        </w:rPr>
        <w:sectPr>
          <w:pgSz w:w="11910" w:h="16840"/>
          <w:pgMar w:header="0" w:footer="1055" w:top="1420" w:bottom="1160" w:left="1180" w:right="104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7"/>
        <w:gridCol w:w="2465"/>
        <w:gridCol w:w="2551"/>
        <w:gridCol w:w="3117"/>
      </w:tblGrid>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26</w:t>
            </w:r>
          </w:p>
        </w:tc>
        <w:tc>
          <w:tcPr>
            <w:tcW w:w="2465" w:type="dxa"/>
          </w:tcPr>
          <w:p>
            <w:pPr>
              <w:pStyle w:val="TableParagraph"/>
              <w:spacing w:before="4"/>
              <w:rPr>
                <w:b/>
                <w:sz w:val="22"/>
              </w:rPr>
            </w:pPr>
          </w:p>
          <w:p>
            <w:pPr>
              <w:pStyle w:val="TableParagraph"/>
              <w:ind w:left="165" w:right="157"/>
              <w:jc w:val="center"/>
              <w:rPr>
                <w:sz w:val="22"/>
              </w:rPr>
            </w:pPr>
            <w:r>
              <w:rPr>
                <w:sz w:val="22"/>
              </w:rPr>
              <w:t>C13059917</w:t>
            </w:r>
          </w:p>
        </w:tc>
        <w:tc>
          <w:tcPr>
            <w:tcW w:w="2551" w:type="dxa"/>
          </w:tcPr>
          <w:p>
            <w:pPr>
              <w:pStyle w:val="TableParagraph"/>
              <w:spacing w:before="4"/>
              <w:rPr>
                <w:b/>
                <w:sz w:val="22"/>
              </w:rPr>
            </w:pPr>
          </w:p>
          <w:p>
            <w:pPr>
              <w:pStyle w:val="TableParagraph"/>
              <w:ind w:left="753"/>
              <w:rPr>
                <w:sz w:val="22"/>
              </w:rPr>
            </w:pPr>
            <w:r>
              <w:rPr>
                <w:sz w:val="22"/>
              </w:rPr>
              <w:t>04.07.2018.</w:t>
            </w:r>
          </w:p>
        </w:tc>
        <w:tc>
          <w:tcPr>
            <w:tcW w:w="3117" w:type="dxa"/>
          </w:tcPr>
          <w:p>
            <w:pPr>
              <w:pStyle w:val="TableParagraph"/>
              <w:spacing w:before="4"/>
              <w:rPr>
                <w:b/>
                <w:sz w:val="22"/>
              </w:rPr>
            </w:pPr>
          </w:p>
          <w:p>
            <w:pPr>
              <w:pStyle w:val="TableParagraph"/>
              <w:ind w:left="116" w:right="106"/>
              <w:jc w:val="center"/>
              <w:rPr>
                <w:sz w:val="22"/>
              </w:rPr>
            </w:pPr>
            <w:r>
              <w:rPr>
                <w:sz w:val="22"/>
              </w:rPr>
              <w:t>Zemgales rajona tiesa</w:t>
            </w:r>
          </w:p>
        </w:tc>
      </w:tr>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27</w:t>
            </w:r>
          </w:p>
        </w:tc>
        <w:tc>
          <w:tcPr>
            <w:tcW w:w="2465" w:type="dxa"/>
          </w:tcPr>
          <w:p>
            <w:pPr>
              <w:pStyle w:val="TableParagraph"/>
              <w:spacing w:before="4"/>
              <w:rPr>
                <w:b/>
                <w:sz w:val="22"/>
              </w:rPr>
            </w:pPr>
          </w:p>
          <w:p>
            <w:pPr>
              <w:pStyle w:val="TableParagraph"/>
              <w:ind w:left="165" w:right="154"/>
              <w:jc w:val="center"/>
              <w:rPr>
                <w:sz w:val="22"/>
              </w:rPr>
            </w:pPr>
            <w:r>
              <w:rPr>
                <w:sz w:val="22"/>
              </w:rPr>
              <w:t>C-0151-18, C16105616</w:t>
            </w:r>
          </w:p>
        </w:tc>
        <w:tc>
          <w:tcPr>
            <w:tcW w:w="2551" w:type="dxa"/>
          </w:tcPr>
          <w:p>
            <w:pPr>
              <w:pStyle w:val="TableParagraph"/>
              <w:spacing w:before="4"/>
              <w:rPr>
                <w:b/>
                <w:sz w:val="22"/>
              </w:rPr>
            </w:pPr>
          </w:p>
          <w:p>
            <w:pPr>
              <w:pStyle w:val="TableParagraph"/>
              <w:ind w:left="752"/>
              <w:rPr>
                <w:sz w:val="22"/>
              </w:rPr>
            </w:pPr>
            <w:r>
              <w:rPr>
                <w:sz w:val="22"/>
              </w:rPr>
              <w:t>13.09.2018.</w:t>
            </w:r>
          </w:p>
        </w:tc>
        <w:tc>
          <w:tcPr>
            <w:tcW w:w="3117" w:type="dxa"/>
          </w:tcPr>
          <w:p>
            <w:pPr>
              <w:pStyle w:val="TableParagraph"/>
              <w:spacing w:before="4"/>
              <w:rPr>
                <w:b/>
                <w:sz w:val="22"/>
              </w:rPr>
            </w:pPr>
          </w:p>
          <w:p>
            <w:pPr>
              <w:pStyle w:val="TableParagraph"/>
              <w:ind w:left="118" w:right="106"/>
              <w:jc w:val="center"/>
              <w:rPr>
                <w:sz w:val="22"/>
              </w:rPr>
            </w:pPr>
            <w:r>
              <w:rPr>
                <w:sz w:val="22"/>
              </w:rPr>
              <w:t>Zemgales rajona tiesa</w:t>
            </w:r>
          </w:p>
        </w:tc>
      </w:tr>
      <w:tr>
        <w:trPr>
          <w:trHeight w:val="782"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28</w:t>
            </w:r>
          </w:p>
        </w:tc>
        <w:tc>
          <w:tcPr>
            <w:tcW w:w="2465" w:type="dxa"/>
          </w:tcPr>
          <w:p>
            <w:pPr>
              <w:pStyle w:val="TableParagraph"/>
              <w:spacing w:before="4"/>
              <w:rPr>
                <w:b/>
                <w:sz w:val="22"/>
              </w:rPr>
            </w:pPr>
          </w:p>
          <w:p>
            <w:pPr>
              <w:pStyle w:val="TableParagraph"/>
              <w:ind w:left="165" w:right="157"/>
              <w:jc w:val="center"/>
              <w:rPr>
                <w:sz w:val="22"/>
              </w:rPr>
            </w:pPr>
            <w:r>
              <w:rPr>
                <w:sz w:val="22"/>
              </w:rPr>
              <w:t>C30505713</w:t>
            </w:r>
          </w:p>
        </w:tc>
        <w:tc>
          <w:tcPr>
            <w:tcW w:w="2551" w:type="dxa"/>
          </w:tcPr>
          <w:p>
            <w:pPr>
              <w:pStyle w:val="TableParagraph"/>
              <w:spacing w:before="4"/>
              <w:rPr>
                <w:b/>
                <w:sz w:val="22"/>
              </w:rPr>
            </w:pPr>
          </w:p>
          <w:p>
            <w:pPr>
              <w:pStyle w:val="TableParagraph"/>
              <w:ind w:left="753"/>
              <w:rPr>
                <w:sz w:val="22"/>
              </w:rPr>
            </w:pPr>
            <w:r>
              <w:rPr>
                <w:sz w:val="22"/>
              </w:rPr>
              <w:t>04.09.2018.</w:t>
            </w:r>
          </w:p>
        </w:tc>
        <w:tc>
          <w:tcPr>
            <w:tcW w:w="3117" w:type="dxa"/>
          </w:tcPr>
          <w:p>
            <w:pPr>
              <w:pStyle w:val="TableParagraph"/>
              <w:spacing w:before="133"/>
              <w:ind w:left="731" w:right="453" w:hanging="248"/>
              <w:rPr>
                <w:sz w:val="22"/>
              </w:rPr>
            </w:pPr>
            <w:r>
              <w:rPr>
                <w:sz w:val="22"/>
              </w:rPr>
              <w:t>Rīgas pilsētas Vidzemes priekšpilsētas tiesa</w:t>
            </w:r>
          </w:p>
        </w:tc>
      </w:tr>
      <w:tr>
        <w:trPr>
          <w:trHeight w:val="779" w:hRule="atLeast"/>
        </w:trPr>
        <w:tc>
          <w:tcPr>
            <w:tcW w:w="797" w:type="dxa"/>
          </w:tcPr>
          <w:p>
            <w:pPr>
              <w:pStyle w:val="TableParagraph"/>
              <w:spacing w:before="9"/>
              <w:rPr>
                <w:b/>
                <w:sz w:val="21"/>
              </w:rPr>
            </w:pPr>
          </w:p>
          <w:p>
            <w:pPr>
              <w:pStyle w:val="TableParagraph"/>
              <w:ind w:left="104" w:right="97"/>
              <w:jc w:val="center"/>
              <w:rPr>
                <w:rFonts w:ascii="Calibri"/>
                <w:sz w:val="22"/>
              </w:rPr>
            </w:pPr>
            <w:r>
              <w:rPr>
                <w:rFonts w:ascii="Calibri"/>
                <w:sz w:val="22"/>
              </w:rPr>
              <w:t>29</w:t>
            </w:r>
          </w:p>
        </w:tc>
        <w:tc>
          <w:tcPr>
            <w:tcW w:w="2465" w:type="dxa"/>
          </w:tcPr>
          <w:p>
            <w:pPr>
              <w:pStyle w:val="TableParagraph"/>
              <w:spacing w:before="2"/>
              <w:rPr>
                <w:b/>
                <w:sz w:val="22"/>
              </w:rPr>
            </w:pPr>
          </w:p>
          <w:p>
            <w:pPr>
              <w:pStyle w:val="TableParagraph"/>
              <w:ind w:left="165" w:right="157"/>
              <w:jc w:val="center"/>
              <w:rPr>
                <w:sz w:val="22"/>
              </w:rPr>
            </w:pPr>
            <w:r>
              <w:rPr>
                <w:sz w:val="22"/>
              </w:rPr>
              <w:t>C30648613</w:t>
            </w:r>
          </w:p>
        </w:tc>
        <w:tc>
          <w:tcPr>
            <w:tcW w:w="2551" w:type="dxa"/>
          </w:tcPr>
          <w:p>
            <w:pPr>
              <w:pStyle w:val="TableParagraph"/>
              <w:spacing w:before="2"/>
              <w:rPr>
                <w:b/>
                <w:sz w:val="22"/>
              </w:rPr>
            </w:pPr>
          </w:p>
          <w:p>
            <w:pPr>
              <w:pStyle w:val="TableParagraph"/>
              <w:ind w:left="753"/>
              <w:rPr>
                <w:sz w:val="22"/>
              </w:rPr>
            </w:pPr>
            <w:r>
              <w:rPr>
                <w:sz w:val="22"/>
              </w:rPr>
              <w:t>28.08.2018.</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97" w:type="dxa"/>
          </w:tcPr>
          <w:p>
            <w:pPr>
              <w:pStyle w:val="TableParagraph"/>
              <w:spacing w:before="9"/>
              <w:rPr>
                <w:b/>
                <w:sz w:val="21"/>
              </w:rPr>
            </w:pPr>
          </w:p>
          <w:p>
            <w:pPr>
              <w:pStyle w:val="TableParagraph"/>
              <w:ind w:left="104" w:right="97"/>
              <w:jc w:val="center"/>
              <w:rPr>
                <w:rFonts w:ascii="Calibri"/>
                <w:sz w:val="22"/>
              </w:rPr>
            </w:pPr>
            <w:r>
              <w:rPr>
                <w:rFonts w:ascii="Calibri"/>
                <w:sz w:val="22"/>
              </w:rPr>
              <w:t>30</w:t>
            </w:r>
          </w:p>
        </w:tc>
        <w:tc>
          <w:tcPr>
            <w:tcW w:w="2465" w:type="dxa"/>
          </w:tcPr>
          <w:p>
            <w:pPr>
              <w:pStyle w:val="TableParagraph"/>
              <w:spacing w:before="4"/>
              <w:rPr>
                <w:b/>
                <w:sz w:val="22"/>
              </w:rPr>
            </w:pPr>
          </w:p>
          <w:p>
            <w:pPr>
              <w:pStyle w:val="TableParagraph"/>
              <w:ind w:left="163" w:right="157"/>
              <w:jc w:val="center"/>
              <w:rPr>
                <w:sz w:val="22"/>
              </w:rPr>
            </w:pPr>
            <w:r>
              <w:rPr>
                <w:sz w:val="22"/>
              </w:rPr>
              <w:t>C23066915, C-0245-18</w:t>
            </w:r>
          </w:p>
        </w:tc>
        <w:tc>
          <w:tcPr>
            <w:tcW w:w="2551" w:type="dxa"/>
          </w:tcPr>
          <w:p>
            <w:pPr>
              <w:pStyle w:val="TableParagraph"/>
              <w:spacing w:before="4"/>
              <w:rPr>
                <w:b/>
                <w:sz w:val="22"/>
              </w:rPr>
            </w:pPr>
          </w:p>
          <w:p>
            <w:pPr>
              <w:pStyle w:val="TableParagraph"/>
              <w:ind w:left="752"/>
              <w:rPr>
                <w:sz w:val="22"/>
              </w:rPr>
            </w:pPr>
            <w:r>
              <w:rPr>
                <w:sz w:val="22"/>
              </w:rPr>
              <w:t>06.09.2018.</w:t>
            </w:r>
          </w:p>
        </w:tc>
        <w:tc>
          <w:tcPr>
            <w:tcW w:w="3117" w:type="dxa"/>
          </w:tcPr>
          <w:p>
            <w:pPr>
              <w:pStyle w:val="TableParagraph"/>
              <w:spacing w:before="4"/>
              <w:rPr>
                <w:b/>
                <w:sz w:val="22"/>
              </w:rPr>
            </w:pPr>
          </w:p>
          <w:p>
            <w:pPr>
              <w:pStyle w:val="TableParagraph"/>
              <w:ind w:left="118" w:right="106"/>
              <w:jc w:val="center"/>
              <w:rPr>
                <w:sz w:val="22"/>
              </w:rPr>
            </w:pPr>
            <w:r>
              <w:rPr>
                <w:sz w:val="22"/>
              </w:rPr>
              <w:t>Vidzemes rajona tiesa</w:t>
            </w:r>
          </w:p>
        </w:tc>
      </w:tr>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31</w:t>
            </w:r>
          </w:p>
        </w:tc>
        <w:tc>
          <w:tcPr>
            <w:tcW w:w="2465" w:type="dxa"/>
          </w:tcPr>
          <w:p>
            <w:pPr>
              <w:pStyle w:val="TableParagraph"/>
              <w:spacing w:before="130"/>
              <w:ind w:left="981" w:right="268" w:hanging="684"/>
              <w:rPr>
                <w:sz w:val="22"/>
              </w:rPr>
            </w:pPr>
            <w:r>
              <w:rPr>
                <w:sz w:val="22"/>
              </w:rPr>
              <w:t>C33237615, C-0335- 18/19</w:t>
            </w:r>
          </w:p>
        </w:tc>
        <w:tc>
          <w:tcPr>
            <w:tcW w:w="2551" w:type="dxa"/>
          </w:tcPr>
          <w:p>
            <w:pPr>
              <w:pStyle w:val="TableParagraph"/>
              <w:spacing w:before="4"/>
              <w:rPr>
                <w:b/>
                <w:sz w:val="22"/>
              </w:rPr>
            </w:pPr>
          </w:p>
          <w:p>
            <w:pPr>
              <w:pStyle w:val="TableParagraph"/>
              <w:ind w:left="752"/>
              <w:rPr>
                <w:sz w:val="22"/>
              </w:rPr>
            </w:pPr>
            <w:r>
              <w:rPr>
                <w:sz w:val="22"/>
              </w:rPr>
              <w:t>17.09.2018.</w:t>
            </w:r>
          </w:p>
        </w:tc>
        <w:tc>
          <w:tcPr>
            <w:tcW w:w="3117" w:type="dxa"/>
          </w:tcPr>
          <w:p>
            <w:pPr>
              <w:pStyle w:val="TableParagraph"/>
              <w:spacing w:before="4"/>
              <w:rPr>
                <w:b/>
                <w:sz w:val="22"/>
              </w:rPr>
            </w:pPr>
          </w:p>
          <w:p>
            <w:pPr>
              <w:pStyle w:val="TableParagraph"/>
              <w:ind w:left="119" w:right="106"/>
              <w:jc w:val="center"/>
              <w:rPr>
                <w:sz w:val="22"/>
              </w:rPr>
            </w:pPr>
            <w:r>
              <w:rPr>
                <w:sz w:val="22"/>
              </w:rPr>
              <w:t>Rīgas rajona tiesa</w:t>
            </w:r>
          </w:p>
        </w:tc>
      </w:tr>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32</w:t>
            </w:r>
          </w:p>
        </w:tc>
        <w:tc>
          <w:tcPr>
            <w:tcW w:w="2465" w:type="dxa"/>
          </w:tcPr>
          <w:p>
            <w:pPr>
              <w:pStyle w:val="TableParagraph"/>
              <w:spacing w:before="4"/>
              <w:rPr>
                <w:b/>
                <w:sz w:val="22"/>
              </w:rPr>
            </w:pPr>
          </w:p>
          <w:p>
            <w:pPr>
              <w:pStyle w:val="TableParagraph"/>
              <w:ind w:left="165" w:right="157"/>
              <w:jc w:val="center"/>
              <w:rPr>
                <w:sz w:val="22"/>
              </w:rPr>
            </w:pPr>
            <w:r>
              <w:rPr>
                <w:sz w:val="22"/>
              </w:rPr>
              <w:t>C33256815</w:t>
            </w:r>
          </w:p>
        </w:tc>
        <w:tc>
          <w:tcPr>
            <w:tcW w:w="2551" w:type="dxa"/>
          </w:tcPr>
          <w:p>
            <w:pPr>
              <w:pStyle w:val="TableParagraph"/>
              <w:spacing w:before="4"/>
              <w:rPr>
                <w:b/>
                <w:sz w:val="22"/>
              </w:rPr>
            </w:pPr>
          </w:p>
          <w:p>
            <w:pPr>
              <w:pStyle w:val="TableParagraph"/>
              <w:ind w:left="753"/>
              <w:rPr>
                <w:sz w:val="22"/>
              </w:rPr>
            </w:pPr>
            <w:r>
              <w:rPr>
                <w:sz w:val="22"/>
              </w:rPr>
              <w:t>13.09.2018.</w:t>
            </w:r>
          </w:p>
        </w:tc>
        <w:tc>
          <w:tcPr>
            <w:tcW w:w="3117" w:type="dxa"/>
          </w:tcPr>
          <w:p>
            <w:pPr>
              <w:pStyle w:val="TableParagraph"/>
              <w:spacing w:before="4"/>
              <w:rPr>
                <w:b/>
                <w:sz w:val="22"/>
              </w:rPr>
            </w:pPr>
          </w:p>
          <w:p>
            <w:pPr>
              <w:pStyle w:val="TableParagraph"/>
              <w:ind w:left="119" w:right="105"/>
              <w:jc w:val="center"/>
              <w:rPr>
                <w:sz w:val="22"/>
              </w:rPr>
            </w:pPr>
            <w:r>
              <w:rPr>
                <w:sz w:val="22"/>
              </w:rPr>
              <w:t>Rīgas rajona tiesa</w:t>
            </w:r>
          </w:p>
        </w:tc>
      </w:tr>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33</w:t>
            </w:r>
          </w:p>
        </w:tc>
        <w:tc>
          <w:tcPr>
            <w:tcW w:w="2465" w:type="dxa"/>
          </w:tcPr>
          <w:p>
            <w:pPr>
              <w:pStyle w:val="TableParagraph"/>
              <w:spacing w:before="4"/>
              <w:rPr>
                <w:b/>
                <w:sz w:val="22"/>
              </w:rPr>
            </w:pPr>
          </w:p>
          <w:p>
            <w:pPr>
              <w:pStyle w:val="TableParagraph"/>
              <w:ind w:left="165" w:right="155"/>
              <w:jc w:val="center"/>
              <w:rPr>
                <w:sz w:val="22"/>
              </w:rPr>
            </w:pPr>
            <w:r>
              <w:rPr>
                <w:sz w:val="22"/>
              </w:rPr>
              <w:t>C 29 6504 15</w:t>
            </w:r>
          </w:p>
        </w:tc>
        <w:tc>
          <w:tcPr>
            <w:tcW w:w="2551" w:type="dxa"/>
          </w:tcPr>
          <w:p>
            <w:pPr>
              <w:pStyle w:val="TableParagraph"/>
              <w:spacing w:before="4"/>
              <w:rPr>
                <w:b/>
                <w:sz w:val="22"/>
              </w:rPr>
            </w:pPr>
          </w:p>
          <w:p>
            <w:pPr>
              <w:pStyle w:val="TableParagraph"/>
              <w:ind w:left="754"/>
              <w:rPr>
                <w:sz w:val="22"/>
              </w:rPr>
            </w:pPr>
            <w:r>
              <w:rPr>
                <w:sz w:val="22"/>
              </w:rPr>
              <w:t>16.08.2018.</w:t>
            </w:r>
          </w:p>
        </w:tc>
        <w:tc>
          <w:tcPr>
            <w:tcW w:w="3117" w:type="dxa"/>
          </w:tcPr>
          <w:p>
            <w:pPr>
              <w:pStyle w:val="TableParagraph"/>
              <w:spacing w:before="130"/>
              <w:ind w:left="731" w:right="522" w:hanging="183"/>
              <w:rPr>
                <w:sz w:val="22"/>
              </w:rPr>
            </w:pPr>
            <w:r>
              <w:rPr>
                <w:sz w:val="22"/>
              </w:rPr>
              <w:t>Rīgas pilsētas Latgales priekšpilsētas tiesa</w:t>
            </w:r>
          </w:p>
        </w:tc>
      </w:tr>
      <w:tr>
        <w:trPr>
          <w:trHeight w:val="781"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34</w:t>
            </w:r>
          </w:p>
        </w:tc>
        <w:tc>
          <w:tcPr>
            <w:tcW w:w="2465" w:type="dxa"/>
          </w:tcPr>
          <w:p>
            <w:pPr>
              <w:pStyle w:val="TableParagraph"/>
              <w:spacing w:before="4"/>
              <w:rPr>
                <w:b/>
                <w:sz w:val="22"/>
              </w:rPr>
            </w:pPr>
          </w:p>
          <w:p>
            <w:pPr>
              <w:pStyle w:val="TableParagraph"/>
              <w:ind w:left="165" w:right="154"/>
              <w:jc w:val="center"/>
              <w:rPr>
                <w:sz w:val="22"/>
              </w:rPr>
            </w:pPr>
            <w:r>
              <w:rPr>
                <w:sz w:val="22"/>
              </w:rPr>
              <w:t>C-0383-18, C14035017</w:t>
            </w:r>
          </w:p>
        </w:tc>
        <w:tc>
          <w:tcPr>
            <w:tcW w:w="2551" w:type="dxa"/>
          </w:tcPr>
          <w:p>
            <w:pPr>
              <w:pStyle w:val="TableParagraph"/>
              <w:spacing w:before="4"/>
              <w:rPr>
                <w:b/>
                <w:sz w:val="22"/>
              </w:rPr>
            </w:pPr>
          </w:p>
          <w:p>
            <w:pPr>
              <w:pStyle w:val="TableParagraph"/>
              <w:ind w:left="752"/>
              <w:rPr>
                <w:sz w:val="22"/>
              </w:rPr>
            </w:pPr>
            <w:r>
              <w:rPr>
                <w:sz w:val="22"/>
              </w:rPr>
              <w:t>15.08.2018.</w:t>
            </w:r>
          </w:p>
        </w:tc>
        <w:tc>
          <w:tcPr>
            <w:tcW w:w="3117" w:type="dxa"/>
          </w:tcPr>
          <w:p>
            <w:pPr>
              <w:pStyle w:val="TableParagraph"/>
              <w:spacing w:before="4"/>
              <w:rPr>
                <w:b/>
                <w:sz w:val="22"/>
              </w:rPr>
            </w:pPr>
          </w:p>
          <w:p>
            <w:pPr>
              <w:pStyle w:val="TableParagraph"/>
              <w:ind w:left="118" w:right="106"/>
              <w:jc w:val="center"/>
              <w:rPr>
                <w:sz w:val="22"/>
              </w:rPr>
            </w:pPr>
            <w:r>
              <w:rPr>
                <w:sz w:val="22"/>
              </w:rPr>
              <w:t>Gulbenes rajona tiesa</w:t>
            </w:r>
          </w:p>
        </w:tc>
      </w:tr>
      <w:tr>
        <w:trPr>
          <w:trHeight w:val="779" w:hRule="atLeast"/>
        </w:trPr>
        <w:tc>
          <w:tcPr>
            <w:tcW w:w="797" w:type="dxa"/>
          </w:tcPr>
          <w:p>
            <w:pPr>
              <w:pStyle w:val="TableParagraph"/>
              <w:spacing w:before="9"/>
              <w:rPr>
                <w:b/>
                <w:sz w:val="21"/>
              </w:rPr>
            </w:pPr>
          </w:p>
          <w:p>
            <w:pPr>
              <w:pStyle w:val="TableParagraph"/>
              <w:ind w:left="104" w:right="97"/>
              <w:jc w:val="center"/>
              <w:rPr>
                <w:rFonts w:ascii="Calibri"/>
                <w:sz w:val="22"/>
              </w:rPr>
            </w:pPr>
            <w:r>
              <w:rPr>
                <w:rFonts w:ascii="Calibri"/>
                <w:sz w:val="22"/>
              </w:rPr>
              <w:t>35</w:t>
            </w:r>
          </w:p>
        </w:tc>
        <w:tc>
          <w:tcPr>
            <w:tcW w:w="2465" w:type="dxa"/>
          </w:tcPr>
          <w:p>
            <w:pPr>
              <w:pStyle w:val="TableParagraph"/>
              <w:spacing w:before="2"/>
              <w:rPr>
                <w:b/>
                <w:sz w:val="22"/>
              </w:rPr>
            </w:pPr>
          </w:p>
          <w:p>
            <w:pPr>
              <w:pStyle w:val="TableParagraph"/>
              <w:ind w:left="165" w:right="154"/>
              <w:jc w:val="center"/>
              <w:rPr>
                <w:sz w:val="22"/>
              </w:rPr>
            </w:pPr>
            <w:r>
              <w:rPr>
                <w:sz w:val="22"/>
              </w:rPr>
              <w:t>C-0449-18, C19031613</w:t>
            </w:r>
          </w:p>
        </w:tc>
        <w:tc>
          <w:tcPr>
            <w:tcW w:w="2551" w:type="dxa"/>
          </w:tcPr>
          <w:p>
            <w:pPr>
              <w:pStyle w:val="TableParagraph"/>
              <w:spacing w:before="2"/>
              <w:rPr>
                <w:b/>
                <w:sz w:val="22"/>
              </w:rPr>
            </w:pPr>
          </w:p>
          <w:p>
            <w:pPr>
              <w:pStyle w:val="TableParagraph"/>
              <w:ind w:left="752"/>
              <w:rPr>
                <w:sz w:val="22"/>
              </w:rPr>
            </w:pPr>
            <w:r>
              <w:rPr>
                <w:sz w:val="22"/>
              </w:rPr>
              <w:t>31.07.2018.</w:t>
            </w:r>
          </w:p>
        </w:tc>
        <w:tc>
          <w:tcPr>
            <w:tcW w:w="3117" w:type="dxa"/>
          </w:tcPr>
          <w:p>
            <w:pPr>
              <w:pStyle w:val="TableParagraph"/>
              <w:spacing w:before="2"/>
              <w:rPr>
                <w:b/>
                <w:sz w:val="22"/>
              </w:rPr>
            </w:pPr>
          </w:p>
          <w:p>
            <w:pPr>
              <w:pStyle w:val="TableParagraph"/>
              <w:ind w:left="116" w:right="106"/>
              <w:jc w:val="center"/>
              <w:rPr>
                <w:sz w:val="22"/>
              </w:rPr>
            </w:pPr>
            <w:r>
              <w:rPr>
                <w:sz w:val="22"/>
              </w:rPr>
              <w:t>Kurzemes rajona tiesa</w:t>
            </w:r>
          </w:p>
        </w:tc>
      </w:tr>
      <w:tr>
        <w:trPr>
          <w:trHeight w:val="779" w:hRule="atLeast"/>
        </w:trPr>
        <w:tc>
          <w:tcPr>
            <w:tcW w:w="797" w:type="dxa"/>
          </w:tcPr>
          <w:p>
            <w:pPr>
              <w:pStyle w:val="TableParagraph"/>
              <w:spacing w:before="9"/>
              <w:rPr>
                <w:b/>
                <w:sz w:val="21"/>
              </w:rPr>
            </w:pPr>
          </w:p>
          <w:p>
            <w:pPr>
              <w:pStyle w:val="TableParagraph"/>
              <w:ind w:left="104" w:right="97"/>
              <w:jc w:val="center"/>
              <w:rPr>
                <w:rFonts w:ascii="Calibri"/>
                <w:sz w:val="22"/>
              </w:rPr>
            </w:pPr>
            <w:r>
              <w:rPr>
                <w:rFonts w:ascii="Calibri"/>
                <w:sz w:val="22"/>
              </w:rPr>
              <w:t>36</w:t>
            </w:r>
          </w:p>
        </w:tc>
        <w:tc>
          <w:tcPr>
            <w:tcW w:w="2465" w:type="dxa"/>
          </w:tcPr>
          <w:p>
            <w:pPr>
              <w:pStyle w:val="TableParagraph"/>
              <w:spacing w:before="4"/>
              <w:rPr>
                <w:b/>
                <w:sz w:val="22"/>
              </w:rPr>
            </w:pPr>
          </w:p>
          <w:p>
            <w:pPr>
              <w:pStyle w:val="TableParagraph"/>
              <w:ind w:left="165" w:right="157"/>
              <w:jc w:val="center"/>
              <w:rPr>
                <w:sz w:val="22"/>
              </w:rPr>
            </w:pPr>
            <w:r>
              <w:rPr>
                <w:sz w:val="22"/>
              </w:rPr>
              <w:t>C40122817</w:t>
            </w:r>
          </w:p>
        </w:tc>
        <w:tc>
          <w:tcPr>
            <w:tcW w:w="2551" w:type="dxa"/>
          </w:tcPr>
          <w:p>
            <w:pPr>
              <w:pStyle w:val="TableParagraph"/>
              <w:spacing w:before="4"/>
              <w:rPr>
                <w:b/>
                <w:sz w:val="22"/>
              </w:rPr>
            </w:pPr>
          </w:p>
          <w:p>
            <w:pPr>
              <w:pStyle w:val="TableParagraph"/>
              <w:ind w:left="753"/>
              <w:rPr>
                <w:sz w:val="22"/>
              </w:rPr>
            </w:pPr>
            <w:r>
              <w:rPr>
                <w:sz w:val="22"/>
              </w:rPr>
              <w:t>04.09.2018.</w:t>
            </w:r>
          </w:p>
        </w:tc>
        <w:tc>
          <w:tcPr>
            <w:tcW w:w="3117" w:type="dxa"/>
          </w:tcPr>
          <w:p>
            <w:pPr>
              <w:pStyle w:val="TableParagraph"/>
              <w:spacing w:before="4"/>
              <w:rPr>
                <w:b/>
                <w:sz w:val="22"/>
              </w:rPr>
            </w:pPr>
          </w:p>
          <w:p>
            <w:pPr>
              <w:pStyle w:val="TableParagraph"/>
              <w:ind w:left="117" w:right="106"/>
              <w:jc w:val="center"/>
              <w:rPr>
                <w:sz w:val="22"/>
              </w:rPr>
            </w:pPr>
            <w:r>
              <w:rPr>
                <w:sz w:val="22"/>
              </w:rPr>
              <w:t>Kurzemes rajona tiesa</w:t>
            </w:r>
          </w:p>
        </w:tc>
      </w:tr>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37</w:t>
            </w:r>
          </w:p>
        </w:tc>
        <w:tc>
          <w:tcPr>
            <w:tcW w:w="2465" w:type="dxa"/>
          </w:tcPr>
          <w:p>
            <w:pPr>
              <w:pStyle w:val="TableParagraph"/>
              <w:spacing w:before="4"/>
              <w:rPr>
                <w:b/>
                <w:sz w:val="22"/>
              </w:rPr>
            </w:pPr>
          </w:p>
          <w:p>
            <w:pPr>
              <w:pStyle w:val="TableParagraph"/>
              <w:ind w:left="165" w:right="154"/>
              <w:jc w:val="center"/>
              <w:rPr>
                <w:sz w:val="22"/>
              </w:rPr>
            </w:pPr>
            <w:r>
              <w:rPr>
                <w:sz w:val="22"/>
              </w:rPr>
              <w:t>C-0687-18, C31261116</w:t>
            </w:r>
          </w:p>
        </w:tc>
        <w:tc>
          <w:tcPr>
            <w:tcW w:w="2551" w:type="dxa"/>
          </w:tcPr>
          <w:p>
            <w:pPr>
              <w:pStyle w:val="TableParagraph"/>
              <w:spacing w:before="4"/>
              <w:rPr>
                <w:b/>
                <w:sz w:val="22"/>
              </w:rPr>
            </w:pPr>
          </w:p>
          <w:p>
            <w:pPr>
              <w:pStyle w:val="TableParagraph"/>
              <w:ind w:left="752"/>
              <w:rPr>
                <w:sz w:val="22"/>
              </w:rPr>
            </w:pPr>
            <w:r>
              <w:rPr>
                <w:sz w:val="22"/>
              </w:rPr>
              <w:t>26.06.2018.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38</w:t>
            </w:r>
          </w:p>
        </w:tc>
        <w:tc>
          <w:tcPr>
            <w:tcW w:w="2465" w:type="dxa"/>
          </w:tcPr>
          <w:p>
            <w:pPr>
              <w:pStyle w:val="TableParagraph"/>
              <w:spacing w:before="130"/>
              <w:ind w:left="717" w:right="560" w:hanging="132"/>
              <w:rPr>
                <w:sz w:val="22"/>
              </w:rPr>
            </w:pPr>
            <w:r>
              <w:rPr>
                <w:sz w:val="22"/>
              </w:rPr>
              <w:t>C-0783-18/15, C31397813</w:t>
            </w:r>
          </w:p>
        </w:tc>
        <w:tc>
          <w:tcPr>
            <w:tcW w:w="2551" w:type="dxa"/>
          </w:tcPr>
          <w:p>
            <w:pPr>
              <w:pStyle w:val="TableParagraph"/>
              <w:spacing w:before="4"/>
              <w:rPr>
                <w:b/>
                <w:sz w:val="22"/>
              </w:rPr>
            </w:pPr>
          </w:p>
          <w:p>
            <w:pPr>
              <w:pStyle w:val="TableParagraph"/>
              <w:ind w:left="752"/>
              <w:rPr>
                <w:sz w:val="22"/>
              </w:rPr>
            </w:pPr>
            <w:r>
              <w:rPr>
                <w:sz w:val="22"/>
              </w:rPr>
              <w:t>10.07.2018.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39</w:t>
            </w:r>
          </w:p>
        </w:tc>
        <w:tc>
          <w:tcPr>
            <w:tcW w:w="2465" w:type="dxa"/>
          </w:tcPr>
          <w:p>
            <w:pPr>
              <w:pStyle w:val="TableParagraph"/>
              <w:spacing w:before="4"/>
              <w:rPr>
                <w:b/>
                <w:sz w:val="22"/>
              </w:rPr>
            </w:pPr>
          </w:p>
          <w:p>
            <w:pPr>
              <w:pStyle w:val="TableParagraph"/>
              <w:ind w:left="165" w:right="154"/>
              <w:jc w:val="center"/>
              <w:rPr>
                <w:sz w:val="22"/>
              </w:rPr>
            </w:pPr>
            <w:r>
              <w:rPr>
                <w:sz w:val="22"/>
              </w:rPr>
              <w:t>C-0833-18, C28344416</w:t>
            </w:r>
          </w:p>
        </w:tc>
        <w:tc>
          <w:tcPr>
            <w:tcW w:w="2551" w:type="dxa"/>
          </w:tcPr>
          <w:p>
            <w:pPr>
              <w:pStyle w:val="TableParagraph"/>
              <w:spacing w:before="4"/>
              <w:rPr>
                <w:b/>
                <w:sz w:val="22"/>
              </w:rPr>
            </w:pPr>
          </w:p>
          <w:p>
            <w:pPr>
              <w:pStyle w:val="TableParagraph"/>
              <w:ind w:left="752"/>
              <w:rPr>
                <w:sz w:val="22"/>
              </w:rPr>
            </w:pPr>
            <w:r>
              <w:rPr>
                <w:sz w:val="22"/>
              </w:rPr>
              <w:t>28.08.2018.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r>
        <w:trPr>
          <w:trHeight w:val="781"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40</w:t>
            </w:r>
          </w:p>
        </w:tc>
        <w:tc>
          <w:tcPr>
            <w:tcW w:w="2465" w:type="dxa"/>
          </w:tcPr>
          <w:p>
            <w:pPr>
              <w:pStyle w:val="TableParagraph"/>
              <w:spacing w:before="4"/>
              <w:rPr>
                <w:b/>
                <w:sz w:val="22"/>
              </w:rPr>
            </w:pPr>
          </w:p>
          <w:p>
            <w:pPr>
              <w:pStyle w:val="TableParagraph"/>
              <w:ind w:left="165" w:right="154"/>
              <w:jc w:val="center"/>
              <w:rPr>
                <w:sz w:val="22"/>
              </w:rPr>
            </w:pPr>
            <w:r>
              <w:rPr>
                <w:sz w:val="22"/>
              </w:rPr>
              <w:t>C-0838-18, C28281216</w:t>
            </w:r>
          </w:p>
        </w:tc>
        <w:tc>
          <w:tcPr>
            <w:tcW w:w="2551" w:type="dxa"/>
          </w:tcPr>
          <w:p>
            <w:pPr>
              <w:pStyle w:val="TableParagraph"/>
              <w:spacing w:before="4"/>
              <w:rPr>
                <w:b/>
                <w:sz w:val="22"/>
              </w:rPr>
            </w:pPr>
          </w:p>
          <w:p>
            <w:pPr>
              <w:pStyle w:val="TableParagraph"/>
              <w:ind w:left="752"/>
              <w:rPr>
                <w:sz w:val="22"/>
              </w:rPr>
            </w:pPr>
            <w:r>
              <w:rPr>
                <w:sz w:val="22"/>
              </w:rPr>
              <w:t>28.08.2018.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r>
        <w:trPr>
          <w:trHeight w:val="779" w:hRule="atLeast"/>
        </w:trPr>
        <w:tc>
          <w:tcPr>
            <w:tcW w:w="797" w:type="dxa"/>
          </w:tcPr>
          <w:p>
            <w:pPr>
              <w:pStyle w:val="TableParagraph"/>
              <w:spacing w:before="9"/>
              <w:rPr>
                <w:b/>
                <w:sz w:val="21"/>
              </w:rPr>
            </w:pPr>
          </w:p>
          <w:p>
            <w:pPr>
              <w:pStyle w:val="TableParagraph"/>
              <w:ind w:left="104" w:right="97"/>
              <w:jc w:val="center"/>
              <w:rPr>
                <w:rFonts w:ascii="Calibri"/>
                <w:sz w:val="22"/>
              </w:rPr>
            </w:pPr>
            <w:r>
              <w:rPr>
                <w:rFonts w:ascii="Calibri"/>
                <w:sz w:val="22"/>
              </w:rPr>
              <w:t>41</w:t>
            </w:r>
          </w:p>
        </w:tc>
        <w:tc>
          <w:tcPr>
            <w:tcW w:w="2465" w:type="dxa"/>
          </w:tcPr>
          <w:p>
            <w:pPr>
              <w:pStyle w:val="TableParagraph"/>
              <w:spacing w:before="2"/>
              <w:rPr>
                <w:b/>
                <w:sz w:val="22"/>
              </w:rPr>
            </w:pPr>
          </w:p>
          <w:p>
            <w:pPr>
              <w:pStyle w:val="TableParagraph"/>
              <w:ind w:left="165" w:right="154"/>
              <w:jc w:val="center"/>
              <w:rPr>
                <w:sz w:val="22"/>
              </w:rPr>
            </w:pPr>
            <w:r>
              <w:rPr>
                <w:sz w:val="22"/>
              </w:rPr>
              <w:t>C-0844-18, C28335016</w:t>
            </w:r>
          </w:p>
        </w:tc>
        <w:tc>
          <w:tcPr>
            <w:tcW w:w="2551" w:type="dxa"/>
          </w:tcPr>
          <w:p>
            <w:pPr>
              <w:pStyle w:val="TableParagraph"/>
              <w:spacing w:before="2"/>
              <w:rPr>
                <w:b/>
                <w:sz w:val="22"/>
              </w:rPr>
            </w:pPr>
          </w:p>
          <w:p>
            <w:pPr>
              <w:pStyle w:val="TableParagraph"/>
              <w:ind w:left="752"/>
              <w:rPr>
                <w:sz w:val="22"/>
              </w:rPr>
            </w:pPr>
            <w:r>
              <w:rPr>
                <w:sz w:val="22"/>
              </w:rPr>
              <w:t>21.08.2018.</w:t>
            </w:r>
          </w:p>
        </w:tc>
        <w:tc>
          <w:tcPr>
            <w:tcW w:w="3117" w:type="dxa"/>
          </w:tcPr>
          <w:p>
            <w:pPr>
              <w:pStyle w:val="TableParagraph"/>
              <w:spacing w:before="2"/>
              <w:rPr>
                <w:b/>
                <w:sz w:val="22"/>
              </w:rPr>
            </w:pPr>
          </w:p>
          <w:p>
            <w:pPr>
              <w:pStyle w:val="TableParagraph"/>
              <w:ind w:left="118" w:right="106"/>
              <w:jc w:val="center"/>
              <w:rPr>
                <w:sz w:val="22"/>
              </w:rPr>
            </w:pPr>
            <w:r>
              <w:rPr>
                <w:sz w:val="22"/>
              </w:rPr>
              <w:t>Rīgas pilsētas Pārdaugavas tiesa</w:t>
            </w:r>
          </w:p>
        </w:tc>
      </w:tr>
      <w:tr>
        <w:trPr>
          <w:trHeight w:val="779" w:hRule="atLeast"/>
        </w:trPr>
        <w:tc>
          <w:tcPr>
            <w:tcW w:w="797" w:type="dxa"/>
          </w:tcPr>
          <w:p>
            <w:pPr>
              <w:pStyle w:val="TableParagraph"/>
              <w:spacing w:before="9"/>
              <w:rPr>
                <w:b/>
                <w:sz w:val="21"/>
              </w:rPr>
            </w:pPr>
          </w:p>
          <w:p>
            <w:pPr>
              <w:pStyle w:val="TableParagraph"/>
              <w:ind w:left="104" w:right="97"/>
              <w:jc w:val="center"/>
              <w:rPr>
                <w:rFonts w:ascii="Calibri"/>
                <w:sz w:val="22"/>
              </w:rPr>
            </w:pPr>
            <w:r>
              <w:rPr>
                <w:rFonts w:ascii="Calibri"/>
                <w:sz w:val="22"/>
              </w:rPr>
              <w:t>42</w:t>
            </w:r>
          </w:p>
        </w:tc>
        <w:tc>
          <w:tcPr>
            <w:tcW w:w="2465" w:type="dxa"/>
          </w:tcPr>
          <w:p>
            <w:pPr>
              <w:pStyle w:val="TableParagraph"/>
              <w:spacing w:before="4"/>
              <w:rPr>
                <w:b/>
                <w:sz w:val="22"/>
              </w:rPr>
            </w:pPr>
          </w:p>
          <w:p>
            <w:pPr>
              <w:pStyle w:val="TableParagraph"/>
              <w:ind w:left="165" w:right="154"/>
              <w:jc w:val="center"/>
              <w:rPr>
                <w:sz w:val="22"/>
              </w:rPr>
            </w:pPr>
            <w:r>
              <w:rPr>
                <w:sz w:val="22"/>
              </w:rPr>
              <w:t>C-0871-18, C31233815</w:t>
            </w:r>
          </w:p>
        </w:tc>
        <w:tc>
          <w:tcPr>
            <w:tcW w:w="2551" w:type="dxa"/>
          </w:tcPr>
          <w:p>
            <w:pPr>
              <w:pStyle w:val="TableParagraph"/>
              <w:spacing w:before="4"/>
              <w:rPr>
                <w:b/>
                <w:sz w:val="22"/>
              </w:rPr>
            </w:pPr>
          </w:p>
          <w:p>
            <w:pPr>
              <w:pStyle w:val="TableParagraph"/>
              <w:ind w:left="752"/>
              <w:rPr>
                <w:sz w:val="22"/>
              </w:rPr>
            </w:pPr>
            <w:r>
              <w:rPr>
                <w:sz w:val="22"/>
              </w:rPr>
              <w:t>18.09.2018.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bl>
    <w:p>
      <w:pPr>
        <w:spacing w:after="0"/>
        <w:jc w:val="center"/>
        <w:rPr>
          <w:sz w:val="22"/>
        </w:rPr>
        <w:sectPr>
          <w:pgSz w:w="11910" w:h="16840"/>
          <w:pgMar w:header="0" w:footer="1055" w:top="1420" w:bottom="1160" w:left="1180" w:right="1040"/>
        </w:sect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7"/>
        <w:gridCol w:w="2465"/>
        <w:gridCol w:w="2551"/>
        <w:gridCol w:w="3117"/>
      </w:tblGrid>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43</w:t>
            </w:r>
          </w:p>
        </w:tc>
        <w:tc>
          <w:tcPr>
            <w:tcW w:w="2465" w:type="dxa"/>
          </w:tcPr>
          <w:p>
            <w:pPr>
              <w:pStyle w:val="TableParagraph"/>
              <w:spacing w:before="4"/>
              <w:rPr>
                <w:b/>
                <w:sz w:val="22"/>
              </w:rPr>
            </w:pPr>
          </w:p>
          <w:p>
            <w:pPr>
              <w:pStyle w:val="TableParagraph"/>
              <w:ind w:left="165" w:right="154"/>
              <w:jc w:val="center"/>
              <w:rPr>
                <w:sz w:val="22"/>
              </w:rPr>
            </w:pPr>
            <w:r>
              <w:rPr>
                <w:sz w:val="22"/>
              </w:rPr>
              <w:t>C-0996-18, C15189617</w:t>
            </w:r>
          </w:p>
        </w:tc>
        <w:tc>
          <w:tcPr>
            <w:tcW w:w="2551" w:type="dxa"/>
          </w:tcPr>
          <w:p>
            <w:pPr>
              <w:pStyle w:val="TableParagraph"/>
              <w:spacing w:before="4"/>
              <w:rPr>
                <w:b/>
                <w:sz w:val="22"/>
              </w:rPr>
            </w:pPr>
          </w:p>
          <w:p>
            <w:pPr>
              <w:pStyle w:val="TableParagraph"/>
              <w:ind w:right="739"/>
              <w:jc w:val="right"/>
              <w:rPr>
                <w:sz w:val="22"/>
              </w:rPr>
            </w:pPr>
            <w:r>
              <w:rPr>
                <w:sz w:val="22"/>
              </w:rPr>
              <w:t>18.09.2018.</w:t>
            </w:r>
          </w:p>
        </w:tc>
        <w:tc>
          <w:tcPr>
            <w:tcW w:w="3117" w:type="dxa"/>
          </w:tcPr>
          <w:p>
            <w:pPr>
              <w:pStyle w:val="TableParagraph"/>
              <w:spacing w:before="4"/>
              <w:rPr>
                <w:b/>
                <w:sz w:val="22"/>
              </w:rPr>
            </w:pPr>
          </w:p>
          <w:p>
            <w:pPr>
              <w:pStyle w:val="TableParagraph"/>
              <w:ind w:left="118" w:right="106"/>
              <w:jc w:val="center"/>
              <w:rPr>
                <w:sz w:val="22"/>
              </w:rPr>
            </w:pPr>
            <w:r>
              <w:rPr>
                <w:sz w:val="22"/>
              </w:rPr>
              <w:t>Zemgales rajona tiesa</w:t>
            </w:r>
          </w:p>
        </w:tc>
      </w:tr>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44</w:t>
            </w:r>
          </w:p>
        </w:tc>
        <w:tc>
          <w:tcPr>
            <w:tcW w:w="2465" w:type="dxa"/>
          </w:tcPr>
          <w:p>
            <w:pPr>
              <w:pStyle w:val="TableParagraph"/>
              <w:spacing w:before="130"/>
              <w:ind w:left="717" w:right="560" w:hanging="132"/>
              <w:rPr>
                <w:sz w:val="22"/>
              </w:rPr>
            </w:pPr>
            <w:r>
              <w:rPr>
                <w:sz w:val="22"/>
              </w:rPr>
              <w:t>C-1066-18/12, C15123317</w:t>
            </w:r>
          </w:p>
        </w:tc>
        <w:tc>
          <w:tcPr>
            <w:tcW w:w="2551" w:type="dxa"/>
          </w:tcPr>
          <w:p>
            <w:pPr>
              <w:pStyle w:val="TableParagraph"/>
              <w:spacing w:before="4"/>
              <w:rPr>
                <w:b/>
                <w:sz w:val="22"/>
              </w:rPr>
            </w:pPr>
          </w:p>
          <w:p>
            <w:pPr>
              <w:pStyle w:val="TableParagraph"/>
              <w:ind w:right="739"/>
              <w:jc w:val="right"/>
              <w:rPr>
                <w:sz w:val="22"/>
              </w:rPr>
            </w:pPr>
            <w:r>
              <w:rPr>
                <w:sz w:val="22"/>
              </w:rPr>
              <w:t>14.08.2018.</w:t>
            </w:r>
          </w:p>
        </w:tc>
        <w:tc>
          <w:tcPr>
            <w:tcW w:w="3117" w:type="dxa"/>
          </w:tcPr>
          <w:p>
            <w:pPr>
              <w:pStyle w:val="TableParagraph"/>
              <w:spacing w:before="4"/>
              <w:rPr>
                <w:b/>
                <w:sz w:val="22"/>
              </w:rPr>
            </w:pPr>
          </w:p>
          <w:p>
            <w:pPr>
              <w:pStyle w:val="TableParagraph"/>
              <w:ind w:left="118" w:right="106"/>
              <w:jc w:val="center"/>
              <w:rPr>
                <w:sz w:val="22"/>
              </w:rPr>
            </w:pPr>
            <w:r>
              <w:rPr>
                <w:sz w:val="22"/>
              </w:rPr>
              <w:t>Zemgales rajona tiesa</w:t>
            </w:r>
          </w:p>
        </w:tc>
      </w:tr>
      <w:tr>
        <w:trPr>
          <w:trHeight w:val="782"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45</w:t>
            </w:r>
          </w:p>
        </w:tc>
        <w:tc>
          <w:tcPr>
            <w:tcW w:w="2465" w:type="dxa"/>
          </w:tcPr>
          <w:p>
            <w:pPr>
              <w:pStyle w:val="TableParagraph"/>
              <w:spacing w:before="4"/>
              <w:rPr>
                <w:b/>
                <w:sz w:val="22"/>
              </w:rPr>
            </w:pPr>
          </w:p>
          <w:p>
            <w:pPr>
              <w:pStyle w:val="TableParagraph"/>
              <w:ind w:left="165" w:right="154"/>
              <w:jc w:val="center"/>
              <w:rPr>
                <w:sz w:val="22"/>
              </w:rPr>
            </w:pPr>
            <w:r>
              <w:rPr>
                <w:sz w:val="22"/>
              </w:rPr>
              <w:t>C-1139-18, C21058213</w:t>
            </w:r>
          </w:p>
        </w:tc>
        <w:tc>
          <w:tcPr>
            <w:tcW w:w="2551" w:type="dxa"/>
          </w:tcPr>
          <w:p>
            <w:pPr>
              <w:pStyle w:val="TableParagraph"/>
              <w:spacing w:before="4"/>
              <w:rPr>
                <w:b/>
                <w:sz w:val="22"/>
              </w:rPr>
            </w:pPr>
          </w:p>
          <w:p>
            <w:pPr>
              <w:pStyle w:val="TableParagraph"/>
              <w:ind w:right="739"/>
              <w:jc w:val="right"/>
              <w:rPr>
                <w:sz w:val="22"/>
              </w:rPr>
            </w:pPr>
            <w:r>
              <w:rPr>
                <w:sz w:val="22"/>
              </w:rPr>
              <w:t>25.07.2018.</w:t>
            </w:r>
          </w:p>
        </w:tc>
        <w:tc>
          <w:tcPr>
            <w:tcW w:w="3117" w:type="dxa"/>
          </w:tcPr>
          <w:p>
            <w:pPr>
              <w:pStyle w:val="TableParagraph"/>
              <w:spacing w:before="4"/>
              <w:rPr>
                <w:b/>
                <w:sz w:val="22"/>
              </w:rPr>
            </w:pPr>
          </w:p>
          <w:p>
            <w:pPr>
              <w:pStyle w:val="TableParagraph"/>
              <w:ind w:left="118" w:right="106"/>
              <w:jc w:val="center"/>
              <w:rPr>
                <w:sz w:val="22"/>
              </w:rPr>
            </w:pPr>
            <w:r>
              <w:rPr>
                <w:sz w:val="22"/>
              </w:rPr>
              <w:t>Vidzemes rajona tiesa</w:t>
            </w:r>
          </w:p>
        </w:tc>
      </w:tr>
      <w:tr>
        <w:trPr>
          <w:trHeight w:val="1211" w:hRule="atLeast"/>
        </w:trPr>
        <w:tc>
          <w:tcPr>
            <w:tcW w:w="797" w:type="dxa"/>
          </w:tcPr>
          <w:p>
            <w:pPr>
              <w:pStyle w:val="TableParagraph"/>
              <w:rPr>
                <w:b/>
                <w:sz w:val="22"/>
              </w:rPr>
            </w:pPr>
          </w:p>
          <w:p>
            <w:pPr>
              <w:pStyle w:val="TableParagraph"/>
              <w:spacing w:before="7"/>
              <w:rPr>
                <w:b/>
                <w:sz w:val="18"/>
              </w:rPr>
            </w:pPr>
          </w:p>
          <w:p>
            <w:pPr>
              <w:pStyle w:val="TableParagraph"/>
              <w:ind w:left="104" w:right="97"/>
              <w:jc w:val="center"/>
              <w:rPr>
                <w:rFonts w:ascii="Calibri"/>
                <w:sz w:val="22"/>
              </w:rPr>
            </w:pPr>
            <w:r>
              <w:rPr>
                <w:rFonts w:ascii="Calibri"/>
                <w:sz w:val="22"/>
              </w:rPr>
              <w:t>46</w:t>
            </w:r>
          </w:p>
        </w:tc>
        <w:tc>
          <w:tcPr>
            <w:tcW w:w="2465" w:type="dxa"/>
          </w:tcPr>
          <w:p>
            <w:pPr>
              <w:pStyle w:val="TableParagraph"/>
              <w:rPr>
                <w:b/>
                <w:sz w:val="24"/>
              </w:rPr>
            </w:pPr>
          </w:p>
          <w:p>
            <w:pPr>
              <w:pStyle w:val="TableParagraph"/>
              <w:spacing w:before="195"/>
              <w:ind w:left="165" w:right="157"/>
              <w:jc w:val="center"/>
              <w:rPr>
                <w:sz w:val="22"/>
              </w:rPr>
            </w:pPr>
            <w:r>
              <w:rPr>
                <w:sz w:val="22"/>
              </w:rPr>
              <w:t>C21032317</w:t>
            </w:r>
          </w:p>
        </w:tc>
        <w:tc>
          <w:tcPr>
            <w:tcW w:w="2551" w:type="dxa"/>
          </w:tcPr>
          <w:p>
            <w:pPr>
              <w:pStyle w:val="TableParagraph"/>
              <w:rPr>
                <w:b/>
                <w:sz w:val="24"/>
              </w:rPr>
            </w:pPr>
          </w:p>
          <w:p>
            <w:pPr>
              <w:pStyle w:val="TableParagraph"/>
              <w:spacing w:before="195"/>
              <w:ind w:right="740"/>
              <w:jc w:val="right"/>
              <w:rPr>
                <w:sz w:val="22"/>
              </w:rPr>
            </w:pPr>
            <w:r>
              <w:rPr>
                <w:sz w:val="22"/>
              </w:rPr>
              <w:t>06.09.2018.</w:t>
            </w:r>
          </w:p>
        </w:tc>
        <w:tc>
          <w:tcPr>
            <w:tcW w:w="3117" w:type="dxa"/>
          </w:tcPr>
          <w:p>
            <w:pPr>
              <w:pStyle w:val="TableParagraph"/>
              <w:rPr>
                <w:b/>
                <w:sz w:val="24"/>
              </w:rPr>
            </w:pPr>
          </w:p>
          <w:p>
            <w:pPr>
              <w:pStyle w:val="TableParagraph"/>
              <w:spacing w:before="195"/>
              <w:ind w:left="118" w:right="106"/>
              <w:jc w:val="center"/>
              <w:rPr>
                <w:sz w:val="22"/>
              </w:rPr>
            </w:pPr>
            <w:r>
              <w:rPr>
                <w:sz w:val="22"/>
              </w:rPr>
              <w:t>Vidzemes rajona tiesa</w:t>
            </w:r>
          </w:p>
        </w:tc>
      </w:tr>
      <w:tr>
        <w:trPr>
          <w:trHeight w:val="779" w:hRule="atLeast"/>
        </w:trPr>
        <w:tc>
          <w:tcPr>
            <w:tcW w:w="797" w:type="dxa"/>
          </w:tcPr>
          <w:p>
            <w:pPr>
              <w:pStyle w:val="TableParagraph"/>
              <w:spacing w:before="9"/>
              <w:rPr>
                <w:b/>
                <w:sz w:val="21"/>
              </w:rPr>
            </w:pPr>
          </w:p>
          <w:p>
            <w:pPr>
              <w:pStyle w:val="TableParagraph"/>
              <w:ind w:left="104" w:right="97"/>
              <w:jc w:val="center"/>
              <w:rPr>
                <w:rFonts w:ascii="Calibri"/>
                <w:sz w:val="22"/>
              </w:rPr>
            </w:pPr>
            <w:r>
              <w:rPr>
                <w:rFonts w:ascii="Calibri"/>
                <w:sz w:val="22"/>
              </w:rPr>
              <w:t>47</w:t>
            </w:r>
          </w:p>
        </w:tc>
        <w:tc>
          <w:tcPr>
            <w:tcW w:w="2465" w:type="dxa"/>
          </w:tcPr>
          <w:p>
            <w:pPr>
              <w:pStyle w:val="TableParagraph"/>
              <w:spacing w:before="4"/>
              <w:rPr>
                <w:b/>
                <w:sz w:val="22"/>
              </w:rPr>
            </w:pPr>
          </w:p>
          <w:p>
            <w:pPr>
              <w:pStyle w:val="TableParagraph"/>
              <w:ind w:left="165" w:right="157"/>
              <w:jc w:val="center"/>
              <w:rPr>
                <w:sz w:val="22"/>
              </w:rPr>
            </w:pPr>
            <w:r>
              <w:rPr>
                <w:sz w:val="22"/>
              </w:rPr>
              <w:t>C33546717</w:t>
            </w:r>
          </w:p>
        </w:tc>
        <w:tc>
          <w:tcPr>
            <w:tcW w:w="2551" w:type="dxa"/>
          </w:tcPr>
          <w:p>
            <w:pPr>
              <w:pStyle w:val="TableParagraph"/>
              <w:spacing w:before="4"/>
              <w:rPr>
                <w:b/>
                <w:sz w:val="22"/>
              </w:rPr>
            </w:pPr>
          </w:p>
          <w:p>
            <w:pPr>
              <w:pStyle w:val="TableParagraph"/>
              <w:ind w:right="740"/>
              <w:jc w:val="right"/>
              <w:rPr>
                <w:sz w:val="22"/>
              </w:rPr>
            </w:pPr>
            <w:r>
              <w:rPr>
                <w:sz w:val="22"/>
              </w:rPr>
              <w:t>19.09.2018.</w:t>
            </w:r>
          </w:p>
        </w:tc>
        <w:tc>
          <w:tcPr>
            <w:tcW w:w="3117" w:type="dxa"/>
          </w:tcPr>
          <w:p>
            <w:pPr>
              <w:pStyle w:val="TableParagraph"/>
              <w:spacing w:before="4"/>
              <w:rPr>
                <w:b/>
                <w:sz w:val="22"/>
              </w:rPr>
            </w:pPr>
          </w:p>
          <w:p>
            <w:pPr>
              <w:pStyle w:val="TableParagraph"/>
              <w:ind w:left="119" w:right="105"/>
              <w:jc w:val="center"/>
              <w:rPr>
                <w:sz w:val="22"/>
              </w:rPr>
            </w:pPr>
            <w:r>
              <w:rPr>
                <w:sz w:val="22"/>
              </w:rPr>
              <w:t>Rīgas rajona tiesa</w:t>
            </w:r>
          </w:p>
        </w:tc>
      </w:tr>
      <w:tr>
        <w:trPr>
          <w:trHeight w:val="1055" w:hRule="atLeast"/>
        </w:trPr>
        <w:tc>
          <w:tcPr>
            <w:tcW w:w="797" w:type="dxa"/>
          </w:tcPr>
          <w:p>
            <w:pPr>
              <w:pStyle w:val="TableParagraph"/>
              <w:rPr>
                <w:b/>
                <w:sz w:val="22"/>
              </w:rPr>
            </w:pPr>
          </w:p>
          <w:p>
            <w:pPr>
              <w:pStyle w:val="TableParagraph"/>
              <w:spacing w:before="137"/>
              <w:ind w:left="104" w:right="97"/>
              <w:jc w:val="center"/>
              <w:rPr>
                <w:rFonts w:ascii="Calibri"/>
                <w:sz w:val="22"/>
              </w:rPr>
            </w:pPr>
            <w:r>
              <w:rPr>
                <w:rFonts w:ascii="Calibri"/>
                <w:sz w:val="22"/>
              </w:rPr>
              <w:t>48</w:t>
            </w:r>
          </w:p>
        </w:tc>
        <w:tc>
          <w:tcPr>
            <w:tcW w:w="2465" w:type="dxa"/>
          </w:tcPr>
          <w:p>
            <w:pPr>
              <w:pStyle w:val="TableParagraph"/>
              <w:spacing w:before="3"/>
              <w:rPr>
                <w:b/>
                <w:sz w:val="34"/>
              </w:rPr>
            </w:pPr>
          </w:p>
          <w:p>
            <w:pPr>
              <w:pStyle w:val="TableParagraph"/>
              <w:ind w:left="165" w:right="154"/>
              <w:jc w:val="center"/>
              <w:rPr>
                <w:sz w:val="22"/>
              </w:rPr>
            </w:pPr>
            <w:r>
              <w:rPr>
                <w:sz w:val="22"/>
              </w:rPr>
              <w:t>C-3580-18, C32309316</w:t>
            </w:r>
          </w:p>
        </w:tc>
        <w:tc>
          <w:tcPr>
            <w:tcW w:w="2551" w:type="dxa"/>
          </w:tcPr>
          <w:p>
            <w:pPr>
              <w:pStyle w:val="TableParagraph"/>
              <w:spacing w:before="3"/>
              <w:rPr>
                <w:b/>
                <w:sz w:val="34"/>
              </w:rPr>
            </w:pPr>
          </w:p>
          <w:p>
            <w:pPr>
              <w:pStyle w:val="TableParagraph"/>
              <w:ind w:right="739"/>
              <w:jc w:val="right"/>
              <w:rPr>
                <w:sz w:val="22"/>
              </w:rPr>
            </w:pPr>
            <w:r>
              <w:rPr>
                <w:sz w:val="22"/>
              </w:rPr>
              <w:t>10.09.2018.</w:t>
            </w:r>
          </w:p>
        </w:tc>
        <w:tc>
          <w:tcPr>
            <w:tcW w:w="3117" w:type="dxa"/>
          </w:tcPr>
          <w:p>
            <w:pPr>
              <w:pStyle w:val="TableParagraph"/>
              <w:spacing w:before="5"/>
              <w:rPr>
                <w:b/>
                <w:sz w:val="23"/>
              </w:rPr>
            </w:pPr>
          </w:p>
          <w:p>
            <w:pPr>
              <w:pStyle w:val="TableParagraph"/>
              <w:ind w:left="731" w:right="453" w:hanging="248"/>
              <w:rPr>
                <w:sz w:val="22"/>
              </w:rPr>
            </w:pPr>
            <w:r>
              <w:rPr>
                <w:sz w:val="22"/>
              </w:rPr>
              <w:t>Rīgas pilsētas Vidzemes priekšpilsētas tiesa</w:t>
            </w:r>
          </w:p>
        </w:tc>
      </w:tr>
      <w:tr>
        <w:trPr>
          <w:trHeight w:val="779"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49</w:t>
            </w:r>
          </w:p>
        </w:tc>
        <w:tc>
          <w:tcPr>
            <w:tcW w:w="2465" w:type="dxa"/>
          </w:tcPr>
          <w:p>
            <w:pPr>
              <w:pStyle w:val="TableParagraph"/>
              <w:spacing w:before="4"/>
              <w:rPr>
                <w:b/>
                <w:sz w:val="22"/>
              </w:rPr>
            </w:pPr>
          </w:p>
          <w:p>
            <w:pPr>
              <w:pStyle w:val="TableParagraph"/>
              <w:ind w:left="165" w:right="156"/>
              <w:jc w:val="center"/>
              <w:rPr>
                <w:sz w:val="22"/>
              </w:rPr>
            </w:pPr>
            <w:r>
              <w:rPr>
                <w:sz w:val="22"/>
              </w:rPr>
              <w:t>C20194117 /12</w:t>
            </w:r>
          </w:p>
        </w:tc>
        <w:tc>
          <w:tcPr>
            <w:tcW w:w="2551" w:type="dxa"/>
          </w:tcPr>
          <w:p>
            <w:pPr>
              <w:pStyle w:val="TableParagraph"/>
              <w:spacing w:before="4"/>
              <w:rPr>
                <w:b/>
                <w:sz w:val="22"/>
              </w:rPr>
            </w:pPr>
          </w:p>
          <w:p>
            <w:pPr>
              <w:pStyle w:val="TableParagraph"/>
              <w:ind w:right="739"/>
              <w:jc w:val="right"/>
              <w:rPr>
                <w:sz w:val="22"/>
              </w:rPr>
            </w:pPr>
            <w:r>
              <w:rPr>
                <w:sz w:val="22"/>
              </w:rPr>
              <w:t>05.09.2018.</w:t>
            </w:r>
          </w:p>
        </w:tc>
        <w:tc>
          <w:tcPr>
            <w:tcW w:w="3117" w:type="dxa"/>
          </w:tcPr>
          <w:p>
            <w:pPr>
              <w:pStyle w:val="TableParagraph"/>
              <w:spacing w:before="4"/>
              <w:rPr>
                <w:b/>
                <w:sz w:val="22"/>
              </w:rPr>
            </w:pPr>
          </w:p>
          <w:p>
            <w:pPr>
              <w:pStyle w:val="TableParagraph"/>
              <w:ind w:left="117" w:right="106"/>
              <w:jc w:val="center"/>
              <w:rPr>
                <w:sz w:val="22"/>
              </w:rPr>
            </w:pPr>
            <w:r>
              <w:rPr>
                <w:sz w:val="22"/>
              </w:rPr>
              <w:t>Kurzemes rajona tiesa</w:t>
            </w:r>
          </w:p>
        </w:tc>
      </w:tr>
      <w:tr>
        <w:trPr>
          <w:trHeight w:val="782" w:hRule="atLeast"/>
        </w:trPr>
        <w:tc>
          <w:tcPr>
            <w:tcW w:w="797" w:type="dxa"/>
          </w:tcPr>
          <w:p>
            <w:pPr>
              <w:pStyle w:val="TableParagraph"/>
              <w:rPr>
                <w:b/>
                <w:sz w:val="22"/>
              </w:rPr>
            </w:pPr>
          </w:p>
          <w:p>
            <w:pPr>
              <w:pStyle w:val="TableParagraph"/>
              <w:ind w:left="104" w:right="97"/>
              <w:jc w:val="center"/>
              <w:rPr>
                <w:rFonts w:ascii="Calibri"/>
                <w:sz w:val="22"/>
              </w:rPr>
            </w:pPr>
            <w:r>
              <w:rPr>
                <w:rFonts w:ascii="Calibri"/>
                <w:sz w:val="22"/>
              </w:rPr>
              <w:t>50</w:t>
            </w:r>
          </w:p>
        </w:tc>
        <w:tc>
          <w:tcPr>
            <w:tcW w:w="2465" w:type="dxa"/>
          </w:tcPr>
          <w:p>
            <w:pPr>
              <w:pStyle w:val="TableParagraph"/>
              <w:spacing w:before="4"/>
              <w:rPr>
                <w:b/>
                <w:sz w:val="22"/>
              </w:rPr>
            </w:pPr>
          </w:p>
          <w:p>
            <w:pPr>
              <w:pStyle w:val="TableParagraph"/>
              <w:ind w:left="165" w:right="157"/>
              <w:jc w:val="center"/>
              <w:rPr>
                <w:sz w:val="22"/>
              </w:rPr>
            </w:pPr>
            <w:r>
              <w:rPr>
                <w:sz w:val="22"/>
              </w:rPr>
              <w:t>C35072713</w:t>
            </w:r>
          </w:p>
        </w:tc>
        <w:tc>
          <w:tcPr>
            <w:tcW w:w="2551" w:type="dxa"/>
          </w:tcPr>
          <w:p>
            <w:pPr>
              <w:pStyle w:val="TableParagraph"/>
              <w:spacing w:before="4"/>
              <w:rPr>
                <w:b/>
                <w:sz w:val="22"/>
              </w:rPr>
            </w:pPr>
          </w:p>
          <w:p>
            <w:pPr>
              <w:pStyle w:val="TableParagraph"/>
              <w:ind w:right="740"/>
              <w:jc w:val="right"/>
              <w:rPr>
                <w:sz w:val="22"/>
              </w:rPr>
            </w:pPr>
            <w:r>
              <w:rPr>
                <w:sz w:val="22"/>
              </w:rPr>
              <w:t>07.12.2016.</w:t>
            </w:r>
          </w:p>
        </w:tc>
        <w:tc>
          <w:tcPr>
            <w:tcW w:w="3117" w:type="dxa"/>
          </w:tcPr>
          <w:p>
            <w:pPr>
              <w:pStyle w:val="TableParagraph"/>
              <w:spacing w:before="4"/>
              <w:rPr>
                <w:b/>
                <w:sz w:val="22"/>
              </w:rPr>
            </w:pPr>
          </w:p>
          <w:p>
            <w:pPr>
              <w:pStyle w:val="TableParagraph"/>
              <w:ind w:left="119" w:right="105"/>
              <w:jc w:val="center"/>
              <w:rPr>
                <w:sz w:val="22"/>
              </w:rPr>
            </w:pPr>
            <w:r>
              <w:rPr>
                <w:sz w:val="22"/>
              </w:rPr>
              <w:t>Rīgas rajona tiesa</w:t>
            </w:r>
          </w:p>
        </w:tc>
      </w:tr>
    </w:tbl>
    <w:p>
      <w:pPr>
        <w:pStyle w:val="BodyText"/>
        <w:jc w:val="left"/>
        <w:rPr>
          <w:b/>
          <w:sz w:val="20"/>
        </w:rPr>
      </w:pPr>
    </w:p>
    <w:p>
      <w:pPr>
        <w:pStyle w:val="BodyText"/>
        <w:jc w:val="left"/>
        <w:rPr>
          <w:b/>
          <w:sz w:val="18"/>
        </w:rPr>
      </w:pPr>
    </w:p>
    <w:p>
      <w:pPr>
        <w:spacing w:before="89"/>
        <w:ind w:left="1117" w:right="610" w:firstLine="0"/>
        <w:jc w:val="center"/>
        <w:rPr>
          <w:b/>
          <w:sz w:val="28"/>
        </w:rPr>
      </w:pPr>
      <w:r>
        <w:rPr>
          <w:b/>
          <w:sz w:val="28"/>
        </w:rPr>
        <w:t>Nolēmumi par procedūras izbeigšanu, atbrīvojot no saistībām</w:t>
      </w:r>
    </w:p>
    <w:p>
      <w:pPr>
        <w:pStyle w:val="BodyText"/>
        <w:jc w:val="left"/>
        <w:rPr>
          <w:b/>
          <w:sz w:val="22"/>
        </w:r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2501"/>
        <w:gridCol w:w="2551"/>
        <w:gridCol w:w="3117"/>
      </w:tblGrid>
      <w:tr>
        <w:trPr>
          <w:trHeight w:val="782" w:hRule="atLeast"/>
        </w:trPr>
        <w:tc>
          <w:tcPr>
            <w:tcW w:w="785" w:type="dxa"/>
          </w:tcPr>
          <w:p>
            <w:pPr>
              <w:pStyle w:val="TableParagraph"/>
              <w:spacing w:before="9"/>
              <w:rPr>
                <w:b/>
                <w:sz w:val="22"/>
              </w:rPr>
            </w:pPr>
          </w:p>
          <w:p>
            <w:pPr>
              <w:pStyle w:val="TableParagraph"/>
              <w:ind w:left="87" w:right="79"/>
              <w:jc w:val="center"/>
              <w:rPr>
                <w:b/>
                <w:sz w:val="22"/>
              </w:rPr>
            </w:pPr>
            <w:r>
              <w:rPr>
                <w:b/>
                <w:sz w:val="22"/>
              </w:rPr>
              <w:t>N.p.k.</w:t>
            </w:r>
          </w:p>
        </w:tc>
        <w:tc>
          <w:tcPr>
            <w:tcW w:w="2501" w:type="dxa"/>
          </w:tcPr>
          <w:p>
            <w:pPr>
              <w:pStyle w:val="TableParagraph"/>
              <w:spacing w:before="9"/>
              <w:rPr>
                <w:b/>
                <w:sz w:val="22"/>
              </w:rPr>
            </w:pPr>
          </w:p>
          <w:p>
            <w:pPr>
              <w:pStyle w:val="TableParagraph"/>
              <w:ind w:left="184" w:right="172"/>
              <w:jc w:val="center"/>
              <w:rPr>
                <w:b/>
                <w:sz w:val="22"/>
              </w:rPr>
            </w:pPr>
            <w:r>
              <w:rPr>
                <w:b/>
                <w:sz w:val="22"/>
              </w:rPr>
              <w:t>Lietas numurs</w:t>
            </w:r>
          </w:p>
        </w:tc>
        <w:tc>
          <w:tcPr>
            <w:tcW w:w="2551" w:type="dxa"/>
          </w:tcPr>
          <w:p>
            <w:pPr>
              <w:pStyle w:val="TableParagraph"/>
              <w:spacing w:before="9"/>
              <w:rPr>
                <w:b/>
                <w:sz w:val="22"/>
              </w:rPr>
            </w:pPr>
          </w:p>
          <w:p>
            <w:pPr>
              <w:pStyle w:val="TableParagraph"/>
              <w:ind w:left="365" w:right="355"/>
              <w:jc w:val="center"/>
              <w:rPr>
                <w:b/>
                <w:sz w:val="22"/>
              </w:rPr>
            </w:pPr>
            <w:r>
              <w:rPr>
                <w:b/>
                <w:sz w:val="22"/>
              </w:rPr>
              <w:t>Nolēmuma datums</w:t>
            </w:r>
          </w:p>
        </w:tc>
        <w:tc>
          <w:tcPr>
            <w:tcW w:w="3117" w:type="dxa"/>
          </w:tcPr>
          <w:p>
            <w:pPr>
              <w:pStyle w:val="TableParagraph"/>
              <w:spacing w:before="9"/>
              <w:rPr>
                <w:b/>
                <w:sz w:val="22"/>
              </w:rPr>
            </w:pPr>
          </w:p>
          <w:p>
            <w:pPr>
              <w:pStyle w:val="TableParagraph"/>
              <w:ind w:left="117" w:right="106"/>
              <w:jc w:val="center"/>
              <w:rPr>
                <w:b/>
                <w:sz w:val="22"/>
              </w:rPr>
            </w:pPr>
            <w:r>
              <w:rPr>
                <w:b/>
                <w:sz w:val="22"/>
              </w:rPr>
              <w:t>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1</w:t>
            </w:r>
          </w:p>
        </w:tc>
        <w:tc>
          <w:tcPr>
            <w:tcW w:w="2501" w:type="dxa"/>
          </w:tcPr>
          <w:p>
            <w:pPr>
              <w:pStyle w:val="TableParagraph"/>
              <w:spacing w:before="4"/>
              <w:rPr>
                <w:b/>
                <w:sz w:val="22"/>
              </w:rPr>
            </w:pPr>
          </w:p>
          <w:p>
            <w:pPr>
              <w:pStyle w:val="TableParagraph"/>
              <w:ind w:left="184" w:right="173"/>
              <w:jc w:val="center"/>
              <w:rPr>
                <w:sz w:val="22"/>
              </w:rPr>
            </w:pPr>
            <w:r>
              <w:rPr>
                <w:sz w:val="22"/>
              </w:rPr>
              <w:t>C25064609</w:t>
            </w:r>
          </w:p>
        </w:tc>
        <w:tc>
          <w:tcPr>
            <w:tcW w:w="2551" w:type="dxa"/>
          </w:tcPr>
          <w:p>
            <w:pPr>
              <w:pStyle w:val="TableParagraph"/>
              <w:spacing w:before="4"/>
              <w:rPr>
                <w:b/>
                <w:sz w:val="22"/>
              </w:rPr>
            </w:pPr>
          </w:p>
          <w:p>
            <w:pPr>
              <w:pStyle w:val="TableParagraph"/>
              <w:ind w:left="366" w:right="355"/>
              <w:jc w:val="center"/>
              <w:rPr>
                <w:sz w:val="22"/>
              </w:rPr>
            </w:pPr>
            <w:r>
              <w:rPr>
                <w:sz w:val="22"/>
              </w:rPr>
              <w:t>25.02.2015.</w:t>
            </w:r>
          </w:p>
        </w:tc>
        <w:tc>
          <w:tcPr>
            <w:tcW w:w="3117" w:type="dxa"/>
          </w:tcPr>
          <w:p>
            <w:pPr>
              <w:pStyle w:val="TableParagraph"/>
              <w:spacing w:before="4"/>
              <w:rPr>
                <w:b/>
                <w:sz w:val="22"/>
              </w:rPr>
            </w:pPr>
          </w:p>
          <w:p>
            <w:pPr>
              <w:pStyle w:val="TableParagraph"/>
              <w:ind w:left="119" w:right="105"/>
              <w:jc w:val="center"/>
              <w:rPr>
                <w:sz w:val="22"/>
              </w:rPr>
            </w:pPr>
            <w:r>
              <w:rPr>
                <w:sz w:val="22"/>
              </w:rPr>
              <w:t>Preiļu rajona 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2</w:t>
            </w:r>
          </w:p>
        </w:tc>
        <w:tc>
          <w:tcPr>
            <w:tcW w:w="2501" w:type="dxa"/>
          </w:tcPr>
          <w:p>
            <w:pPr>
              <w:pStyle w:val="TableParagraph"/>
              <w:spacing w:before="4"/>
              <w:rPr>
                <w:b/>
                <w:sz w:val="22"/>
              </w:rPr>
            </w:pPr>
          </w:p>
          <w:p>
            <w:pPr>
              <w:pStyle w:val="TableParagraph"/>
              <w:ind w:left="184" w:right="173"/>
              <w:jc w:val="center"/>
              <w:rPr>
                <w:sz w:val="22"/>
              </w:rPr>
            </w:pPr>
            <w:r>
              <w:rPr>
                <w:sz w:val="22"/>
              </w:rPr>
              <w:t>C24070009</w:t>
            </w:r>
          </w:p>
        </w:tc>
        <w:tc>
          <w:tcPr>
            <w:tcW w:w="2551" w:type="dxa"/>
          </w:tcPr>
          <w:p>
            <w:pPr>
              <w:pStyle w:val="TableParagraph"/>
              <w:spacing w:before="4"/>
              <w:rPr>
                <w:b/>
                <w:sz w:val="22"/>
              </w:rPr>
            </w:pPr>
          </w:p>
          <w:p>
            <w:pPr>
              <w:pStyle w:val="TableParagraph"/>
              <w:ind w:left="366" w:right="355"/>
              <w:jc w:val="center"/>
              <w:rPr>
                <w:sz w:val="22"/>
              </w:rPr>
            </w:pPr>
            <w:r>
              <w:rPr>
                <w:sz w:val="22"/>
              </w:rPr>
              <w:t>10.12.2014.</w:t>
            </w:r>
          </w:p>
        </w:tc>
        <w:tc>
          <w:tcPr>
            <w:tcW w:w="3117" w:type="dxa"/>
          </w:tcPr>
          <w:p>
            <w:pPr>
              <w:pStyle w:val="TableParagraph"/>
              <w:spacing w:before="4"/>
              <w:rPr>
                <w:b/>
                <w:sz w:val="22"/>
              </w:rPr>
            </w:pPr>
          </w:p>
          <w:p>
            <w:pPr>
              <w:pStyle w:val="TableParagraph"/>
              <w:ind w:left="119" w:right="105"/>
              <w:jc w:val="center"/>
              <w:rPr>
                <w:sz w:val="22"/>
              </w:rPr>
            </w:pPr>
            <w:r>
              <w:rPr>
                <w:sz w:val="22"/>
              </w:rPr>
              <w:t>Ogres rajona 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3</w:t>
            </w:r>
          </w:p>
        </w:tc>
        <w:tc>
          <w:tcPr>
            <w:tcW w:w="2501" w:type="dxa"/>
          </w:tcPr>
          <w:p>
            <w:pPr>
              <w:pStyle w:val="TableParagraph"/>
              <w:spacing w:before="4"/>
              <w:rPr>
                <w:b/>
                <w:sz w:val="22"/>
              </w:rPr>
            </w:pPr>
          </w:p>
          <w:p>
            <w:pPr>
              <w:pStyle w:val="TableParagraph"/>
              <w:ind w:left="184" w:right="173"/>
              <w:jc w:val="center"/>
              <w:rPr>
                <w:sz w:val="22"/>
              </w:rPr>
            </w:pPr>
            <w:r>
              <w:rPr>
                <w:sz w:val="22"/>
              </w:rPr>
              <w:t>C24122109</w:t>
            </w:r>
          </w:p>
        </w:tc>
        <w:tc>
          <w:tcPr>
            <w:tcW w:w="2551" w:type="dxa"/>
          </w:tcPr>
          <w:p>
            <w:pPr>
              <w:pStyle w:val="TableParagraph"/>
              <w:spacing w:before="4"/>
              <w:rPr>
                <w:b/>
                <w:sz w:val="22"/>
              </w:rPr>
            </w:pPr>
          </w:p>
          <w:p>
            <w:pPr>
              <w:pStyle w:val="TableParagraph"/>
              <w:ind w:left="366" w:right="355"/>
              <w:jc w:val="center"/>
              <w:rPr>
                <w:sz w:val="22"/>
              </w:rPr>
            </w:pPr>
            <w:r>
              <w:rPr>
                <w:sz w:val="22"/>
              </w:rPr>
              <w:t>04.12.2014.</w:t>
            </w:r>
          </w:p>
        </w:tc>
        <w:tc>
          <w:tcPr>
            <w:tcW w:w="3117" w:type="dxa"/>
          </w:tcPr>
          <w:p>
            <w:pPr>
              <w:pStyle w:val="TableParagraph"/>
              <w:spacing w:before="4"/>
              <w:rPr>
                <w:b/>
                <w:sz w:val="22"/>
              </w:rPr>
            </w:pPr>
          </w:p>
          <w:p>
            <w:pPr>
              <w:pStyle w:val="TableParagraph"/>
              <w:ind w:left="119" w:right="105"/>
              <w:jc w:val="center"/>
              <w:rPr>
                <w:sz w:val="22"/>
              </w:rPr>
            </w:pPr>
            <w:r>
              <w:rPr>
                <w:sz w:val="22"/>
              </w:rPr>
              <w:t>Ogres rajona 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4</w:t>
            </w:r>
          </w:p>
        </w:tc>
        <w:tc>
          <w:tcPr>
            <w:tcW w:w="2501" w:type="dxa"/>
          </w:tcPr>
          <w:p>
            <w:pPr>
              <w:pStyle w:val="TableParagraph"/>
              <w:spacing w:before="4"/>
              <w:rPr>
                <w:b/>
                <w:sz w:val="22"/>
              </w:rPr>
            </w:pPr>
          </w:p>
          <w:p>
            <w:pPr>
              <w:pStyle w:val="TableParagraph"/>
              <w:ind w:left="184" w:right="173"/>
              <w:jc w:val="center"/>
              <w:rPr>
                <w:sz w:val="22"/>
              </w:rPr>
            </w:pPr>
            <w:r>
              <w:rPr>
                <w:sz w:val="22"/>
              </w:rPr>
              <w:t>C08013412</w:t>
            </w:r>
          </w:p>
        </w:tc>
        <w:tc>
          <w:tcPr>
            <w:tcW w:w="2551" w:type="dxa"/>
          </w:tcPr>
          <w:p>
            <w:pPr>
              <w:pStyle w:val="TableParagraph"/>
              <w:spacing w:before="4"/>
              <w:rPr>
                <w:b/>
                <w:sz w:val="22"/>
              </w:rPr>
            </w:pPr>
          </w:p>
          <w:p>
            <w:pPr>
              <w:pStyle w:val="TableParagraph"/>
              <w:ind w:left="366" w:right="355"/>
              <w:jc w:val="center"/>
              <w:rPr>
                <w:sz w:val="22"/>
              </w:rPr>
            </w:pPr>
            <w:r>
              <w:rPr>
                <w:sz w:val="22"/>
              </w:rPr>
              <w:t>11.12.2014.</w:t>
            </w:r>
          </w:p>
        </w:tc>
        <w:tc>
          <w:tcPr>
            <w:tcW w:w="3117" w:type="dxa"/>
          </w:tcPr>
          <w:p>
            <w:pPr>
              <w:pStyle w:val="TableParagraph"/>
              <w:spacing w:before="4"/>
              <w:rPr>
                <w:b/>
                <w:sz w:val="22"/>
              </w:rPr>
            </w:pPr>
          </w:p>
          <w:p>
            <w:pPr>
              <w:pStyle w:val="TableParagraph"/>
              <w:ind w:left="119" w:right="104"/>
              <w:jc w:val="center"/>
              <w:rPr>
                <w:sz w:val="22"/>
              </w:rPr>
            </w:pPr>
            <w:r>
              <w:rPr>
                <w:sz w:val="22"/>
              </w:rPr>
              <w:t>Alūksnes rajona 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5</w:t>
            </w:r>
          </w:p>
        </w:tc>
        <w:tc>
          <w:tcPr>
            <w:tcW w:w="2501" w:type="dxa"/>
          </w:tcPr>
          <w:p>
            <w:pPr>
              <w:pStyle w:val="TableParagraph"/>
              <w:spacing w:before="4"/>
              <w:rPr>
                <w:b/>
                <w:sz w:val="22"/>
              </w:rPr>
            </w:pPr>
          </w:p>
          <w:p>
            <w:pPr>
              <w:pStyle w:val="TableParagraph"/>
              <w:ind w:left="184" w:right="173"/>
              <w:jc w:val="center"/>
              <w:rPr>
                <w:sz w:val="22"/>
              </w:rPr>
            </w:pPr>
            <w:r>
              <w:rPr>
                <w:sz w:val="22"/>
              </w:rPr>
              <w:t>C24133709</w:t>
            </w:r>
          </w:p>
        </w:tc>
        <w:tc>
          <w:tcPr>
            <w:tcW w:w="2551" w:type="dxa"/>
          </w:tcPr>
          <w:p>
            <w:pPr>
              <w:pStyle w:val="TableParagraph"/>
              <w:spacing w:before="4"/>
              <w:rPr>
                <w:b/>
                <w:sz w:val="22"/>
              </w:rPr>
            </w:pPr>
          </w:p>
          <w:p>
            <w:pPr>
              <w:pStyle w:val="TableParagraph"/>
              <w:ind w:left="366" w:right="355"/>
              <w:jc w:val="center"/>
              <w:rPr>
                <w:sz w:val="22"/>
              </w:rPr>
            </w:pPr>
            <w:r>
              <w:rPr>
                <w:sz w:val="22"/>
              </w:rPr>
              <w:t>23.12.2014.</w:t>
            </w:r>
          </w:p>
        </w:tc>
        <w:tc>
          <w:tcPr>
            <w:tcW w:w="3117" w:type="dxa"/>
          </w:tcPr>
          <w:p>
            <w:pPr>
              <w:pStyle w:val="TableParagraph"/>
              <w:spacing w:before="4"/>
              <w:rPr>
                <w:b/>
                <w:sz w:val="22"/>
              </w:rPr>
            </w:pPr>
          </w:p>
          <w:p>
            <w:pPr>
              <w:pStyle w:val="TableParagraph"/>
              <w:ind w:left="119" w:right="105"/>
              <w:jc w:val="center"/>
              <w:rPr>
                <w:sz w:val="22"/>
              </w:rPr>
            </w:pPr>
            <w:r>
              <w:rPr>
                <w:sz w:val="22"/>
              </w:rPr>
              <w:t>Ogres rajona tiesa</w:t>
            </w:r>
          </w:p>
        </w:tc>
      </w:tr>
      <w:tr>
        <w:trPr>
          <w:trHeight w:val="782" w:hRule="atLeast"/>
        </w:trPr>
        <w:tc>
          <w:tcPr>
            <w:tcW w:w="785" w:type="dxa"/>
          </w:tcPr>
          <w:p>
            <w:pPr>
              <w:pStyle w:val="TableParagraph"/>
              <w:spacing w:before="4"/>
              <w:rPr>
                <w:b/>
                <w:sz w:val="22"/>
              </w:rPr>
            </w:pPr>
          </w:p>
          <w:p>
            <w:pPr>
              <w:pStyle w:val="TableParagraph"/>
              <w:ind w:left="7"/>
              <w:jc w:val="center"/>
              <w:rPr>
                <w:sz w:val="22"/>
              </w:rPr>
            </w:pPr>
            <w:r>
              <w:rPr>
                <w:w w:val="100"/>
                <w:sz w:val="22"/>
              </w:rPr>
              <w:t>6</w:t>
            </w:r>
          </w:p>
        </w:tc>
        <w:tc>
          <w:tcPr>
            <w:tcW w:w="2501" w:type="dxa"/>
          </w:tcPr>
          <w:p>
            <w:pPr>
              <w:pStyle w:val="TableParagraph"/>
              <w:spacing w:before="4"/>
              <w:rPr>
                <w:b/>
                <w:sz w:val="22"/>
              </w:rPr>
            </w:pPr>
          </w:p>
          <w:p>
            <w:pPr>
              <w:pStyle w:val="TableParagraph"/>
              <w:ind w:left="184" w:right="173"/>
              <w:jc w:val="center"/>
              <w:rPr>
                <w:sz w:val="22"/>
              </w:rPr>
            </w:pPr>
            <w:r>
              <w:rPr>
                <w:sz w:val="22"/>
              </w:rPr>
              <w:t>C37132410</w:t>
            </w:r>
          </w:p>
        </w:tc>
        <w:tc>
          <w:tcPr>
            <w:tcW w:w="2551" w:type="dxa"/>
          </w:tcPr>
          <w:p>
            <w:pPr>
              <w:pStyle w:val="TableParagraph"/>
              <w:spacing w:before="4"/>
              <w:rPr>
                <w:b/>
                <w:sz w:val="22"/>
              </w:rPr>
            </w:pPr>
          </w:p>
          <w:p>
            <w:pPr>
              <w:pStyle w:val="TableParagraph"/>
              <w:ind w:left="366" w:right="355"/>
              <w:jc w:val="center"/>
              <w:rPr>
                <w:sz w:val="22"/>
              </w:rPr>
            </w:pPr>
            <w:r>
              <w:rPr>
                <w:sz w:val="22"/>
              </w:rPr>
              <w:t>06.02.2015.</w:t>
            </w:r>
          </w:p>
        </w:tc>
        <w:tc>
          <w:tcPr>
            <w:tcW w:w="3117" w:type="dxa"/>
          </w:tcPr>
          <w:p>
            <w:pPr>
              <w:pStyle w:val="TableParagraph"/>
              <w:spacing w:before="4"/>
              <w:rPr>
                <w:b/>
                <w:sz w:val="22"/>
              </w:rPr>
            </w:pPr>
          </w:p>
          <w:p>
            <w:pPr>
              <w:pStyle w:val="TableParagraph"/>
              <w:ind w:left="119" w:right="106"/>
              <w:jc w:val="center"/>
              <w:rPr>
                <w:sz w:val="22"/>
              </w:rPr>
            </w:pPr>
            <w:r>
              <w:rPr>
                <w:sz w:val="22"/>
              </w:rPr>
              <w:t>Tukuma rajona tiesa</w:t>
            </w:r>
          </w:p>
        </w:tc>
      </w:tr>
    </w:tbl>
    <w:p>
      <w:pPr>
        <w:spacing w:after="0"/>
        <w:jc w:val="center"/>
        <w:rPr>
          <w:sz w:val="22"/>
        </w:rPr>
        <w:sectPr>
          <w:pgSz w:w="11910" w:h="16840"/>
          <w:pgMar w:header="0" w:footer="1055" w:top="1420" w:bottom="1160" w:left="1180" w:right="104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2501"/>
        <w:gridCol w:w="2551"/>
        <w:gridCol w:w="3117"/>
      </w:tblGrid>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7</w:t>
            </w:r>
          </w:p>
        </w:tc>
        <w:tc>
          <w:tcPr>
            <w:tcW w:w="2501" w:type="dxa"/>
          </w:tcPr>
          <w:p>
            <w:pPr>
              <w:pStyle w:val="TableParagraph"/>
              <w:spacing w:before="4"/>
              <w:rPr>
                <w:b/>
                <w:sz w:val="22"/>
              </w:rPr>
            </w:pPr>
          </w:p>
          <w:p>
            <w:pPr>
              <w:pStyle w:val="TableParagraph"/>
              <w:ind w:left="184" w:right="173"/>
              <w:jc w:val="center"/>
              <w:rPr>
                <w:sz w:val="22"/>
              </w:rPr>
            </w:pPr>
            <w:r>
              <w:rPr>
                <w:sz w:val="22"/>
              </w:rPr>
              <w:t>C37100911</w:t>
            </w:r>
          </w:p>
        </w:tc>
        <w:tc>
          <w:tcPr>
            <w:tcW w:w="2551" w:type="dxa"/>
          </w:tcPr>
          <w:p>
            <w:pPr>
              <w:pStyle w:val="TableParagraph"/>
              <w:spacing w:before="4"/>
              <w:rPr>
                <w:b/>
                <w:sz w:val="22"/>
              </w:rPr>
            </w:pPr>
          </w:p>
          <w:p>
            <w:pPr>
              <w:pStyle w:val="TableParagraph"/>
              <w:ind w:left="366" w:right="355"/>
              <w:jc w:val="center"/>
              <w:rPr>
                <w:sz w:val="22"/>
              </w:rPr>
            </w:pPr>
            <w:r>
              <w:rPr>
                <w:sz w:val="22"/>
              </w:rPr>
              <w:t>16.02.2015.</w:t>
            </w:r>
          </w:p>
        </w:tc>
        <w:tc>
          <w:tcPr>
            <w:tcW w:w="3117" w:type="dxa"/>
          </w:tcPr>
          <w:p>
            <w:pPr>
              <w:pStyle w:val="TableParagraph"/>
              <w:spacing w:before="4"/>
              <w:rPr>
                <w:b/>
                <w:sz w:val="22"/>
              </w:rPr>
            </w:pPr>
          </w:p>
          <w:p>
            <w:pPr>
              <w:pStyle w:val="TableParagraph"/>
              <w:ind w:left="119" w:right="106"/>
              <w:jc w:val="center"/>
              <w:rPr>
                <w:sz w:val="22"/>
              </w:rPr>
            </w:pPr>
            <w:r>
              <w:rPr>
                <w:sz w:val="22"/>
              </w:rPr>
              <w:t>Tukuma rajona 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8</w:t>
            </w:r>
          </w:p>
        </w:tc>
        <w:tc>
          <w:tcPr>
            <w:tcW w:w="2501" w:type="dxa"/>
          </w:tcPr>
          <w:p>
            <w:pPr>
              <w:pStyle w:val="TableParagraph"/>
              <w:spacing w:before="4"/>
              <w:rPr>
                <w:b/>
                <w:sz w:val="22"/>
              </w:rPr>
            </w:pPr>
          </w:p>
          <w:p>
            <w:pPr>
              <w:pStyle w:val="TableParagraph"/>
              <w:ind w:left="184" w:right="173"/>
              <w:jc w:val="center"/>
              <w:rPr>
                <w:sz w:val="22"/>
              </w:rPr>
            </w:pPr>
            <w:r>
              <w:rPr>
                <w:sz w:val="22"/>
              </w:rPr>
              <w:t>C40067412</w:t>
            </w:r>
          </w:p>
        </w:tc>
        <w:tc>
          <w:tcPr>
            <w:tcW w:w="2551" w:type="dxa"/>
          </w:tcPr>
          <w:p>
            <w:pPr>
              <w:pStyle w:val="TableParagraph"/>
              <w:spacing w:before="4"/>
              <w:rPr>
                <w:b/>
                <w:sz w:val="22"/>
              </w:rPr>
            </w:pPr>
          </w:p>
          <w:p>
            <w:pPr>
              <w:pStyle w:val="TableParagraph"/>
              <w:ind w:left="366" w:right="355"/>
              <w:jc w:val="center"/>
              <w:rPr>
                <w:sz w:val="22"/>
              </w:rPr>
            </w:pPr>
            <w:r>
              <w:rPr>
                <w:sz w:val="22"/>
              </w:rPr>
              <w:t>16.02.2015.</w:t>
            </w:r>
          </w:p>
        </w:tc>
        <w:tc>
          <w:tcPr>
            <w:tcW w:w="3117" w:type="dxa"/>
          </w:tcPr>
          <w:p>
            <w:pPr>
              <w:pStyle w:val="TableParagraph"/>
              <w:spacing w:before="4"/>
              <w:rPr>
                <w:b/>
                <w:sz w:val="22"/>
              </w:rPr>
            </w:pPr>
          </w:p>
          <w:p>
            <w:pPr>
              <w:pStyle w:val="TableParagraph"/>
              <w:ind w:left="116" w:right="106"/>
              <w:jc w:val="center"/>
              <w:rPr>
                <w:sz w:val="22"/>
              </w:rPr>
            </w:pPr>
            <w:r>
              <w:rPr>
                <w:sz w:val="22"/>
              </w:rPr>
              <w:t>Ventspils tiesa</w:t>
            </w:r>
          </w:p>
        </w:tc>
      </w:tr>
      <w:tr>
        <w:trPr>
          <w:trHeight w:val="782" w:hRule="atLeast"/>
        </w:trPr>
        <w:tc>
          <w:tcPr>
            <w:tcW w:w="785" w:type="dxa"/>
          </w:tcPr>
          <w:p>
            <w:pPr>
              <w:pStyle w:val="TableParagraph"/>
              <w:spacing w:before="4"/>
              <w:rPr>
                <w:b/>
                <w:sz w:val="22"/>
              </w:rPr>
            </w:pPr>
          </w:p>
          <w:p>
            <w:pPr>
              <w:pStyle w:val="TableParagraph"/>
              <w:ind w:left="7"/>
              <w:jc w:val="center"/>
              <w:rPr>
                <w:sz w:val="22"/>
              </w:rPr>
            </w:pPr>
            <w:r>
              <w:rPr>
                <w:w w:val="100"/>
                <w:sz w:val="22"/>
              </w:rPr>
              <w:t>9</w:t>
            </w:r>
          </w:p>
        </w:tc>
        <w:tc>
          <w:tcPr>
            <w:tcW w:w="2501" w:type="dxa"/>
          </w:tcPr>
          <w:p>
            <w:pPr>
              <w:pStyle w:val="TableParagraph"/>
              <w:spacing w:before="4"/>
              <w:rPr>
                <w:b/>
                <w:sz w:val="22"/>
              </w:rPr>
            </w:pPr>
          </w:p>
          <w:p>
            <w:pPr>
              <w:pStyle w:val="TableParagraph"/>
              <w:ind w:left="184" w:right="173"/>
              <w:jc w:val="center"/>
              <w:rPr>
                <w:sz w:val="22"/>
              </w:rPr>
            </w:pPr>
            <w:r>
              <w:rPr>
                <w:sz w:val="22"/>
              </w:rPr>
              <w:t>C15173511</w:t>
            </w:r>
          </w:p>
        </w:tc>
        <w:tc>
          <w:tcPr>
            <w:tcW w:w="2551" w:type="dxa"/>
          </w:tcPr>
          <w:p>
            <w:pPr>
              <w:pStyle w:val="TableParagraph"/>
              <w:spacing w:before="4"/>
              <w:rPr>
                <w:b/>
                <w:sz w:val="22"/>
              </w:rPr>
            </w:pPr>
          </w:p>
          <w:p>
            <w:pPr>
              <w:pStyle w:val="TableParagraph"/>
              <w:ind w:left="366" w:right="355"/>
              <w:jc w:val="center"/>
              <w:rPr>
                <w:sz w:val="22"/>
              </w:rPr>
            </w:pPr>
            <w:r>
              <w:rPr>
                <w:sz w:val="22"/>
              </w:rPr>
              <w:t>12.12.2014.</w:t>
            </w:r>
          </w:p>
        </w:tc>
        <w:tc>
          <w:tcPr>
            <w:tcW w:w="3117" w:type="dxa"/>
          </w:tcPr>
          <w:p>
            <w:pPr>
              <w:pStyle w:val="TableParagraph"/>
              <w:spacing w:before="4"/>
              <w:rPr>
                <w:b/>
                <w:sz w:val="22"/>
              </w:rPr>
            </w:pPr>
          </w:p>
          <w:p>
            <w:pPr>
              <w:pStyle w:val="TableParagraph"/>
              <w:ind w:left="117" w:right="106"/>
              <w:jc w:val="center"/>
              <w:rPr>
                <w:sz w:val="22"/>
              </w:rPr>
            </w:pPr>
            <w:r>
              <w:rPr>
                <w:sz w:val="22"/>
              </w:rPr>
              <w:t>Jelgavas tiesa</w:t>
            </w:r>
          </w:p>
        </w:tc>
      </w:tr>
      <w:tr>
        <w:trPr>
          <w:trHeight w:val="779" w:hRule="atLeast"/>
        </w:trPr>
        <w:tc>
          <w:tcPr>
            <w:tcW w:w="785" w:type="dxa"/>
          </w:tcPr>
          <w:p>
            <w:pPr>
              <w:pStyle w:val="TableParagraph"/>
              <w:spacing w:before="2"/>
              <w:rPr>
                <w:b/>
                <w:sz w:val="22"/>
              </w:rPr>
            </w:pPr>
          </w:p>
          <w:p>
            <w:pPr>
              <w:pStyle w:val="TableParagraph"/>
              <w:ind w:left="86" w:right="79"/>
              <w:jc w:val="center"/>
              <w:rPr>
                <w:sz w:val="22"/>
              </w:rPr>
            </w:pPr>
            <w:r>
              <w:rPr>
                <w:sz w:val="22"/>
              </w:rPr>
              <w:t>10</w:t>
            </w:r>
          </w:p>
        </w:tc>
        <w:tc>
          <w:tcPr>
            <w:tcW w:w="2501" w:type="dxa"/>
          </w:tcPr>
          <w:p>
            <w:pPr>
              <w:pStyle w:val="TableParagraph"/>
              <w:spacing w:before="2"/>
              <w:rPr>
                <w:b/>
                <w:sz w:val="22"/>
              </w:rPr>
            </w:pPr>
          </w:p>
          <w:p>
            <w:pPr>
              <w:pStyle w:val="TableParagraph"/>
              <w:ind w:left="184" w:right="173"/>
              <w:jc w:val="center"/>
              <w:rPr>
                <w:sz w:val="22"/>
              </w:rPr>
            </w:pPr>
            <w:r>
              <w:rPr>
                <w:sz w:val="22"/>
              </w:rPr>
              <w:t>C37060712</w:t>
            </w:r>
          </w:p>
        </w:tc>
        <w:tc>
          <w:tcPr>
            <w:tcW w:w="2551" w:type="dxa"/>
          </w:tcPr>
          <w:p>
            <w:pPr>
              <w:pStyle w:val="TableParagraph"/>
              <w:spacing w:before="2"/>
              <w:rPr>
                <w:b/>
                <w:sz w:val="22"/>
              </w:rPr>
            </w:pPr>
          </w:p>
          <w:p>
            <w:pPr>
              <w:pStyle w:val="TableParagraph"/>
              <w:ind w:left="366" w:right="355"/>
              <w:jc w:val="center"/>
              <w:rPr>
                <w:sz w:val="22"/>
              </w:rPr>
            </w:pPr>
            <w:r>
              <w:rPr>
                <w:sz w:val="22"/>
              </w:rPr>
              <w:t>08.12.2014.</w:t>
            </w:r>
          </w:p>
        </w:tc>
        <w:tc>
          <w:tcPr>
            <w:tcW w:w="3117" w:type="dxa"/>
          </w:tcPr>
          <w:p>
            <w:pPr>
              <w:pStyle w:val="TableParagraph"/>
              <w:spacing w:before="2"/>
              <w:rPr>
                <w:b/>
                <w:sz w:val="22"/>
              </w:rPr>
            </w:pPr>
          </w:p>
          <w:p>
            <w:pPr>
              <w:pStyle w:val="TableParagraph"/>
              <w:ind w:left="119" w:right="106"/>
              <w:jc w:val="center"/>
              <w:rPr>
                <w:sz w:val="22"/>
              </w:rPr>
            </w:pPr>
            <w:r>
              <w:rPr>
                <w:sz w:val="22"/>
              </w:rPr>
              <w:t>Tukuma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11</w:t>
            </w:r>
          </w:p>
        </w:tc>
        <w:tc>
          <w:tcPr>
            <w:tcW w:w="2501" w:type="dxa"/>
          </w:tcPr>
          <w:p>
            <w:pPr>
              <w:pStyle w:val="TableParagraph"/>
              <w:spacing w:before="4"/>
              <w:rPr>
                <w:b/>
                <w:sz w:val="22"/>
              </w:rPr>
            </w:pPr>
          </w:p>
          <w:p>
            <w:pPr>
              <w:pStyle w:val="TableParagraph"/>
              <w:ind w:left="184" w:right="173"/>
              <w:jc w:val="center"/>
              <w:rPr>
                <w:sz w:val="22"/>
              </w:rPr>
            </w:pPr>
            <w:r>
              <w:rPr>
                <w:sz w:val="22"/>
              </w:rPr>
              <w:t>C11081612</w:t>
            </w:r>
          </w:p>
        </w:tc>
        <w:tc>
          <w:tcPr>
            <w:tcW w:w="2551" w:type="dxa"/>
          </w:tcPr>
          <w:p>
            <w:pPr>
              <w:pStyle w:val="TableParagraph"/>
              <w:spacing w:before="4"/>
              <w:rPr>
                <w:b/>
                <w:sz w:val="22"/>
              </w:rPr>
            </w:pPr>
          </w:p>
          <w:p>
            <w:pPr>
              <w:pStyle w:val="TableParagraph"/>
              <w:ind w:left="366" w:right="355"/>
              <w:jc w:val="center"/>
              <w:rPr>
                <w:sz w:val="22"/>
              </w:rPr>
            </w:pPr>
            <w:r>
              <w:rPr>
                <w:sz w:val="22"/>
              </w:rPr>
              <w:t>11.12.2014.</w:t>
            </w:r>
          </w:p>
        </w:tc>
        <w:tc>
          <w:tcPr>
            <w:tcW w:w="3117" w:type="dxa"/>
          </w:tcPr>
          <w:p>
            <w:pPr>
              <w:pStyle w:val="TableParagraph"/>
              <w:spacing w:before="4"/>
              <w:rPr>
                <w:b/>
                <w:sz w:val="22"/>
              </w:rPr>
            </w:pPr>
          </w:p>
          <w:p>
            <w:pPr>
              <w:pStyle w:val="TableParagraph"/>
              <w:ind w:left="119" w:right="104"/>
              <w:jc w:val="center"/>
              <w:rPr>
                <w:sz w:val="22"/>
              </w:rPr>
            </w:pPr>
            <w:r>
              <w:rPr>
                <w:sz w:val="22"/>
              </w:rPr>
              <w:t>Cēsu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12</w:t>
            </w:r>
          </w:p>
        </w:tc>
        <w:tc>
          <w:tcPr>
            <w:tcW w:w="2501" w:type="dxa"/>
          </w:tcPr>
          <w:p>
            <w:pPr>
              <w:pStyle w:val="TableParagraph"/>
              <w:spacing w:before="4"/>
              <w:rPr>
                <w:b/>
                <w:sz w:val="22"/>
              </w:rPr>
            </w:pPr>
          </w:p>
          <w:p>
            <w:pPr>
              <w:pStyle w:val="TableParagraph"/>
              <w:ind w:left="184" w:right="173"/>
              <w:jc w:val="center"/>
              <w:rPr>
                <w:sz w:val="22"/>
              </w:rPr>
            </w:pPr>
            <w:r>
              <w:rPr>
                <w:sz w:val="22"/>
              </w:rPr>
              <w:t>C27192612</w:t>
            </w:r>
          </w:p>
        </w:tc>
        <w:tc>
          <w:tcPr>
            <w:tcW w:w="2551" w:type="dxa"/>
          </w:tcPr>
          <w:p>
            <w:pPr>
              <w:pStyle w:val="TableParagraph"/>
              <w:spacing w:before="4"/>
              <w:rPr>
                <w:b/>
                <w:sz w:val="22"/>
              </w:rPr>
            </w:pPr>
          </w:p>
          <w:p>
            <w:pPr>
              <w:pStyle w:val="TableParagraph"/>
              <w:ind w:left="366" w:right="355"/>
              <w:jc w:val="center"/>
              <w:rPr>
                <w:sz w:val="22"/>
              </w:rPr>
            </w:pPr>
            <w:r>
              <w:rPr>
                <w:sz w:val="22"/>
              </w:rPr>
              <w:t>27.01.2015.</w:t>
            </w:r>
          </w:p>
        </w:tc>
        <w:tc>
          <w:tcPr>
            <w:tcW w:w="3117" w:type="dxa"/>
          </w:tcPr>
          <w:p>
            <w:pPr>
              <w:pStyle w:val="TableParagraph"/>
              <w:spacing w:before="130"/>
              <w:ind w:left="1357" w:right="297" w:hanging="1030"/>
              <w:rPr>
                <w:sz w:val="22"/>
              </w:rPr>
            </w:pPr>
            <w:r>
              <w:rPr>
                <w:sz w:val="22"/>
              </w:rPr>
              <w:t>Rīgas pilsētas Centra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13</w:t>
            </w:r>
          </w:p>
        </w:tc>
        <w:tc>
          <w:tcPr>
            <w:tcW w:w="2501" w:type="dxa"/>
          </w:tcPr>
          <w:p>
            <w:pPr>
              <w:pStyle w:val="TableParagraph"/>
              <w:spacing w:before="4"/>
              <w:rPr>
                <w:b/>
                <w:sz w:val="22"/>
              </w:rPr>
            </w:pPr>
          </w:p>
          <w:p>
            <w:pPr>
              <w:pStyle w:val="TableParagraph"/>
              <w:ind w:left="184" w:right="173"/>
              <w:jc w:val="center"/>
              <w:rPr>
                <w:sz w:val="22"/>
              </w:rPr>
            </w:pPr>
            <w:r>
              <w:rPr>
                <w:sz w:val="22"/>
              </w:rPr>
              <w:t>C28378511</w:t>
            </w:r>
          </w:p>
        </w:tc>
        <w:tc>
          <w:tcPr>
            <w:tcW w:w="2551" w:type="dxa"/>
          </w:tcPr>
          <w:p>
            <w:pPr>
              <w:pStyle w:val="TableParagraph"/>
              <w:spacing w:before="4"/>
              <w:rPr>
                <w:b/>
                <w:sz w:val="22"/>
              </w:rPr>
            </w:pPr>
          </w:p>
          <w:p>
            <w:pPr>
              <w:pStyle w:val="TableParagraph"/>
              <w:ind w:left="366" w:right="355"/>
              <w:jc w:val="center"/>
              <w:rPr>
                <w:sz w:val="22"/>
              </w:rPr>
            </w:pPr>
            <w:r>
              <w:rPr>
                <w:sz w:val="22"/>
              </w:rPr>
              <w:t>21.01.2015.</w:t>
            </w:r>
          </w:p>
        </w:tc>
        <w:tc>
          <w:tcPr>
            <w:tcW w:w="3117" w:type="dxa"/>
          </w:tcPr>
          <w:p>
            <w:pPr>
              <w:pStyle w:val="TableParagraph"/>
              <w:spacing w:before="130"/>
              <w:ind w:left="1357" w:right="146" w:hanging="1184"/>
              <w:rPr>
                <w:sz w:val="22"/>
              </w:rPr>
            </w:pPr>
            <w:r>
              <w:rPr>
                <w:sz w:val="22"/>
              </w:rPr>
              <w:t>Rīgas pilsētas Kurzemes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14</w:t>
            </w:r>
          </w:p>
        </w:tc>
        <w:tc>
          <w:tcPr>
            <w:tcW w:w="2501" w:type="dxa"/>
          </w:tcPr>
          <w:p>
            <w:pPr>
              <w:pStyle w:val="TableParagraph"/>
              <w:spacing w:before="4"/>
              <w:rPr>
                <w:b/>
                <w:sz w:val="22"/>
              </w:rPr>
            </w:pPr>
          </w:p>
          <w:p>
            <w:pPr>
              <w:pStyle w:val="TableParagraph"/>
              <w:ind w:left="184" w:right="173"/>
              <w:jc w:val="center"/>
              <w:rPr>
                <w:sz w:val="22"/>
              </w:rPr>
            </w:pPr>
            <w:r>
              <w:rPr>
                <w:sz w:val="22"/>
              </w:rPr>
              <w:t>C20361011</w:t>
            </w:r>
          </w:p>
        </w:tc>
        <w:tc>
          <w:tcPr>
            <w:tcW w:w="2551" w:type="dxa"/>
          </w:tcPr>
          <w:p>
            <w:pPr>
              <w:pStyle w:val="TableParagraph"/>
              <w:spacing w:before="4"/>
              <w:rPr>
                <w:b/>
                <w:sz w:val="22"/>
              </w:rPr>
            </w:pPr>
          </w:p>
          <w:p>
            <w:pPr>
              <w:pStyle w:val="TableParagraph"/>
              <w:ind w:left="366" w:right="355"/>
              <w:jc w:val="center"/>
              <w:rPr>
                <w:sz w:val="22"/>
              </w:rPr>
            </w:pPr>
            <w:r>
              <w:rPr>
                <w:sz w:val="22"/>
              </w:rPr>
              <w:t>19.12.2014.</w:t>
            </w:r>
          </w:p>
        </w:tc>
        <w:tc>
          <w:tcPr>
            <w:tcW w:w="3117" w:type="dxa"/>
          </w:tcPr>
          <w:p>
            <w:pPr>
              <w:pStyle w:val="TableParagraph"/>
              <w:spacing w:before="4"/>
              <w:rPr>
                <w:b/>
                <w:sz w:val="22"/>
              </w:rPr>
            </w:pPr>
          </w:p>
          <w:p>
            <w:pPr>
              <w:pStyle w:val="TableParagraph"/>
              <w:ind w:left="118" w:right="106"/>
              <w:jc w:val="center"/>
              <w:rPr>
                <w:sz w:val="22"/>
              </w:rPr>
            </w:pPr>
            <w:r>
              <w:rPr>
                <w:sz w:val="22"/>
              </w:rPr>
              <w:t>Liepājas tiesa</w:t>
            </w:r>
          </w:p>
        </w:tc>
      </w:tr>
      <w:tr>
        <w:trPr>
          <w:trHeight w:val="781" w:hRule="atLeast"/>
        </w:trPr>
        <w:tc>
          <w:tcPr>
            <w:tcW w:w="785" w:type="dxa"/>
          </w:tcPr>
          <w:p>
            <w:pPr>
              <w:pStyle w:val="TableParagraph"/>
              <w:spacing w:before="4"/>
              <w:rPr>
                <w:b/>
                <w:sz w:val="22"/>
              </w:rPr>
            </w:pPr>
          </w:p>
          <w:p>
            <w:pPr>
              <w:pStyle w:val="TableParagraph"/>
              <w:ind w:left="86" w:right="79"/>
              <w:jc w:val="center"/>
              <w:rPr>
                <w:sz w:val="22"/>
              </w:rPr>
            </w:pPr>
            <w:r>
              <w:rPr>
                <w:sz w:val="22"/>
              </w:rPr>
              <w:t>15</w:t>
            </w:r>
          </w:p>
        </w:tc>
        <w:tc>
          <w:tcPr>
            <w:tcW w:w="2501" w:type="dxa"/>
          </w:tcPr>
          <w:p>
            <w:pPr>
              <w:pStyle w:val="TableParagraph"/>
              <w:spacing w:before="4"/>
              <w:rPr>
                <w:b/>
                <w:sz w:val="22"/>
              </w:rPr>
            </w:pPr>
          </w:p>
          <w:p>
            <w:pPr>
              <w:pStyle w:val="TableParagraph"/>
              <w:ind w:left="184" w:right="173"/>
              <w:jc w:val="center"/>
              <w:rPr>
                <w:sz w:val="22"/>
              </w:rPr>
            </w:pPr>
            <w:r>
              <w:rPr>
                <w:sz w:val="22"/>
              </w:rPr>
              <w:t>C20477211</w:t>
            </w:r>
          </w:p>
        </w:tc>
        <w:tc>
          <w:tcPr>
            <w:tcW w:w="2551" w:type="dxa"/>
          </w:tcPr>
          <w:p>
            <w:pPr>
              <w:pStyle w:val="TableParagraph"/>
              <w:spacing w:before="4"/>
              <w:rPr>
                <w:b/>
                <w:sz w:val="22"/>
              </w:rPr>
            </w:pPr>
          </w:p>
          <w:p>
            <w:pPr>
              <w:pStyle w:val="TableParagraph"/>
              <w:ind w:left="366" w:right="355"/>
              <w:jc w:val="center"/>
              <w:rPr>
                <w:sz w:val="22"/>
              </w:rPr>
            </w:pPr>
            <w:r>
              <w:rPr>
                <w:sz w:val="22"/>
              </w:rPr>
              <w:t>22.12.2014.</w:t>
            </w:r>
          </w:p>
        </w:tc>
        <w:tc>
          <w:tcPr>
            <w:tcW w:w="3117" w:type="dxa"/>
          </w:tcPr>
          <w:p>
            <w:pPr>
              <w:pStyle w:val="TableParagraph"/>
              <w:spacing w:before="4"/>
              <w:rPr>
                <w:b/>
                <w:sz w:val="22"/>
              </w:rPr>
            </w:pPr>
          </w:p>
          <w:p>
            <w:pPr>
              <w:pStyle w:val="TableParagraph"/>
              <w:ind w:left="118" w:right="106"/>
              <w:jc w:val="center"/>
              <w:rPr>
                <w:sz w:val="22"/>
              </w:rPr>
            </w:pPr>
            <w:r>
              <w:rPr>
                <w:sz w:val="22"/>
              </w:rPr>
              <w:t>Liepājas tiesa</w:t>
            </w:r>
          </w:p>
        </w:tc>
      </w:tr>
      <w:tr>
        <w:trPr>
          <w:trHeight w:val="779" w:hRule="atLeast"/>
        </w:trPr>
        <w:tc>
          <w:tcPr>
            <w:tcW w:w="785" w:type="dxa"/>
          </w:tcPr>
          <w:p>
            <w:pPr>
              <w:pStyle w:val="TableParagraph"/>
              <w:spacing w:before="2"/>
              <w:rPr>
                <w:b/>
                <w:sz w:val="22"/>
              </w:rPr>
            </w:pPr>
          </w:p>
          <w:p>
            <w:pPr>
              <w:pStyle w:val="TableParagraph"/>
              <w:ind w:left="86" w:right="79"/>
              <w:jc w:val="center"/>
              <w:rPr>
                <w:sz w:val="22"/>
              </w:rPr>
            </w:pPr>
            <w:r>
              <w:rPr>
                <w:sz w:val="22"/>
              </w:rPr>
              <w:t>16</w:t>
            </w:r>
          </w:p>
        </w:tc>
        <w:tc>
          <w:tcPr>
            <w:tcW w:w="2501" w:type="dxa"/>
          </w:tcPr>
          <w:p>
            <w:pPr>
              <w:pStyle w:val="TableParagraph"/>
              <w:spacing w:before="2"/>
              <w:rPr>
                <w:b/>
                <w:sz w:val="22"/>
              </w:rPr>
            </w:pPr>
          </w:p>
          <w:p>
            <w:pPr>
              <w:pStyle w:val="TableParagraph"/>
              <w:ind w:left="184" w:right="173"/>
              <w:jc w:val="center"/>
              <w:rPr>
                <w:sz w:val="22"/>
              </w:rPr>
            </w:pPr>
            <w:r>
              <w:rPr>
                <w:sz w:val="22"/>
              </w:rPr>
              <w:t>C33375612</w:t>
            </w:r>
          </w:p>
        </w:tc>
        <w:tc>
          <w:tcPr>
            <w:tcW w:w="2551" w:type="dxa"/>
          </w:tcPr>
          <w:p>
            <w:pPr>
              <w:pStyle w:val="TableParagraph"/>
              <w:spacing w:before="2"/>
              <w:rPr>
                <w:b/>
                <w:sz w:val="22"/>
              </w:rPr>
            </w:pPr>
          </w:p>
          <w:p>
            <w:pPr>
              <w:pStyle w:val="TableParagraph"/>
              <w:ind w:left="366" w:right="355"/>
              <w:jc w:val="center"/>
              <w:rPr>
                <w:sz w:val="22"/>
              </w:rPr>
            </w:pPr>
            <w:r>
              <w:rPr>
                <w:sz w:val="22"/>
              </w:rPr>
              <w:t>13.02.2015.</w:t>
            </w:r>
          </w:p>
        </w:tc>
        <w:tc>
          <w:tcPr>
            <w:tcW w:w="3117" w:type="dxa"/>
          </w:tcPr>
          <w:p>
            <w:pPr>
              <w:pStyle w:val="TableParagraph"/>
              <w:spacing w:before="2"/>
              <w:rPr>
                <w:b/>
                <w:sz w:val="22"/>
              </w:rPr>
            </w:pPr>
          </w:p>
          <w:p>
            <w:pPr>
              <w:pStyle w:val="TableParagraph"/>
              <w:ind w:left="119" w:right="106"/>
              <w:jc w:val="center"/>
              <w:rPr>
                <w:sz w:val="22"/>
              </w:rPr>
            </w:pPr>
            <w:r>
              <w:rPr>
                <w:sz w:val="22"/>
              </w:rPr>
              <w:t>Rīgas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17</w:t>
            </w:r>
          </w:p>
        </w:tc>
        <w:tc>
          <w:tcPr>
            <w:tcW w:w="2501" w:type="dxa"/>
          </w:tcPr>
          <w:p>
            <w:pPr>
              <w:pStyle w:val="TableParagraph"/>
              <w:spacing w:before="4"/>
              <w:rPr>
                <w:b/>
                <w:sz w:val="22"/>
              </w:rPr>
            </w:pPr>
          </w:p>
          <w:p>
            <w:pPr>
              <w:pStyle w:val="TableParagraph"/>
              <w:ind w:left="184" w:right="173"/>
              <w:jc w:val="center"/>
              <w:rPr>
                <w:sz w:val="22"/>
              </w:rPr>
            </w:pPr>
            <w:r>
              <w:rPr>
                <w:sz w:val="22"/>
              </w:rPr>
              <w:t>C28398312</w:t>
            </w:r>
          </w:p>
        </w:tc>
        <w:tc>
          <w:tcPr>
            <w:tcW w:w="2551" w:type="dxa"/>
          </w:tcPr>
          <w:p>
            <w:pPr>
              <w:pStyle w:val="TableParagraph"/>
              <w:spacing w:before="4"/>
              <w:rPr>
                <w:b/>
                <w:sz w:val="22"/>
              </w:rPr>
            </w:pPr>
          </w:p>
          <w:p>
            <w:pPr>
              <w:pStyle w:val="TableParagraph"/>
              <w:ind w:left="366" w:right="355"/>
              <w:jc w:val="center"/>
              <w:rPr>
                <w:sz w:val="22"/>
              </w:rPr>
            </w:pPr>
            <w:r>
              <w:rPr>
                <w:sz w:val="22"/>
              </w:rPr>
              <w:t>30.01.2015.</w:t>
            </w:r>
          </w:p>
        </w:tc>
        <w:tc>
          <w:tcPr>
            <w:tcW w:w="3117" w:type="dxa"/>
          </w:tcPr>
          <w:p>
            <w:pPr>
              <w:pStyle w:val="TableParagraph"/>
              <w:spacing w:before="130"/>
              <w:ind w:left="1357" w:right="146" w:hanging="1184"/>
              <w:rPr>
                <w:sz w:val="22"/>
              </w:rPr>
            </w:pPr>
            <w:r>
              <w:rPr>
                <w:sz w:val="22"/>
              </w:rPr>
              <w:t>Rīgas pilsētas Kurzemes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18</w:t>
            </w:r>
          </w:p>
        </w:tc>
        <w:tc>
          <w:tcPr>
            <w:tcW w:w="2501" w:type="dxa"/>
          </w:tcPr>
          <w:p>
            <w:pPr>
              <w:pStyle w:val="TableParagraph"/>
              <w:spacing w:before="4"/>
              <w:rPr>
                <w:b/>
                <w:sz w:val="22"/>
              </w:rPr>
            </w:pPr>
          </w:p>
          <w:p>
            <w:pPr>
              <w:pStyle w:val="TableParagraph"/>
              <w:ind w:left="184" w:right="173"/>
              <w:jc w:val="center"/>
              <w:rPr>
                <w:sz w:val="22"/>
              </w:rPr>
            </w:pPr>
            <w:r>
              <w:rPr>
                <w:sz w:val="22"/>
              </w:rPr>
              <w:t>C33518812</w:t>
            </w:r>
          </w:p>
        </w:tc>
        <w:tc>
          <w:tcPr>
            <w:tcW w:w="2551" w:type="dxa"/>
          </w:tcPr>
          <w:p>
            <w:pPr>
              <w:pStyle w:val="TableParagraph"/>
              <w:spacing w:before="4"/>
              <w:rPr>
                <w:b/>
                <w:sz w:val="22"/>
              </w:rPr>
            </w:pPr>
          </w:p>
          <w:p>
            <w:pPr>
              <w:pStyle w:val="TableParagraph"/>
              <w:ind w:left="366" w:right="355"/>
              <w:jc w:val="center"/>
              <w:rPr>
                <w:sz w:val="22"/>
              </w:rPr>
            </w:pPr>
            <w:r>
              <w:rPr>
                <w:sz w:val="22"/>
              </w:rPr>
              <w:t>27.02.2015.</w:t>
            </w:r>
          </w:p>
        </w:tc>
        <w:tc>
          <w:tcPr>
            <w:tcW w:w="3117" w:type="dxa"/>
          </w:tcPr>
          <w:p>
            <w:pPr>
              <w:pStyle w:val="TableParagraph"/>
              <w:spacing w:before="4"/>
              <w:rPr>
                <w:b/>
                <w:sz w:val="22"/>
              </w:rPr>
            </w:pPr>
          </w:p>
          <w:p>
            <w:pPr>
              <w:pStyle w:val="TableParagraph"/>
              <w:ind w:left="119" w:right="106"/>
              <w:jc w:val="center"/>
              <w:rPr>
                <w:sz w:val="22"/>
              </w:rPr>
            </w:pPr>
            <w:r>
              <w:rPr>
                <w:sz w:val="22"/>
              </w:rPr>
              <w:t>Rīgas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19</w:t>
            </w:r>
          </w:p>
        </w:tc>
        <w:tc>
          <w:tcPr>
            <w:tcW w:w="2501" w:type="dxa"/>
          </w:tcPr>
          <w:p>
            <w:pPr>
              <w:pStyle w:val="TableParagraph"/>
              <w:spacing w:before="4"/>
              <w:rPr>
                <w:b/>
                <w:sz w:val="22"/>
              </w:rPr>
            </w:pPr>
          </w:p>
          <w:p>
            <w:pPr>
              <w:pStyle w:val="TableParagraph"/>
              <w:ind w:left="184" w:right="173"/>
              <w:jc w:val="center"/>
              <w:rPr>
                <w:sz w:val="22"/>
              </w:rPr>
            </w:pPr>
            <w:r>
              <w:rPr>
                <w:sz w:val="22"/>
              </w:rPr>
              <w:t>C30795311</w:t>
            </w:r>
          </w:p>
        </w:tc>
        <w:tc>
          <w:tcPr>
            <w:tcW w:w="2551" w:type="dxa"/>
          </w:tcPr>
          <w:p>
            <w:pPr>
              <w:pStyle w:val="TableParagraph"/>
              <w:spacing w:before="4"/>
              <w:rPr>
                <w:b/>
                <w:sz w:val="22"/>
              </w:rPr>
            </w:pPr>
          </w:p>
          <w:p>
            <w:pPr>
              <w:pStyle w:val="TableParagraph"/>
              <w:ind w:left="366" w:right="355"/>
              <w:jc w:val="center"/>
              <w:rPr>
                <w:sz w:val="22"/>
              </w:rPr>
            </w:pPr>
            <w:r>
              <w:rPr>
                <w:sz w:val="22"/>
              </w:rPr>
              <w:t>06.01.2015.</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20</w:t>
            </w:r>
          </w:p>
        </w:tc>
        <w:tc>
          <w:tcPr>
            <w:tcW w:w="2501" w:type="dxa"/>
          </w:tcPr>
          <w:p>
            <w:pPr>
              <w:pStyle w:val="TableParagraph"/>
              <w:spacing w:before="4"/>
              <w:rPr>
                <w:b/>
                <w:sz w:val="22"/>
              </w:rPr>
            </w:pPr>
          </w:p>
          <w:p>
            <w:pPr>
              <w:pStyle w:val="TableParagraph"/>
              <w:ind w:left="184" w:right="173"/>
              <w:jc w:val="center"/>
              <w:rPr>
                <w:sz w:val="22"/>
              </w:rPr>
            </w:pPr>
            <w:r>
              <w:rPr>
                <w:sz w:val="22"/>
              </w:rPr>
              <w:t>C29555212</w:t>
            </w:r>
          </w:p>
        </w:tc>
        <w:tc>
          <w:tcPr>
            <w:tcW w:w="2551" w:type="dxa"/>
          </w:tcPr>
          <w:p>
            <w:pPr>
              <w:pStyle w:val="TableParagraph"/>
              <w:spacing w:before="4"/>
              <w:rPr>
                <w:b/>
                <w:sz w:val="22"/>
              </w:rPr>
            </w:pPr>
          </w:p>
          <w:p>
            <w:pPr>
              <w:pStyle w:val="TableParagraph"/>
              <w:ind w:left="366" w:right="355"/>
              <w:jc w:val="center"/>
              <w:rPr>
                <w:sz w:val="22"/>
              </w:rPr>
            </w:pPr>
            <w:r>
              <w:rPr>
                <w:sz w:val="22"/>
              </w:rPr>
              <w:t>12.02.2015.</w:t>
            </w:r>
          </w:p>
        </w:tc>
        <w:tc>
          <w:tcPr>
            <w:tcW w:w="3117" w:type="dxa"/>
          </w:tcPr>
          <w:p>
            <w:pPr>
              <w:pStyle w:val="TableParagraph"/>
              <w:spacing w:before="130"/>
              <w:ind w:left="731" w:right="522" w:hanging="183"/>
              <w:rPr>
                <w:sz w:val="22"/>
              </w:rPr>
            </w:pPr>
            <w:r>
              <w:rPr>
                <w:sz w:val="22"/>
              </w:rPr>
              <w:t>Rīgas pilsētas Latgales priekšpilsētas tiesa</w:t>
            </w:r>
          </w:p>
        </w:tc>
      </w:tr>
      <w:tr>
        <w:trPr>
          <w:trHeight w:val="781" w:hRule="atLeast"/>
        </w:trPr>
        <w:tc>
          <w:tcPr>
            <w:tcW w:w="785" w:type="dxa"/>
          </w:tcPr>
          <w:p>
            <w:pPr>
              <w:pStyle w:val="TableParagraph"/>
              <w:spacing w:before="4"/>
              <w:rPr>
                <w:b/>
                <w:sz w:val="22"/>
              </w:rPr>
            </w:pPr>
          </w:p>
          <w:p>
            <w:pPr>
              <w:pStyle w:val="TableParagraph"/>
              <w:ind w:left="86" w:right="79"/>
              <w:jc w:val="center"/>
              <w:rPr>
                <w:sz w:val="22"/>
              </w:rPr>
            </w:pPr>
            <w:r>
              <w:rPr>
                <w:sz w:val="22"/>
              </w:rPr>
              <w:t>21</w:t>
            </w:r>
          </w:p>
        </w:tc>
        <w:tc>
          <w:tcPr>
            <w:tcW w:w="2501" w:type="dxa"/>
          </w:tcPr>
          <w:p>
            <w:pPr>
              <w:pStyle w:val="TableParagraph"/>
              <w:spacing w:before="4"/>
              <w:rPr>
                <w:b/>
                <w:sz w:val="22"/>
              </w:rPr>
            </w:pPr>
          </w:p>
          <w:p>
            <w:pPr>
              <w:pStyle w:val="TableParagraph"/>
              <w:ind w:left="184" w:right="173"/>
              <w:jc w:val="center"/>
              <w:rPr>
                <w:sz w:val="22"/>
              </w:rPr>
            </w:pPr>
            <w:r>
              <w:rPr>
                <w:sz w:val="22"/>
              </w:rPr>
              <w:t>C29639012</w:t>
            </w:r>
          </w:p>
        </w:tc>
        <w:tc>
          <w:tcPr>
            <w:tcW w:w="2551" w:type="dxa"/>
          </w:tcPr>
          <w:p>
            <w:pPr>
              <w:pStyle w:val="TableParagraph"/>
              <w:spacing w:before="4"/>
              <w:rPr>
                <w:b/>
                <w:sz w:val="22"/>
              </w:rPr>
            </w:pPr>
          </w:p>
          <w:p>
            <w:pPr>
              <w:pStyle w:val="TableParagraph"/>
              <w:ind w:left="366" w:right="355"/>
              <w:jc w:val="center"/>
              <w:rPr>
                <w:sz w:val="22"/>
              </w:rPr>
            </w:pPr>
            <w:r>
              <w:rPr>
                <w:sz w:val="22"/>
              </w:rPr>
              <w:t>13.01.2015.</w:t>
            </w:r>
          </w:p>
        </w:tc>
        <w:tc>
          <w:tcPr>
            <w:tcW w:w="3117" w:type="dxa"/>
          </w:tcPr>
          <w:p>
            <w:pPr>
              <w:pStyle w:val="TableParagraph"/>
              <w:spacing w:before="133"/>
              <w:ind w:left="731" w:right="522" w:hanging="183"/>
              <w:rPr>
                <w:sz w:val="22"/>
              </w:rPr>
            </w:pPr>
            <w:r>
              <w:rPr>
                <w:sz w:val="22"/>
              </w:rPr>
              <w:t>Rīgas pilsētas Latgales priekšpilsētas tiesa</w:t>
            </w:r>
          </w:p>
        </w:tc>
      </w:tr>
      <w:tr>
        <w:trPr>
          <w:trHeight w:val="779" w:hRule="atLeast"/>
        </w:trPr>
        <w:tc>
          <w:tcPr>
            <w:tcW w:w="785" w:type="dxa"/>
          </w:tcPr>
          <w:p>
            <w:pPr>
              <w:pStyle w:val="TableParagraph"/>
              <w:spacing w:before="2"/>
              <w:rPr>
                <w:b/>
                <w:sz w:val="22"/>
              </w:rPr>
            </w:pPr>
          </w:p>
          <w:p>
            <w:pPr>
              <w:pStyle w:val="TableParagraph"/>
              <w:ind w:left="86" w:right="79"/>
              <w:jc w:val="center"/>
              <w:rPr>
                <w:sz w:val="22"/>
              </w:rPr>
            </w:pPr>
            <w:r>
              <w:rPr>
                <w:sz w:val="22"/>
              </w:rPr>
              <w:t>22</w:t>
            </w:r>
          </w:p>
        </w:tc>
        <w:tc>
          <w:tcPr>
            <w:tcW w:w="2501" w:type="dxa"/>
          </w:tcPr>
          <w:p>
            <w:pPr>
              <w:pStyle w:val="TableParagraph"/>
              <w:spacing w:before="2"/>
              <w:rPr>
                <w:b/>
                <w:sz w:val="22"/>
              </w:rPr>
            </w:pPr>
          </w:p>
          <w:p>
            <w:pPr>
              <w:pStyle w:val="TableParagraph"/>
              <w:ind w:left="184" w:right="173"/>
              <w:jc w:val="center"/>
              <w:rPr>
                <w:sz w:val="22"/>
              </w:rPr>
            </w:pPr>
            <w:r>
              <w:rPr>
                <w:sz w:val="22"/>
              </w:rPr>
              <w:t>C30653212</w:t>
            </w:r>
          </w:p>
        </w:tc>
        <w:tc>
          <w:tcPr>
            <w:tcW w:w="2551" w:type="dxa"/>
          </w:tcPr>
          <w:p>
            <w:pPr>
              <w:pStyle w:val="TableParagraph"/>
              <w:spacing w:before="2"/>
              <w:rPr>
                <w:b/>
                <w:sz w:val="22"/>
              </w:rPr>
            </w:pPr>
          </w:p>
          <w:p>
            <w:pPr>
              <w:pStyle w:val="TableParagraph"/>
              <w:ind w:left="366" w:right="355"/>
              <w:jc w:val="center"/>
              <w:rPr>
                <w:sz w:val="22"/>
              </w:rPr>
            </w:pPr>
            <w:r>
              <w:rPr>
                <w:sz w:val="22"/>
              </w:rPr>
              <w:t>29.12.2014.</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23</w:t>
            </w:r>
          </w:p>
        </w:tc>
        <w:tc>
          <w:tcPr>
            <w:tcW w:w="2501" w:type="dxa"/>
          </w:tcPr>
          <w:p>
            <w:pPr>
              <w:pStyle w:val="TableParagraph"/>
              <w:spacing w:before="4"/>
              <w:rPr>
                <w:b/>
                <w:sz w:val="22"/>
              </w:rPr>
            </w:pPr>
          </w:p>
          <w:p>
            <w:pPr>
              <w:pStyle w:val="TableParagraph"/>
              <w:ind w:left="184" w:right="173"/>
              <w:jc w:val="center"/>
              <w:rPr>
                <w:sz w:val="22"/>
              </w:rPr>
            </w:pPr>
            <w:r>
              <w:rPr>
                <w:sz w:val="22"/>
              </w:rPr>
              <w:t>C20310212</w:t>
            </w:r>
          </w:p>
        </w:tc>
        <w:tc>
          <w:tcPr>
            <w:tcW w:w="2551" w:type="dxa"/>
          </w:tcPr>
          <w:p>
            <w:pPr>
              <w:pStyle w:val="TableParagraph"/>
              <w:spacing w:before="4"/>
              <w:rPr>
                <w:b/>
                <w:sz w:val="22"/>
              </w:rPr>
            </w:pPr>
          </w:p>
          <w:p>
            <w:pPr>
              <w:pStyle w:val="TableParagraph"/>
              <w:ind w:left="366" w:right="355"/>
              <w:jc w:val="center"/>
              <w:rPr>
                <w:sz w:val="22"/>
              </w:rPr>
            </w:pPr>
            <w:r>
              <w:rPr>
                <w:sz w:val="22"/>
              </w:rPr>
              <w:t>23.02.2015.</w:t>
            </w:r>
          </w:p>
        </w:tc>
        <w:tc>
          <w:tcPr>
            <w:tcW w:w="3117" w:type="dxa"/>
          </w:tcPr>
          <w:p>
            <w:pPr>
              <w:pStyle w:val="TableParagraph"/>
              <w:spacing w:before="4"/>
              <w:rPr>
                <w:b/>
                <w:sz w:val="22"/>
              </w:rPr>
            </w:pPr>
          </w:p>
          <w:p>
            <w:pPr>
              <w:pStyle w:val="TableParagraph"/>
              <w:ind w:left="118" w:right="106"/>
              <w:jc w:val="center"/>
              <w:rPr>
                <w:sz w:val="22"/>
              </w:rPr>
            </w:pPr>
            <w:r>
              <w:rPr>
                <w:sz w:val="22"/>
              </w:rPr>
              <w:t>Liepājas tiesa</w:t>
            </w:r>
          </w:p>
        </w:tc>
      </w:tr>
    </w:tbl>
    <w:p>
      <w:pPr>
        <w:spacing w:after="0"/>
        <w:jc w:val="center"/>
        <w:rPr>
          <w:sz w:val="22"/>
        </w:rPr>
        <w:sectPr>
          <w:pgSz w:w="11910" w:h="16840"/>
          <w:pgMar w:header="0" w:footer="1055" w:top="1420" w:bottom="1160" w:left="1180" w:right="1040"/>
        </w:sect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2501"/>
        <w:gridCol w:w="2551"/>
        <w:gridCol w:w="3117"/>
      </w:tblGrid>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24</w:t>
            </w:r>
          </w:p>
        </w:tc>
        <w:tc>
          <w:tcPr>
            <w:tcW w:w="2501" w:type="dxa"/>
          </w:tcPr>
          <w:p>
            <w:pPr>
              <w:pStyle w:val="TableParagraph"/>
              <w:spacing w:before="4"/>
              <w:rPr>
                <w:b/>
                <w:sz w:val="22"/>
              </w:rPr>
            </w:pPr>
          </w:p>
          <w:p>
            <w:pPr>
              <w:pStyle w:val="TableParagraph"/>
              <w:ind w:left="184" w:right="173"/>
              <w:jc w:val="center"/>
              <w:rPr>
                <w:sz w:val="22"/>
              </w:rPr>
            </w:pPr>
            <w:r>
              <w:rPr>
                <w:sz w:val="22"/>
              </w:rPr>
              <w:t>C28263014</w:t>
            </w:r>
          </w:p>
        </w:tc>
        <w:tc>
          <w:tcPr>
            <w:tcW w:w="2551" w:type="dxa"/>
          </w:tcPr>
          <w:p>
            <w:pPr>
              <w:pStyle w:val="TableParagraph"/>
              <w:spacing w:before="4"/>
              <w:rPr>
                <w:b/>
                <w:sz w:val="22"/>
              </w:rPr>
            </w:pPr>
          </w:p>
          <w:p>
            <w:pPr>
              <w:pStyle w:val="TableParagraph"/>
              <w:ind w:left="366" w:right="355"/>
              <w:jc w:val="center"/>
              <w:rPr>
                <w:sz w:val="22"/>
              </w:rPr>
            </w:pPr>
            <w:r>
              <w:rPr>
                <w:sz w:val="22"/>
              </w:rPr>
              <w:t>15.12.2014.</w:t>
            </w:r>
          </w:p>
        </w:tc>
        <w:tc>
          <w:tcPr>
            <w:tcW w:w="3117" w:type="dxa"/>
          </w:tcPr>
          <w:p>
            <w:pPr>
              <w:pStyle w:val="TableParagraph"/>
              <w:spacing w:before="130"/>
              <w:ind w:left="1357" w:right="146" w:hanging="1184"/>
              <w:rPr>
                <w:sz w:val="22"/>
              </w:rPr>
            </w:pPr>
            <w:r>
              <w:rPr>
                <w:sz w:val="22"/>
              </w:rPr>
              <w:t>Rīgas pilsētas Kurzemes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25</w:t>
            </w:r>
          </w:p>
        </w:tc>
        <w:tc>
          <w:tcPr>
            <w:tcW w:w="2501" w:type="dxa"/>
          </w:tcPr>
          <w:p>
            <w:pPr>
              <w:pStyle w:val="TableParagraph"/>
              <w:spacing w:before="4"/>
              <w:rPr>
                <w:b/>
                <w:sz w:val="22"/>
              </w:rPr>
            </w:pPr>
          </w:p>
          <w:p>
            <w:pPr>
              <w:pStyle w:val="TableParagraph"/>
              <w:ind w:left="184" w:right="173"/>
              <w:jc w:val="center"/>
              <w:rPr>
                <w:sz w:val="22"/>
              </w:rPr>
            </w:pPr>
            <w:r>
              <w:rPr>
                <w:sz w:val="22"/>
              </w:rPr>
              <w:t>C40072411</w:t>
            </w:r>
          </w:p>
        </w:tc>
        <w:tc>
          <w:tcPr>
            <w:tcW w:w="2551" w:type="dxa"/>
          </w:tcPr>
          <w:p>
            <w:pPr>
              <w:pStyle w:val="TableParagraph"/>
              <w:spacing w:before="4"/>
              <w:rPr>
                <w:b/>
                <w:sz w:val="22"/>
              </w:rPr>
            </w:pPr>
          </w:p>
          <w:p>
            <w:pPr>
              <w:pStyle w:val="TableParagraph"/>
              <w:ind w:left="366" w:right="355"/>
              <w:jc w:val="center"/>
              <w:rPr>
                <w:sz w:val="22"/>
              </w:rPr>
            </w:pPr>
            <w:r>
              <w:rPr>
                <w:sz w:val="22"/>
              </w:rPr>
              <w:t>12.02.2015.</w:t>
            </w:r>
          </w:p>
        </w:tc>
        <w:tc>
          <w:tcPr>
            <w:tcW w:w="3117" w:type="dxa"/>
          </w:tcPr>
          <w:p>
            <w:pPr>
              <w:pStyle w:val="TableParagraph"/>
              <w:spacing w:before="4"/>
              <w:rPr>
                <w:b/>
                <w:sz w:val="22"/>
              </w:rPr>
            </w:pPr>
          </w:p>
          <w:p>
            <w:pPr>
              <w:pStyle w:val="TableParagraph"/>
              <w:ind w:left="116" w:right="106"/>
              <w:jc w:val="center"/>
              <w:rPr>
                <w:sz w:val="22"/>
              </w:rPr>
            </w:pPr>
            <w:r>
              <w:rPr>
                <w:sz w:val="22"/>
              </w:rPr>
              <w:t>Ventspils tiesa</w:t>
            </w:r>
          </w:p>
        </w:tc>
      </w:tr>
      <w:tr>
        <w:trPr>
          <w:trHeight w:val="782" w:hRule="atLeast"/>
        </w:trPr>
        <w:tc>
          <w:tcPr>
            <w:tcW w:w="785" w:type="dxa"/>
          </w:tcPr>
          <w:p>
            <w:pPr>
              <w:pStyle w:val="TableParagraph"/>
              <w:spacing w:before="4"/>
              <w:rPr>
                <w:b/>
                <w:sz w:val="22"/>
              </w:rPr>
            </w:pPr>
          </w:p>
          <w:p>
            <w:pPr>
              <w:pStyle w:val="TableParagraph"/>
              <w:ind w:left="86" w:right="79"/>
              <w:jc w:val="center"/>
              <w:rPr>
                <w:sz w:val="22"/>
              </w:rPr>
            </w:pPr>
            <w:r>
              <w:rPr>
                <w:sz w:val="22"/>
              </w:rPr>
              <w:t>26</w:t>
            </w:r>
          </w:p>
        </w:tc>
        <w:tc>
          <w:tcPr>
            <w:tcW w:w="2501" w:type="dxa"/>
          </w:tcPr>
          <w:p>
            <w:pPr>
              <w:pStyle w:val="TableParagraph"/>
              <w:spacing w:before="4"/>
              <w:rPr>
                <w:b/>
                <w:sz w:val="22"/>
              </w:rPr>
            </w:pPr>
          </w:p>
          <w:p>
            <w:pPr>
              <w:pStyle w:val="TableParagraph"/>
              <w:ind w:left="184" w:right="173"/>
              <w:jc w:val="center"/>
              <w:rPr>
                <w:sz w:val="22"/>
              </w:rPr>
            </w:pPr>
            <w:r>
              <w:rPr>
                <w:sz w:val="22"/>
              </w:rPr>
              <w:t>C22023914</w:t>
            </w:r>
          </w:p>
        </w:tc>
        <w:tc>
          <w:tcPr>
            <w:tcW w:w="2551" w:type="dxa"/>
          </w:tcPr>
          <w:p>
            <w:pPr>
              <w:pStyle w:val="TableParagraph"/>
              <w:spacing w:before="4"/>
              <w:rPr>
                <w:b/>
                <w:sz w:val="22"/>
              </w:rPr>
            </w:pPr>
          </w:p>
          <w:p>
            <w:pPr>
              <w:pStyle w:val="TableParagraph"/>
              <w:ind w:left="366" w:right="355"/>
              <w:jc w:val="center"/>
              <w:rPr>
                <w:sz w:val="22"/>
              </w:rPr>
            </w:pPr>
            <w:r>
              <w:rPr>
                <w:sz w:val="22"/>
              </w:rPr>
              <w:t>10.09.2018.</w:t>
            </w:r>
          </w:p>
        </w:tc>
        <w:tc>
          <w:tcPr>
            <w:tcW w:w="3117" w:type="dxa"/>
          </w:tcPr>
          <w:p>
            <w:pPr>
              <w:pStyle w:val="TableParagraph"/>
              <w:spacing w:before="4"/>
              <w:rPr>
                <w:b/>
                <w:sz w:val="22"/>
              </w:rPr>
            </w:pPr>
          </w:p>
          <w:p>
            <w:pPr>
              <w:pStyle w:val="TableParagraph"/>
              <w:ind w:left="119" w:right="106"/>
              <w:jc w:val="center"/>
              <w:rPr>
                <w:sz w:val="22"/>
              </w:rPr>
            </w:pPr>
            <w:r>
              <w:rPr>
                <w:sz w:val="22"/>
              </w:rPr>
              <w:t>Rēzeknes tiesa</w:t>
            </w:r>
          </w:p>
        </w:tc>
      </w:tr>
      <w:tr>
        <w:trPr>
          <w:trHeight w:val="779" w:hRule="atLeast"/>
        </w:trPr>
        <w:tc>
          <w:tcPr>
            <w:tcW w:w="785" w:type="dxa"/>
          </w:tcPr>
          <w:p>
            <w:pPr>
              <w:pStyle w:val="TableParagraph"/>
              <w:spacing w:before="2"/>
              <w:rPr>
                <w:b/>
                <w:sz w:val="22"/>
              </w:rPr>
            </w:pPr>
          </w:p>
          <w:p>
            <w:pPr>
              <w:pStyle w:val="TableParagraph"/>
              <w:ind w:left="86" w:right="79"/>
              <w:jc w:val="center"/>
              <w:rPr>
                <w:sz w:val="22"/>
              </w:rPr>
            </w:pPr>
            <w:r>
              <w:rPr>
                <w:sz w:val="22"/>
              </w:rPr>
              <w:t>27</w:t>
            </w:r>
          </w:p>
        </w:tc>
        <w:tc>
          <w:tcPr>
            <w:tcW w:w="2501" w:type="dxa"/>
          </w:tcPr>
          <w:p>
            <w:pPr>
              <w:pStyle w:val="TableParagraph"/>
              <w:spacing w:before="2"/>
              <w:rPr>
                <w:b/>
                <w:sz w:val="22"/>
              </w:rPr>
            </w:pPr>
          </w:p>
          <w:p>
            <w:pPr>
              <w:pStyle w:val="TableParagraph"/>
              <w:ind w:left="184" w:right="173"/>
              <w:jc w:val="center"/>
              <w:rPr>
                <w:sz w:val="22"/>
              </w:rPr>
            </w:pPr>
            <w:r>
              <w:rPr>
                <w:sz w:val="22"/>
              </w:rPr>
              <w:t>C33361613</w:t>
            </w:r>
          </w:p>
        </w:tc>
        <w:tc>
          <w:tcPr>
            <w:tcW w:w="2551" w:type="dxa"/>
          </w:tcPr>
          <w:p>
            <w:pPr>
              <w:pStyle w:val="TableParagraph"/>
              <w:spacing w:before="2"/>
              <w:rPr>
                <w:b/>
                <w:sz w:val="22"/>
              </w:rPr>
            </w:pPr>
          </w:p>
          <w:p>
            <w:pPr>
              <w:pStyle w:val="TableParagraph"/>
              <w:ind w:left="366" w:right="355"/>
              <w:jc w:val="center"/>
              <w:rPr>
                <w:sz w:val="22"/>
              </w:rPr>
            </w:pPr>
            <w:r>
              <w:rPr>
                <w:sz w:val="22"/>
              </w:rPr>
              <w:t>07.09.2018.</w:t>
            </w:r>
          </w:p>
        </w:tc>
        <w:tc>
          <w:tcPr>
            <w:tcW w:w="3117" w:type="dxa"/>
          </w:tcPr>
          <w:p>
            <w:pPr>
              <w:pStyle w:val="TableParagraph"/>
              <w:spacing w:before="2"/>
              <w:rPr>
                <w:b/>
                <w:sz w:val="22"/>
              </w:rPr>
            </w:pPr>
          </w:p>
          <w:p>
            <w:pPr>
              <w:pStyle w:val="TableParagraph"/>
              <w:ind w:left="119" w:right="106"/>
              <w:jc w:val="center"/>
              <w:rPr>
                <w:sz w:val="22"/>
              </w:rPr>
            </w:pPr>
            <w:r>
              <w:rPr>
                <w:sz w:val="22"/>
              </w:rPr>
              <w:t>Rīgas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28</w:t>
            </w:r>
          </w:p>
        </w:tc>
        <w:tc>
          <w:tcPr>
            <w:tcW w:w="2501" w:type="dxa"/>
          </w:tcPr>
          <w:p>
            <w:pPr>
              <w:pStyle w:val="TableParagraph"/>
              <w:spacing w:before="4"/>
              <w:rPr>
                <w:b/>
                <w:sz w:val="22"/>
              </w:rPr>
            </w:pPr>
          </w:p>
          <w:p>
            <w:pPr>
              <w:pStyle w:val="TableParagraph"/>
              <w:ind w:left="184" w:right="173"/>
              <w:jc w:val="center"/>
              <w:rPr>
                <w:sz w:val="22"/>
              </w:rPr>
            </w:pPr>
            <w:r>
              <w:rPr>
                <w:sz w:val="22"/>
              </w:rPr>
              <w:t>C34051415</w:t>
            </w:r>
          </w:p>
        </w:tc>
        <w:tc>
          <w:tcPr>
            <w:tcW w:w="2551" w:type="dxa"/>
          </w:tcPr>
          <w:p>
            <w:pPr>
              <w:pStyle w:val="TableParagraph"/>
              <w:spacing w:before="4"/>
              <w:rPr>
                <w:b/>
                <w:sz w:val="22"/>
              </w:rPr>
            </w:pPr>
          </w:p>
          <w:p>
            <w:pPr>
              <w:pStyle w:val="TableParagraph"/>
              <w:ind w:left="366" w:right="355"/>
              <w:jc w:val="center"/>
              <w:rPr>
                <w:sz w:val="22"/>
              </w:rPr>
            </w:pPr>
            <w:r>
              <w:rPr>
                <w:sz w:val="22"/>
              </w:rPr>
              <w:t>06.09.2018.</w:t>
            </w:r>
          </w:p>
        </w:tc>
        <w:tc>
          <w:tcPr>
            <w:tcW w:w="3117" w:type="dxa"/>
          </w:tcPr>
          <w:p>
            <w:pPr>
              <w:pStyle w:val="TableParagraph"/>
              <w:spacing w:before="4"/>
              <w:rPr>
                <w:b/>
                <w:sz w:val="22"/>
              </w:rPr>
            </w:pPr>
          </w:p>
          <w:p>
            <w:pPr>
              <w:pStyle w:val="TableParagraph"/>
              <w:ind w:left="119" w:right="53"/>
              <w:jc w:val="center"/>
              <w:rPr>
                <w:sz w:val="22"/>
              </w:rPr>
            </w:pPr>
            <w:r>
              <w:rPr>
                <w:sz w:val="22"/>
              </w:rPr>
              <w:t>Kurzemes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29</w:t>
            </w:r>
          </w:p>
        </w:tc>
        <w:tc>
          <w:tcPr>
            <w:tcW w:w="2501" w:type="dxa"/>
          </w:tcPr>
          <w:p>
            <w:pPr>
              <w:pStyle w:val="TableParagraph"/>
              <w:spacing w:before="4"/>
              <w:rPr>
                <w:b/>
                <w:sz w:val="22"/>
              </w:rPr>
            </w:pPr>
          </w:p>
          <w:p>
            <w:pPr>
              <w:pStyle w:val="TableParagraph"/>
              <w:ind w:left="184" w:right="173"/>
              <w:jc w:val="center"/>
              <w:rPr>
                <w:sz w:val="22"/>
              </w:rPr>
            </w:pPr>
            <w:r>
              <w:rPr>
                <w:sz w:val="22"/>
              </w:rPr>
              <w:t>C30419314</w:t>
            </w:r>
          </w:p>
        </w:tc>
        <w:tc>
          <w:tcPr>
            <w:tcW w:w="2551" w:type="dxa"/>
          </w:tcPr>
          <w:p>
            <w:pPr>
              <w:pStyle w:val="TableParagraph"/>
              <w:spacing w:before="4"/>
              <w:rPr>
                <w:b/>
                <w:sz w:val="22"/>
              </w:rPr>
            </w:pPr>
          </w:p>
          <w:p>
            <w:pPr>
              <w:pStyle w:val="TableParagraph"/>
              <w:ind w:left="366" w:right="355"/>
              <w:jc w:val="center"/>
              <w:rPr>
                <w:sz w:val="22"/>
              </w:rPr>
            </w:pPr>
            <w:r>
              <w:rPr>
                <w:sz w:val="22"/>
              </w:rPr>
              <w:t>03.09.2018.</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30</w:t>
            </w:r>
          </w:p>
        </w:tc>
        <w:tc>
          <w:tcPr>
            <w:tcW w:w="2501" w:type="dxa"/>
          </w:tcPr>
          <w:p>
            <w:pPr>
              <w:pStyle w:val="TableParagraph"/>
              <w:spacing w:before="4"/>
              <w:rPr>
                <w:b/>
                <w:sz w:val="22"/>
              </w:rPr>
            </w:pPr>
          </w:p>
          <w:p>
            <w:pPr>
              <w:pStyle w:val="TableParagraph"/>
              <w:ind w:left="184" w:right="173"/>
              <w:jc w:val="center"/>
              <w:rPr>
                <w:sz w:val="22"/>
              </w:rPr>
            </w:pPr>
            <w:r>
              <w:rPr>
                <w:sz w:val="22"/>
              </w:rPr>
              <w:t>C30563214</w:t>
            </w:r>
          </w:p>
        </w:tc>
        <w:tc>
          <w:tcPr>
            <w:tcW w:w="2551" w:type="dxa"/>
          </w:tcPr>
          <w:p>
            <w:pPr>
              <w:pStyle w:val="TableParagraph"/>
              <w:spacing w:before="4"/>
              <w:rPr>
                <w:b/>
                <w:sz w:val="22"/>
              </w:rPr>
            </w:pPr>
          </w:p>
          <w:p>
            <w:pPr>
              <w:pStyle w:val="TableParagraph"/>
              <w:ind w:left="366" w:right="355"/>
              <w:jc w:val="center"/>
              <w:rPr>
                <w:sz w:val="22"/>
              </w:rPr>
            </w:pPr>
            <w:r>
              <w:rPr>
                <w:sz w:val="22"/>
              </w:rPr>
              <w:t>05.09.2018.</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31</w:t>
            </w:r>
          </w:p>
        </w:tc>
        <w:tc>
          <w:tcPr>
            <w:tcW w:w="2501" w:type="dxa"/>
          </w:tcPr>
          <w:p>
            <w:pPr>
              <w:pStyle w:val="TableParagraph"/>
              <w:spacing w:before="4"/>
              <w:rPr>
                <w:b/>
                <w:sz w:val="22"/>
              </w:rPr>
            </w:pPr>
          </w:p>
          <w:p>
            <w:pPr>
              <w:pStyle w:val="TableParagraph"/>
              <w:ind w:left="184" w:right="173"/>
              <w:jc w:val="center"/>
              <w:rPr>
                <w:sz w:val="22"/>
              </w:rPr>
            </w:pPr>
            <w:r>
              <w:rPr>
                <w:sz w:val="22"/>
              </w:rPr>
              <w:t>C30602414</w:t>
            </w:r>
          </w:p>
        </w:tc>
        <w:tc>
          <w:tcPr>
            <w:tcW w:w="2551" w:type="dxa"/>
          </w:tcPr>
          <w:p>
            <w:pPr>
              <w:pStyle w:val="TableParagraph"/>
              <w:spacing w:before="4"/>
              <w:rPr>
                <w:b/>
                <w:sz w:val="22"/>
              </w:rPr>
            </w:pPr>
          </w:p>
          <w:p>
            <w:pPr>
              <w:pStyle w:val="TableParagraph"/>
              <w:ind w:left="366" w:right="355"/>
              <w:jc w:val="center"/>
              <w:rPr>
                <w:sz w:val="22"/>
              </w:rPr>
            </w:pPr>
            <w:r>
              <w:rPr>
                <w:sz w:val="22"/>
              </w:rPr>
              <w:t>11.09.2018.</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81" w:hRule="atLeast"/>
        </w:trPr>
        <w:tc>
          <w:tcPr>
            <w:tcW w:w="785" w:type="dxa"/>
          </w:tcPr>
          <w:p>
            <w:pPr>
              <w:pStyle w:val="TableParagraph"/>
              <w:spacing w:before="4"/>
              <w:rPr>
                <w:b/>
                <w:sz w:val="22"/>
              </w:rPr>
            </w:pPr>
          </w:p>
          <w:p>
            <w:pPr>
              <w:pStyle w:val="TableParagraph"/>
              <w:ind w:left="86" w:right="79"/>
              <w:jc w:val="center"/>
              <w:rPr>
                <w:sz w:val="22"/>
              </w:rPr>
            </w:pPr>
            <w:r>
              <w:rPr>
                <w:sz w:val="22"/>
              </w:rPr>
              <w:t>32</w:t>
            </w:r>
          </w:p>
        </w:tc>
        <w:tc>
          <w:tcPr>
            <w:tcW w:w="2501" w:type="dxa"/>
          </w:tcPr>
          <w:p>
            <w:pPr>
              <w:pStyle w:val="TableParagraph"/>
              <w:spacing w:before="4"/>
              <w:rPr>
                <w:b/>
                <w:sz w:val="22"/>
              </w:rPr>
            </w:pPr>
          </w:p>
          <w:p>
            <w:pPr>
              <w:pStyle w:val="TableParagraph"/>
              <w:ind w:left="184" w:right="173"/>
              <w:jc w:val="center"/>
              <w:rPr>
                <w:sz w:val="22"/>
              </w:rPr>
            </w:pPr>
            <w:r>
              <w:rPr>
                <w:sz w:val="22"/>
              </w:rPr>
              <w:t>C33468316</w:t>
            </w:r>
          </w:p>
        </w:tc>
        <w:tc>
          <w:tcPr>
            <w:tcW w:w="2551" w:type="dxa"/>
          </w:tcPr>
          <w:p>
            <w:pPr>
              <w:pStyle w:val="TableParagraph"/>
              <w:spacing w:before="4"/>
              <w:rPr>
                <w:b/>
                <w:sz w:val="22"/>
              </w:rPr>
            </w:pPr>
          </w:p>
          <w:p>
            <w:pPr>
              <w:pStyle w:val="TableParagraph"/>
              <w:ind w:left="366" w:right="355"/>
              <w:jc w:val="center"/>
              <w:rPr>
                <w:sz w:val="22"/>
              </w:rPr>
            </w:pPr>
            <w:r>
              <w:rPr>
                <w:sz w:val="22"/>
              </w:rPr>
              <w:t>11.09.2018.</w:t>
            </w:r>
          </w:p>
        </w:tc>
        <w:tc>
          <w:tcPr>
            <w:tcW w:w="3117" w:type="dxa"/>
          </w:tcPr>
          <w:p>
            <w:pPr>
              <w:pStyle w:val="TableParagraph"/>
              <w:spacing w:before="4"/>
              <w:rPr>
                <w:b/>
                <w:sz w:val="22"/>
              </w:rPr>
            </w:pPr>
          </w:p>
          <w:p>
            <w:pPr>
              <w:pStyle w:val="TableParagraph"/>
              <w:ind w:left="119" w:right="106"/>
              <w:jc w:val="center"/>
              <w:rPr>
                <w:sz w:val="22"/>
              </w:rPr>
            </w:pPr>
            <w:r>
              <w:rPr>
                <w:sz w:val="22"/>
              </w:rPr>
              <w:t>Rīgas rajona tiesa</w:t>
            </w:r>
          </w:p>
        </w:tc>
      </w:tr>
      <w:tr>
        <w:trPr>
          <w:trHeight w:val="779" w:hRule="atLeast"/>
        </w:trPr>
        <w:tc>
          <w:tcPr>
            <w:tcW w:w="785" w:type="dxa"/>
          </w:tcPr>
          <w:p>
            <w:pPr>
              <w:pStyle w:val="TableParagraph"/>
              <w:spacing w:before="2"/>
              <w:rPr>
                <w:b/>
                <w:sz w:val="22"/>
              </w:rPr>
            </w:pPr>
          </w:p>
          <w:p>
            <w:pPr>
              <w:pStyle w:val="TableParagraph"/>
              <w:ind w:left="86" w:right="79"/>
              <w:jc w:val="center"/>
              <w:rPr>
                <w:sz w:val="22"/>
              </w:rPr>
            </w:pPr>
            <w:r>
              <w:rPr>
                <w:sz w:val="22"/>
              </w:rPr>
              <w:t>33</w:t>
            </w:r>
          </w:p>
        </w:tc>
        <w:tc>
          <w:tcPr>
            <w:tcW w:w="2501" w:type="dxa"/>
          </w:tcPr>
          <w:p>
            <w:pPr>
              <w:pStyle w:val="TableParagraph"/>
              <w:spacing w:before="2"/>
              <w:rPr>
                <w:b/>
                <w:sz w:val="22"/>
              </w:rPr>
            </w:pPr>
          </w:p>
          <w:p>
            <w:pPr>
              <w:pStyle w:val="TableParagraph"/>
              <w:ind w:left="184" w:right="173"/>
              <w:jc w:val="center"/>
              <w:rPr>
                <w:sz w:val="22"/>
              </w:rPr>
            </w:pPr>
            <w:r>
              <w:rPr>
                <w:sz w:val="22"/>
              </w:rPr>
              <w:t>C30474116</w:t>
            </w:r>
          </w:p>
        </w:tc>
        <w:tc>
          <w:tcPr>
            <w:tcW w:w="2551" w:type="dxa"/>
          </w:tcPr>
          <w:p>
            <w:pPr>
              <w:pStyle w:val="TableParagraph"/>
              <w:spacing w:before="2"/>
              <w:rPr>
                <w:b/>
                <w:sz w:val="22"/>
              </w:rPr>
            </w:pPr>
          </w:p>
          <w:p>
            <w:pPr>
              <w:pStyle w:val="TableParagraph"/>
              <w:ind w:left="366" w:right="355"/>
              <w:jc w:val="center"/>
              <w:rPr>
                <w:sz w:val="22"/>
              </w:rPr>
            </w:pPr>
            <w:r>
              <w:rPr>
                <w:sz w:val="22"/>
              </w:rPr>
              <w:t>04.09.2018.</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34</w:t>
            </w:r>
          </w:p>
        </w:tc>
        <w:tc>
          <w:tcPr>
            <w:tcW w:w="2501" w:type="dxa"/>
          </w:tcPr>
          <w:p>
            <w:pPr>
              <w:pStyle w:val="TableParagraph"/>
              <w:spacing w:before="4"/>
              <w:rPr>
                <w:b/>
                <w:sz w:val="22"/>
              </w:rPr>
            </w:pPr>
          </w:p>
          <w:p>
            <w:pPr>
              <w:pStyle w:val="TableParagraph"/>
              <w:ind w:left="184" w:right="173"/>
              <w:jc w:val="center"/>
              <w:rPr>
                <w:sz w:val="22"/>
              </w:rPr>
            </w:pPr>
            <w:r>
              <w:rPr>
                <w:sz w:val="22"/>
              </w:rPr>
              <w:t>C31228916</w:t>
            </w:r>
          </w:p>
        </w:tc>
        <w:tc>
          <w:tcPr>
            <w:tcW w:w="2551" w:type="dxa"/>
          </w:tcPr>
          <w:p>
            <w:pPr>
              <w:pStyle w:val="TableParagraph"/>
              <w:spacing w:before="4"/>
              <w:rPr>
                <w:b/>
                <w:sz w:val="22"/>
              </w:rPr>
            </w:pPr>
          </w:p>
          <w:p>
            <w:pPr>
              <w:pStyle w:val="TableParagraph"/>
              <w:ind w:left="366" w:right="355"/>
              <w:jc w:val="center"/>
              <w:rPr>
                <w:sz w:val="22"/>
              </w:rPr>
            </w:pPr>
            <w:r>
              <w:rPr>
                <w:sz w:val="22"/>
              </w:rPr>
              <w:t>17.09.2018.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35</w:t>
            </w:r>
          </w:p>
        </w:tc>
        <w:tc>
          <w:tcPr>
            <w:tcW w:w="2501" w:type="dxa"/>
          </w:tcPr>
          <w:p>
            <w:pPr>
              <w:pStyle w:val="TableParagraph"/>
              <w:spacing w:before="4"/>
              <w:rPr>
                <w:b/>
                <w:sz w:val="22"/>
              </w:rPr>
            </w:pPr>
          </w:p>
          <w:p>
            <w:pPr>
              <w:pStyle w:val="TableParagraph"/>
              <w:ind w:left="184" w:right="173"/>
              <w:jc w:val="center"/>
              <w:rPr>
                <w:sz w:val="22"/>
              </w:rPr>
            </w:pPr>
            <w:r>
              <w:rPr>
                <w:sz w:val="22"/>
              </w:rPr>
              <w:t>C30523616</w:t>
            </w:r>
          </w:p>
        </w:tc>
        <w:tc>
          <w:tcPr>
            <w:tcW w:w="2551" w:type="dxa"/>
          </w:tcPr>
          <w:p>
            <w:pPr>
              <w:pStyle w:val="TableParagraph"/>
              <w:spacing w:before="4"/>
              <w:rPr>
                <w:b/>
                <w:sz w:val="22"/>
              </w:rPr>
            </w:pPr>
          </w:p>
          <w:p>
            <w:pPr>
              <w:pStyle w:val="TableParagraph"/>
              <w:ind w:left="366" w:right="355"/>
              <w:jc w:val="center"/>
              <w:rPr>
                <w:sz w:val="22"/>
              </w:rPr>
            </w:pPr>
            <w:r>
              <w:rPr>
                <w:sz w:val="22"/>
              </w:rPr>
              <w:t>12.09.2018.</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36</w:t>
            </w:r>
          </w:p>
        </w:tc>
        <w:tc>
          <w:tcPr>
            <w:tcW w:w="2501" w:type="dxa"/>
          </w:tcPr>
          <w:p>
            <w:pPr>
              <w:pStyle w:val="TableParagraph"/>
              <w:spacing w:before="4"/>
              <w:rPr>
                <w:b/>
                <w:sz w:val="22"/>
              </w:rPr>
            </w:pPr>
          </w:p>
          <w:p>
            <w:pPr>
              <w:pStyle w:val="TableParagraph"/>
              <w:ind w:left="184" w:right="173"/>
              <w:jc w:val="center"/>
              <w:rPr>
                <w:sz w:val="22"/>
              </w:rPr>
            </w:pPr>
            <w:r>
              <w:rPr>
                <w:sz w:val="22"/>
              </w:rPr>
              <w:t>C31356515</w:t>
            </w:r>
          </w:p>
        </w:tc>
        <w:tc>
          <w:tcPr>
            <w:tcW w:w="2551" w:type="dxa"/>
          </w:tcPr>
          <w:p>
            <w:pPr>
              <w:pStyle w:val="TableParagraph"/>
              <w:spacing w:before="4"/>
              <w:rPr>
                <w:b/>
                <w:sz w:val="22"/>
              </w:rPr>
            </w:pPr>
          </w:p>
          <w:p>
            <w:pPr>
              <w:pStyle w:val="TableParagraph"/>
              <w:ind w:left="366" w:right="355"/>
              <w:jc w:val="center"/>
              <w:rPr>
                <w:sz w:val="22"/>
              </w:rPr>
            </w:pPr>
            <w:r>
              <w:rPr>
                <w:sz w:val="22"/>
              </w:rPr>
              <w:t>20.09.2018.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37</w:t>
            </w:r>
          </w:p>
        </w:tc>
        <w:tc>
          <w:tcPr>
            <w:tcW w:w="2501" w:type="dxa"/>
          </w:tcPr>
          <w:p>
            <w:pPr>
              <w:pStyle w:val="TableParagraph"/>
              <w:spacing w:before="4"/>
              <w:rPr>
                <w:b/>
                <w:sz w:val="22"/>
              </w:rPr>
            </w:pPr>
          </w:p>
          <w:p>
            <w:pPr>
              <w:pStyle w:val="TableParagraph"/>
              <w:ind w:left="184" w:right="173"/>
              <w:jc w:val="center"/>
              <w:rPr>
                <w:sz w:val="22"/>
              </w:rPr>
            </w:pPr>
            <w:r>
              <w:rPr>
                <w:sz w:val="22"/>
              </w:rPr>
              <w:t>C31292715</w:t>
            </w:r>
          </w:p>
        </w:tc>
        <w:tc>
          <w:tcPr>
            <w:tcW w:w="2551" w:type="dxa"/>
          </w:tcPr>
          <w:p>
            <w:pPr>
              <w:pStyle w:val="TableParagraph"/>
              <w:spacing w:before="4"/>
              <w:rPr>
                <w:b/>
                <w:sz w:val="22"/>
              </w:rPr>
            </w:pPr>
          </w:p>
          <w:p>
            <w:pPr>
              <w:pStyle w:val="TableParagraph"/>
              <w:ind w:left="366" w:right="355"/>
              <w:jc w:val="center"/>
              <w:rPr>
                <w:sz w:val="22"/>
              </w:rPr>
            </w:pPr>
            <w:r>
              <w:rPr>
                <w:sz w:val="22"/>
              </w:rPr>
              <w:t>20.09.2018.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r>
        <w:trPr>
          <w:trHeight w:val="781" w:hRule="atLeast"/>
        </w:trPr>
        <w:tc>
          <w:tcPr>
            <w:tcW w:w="785" w:type="dxa"/>
          </w:tcPr>
          <w:p>
            <w:pPr>
              <w:pStyle w:val="TableParagraph"/>
              <w:spacing w:before="4"/>
              <w:rPr>
                <w:b/>
                <w:sz w:val="22"/>
              </w:rPr>
            </w:pPr>
          </w:p>
          <w:p>
            <w:pPr>
              <w:pStyle w:val="TableParagraph"/>
              <w:ind w:left="86" w:right="79"/>
              <w:jc w:val="center"/>
              <w:rPr>
                <w:sz w:val="22"/>
              </w:rPr>
            </w:pPr>
            <w:r>
              <w:rPr>
                <w:sz w:val="22"/>
              </w:rPr>
              <w:t>38</w:t>
            </w:r>
          </w:p>
        </w:tc>
        <w:tc>
          <w:tcPr>
            <w:tcW w:w="2501" w:type="dxa"/>
          </w:tcPr>
          <w:p>
            <w:pPr>
              <w:pStyle w:val="TableParagraph"/>
              <w:spacing w:before="4"/>
              <w:rPr>
                <w:b/>
                <w:sz w:val="22"/>
              </w:rPr>
            </w:pPr>
          </w:p>
          <w:p>
            <w:pPr>
              <w:pStyle w:val="TableParagraph"/>
              <w:ind w:left="184" w:right="173"/>
              <w:jc w:val="center"/>
              <w:rPr>
                <w:sz w:val="22"/>
              </w:rPr>
            </w:pPr>
            <w:r>
              <w:rPr>
                <w:sz w:val="22"/>
              </w:rPr>
              <w:t>C28381416</w:t>
            </w:r>
          </w:p>
        </w:tc>
        <w:tc>
          <w:tcPr>
            <w:tcW w:w="2551" w:type="dxa"/>
          </w:tcPr>
          <w:p>
            <w:pPr>
              <w:pStyle w:val="TableParagraph"/>
              <w:spacing w:before="4"/>
              <w:rPr>
                <w:b/>
                <w:sz w:val="22"/>
              </w:rPr>
            </w:pPr>
          </w:p>
          <w:p>
            <w:pPr>
              <w:pStyle w:val="TableParagraph"/>
              <w:ind w:left="366" w:right="355"/>
              <w:jc w:val="center"/>
              <w:rPr>
                <w:sz w:val="22"/>
              </w:rPr>
            </w:pPr>
            <w:r>
              <w:rPr>
                <w:sz w:val="22"/>
              </w:rPr>
              <w:t>20.09.2018.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r>
        <w:trPr>
          <w:trHeight w:val="779" w:hRule="atLeast"/>
        </w:trPr>
        <w:tc>
          <w:tcPr>
            <w:tcW w:w="785" w:type="dxa"/>
          </w:tcPr>
          <w:p>
            <w:pPr>
              <w:pStyle w:val="TableParagraph"/>
              <w:spacing w:before="2"/>
              <w:rPr>
                <w:b/>
                <w:sz w:val="22"/>
              </w:rPr>
            </w:pPr>
          </w:p>
          <w:p>
            <w:pPr>
              <w:pStyle w:val="TableParagraph"/>
              <w:ind w:left="86" w:right="79"/>
              <w:jc w:val="center"/>
              <w:rPr>
                <w:sz w:val="22"/>
              </w:rPr>
            </w:pPr>
            <w:r>
              <w:rPr>
                <w:sz w:val="22"/>
              </w:rPr>
              <w:t>39</w:t>
            </w:r>
          </w:p>
        </w:tc>
        <w:tc>
          <w:tcPr>
            <w:tcW w:w="2501" w:type="dxa"/>
          </w:tcPr>
          <w:p>
            <w:pPr>
              <w:pStyle w:val="TableParagraph"/>
              <w:spacing w:before="2"/>
              <w:rPr>
                <w:b/>
                <w:sz w:val="22"/>
              </w:rPr>
            </w:pPr>
          </w:p>
          <w:p>
            <w:pPr>
              <w:pStyle w:val="TableParagraph"/>
              <w:ind w:left="184" w:right="173"/>
              <w:jc w:val="center"/>
              <w:rPr>
                <w:sz w:val="22"/>
              </w:rPr>
            </w:pPr>
            <w:r>
              <w:rPr>
                <w:sz w:val="22"/>
              </w:rPr>
              <w:t>C15171316</w:t>
            </w:r>
          </w:p>
        </w:tc>
        <w:tc>
          <w:tcPr>
            <w:tcW w:w="2551" w:type="dxa"/>
          </w:tcPr>
          <w:p>
            <w:pPr>
              <w:pStyle w:val="TableParagraph"/>
              <w:spacing w:before="2"/>
              <w:rPr>
                <w:b/>
                <w:sz w:val="22"/>
              </w:rPr>
            </w:pPr>
          </w:p>
          <w:p>
            <w:pPr>
              <w:pStyle w:val="TableParagraph"/>
              <w:ind w:left="366" w:right="355"/>
              <w:jc w:val="center"/>
              <w:rPr>
                <w:sz w:val="22"/>
              </w:rPr>
            </w:pPr>
            <w:r>
              <w:rPr>
                <w:sz w:val="22"/>
              </w:rPr>
              <w:t>04.09.2018.</w:t>
            </w:r>
          </w:p>
        </w:tc>
        <w:tc>
          <w:tcPr>
            <w:tcW w:w="3117" w:type="dxa"/>
          </w:tcPr>
          <w:p>
            <w:pPr>
              <w:pStyle w:val="TableParagraph"/>
              <w:spacing w:before="2"/>
              <w:rPr>
                <w:b/>
                <w:sz w:val="22"/>
              </w:rPr>
            </w:pPr>
          </w:p>
          <w:p>
            <w:pPr>
              <w:pStyle w:val="TableParagraph"/>
              <w:ind w:left="118" w:right="106"/>
              <w:jc w:val="center"/>
              <w:rPr>
                <w:sz w:val="22"/>
              </w:rPr>
            </w:pPr>
            <w:r>
              <w:rPr>
                <w:sz w:val="22"/>
              </w:rPr>
              <w:t>Zemgales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40</w:t>
            </w:r>
          </w:p>
        </w:tc>
        <w:tc>
          <w:tcPr>
            <w:tcW w:w="2501" w:type="dxa"/>
          </w:tcPr>
          <w:p>
            <w:pPr>
              <w:pStyle w:val="TableParagraph"/>
              <w:spacing w:before="4"/>
              <w:rPr>
                <w:b/>
                <w:sz w:val="22"/>
              </w:rPr>
            </w:pPr>
          </w:p>
          <w:p>
            <w:pPr>
              <w:pStyle w:val="TableParagraph"/>
              <w:ind w:left="184" w:right="173"/>
              <w:jc w:val="center"/>
              <w:rPr>
                <w:sz w:val="22"/>
              </w:rPr>
            </w:pPr>
            <w:r>
              <w:rPr>
                <w:sz w:val="22"/>
              </w:rPr>
              <w:t>C68315117</w:t>
            </w:r>
          </w:p>
        </w:tc>
        <w:tc>
          <w:tcPr>
            <w:tcW w:w="2551" w:type="dxa"/>
          </w:tcPr>
          <w:p>
            <w:pPr>
              <w:pStyle w:val="TableParagraph"/>
              <w:spacing w:before="4"/>
              <w:rPr>
                <w:b/>
                <w:sz w:val="22"/>
              </w:rPr>
            </w:pPr>
          </w:p>
          <w:p>
            <w:pPr>
              <w:pStyle w:val="TableParagraph"/>
              <w:ind w:left="366" w:right="355"/>
              <w:jc w:val="center"/>
              <w:rPr>
                <w:sz w:val="22"/>
              </w:rPr>
            </w:pPr>
            <w:r>
              <w:rPr>
                <w:sz w:val="22"/>
              </w:rPr>
              <w:t>18.09.2018.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bl>
    <w:p>
      <w:pPr>
        <w:spacing w:after="0"/>
        <w:jc w:val="center"/>
        <w:rPr>
          <w:sz w:val="22"/>
        </w:rPr>
        <w:sectPr>
          <w:pgSz w:w="11910" w:h="16840"/>
          <w:pgMar w:header="0" w:footer="1055" w:top="1420" w:bottom="1160" w:left="1180" w:right="104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2501"/>
        <w:gridCol w:w="2551"/>
        <w:gridCol w:w="3117"/>
      </w:tblGrid>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41</w:t>
            </w:r>
          </w:p>
        </w:tc>
        <w:tc>
          <w:tcPr>
            <w:tcW w:w="2501" w:type="dxa"/>
          </w:tcPr>
          <w:p>
            <w:pPr>
              <w:pStyle w:val="TableParagraph"/>
              <w:spacing w:before="4"/>
              <w:rPr>
                <w:b/>
                <w:sz w:val="22"/>
              </w:rPr>
            </w:pPr>
          </w:p>
          <w:p>
            <w:pPr>
              <w:pStyle w:val="TableParagraph"/>
              <w:ind w:left="184" w:right="173"/>
              <w:jc w:val="center"/>
              <w:rPr>
                <w:sz w:val="22"/>
              </w:rPr>
            </w:pPr>
            <w:r>
              <w:rPr>
                <w:sz w:val="22"/>
              </w:rPr>
              <w:t>C39054914</w:t>
            </w:r>
          </w:p>
        </w:tc>
        <w:tc>
          <w:tcPr>
            <w:tcW w:w="2551" w:type="dxa"/>
          </w:tcPr>
          <w:p>
            <w:pPr>
              <w:pStyle w:val="TableParagraph"/>
              <w:spacing w:before="4"/>
              <w:rPr>
                <w:b/>
                <w:sz w:val="22"/>
              </w:rPr>
            </w:pPr>
          </w:p>
          <w:p>
            <w:pPr>
              <w:pStyle w:val="TableParagraph"/>
              <w:ind w:left="366" w:right="355"/>
              <w:jc w:val="center"/>
              <w:rPr>
                <w:sz w:val="22"/>
              </w:rPr>
            </w:pPr>
            <w:r>
              <w:rPr>
                <w:sz w:val="22"/>
              </w:rPr>
              <w:t>19.09.2018.</w:t>
            </w:r>
          </w:p>
        </w:tc>
        <w:tc>
          <w:tcPr>
            <w:tcW w:w="3117" w:type="dxa"/>
          </w:tcPr>
          <w:p>
            <w:pPr>
              <w:pStyle w:val="TableParagraph"/>
              <w:spacing w:before="4"/>
              <w:rPr>
                <w:b/>
                <w:sz w:val="22"/>
              </w:rPr>
            </w:pPr>
          </w:p>
          <w:p>
            <w:pPr>
              <w:pStyle w:val="TableParagraph"/>
              <w:ind w:left="118" w:right="106"/>
              <w:jc w:val="center"/>
              <w:rPr>
                <w:sz w:val="22"/>
              </w:rPr>
            </w:pPr>
            <w:r>
              <w:rPr>
                <w:sz w:val="22"/>
              </w:rPr>
              <w:t>Vidzemes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42</w:t>
            </w:r>
          </w:p>
        </w:tc>
        <w:tc>
          <w:tcPr>
            <w:tcW w:w="2501" w:type="dxa"/>
          </w:tcPr>
          <w:p>
            <w:pPr>
              <w:pStyle w:val="TableParagraph"/>
              <w:spacing w:before="4"/>
              <w:rPr>
                <w:b/>
                <w:sz w:val="22"/>
              </w:rPr>
            </w:pPr>
          </w:p>
          <w:p>
            <w:pPr>
              <w:pStyle w:val="TableParagraph"/>
              <w:ind w:left="184" w:right="173"/>
              <w:jc w:val="center"/>
              <w:rPr>
                <w:sz w:val="22"/>
              </w:rPr>
            </w:pPr>
            <w:r>
              <w:rPr>
                <w:sz w:val="22"/>
              </w:rPr>
              <w:t>C20148516</w:t>
            </w:r>
          </w:p>
        </w:tc>
        <w:tc>
          <w:tcPr>
            <w:tcW w:w="2551" w:type="dxa"/>
          </w:tcPr>
          <w:p>
            <w:pPr>
              <w:pStyle w:val="TableParagraph"/>
              <w:spacing w:before="4"/>
              <w:rPr>
                <w:b/>
                <w:sz w:val="22"/>
              </w:rPr>
            </w:pPr>
          </w:p>
          <w:p>
            <w:pPr>
              <w:pStyle w:val="TableParagraph"/>
              <w:ind w:left="366" w:right="355"/>
              <w:jc w:val="center"/>
              <w:rPr>
                <w:sz w:val="22"/>
              </w:rPr>
            </w:pPr>
            <w:r>
              <w:rPr>
                <w:sz w:val="22"/>
              </w:rPr>
              <w:t>04.09.2018.</w:t>
            </w:r>
          </w:p>
        </w:tc>
        <w:tc>
          <w:tcPr>
            <w:tcW w:w="3117" w:type="dxa"/>
          </w:tcPr>
          <w:p>
            <w:pPr>
              <w:pStyle w:val="TableParagraph"/>
              <w:spacing w:before="4"/>
              <w:rPr>
                <w:b/>
                <w:sz w:val="22"/>
              </w:rPr>
            </w:pPr>
          </w:p>
          <w:p>
            <w:pPr>
              <w:pStyle w:val="TableParagraph"/>
              <w:ind w:left="119" w:right="103"/>
              <w:jc w:val="center"/>
              <w:rPr>
                <w:sz w:val="22"/>
              </w:rPr>
            </w:pPr>
            <w:r>
              <w:rPr>
                <w:sz w:val="22"/>
              </w:rPr>
              <w:t>Kurzemes rajona tiesas</w:t>
            </w:r>
          </w:p>
        </w:tc>
      </w:tr>
      <w:tr>
        <w:trPr>
          <w:trHeight w:val="782" w:hRule="atLeast"/>
        </w:trPr>
        <w:tc>
          <w:tcPr>
            <w:tcW w:w="785" w:type="dxa"/>
          </w:tcPr>
          <w:p>
            <w:pPr>
              <w:pStyle w:val="TableParagraph"/>
              <w:spacing w:before="4"/>
              <w:rPr>
                <w:b/>
                <w:sz w:val="22"/>
              </w:rPr>
            </w:pPr>
          </w:p>
          <w:p>
            <w:pPr>
              <w:pStyle w:val="TableParagraph"/>
              <w:ind w:left="86" w:right="79"/>
              <w:jc w:val="center"/>
              <w:rPr>
                <w:sz w:val="22"/>
              </w:rPr>
            </w:pPr>
            <w:r>
              <w:rPr>
                <w:sz w:val="22"/>
              </w:rPr>
              <w:t>43</w:t>
            </w:r>
          </w:p>
        </w:tc>
        <w:tc>
          <w:tcPr>
            <w:tcW w:w="2501" w:type="dxa"/>
          </w:tcPr>
          <w:p>
            <w:pPr>
              <w:pStyle w:val="TableParagraph"/>
              <w:spacing w:before="4"/>
              <w:rPr>
                <w:b/>
                <w:sz w:val="22"/>
              </w:rPr>
            </w:pPr>
          </w:p>
          <w:p>
            <w:pPr>
              <w:pStyle w:val="TableParagraph"/>
              <w:ind w:left="184" w:right="173"/>
              <w:jc w:val="center"/>
              <w:rPr>
                <w:sz w:val="22"/>
              </w:rPr>
            </w:pPr>
            <w:r>
              <w:rPr>
                <w:sz w:val="22"/>
              </w:rPr>
              <w:t>C30416817</w:t>
            </w:r>
          </w:p>
        </w:tc>
        <w:tc>
          <w:tcPr>
            <w:tcW w:w="2551" w:type="dxa"/>
          </w:tcPr>
          <w:p>
            <w:pPr>
              <w:pStyle w:val="TableParagraph"/>
              <w:spacing w:before="4"/>
              <w:rPr>
                <w:b/>
                <w:sz w:val="22"/>
              </w:rPr>
            </w:pPr>
          </w:p>
          <w:p>
            <w:pPr>
              <w:pStyle w:val="TableParagraph"/>
              <w:ind w:left="366" w:right="355"/>
              <w:jc w:val="center"/>
              <w:rPr>
                <w:sz w:val="22"/>
              </w:rPr>
            </w:pPr>
            <w:r>
              <w:rPr>
                <w:sz w:val="22"/>
              </w:rPr>
              <w:t>14.09.2018.</w:t>
            </w:r>
          </w:p>
        </w:tc>
        <w:tc>
          <w:tcPr>
            <w:tcW w:w="3117" w:type="dxa"/>
          </w:tcPr>
          <w:p>
            <w:pPr>
              <w:pStyle w:val="TableParagraph"/>
              <w:spacing w:before="133"/>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2"/>
              <w:rPr>
                <w:b/>
                <w:sz w:val="22"/>
              </w:rPr>
            </w:pPr>
          </w:p>
          <w:p>
            <w:pPr>
              <w:pStyle w:val="TableParagraph"/>
              <w:ind w:left="86" w:right="79"/>
              <w:jc w:val="center"/>
              <w:rPr>
                <w:sz w:val="22"/>
              </w:rPr>
            </w:pPr>
            <w:r>
              <w:rPr>
                <w:sz w:val="22"/>
              </w:rPr>
              <w:t>44</w:t>
            </w:r>
          </w:p>
        </w:tc>
        <w:tc>
          <w:tcPr>
            <w:tcW w:w="2501" w:type="dxa"/>
          </w:tcPr>
          <w:p>
            <w:pPr>
              <w:pStyle w:val="TableParagraph"/>
              <w:spacing w:before="2"/>
              <w:rPr>
                <w:b/>
                <w:sz w:val="22"/>
              </w:rPr>
            </w:pPr>
          </w:p>
          <w:p>
            <w:pPr>
              <w:pStyle w:val="TableParagraph"/>
              <w:ind w:left="184" w:right="173"/>
              <w:jc w:val="center"/>
              <w:rPr>
                <w:sz w:val="22"/>
              </w:rPr>
            </w:pPr>
            <w:r>
              <w:rPr>
                <w:sz w:val="22"/>
              </w:rPr>
              <w:t>C30457717</w:t>
            </w:r>
          </w:p>
        </w:tc>
        <w:tc>
          <w:tcPr>
            <w:tcW w:w="2551" w:type="dxa"/>
          </w:tcPr>
          <w:p>
            <w:pPr>
              <w:pStyle w:val="TableParagraph"/>
              <w:spacing w:before="2"/>
              <w:rPr>
                <w:b/>
                <w:sz w:val="22"/>
              </w:rPr>
            </w:pPr>
          </w:p>
          <w:p>
            <w:pPr>
              <w:pStyle w:val="TableParagraph"/>
              <w:ind w:left="366" w:right="355"/>
              <w:jc w:val="center"/>
              <w:rPr>
                <w:sz w:val="22"/>
              </w:rPr>
            </w:pPr>
            <w:r>
              <w:rPr>
                <w:sz w:val="22"/>
              </w:rPr>
              <w:t>04.09.2018.</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45</w:t>
            </w:r>
          </w:p>
        </w:tc>
        <w:tc>
          <w:tcPr>
            <w:tcW w:w="2501" w:type="dxa"/>
          </w:tcPr>
          <w:p>
            <w:pPr>
              <w:pStyle w:val="TableParagraph"/>
              <w:spacing w:before="4"/>
              <w:rPr>
                <w:b/>
                <w:sz w:val="22"/>
              </w:rPr>
            </w:pPr>
          </w:p>
          <w:p>
            <w:pPr>
              <w:pStyle w:val="TableParagraph"/>
              <w:ind w:left="184" w:right="173"/>
              <w:jc w:val="center"/>
              <w:rPr>
                <w:sz w:val="22"/>
              </w:rPr>
            </w:pPr>
            <w:r>
              <w:rPr>
                <w:sz w:val="22"/>
              </w:rPr>
              <w:t>C17106813</w:t>
            </w:r>
          </w:p>
        </w:tc>
        <w:tc>
          <w:tcPr>
            <w:tcW w:w="2551" w:type="dxa"/>
          </w:tcPr>
          <w:p>
            <w:pPr>
              <w:pStyle w:val="TableParagraph"/>
              <w:spacing w:before="4"/>
              <w:rPr>
                <w:b/>
                <w:sz w:val="22"/>
              </w:rPr>
            </w:pPr>
          </w:p>
          <w:p>
            <w:pPr>
              <w:pStyle w:val="TableParagraph"/>
              <w:ind w:left="366" w:right="355"/>
              <w:jc w:val="center"/>
              <w:rPr>
                <w:sz w:val="22"/>
              </w:rPr>
            </w:pPr>
            <w:r>
              <w:rPr>
                <w:sz w:val="22"/>
              </w:rPr>
              <w:t>06.09.2018.</w:t>
            </w:r>
          </w:p>
        </w:tc>
        <w:tc>
          <w:tcPr>
            <w:tcW w:w="3117" w:type="dxa"/>
          </w:tcPr>
          <w:p>
            <w:pPr>
              <w:pStyle w:val="TableParagraph"/>
              <w:spacing w:before="4"/>
              <w:rPr>
                <w:b/>
                <w:sz w:val="22"/>
              </w:rPr>
            </w:pPr>
          </w:p>
          <w:p>
            <w:pPr>
              <w:pStyle w:val="TableParagraph"/>
              <w:ind w:left="119" w:right="106"/>
              <w:jc w:val="center"/>
              <w:rPr>
                <w:sz w:val="22"/>
              </w:rPr>
            </w:pPr>
            <w:r>
              <w:rPr>
                <w:sz w:val="22"/>
              </w:rPr>
              <w:t>Rīgas rajona tiesa</w:t>
            </w:r>
          </w:p>
        </w:tc>
      </w:tr>
      <w:tr>
        <w:trPr>
          <w:trHeight w:val="1211" w:hRule="atLeast"/>
        </w:trPr>
        <w:tc>
          <w:tcPr>
            <w:tcW w:w="785" w:type="dxa"/>
          </w:tcPr>
          <w:p>
            <w:pPr>
              <w:pStyle w:val="TableParagraph"/>
              <w:rPr>
                <w:b/>
                <w:sz w:val="24"/>
              </w:rPr>
            </w:pPr>
          </w:p>
          <w:p>
            <w:pPr>
              <w:pStyle w:val="TableParagraph"/>
              <w:spacing w:before="197"/>
              <w:ind w:left="86" w:right="79"/>
              <w:jc w:val="center"/>
              <w:rPr>
                <w:sz w:val="22"/>
              </w:rPr>
            </w:pPr>
            <w:r>
              <w:rPr>
                <w:sz w:val="22"/>
              </w:rPr>
              <w:t>46</w:t>
            </w:r>
          </w:p>
        </w:tc>
        <w:tc>
          <w:tcPr>
            <w:tcW w:w="2501" w:type="dxa"/>
          </w:tcPr>
          <w:p>
            <w:pPr>
              <w:pStyle w:val="TableParagraph"/>
              <w:rPr>
                <w:b/>
                <w:sz w:val="24"/>
              </w:rPr>
            </w:pPr>
          </w:p>
          <w:p>
            <w:pPr>
              <w:pStyle w:val="TableParagraph"/>
              <w:spacing w:before="197"/>
              <w:ind w:left="184" w:right="173"/>
              <w:jc w:val="center"/>
              <w:rPr>
                <w:sz w:val="22"/>
              </w:rPr>
            </w:pPr>
            <w:r>
              <w:rPr>
                <w:sz w:val="22"/>
              </w:rPr>
              <w:t>C17108913</w:t>
            </w:r>
          </w:p>
        </w:tc>
        <w:tc>
          <w:tcPr>
            <w:tcW w:w="2551" w:type="dxa"/>
          </w:tcPr>
          <w:p>
            <w:pPr>
              <w:pStyle w:val="TableParagraph"/>
              <w:rPr>
                <w:b/>
                <w:sz w:val="24"/>
              </w:rPr>
            </w:pPr>
          </w:p>
          <w:p>
            <w:pPr>
              <w:pStyle w:val="TableParagraph"/>
              <w:spacing w:before="197"/>
              <w:ind w:left="366" w:right="355"/>
              <w:jc w:val="center"/>
              <w:rPr>
                <w:sz w:val="22"/>
              </w:rPr>
            </w:pPr>
            <w:r>
              <w:rPr>
                <w:sz w:val="22"/>
              </w:rPr>
              <w:t>11.09.2018.</w:t>
            </w:r>
          </w:p>
        </w:tc>
        <w:tc>
          <w:tcPr>
            <w:tcW w:w="3117" w:type="dxa"/>
          </w:tcPr>
          <w:p>
            <w:pPr>
              <w:pStyle w:val="TableParagraph"/>
              <w:rPr>
                <w:b/>
                <w:sz w:val="24"/>
              </w:rPr>
            </w:pPr>
          </w:p>
          <w:p>
            <w:pPr>
              <w:pStyle w:val="TableParagraph"/>
              <w:spacing w:before="197"/>
              <w:ind w:left="119" w:right="106"/>
              <w:jc w:val="center"/>
              <w:rPr>
                <w:sz w:val="22"/>
              </w:rPr>
            </w:pPr>
            <w:r>
              <w:rPr>
                <w:sz w:val="22"/>
              </w:rPr>
              <w:t>Rīgas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47</w:t>
            </w:r>
          </w:p>
        </w:tc>
        <w:tc>
          <w:tcPr>
            <w:tcW w:w="2501" w:type="dxa"/>
          </w:tcPr>
          <w:p>
            <w:pPr>
              <w:pStyle w:val="TableParagraph"/>
              <w:spacing w:before="4"/>
              <w:rPr>
                <w:b/>
                <w:sz w:val="22"/>
              </w:rPr>
            </w:pPr>
          </w:p>
          <w:p>
            <w:pPr>
              <w:pStyle w:val="TableParagraph"/>
              <w:ind w:left="184" w:right="173"/>
              <w:jc w:val="center"/>
              <w:rPr>
                <w:sz w:val="22"/>
              </w:rPr>
            </w:pPr>
            <w:r>
              <w:rPr>
                <w:sz w:val="22"/>
              </w:rPr>
              <w:t>C13067816</w:t>
            </w:r>
          </w:p>
        </w:tc>
        <w:tc>
          <w:tcPr>
            <w:tcW w:w="2551" w:type="dxa"/>
          </w:tcPr>
          <w:p>
            <w:pPr>
              <w:pStyle w:val="TableParagraph"/>
              <w:spacing w:before="4"/>
              <w:rPr>
                <w:b/>
                <w:sz w:val="22"/>
              </w:rPr>
            </w:pPr>
          </w:p>
          <w:p>
            <w:pPr>
              <w:pStyle w:val="TableParagraph"/>
              <w:ind w:left="366" w:right="355"/>
              <w:jc w:val="center"/>
              <w:rPr>
                <w:sz w:val="22"/>
              </w:rPr>
            </w:pPr>
            <w:r>
              <w:rPr>
                <w:sz w:val="22"/>
              </w:rPr>
              <w:t>04.09.2018.</w:t>
            </w:r>
          </w:p>
        </w:tc>
        <w:tc>
          <w:tcPr>
            <w:tcW w:w="3117" w:type="dxa"/>
          </w:tcPr>
          <w:p>
            <w:pPr>
              <w:pStyle w:val="TableParagraph"/>
              <w:spacing w:before="4"/>
              <w:rPr>
                <w:b/>
                <w:sz w:val="22"/>
              </w:rPr>
            </w:pPr>
          </w:p>
          <w:p>
            <w:pPr>
              <w:pStyle w:val="TableParagraph"/>
              <w:ind w:left="118" w:right="106"/>
              <w:jc w:val="center"/>
              <w:rPr>
                <w:sz w:val="22"/>
              </w:rPr>
            </w:pPr>
            <w:r>
              <w:rPr>
                <w:sz w:val="22"/>
              </w:rPr>
              <w:t>Zemgales rajona tiesa</w:t>
            </w:r>
          </w:p>
        </w:tc>
      </w:tr>
      <w:tr>
        <w:trPr>
          <w:trHeight w:val="1055" w:hRule="atLeast"/>
        </w:trPr>
        <w:tc>
          <w:tcPr>
            <w:tcW w:w="785" w:type="dxa"/>
          </w:tcPr>
          <w:p>
            <w:pPr>
              <w:pStyle w:val="TableParagraph"/>
              <w:spacing w:before="5"/>
              <w:rPr>
                <w:b/>
                <w:sz w:val="34"/>
              </w:rPr>
            </w:pPr>
          </w:p>
          <w:p>
            <w:pPr>
              <w:pStyle w:val="TableParagraph"/>
              <w:spacing w:before="1"/>
              <w:ind w:left="86" w:right="79"/>
              <w:jc w:val="center"/>
              <w:rPr>
                <w:sz w:val="22"/>
              </w:rPr>
            </w:pPr>
            <w:r>
              <w:rPr>
                <w:sz w:val="22"/>
              </w:rPr>
              <w:t>48</w:t>
            </w:r>
          </w:p>
        </w:tc>
        <w:tc>
          <w:tcPr>
            <w:tcW w:w="2501" w:type="dxa"/>
          </w:tcPr>
          <w:p>
            <w:pPr>
              <w:pStyle w:val="TableParagraph"/>
              <w:spacing w:before="5"/>
              <w:rPr>
                <w:b/>
                <w:sz w:val="34"/>
              </w:rPr>
            </w:pPr>
          </w:p>
          <w:p>
            <w:pPr>
              <w:pStyle w:val="TableParagraph"/>
              <w:spacing w:before="1"/>
              <w:ind w:left="184" w:right="173"/>
              <w:jc w:val="center"/>
              <w:rPr>
                <w:sz w:val="22"/>
              </w:rPr>
            </w:pPr>
            <w:r>
              <w:rPr>
                <w:sz w:val="22"/>
              </w:rPr>
              <w:t>C33517515</w:t>
            </w:r>
          </w:p>
        </w:tc>
        <w:tc>
          <w:tcPr>
            <w:tcW w:w="2551" w:type="dxa"/>
          </w:tcPr>
          <w:p>
            <w:pPr>
              <w:pStyle w:val="TableParagraph"/>
              <w:spacing w:before="5"/>
              <w:rPr>
                <w:b/>
                <w:sz w:val="34"/>
              </w:rPr>
            </w:pPr>
          </w:p>
          <w:p>
            <w:pPr>
              <w:pStyle w:val="TableParagraph"/>
              <w:spacing w:before="1"/>
              <w:ind w:left="366" w:right="355"/>
              <w:jc w:val="center"/>
              <w:rPr>
                <w:sz w:val="22"/>
              </w:rPr>
            </w:pPr>
            <w:r>
              <w:rPr>
                <w:sz w:val="22"/>
              </w:rPr>
              <w:t>20.09.2018.</w:t>
            </w:r>
          </w:p>
        </w:tc>
        <w:tc>
          <w:tcPr>
            <w:tcW w:w="3117" w:type="dxa"/>
          </w:tcPr>
          <w:p>
            <w:pPr>
              <w:pStyle w:val="TableParagraph"/>
              <w:spacing w:before="5"/>
              <w:rPr>
                <w:b/>
                <w:sz w:val="34"/>
              </w:rPr>
            </w:pPr>
          </w:p>
          <w:p>
            <w:pPr>
              <w:pStyle w:val="TableParagraph"/>
              <w:spacing w:before="1"/>
              <w:ind w:left="119" w:right="106"/>
              <w:jc w:val="center"/>
              <w:rPr>
                <w:sz w:val="22"/>
              </w:rPr>
            </w:pPr>
            <w:r>
              <w:rPr>
                <w:sz w:val="22"/>
              </w:rPr>
              <w:t>Rīgas rajona tiesa</w:t>
            </w:r>
          </w:p>
        </w:tc>
      </w:tr>
      <w:tr>
        <w:trPr>
          <w:trHeight w:val="782" w:hRule="atLeast"/>
        </w:trPr>
        <w:tc>
          <w:tcPr>
            <w:tcW w:w="785" w:type="dxa"/>
          </w:tcPr>
          <w:p>
            <w:pPr>
              <w:pStyle w:val="TableParagraph"/>
              <w:spacing w:before="4"/>
              <w:rPr>
                <w:b/>
                <w:sz w:val="22"/>
              </w:rPr>
            </w:pPr>
          </w:p>
          <w:p>
            <w:pPr>
              <w:pStyle w:val="TableParagraph"/>
              <w:ind w:left="86" w:right="79"/>
              <w:jc w:val="center"/>
              <w:rPr>
                <w:sz w:val="22"/>
              </w:rPr>
            </w:pPr>
            <w:r>
              <w:rPr>
                <w:sz w:val="22"/>
              </w:rPr>
              <w:t>49</w:t>
            </w:r>
          </w:p>
        </w:tc>
        <w:tc>
          <w:tcPr>
            <w:tcW w:w="2501" w:type="dxa"/>
          </w:tcPr>
          <w:p>
            <w:pPr>
              <w:pStyle w:val="TableParagraph"/>
              <w:spacing w:before="4"/>
              <w:rPr>
                <w:b/>
                <w:sz w:val="22"/>
              </w:rPr>
            </w:pPr>
          </w:p>
          <w:p>
            <w:pPr>
              <w:pStyle w:val="TableParagraph"/>
              <w:ind w:left="184" w:right="173"/>
              <w:jc w:val="center"/>
              <w:rPr>
                <w:sz w:val="22"/>
              </w:rPr>
            </w:pPr>
            <w:r>
              <w:rPr>
                <w:sz w:val="22"/>
              </w:rPr>
              <w:t>C37106516</w:t>
            </w:r>
          </w:p>
        </w:tc>
        <w:tc>
          <w:tcPr>
            <w:tcW w:w="2551" w:type="dxa"/>
          </w:tcPr>
          <w:p>
            <w:pPr>
              <w:pStyle w:val="TableParagraph"/>
              <w:spacing w:before="4"/>
              <w:rPr>
                <w:b/>
                <w:sz w:val="22"/>
              </w:rPr>
            </w:pPr>
          </w:p>
          <w:p>
            <w:pPr>
              <w:pStyle w:val="TableParagraph"/>
              <w:ind w:left="366" w:right="355"/>
              <w:jc w:val="center"/>
              <w:rPr>
                <w:sz w:val="22"/>
              </w:rPr>
            </w:pPr>
            <w:r>
              <w:rPr>
                <w:sz w:val="22"/>
              </w:rPr>
              <w:t>31.08.2018.</w:t>
            </w:r>
          </w:p>
        </w:tc>
        <w:tc>
          <w:tcPr>
            <w:tcW w:w="3117" w:type="dxa"/>
          </w:tcPr>
          <w:p>
            <w:pPr>
              <w:pStyle w:val="TableParagraph"/>
              <w:spacing w:before="4"/>
              <w:rPr>
                <w:b/>
                <w:sz w:val="22"/>
              </w:rPr>
            </w:pPr>
          </w:p>
          <w:p>
            <w:pPr>
              <w:pStyle w:val="TableParagraph"/>
              <w:ind w:left="118" w:right="106"/>
              <w:jc w:val="center"/>
              <w:rPr>
                <w:sz w:val="22"/>
              </w:rPr>
            </w:pPr>
            <w:r>
              <w:rPr>
                <w:sz w:val="22"/>
              </w:rPr>
              <w:t>Zemgales rajona tiesa</w:t>
            </w:r>
          </w:p>
        </w:tc>
      </w:tr>
      <w:tr>
        <w:trPr>
          <w:trHeight w:val="779" w:hRule="atLeast"/>
        </w:trPr>
        <w:tc>
          <w:tcPr>
            <w:tcW w:w="785" w:type="dxa"/>
          </w:tcPr>
          <w:p>
            <w:pPr>
              <w:pStyle w:val="TableParagraph"/>
              <w:spacing w:before="2"/>
              <w:rPr>
                <w:b/>
                <w:sz w:val="22"/>
              </w:rPr>
            </w:pPr>
          </w:p>
          <w:p>
            <w:pPr>
              <w:pStyle w:val="TableParagraph"/>
              <w:ind w:left="86" w:right="79"/>
              <w:jc w:val="center"/>
              <w:rPr>
                <w:sz w:val="22"/>
              </w:rPr>
            </w:pPr>
            <w:r>
              <w:rPr>
                <w:sz w:val="22"/>
              </w:rPr>
              <w:t>50</w:t>
            </w:r>
          </w:p>
        </w:tc>
        <w:tc>
          <w:tcPr>
            <w:tcW w:w="2501" w:type="dxa"/>
          </w:tcPr>
          <w:p>
            <w:pPr>
              <w:pStyle w:val="TableParagraph"/>
              <w:spacing w:before="2"/>
              <w:rPr>
                <w:b/>
                <w:sz w:val="22"/>
              </w:rPr>
            </w:pPr>
          </w:p>
          <w:p>
            <w:pPr>
              <w:pStyle w:val="TableParagraph"/>
              <w:ind w:left="184" w:right="173"/>
              <w:jc w:val="center"/>
              <w:rPr>
                <w:sz w:val="22"/>
              </w:rPr>
            </w:pPr>
            <w:r>
              <w:rPr>
                <w:sz w:val="22"/>
              </w:rPr>
              <w:t>C26091817</w:t>
            </w:r>
          </w:p>
        </w:tc>
        <w:tc>
          <w:tcPr>
            <w:tcW w:w="2551" w:type="dxa"/>
          </w:tcPr>
          <w:p>
            <w:pPr>
              <w:pStyle w:val="TableParagraph"/>
              <w:spacing w:before="2"/>
              <w:rPr>
                <w:b/>
                <w:sz w:val="22"/>
              </w:rPr>
            </w:pPr>
          </w:p>
          <w:p>
            <w:pPr>
              <w:pStyle w:val="TableParagraph"/>
              <w:ind w:left="366" w:right="355"/>
              <w:jc w:val="center"/>
              <w:rPr>
                <w:sz w:val="22"/>
              </w:rPr>
            </w:pPr>
            <w:r>
              <w:rPr>
                <w:sz w:val="22"/>
              </w:rPr>
              <w:t>10.09.2018.</w:t>
            </w:r>
          </w:p>
        </w:tc>
        <w:tc>
          <w:tcPr>
            <w:tcW w:w="3117" w:type="dxa"/>
          </w:tcPr>
          <w:p>
            <w:pPr>
              <w:pStyle w:val="TableParagraph"/>
              <w:spacing w:before="2"/>
              <w:rPr>
                <w:b/>
                <w:sz w:val="22"/>
              </w:rPr>
            </w:pPr>
          </w:p>
          <w:p>
            <w:pPr>
              <w:pStyle w:val="TableParagraph"/>
              <w:ind w:left="119" w:right="106"/>
              <w:jc w:val="center"/>
              <w:rPr>
                <w:sz w:val="22"/>
              </w:rPr>
            </w:pPr>
            <w:r>
              <w:rPr>
                <w:sz w:val="22"/>
              </w:rPr>
              <w:t>Rēzeknes tiesa</w:t>
            </w:r>
          </w:p>
        </w:tc>
      </w:tr>
    </w:tbl>
    <w:p>
      <w:pPr>
        <w:pStyle w:val="BodyText"/>
        <w:jc w:val="left"/>
        <w:rPr>
          <w:b/>
          <w:sz w:val="20"/>
        </w:rPr>
      </w:pPr>
    </w:p>
    <w:p>
      <w:pPr>
        <w:pStyle w:val="BodyText"/>
        <w:jc w:val="left"/>
        <w:rPr>
          <w:b/>
          <w:sz w:val="18"/>
        </w:rPr>
      </w:pPr>
    </w:p>
    <w:p>
      <w:pPr>
        <w:spacing w:before="89"/>
        <w:ind w:left="1087" w:right="1320" w:firstLine="0"/>
        <w:jc w:val="center"/>
        <w:rPr>
          <w:b/>
          <w:sz w:val="28"/>
        </w:rPr>
      </w:pPr>
      <w:r>
        <w:rPr>
          <w:b/>
          <w:sz w:val="28"/>
        </w:rPr>
        <w:t>Nolēmumi, kuros analizēta parādnieka godprātība</w:t>
      </w:r>
    </w:p>
    <w:p>
      <w:pPr>
        <w:pStyle w:val="BodyText"/>
        <w:spacing w:before="3"/>
        <w:jc w:val="left"/>
        <w:rPr>
          <w:b/>
          <w:sz w:val="22"/>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2477"/>
        <w:gridCol w:w="2551"/>
        <w:gridCol w:w="3117"/>
      </w:tblGrid>
      <w:tr>
        <w:trPr>
          <w:trHeight w:val="779" w:hRule="atLeast"/>
        </w:trPr>
        <w:tc>
          <w:tcPr>
            <w:tcW w:w="785" w:type="dxa"/>
          </w:tcPr>
          <w:p>
            <w:pPr>
              <w:pStyle w:val="TableParagraph"/>
              <w:spacing w:before="9"/>
              <w:rPr>
                <w:b/>
                <w:sz w:val="22"/>
              </w:rPr>
            </w:pPr>
          </w:p>
          <w:p>
            <w:pPr>
              <w:pStyle w:val="TableParagraph"/>
              <w:ind w:left="87" w:right="79"/>
              <w:jc w:val="center"/>
              <w:rPr>
                <w:b/>
                <w:sz w:val="22"/>
              </w:rPr>
            </w:pPr>
            <w:r>
              <w:rPr>
                <w:b/>
                <w:sz w:val="22"/>
              </w:rPr>
              <w:t>N.p.k.</w:t>
            </w:r>
          </w:p>
        </w:tc>
        <w:tc>
          <w:tcPr>
            <w:tcW w:w="2477" w:type="dxa"/>
          </w:tcPr>
          <w:p>
            <w:pPr>
              <w:pStyle w:val="TableParagraph"/>
              <w:spacing w:before="9"/>
              <w:rPr>
                <w:b/>
                <w:sz w:val="22"/>
              </w:rPr>
            </w:pPr>
          </w:p>
          <w:p>
            <w:pPr>
              <w:pStyle w:val="TableParagraph"/>
              <w:ind w:left="93" w:right="81"/>
              <w:jc w:val="center"/>
              <w:rPr>
                <w:b/>
                <w:sz w:val="22"/>
              </w:rPr>
            </w:pPr>
            <w:r>
              <w:rPr>
                <w:b/>
                <w:sz w:val="22"/>
              </w:rPr>
              <w:t>Lietas numurs</w:t>
            </w:r>
          </w:p>
        </w:tc>
        <w:tc>
          <w:tcPr>
            <w:tcW w:w="2551" w:type="dxa"/>
          </w:tcPr>
          <w:p>
            <w:pPr>
              <w:pStyle w:val="TableParagraph"/>
              <w:spacing w:before="9"/>
              <w:rPr>
                <w:b/>
                <w:sz w:val="22"/>
              </w:rPr>
            </w:pPr>
          </w:p>
          <w:p>
            <w:pPr>
              <w:pStyle w:val="TableParagraph"/>
              <w:ind w:left="366" w:right="354"/>
              <w:jc w:val="center"/>
              <w:rPr>
                <w:b/>
                <w:sz w:val="22"/>
              </w:rPr>
            </w:pPr>
            <w:r>
              <w:rPr>
                <w:b/>
                <w:sz w:val="22"/>
              </w:rPr>
              <w:t>Nolēmuma datums</w:t>
            </w:r>
          </w:p>
        </w:tc>
        <w:tc>
          <w:tcPr>
            <w:tcW w:w="3117" w:type="dxa"/>
          </w:tcPr>
          <w:p>
            <w:pPr>
              <w:pStyle w:val="TableParagraph"/>
              <w:spacing w:before="9"/>
              <w:rPr>
                <w:b/>
                <w:sz w:val="22"/>
              </w:rPr>
            </w:pPr>
          </w:p>
          <w:p>
            <w:pPr>
              <w:pStyle w:val="TableParagraph"/>
              <w:ind w:left="118" w:right="106"/>
              <w:jc w:val="center"/>
              <w:rPr>
                <w:b/>
                <w:sz w:val="22"/>
              </w:rPr>
            </w:pPr>
            <w:r>
              <w:rPr>
                <w:b/>
                <w:sz w:val="22"/>
              </w:rPr>
              <w:t>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1</w:t>
            </w:r>
          </w:p>
        </w:tc>
        <w:tc>
          <w:tcPr>
            <w:tcW w:w="2477" w:type="dxa"/>
          </w:tcPr>
          <w:p>
            <w:pPr>
              <w:pStyle w:val="TableParagraph"/>
              <w:spacing w:before="4"/>
              <w:rPr>
                <w:b/>
                <w:sz w:val="22"/>
              </w:rPr>
            </w:pPr>
          </w:p>
          <w:p>
            <w:pPr>
              <w:pStyle w:val="TableParagraph"/>
              <w:ind w:left="93" w:right="81"/>
              <w:jc w:val="center"/>
              <w:rPr>
                <w:sz w:val="22"/>
              </w:rPr>
            </w:pPr>
            <w:r>
              <w:rPr>
                <w:sz w:val="22"/>
              </w:rPr>
              <w:t>C21038317</w:t>
            </w:r>
          </w:p>
        </w:tc>
        <w:tc>
          <w:tcPr>
            <w:tcW w:w="2551" w:type="dxa"/>
          </w:tcPr>
          <w:p>
            <w:pPr>
              <w:pStyle w:val="TableParagraph"/>
              <w:spacing w:before="4"/>
              <w:rPr>
                <w:b/>
                <w:sz w:val="22"/>
              </w:rPr>
            </w:pPr>
          </w:p>
          <w:p>
            <w:pPr>
              <w:pStyle w:val="TableParagraph"/>
              <w:ind w:left="365" w:right="355"/>
              <w:jc w:val="center"/>
              <w:rPr>
                <w:sz w:val="22"/>
              </w:rPr>
            </w:pPr>
            <w:r>
              <w:rPr>
                <w:sz w:val="22"/>
              </w:rPr>
              <w:t>21.09.2017.</w:t>
            </w:r>
          </w:p>
        </w:tc>
        <w:tc>
          <w:tcPr>
            <w:tcW w:w="3117" w:type="dxa"/>
          </w:tcPr>
          <w:p>
            <w:pPr>
              <w:pStyle w:val="TableParagraph"/>
              <w:spacing w:before="4"/>
              <w:rPr>
                <w:b/>
                <w:sz w:val="22"/>
              </w:rPr>
            </w:pPr>
          </w:p>
          <w:p>
            <w:pPr>
              <w:pStyle w:val="TableParagraph"/>
              <w:ind w:left="116" w:right="106"/>
              <w:jc w:val="center"/>
              <w:rPr>
                <w:sz w:val="22"/>
              </w:rPr>
            </w:pPr>
            <w:r>
              <w:rPr>
                <w:sz w:val="22"/>
              </w:rPr>
              <w:t>Limbažu rajona 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3</w:t>
            </w:r>
          </w:p>
        </w:tc>
        <w:tc>
          <w:tcPr>
            <w:tcW w:w="2477" w:type="dxa"/>
          </w:tcPr>
          <w:p>
            <w:pPr>
              <w:pStyle w:val="TableParagraph"/>
              <w:spacing w:before="4"/>
              <w:rPr>
                <w:b/>
                <w:sz w:val="22"/>
              </w:rPr>
            </w:pPr>
          </w:p>
          <w:p>
            <w:pPr>
              <w:pStyle w:val="TableParagraph"/>
              <w:ind w:left="93" w:right="81"/>
              <w:jc w:val="center"/>
              <w:rPr>
                <w:sz w:val="22"/>
              </w:rPr>
            </w:pPr>
            <w:r>
              <w:rPr>
                <w:sz w:val="22"/>
              </w:rPr>
              <w:t>C21019118</w:t>
            </w:r>
          </w:p>
        </w:tc>
        <w:tc>
          <w:tcPr>
            <w:tcW w:w="2551" w:type="dxa"/>
          </w:tcPr>
          <w:p>
            <w:pPr>
              <w:pStyle w:val="TableParagraph"/>
              <w:spacing w:before="4"/>
              <w:rPr>
                <w:b/>
                <w:sz w:val="22"/>
              </w:rPr>
            </w:pPr>
          </w:p>
          <w:p>
            <w:pPr>
              <w:pStyle w:val="TableParagraph"/>
              <w:ind w:left="365" w:right="355"/>
              <w:jc w:val="center"/>
              <w:rPr>
                <w:sz w:val="22"/>
              </w:rPr>
            </w:pPr>
            <w:r>
              <w:rPr>
                <w:sz w:val="22"/>
              </w:rPr>
              <w:t>07.08.2018.</w:t>
            </w:r>
          </w:p>
        </w:tc>
        <w:tc>
          <w:tcPr>
            <w:tcW w:w="3117" w:type="dxa"/>
          </w:tcPr>
          <w:p>
            <w:pPr>
              <w:pStyle w:val="TableParagraph"/>
              <w:spacing w:before="130"/>
              <w:ind w:left="1050" w:right="515" w:hanging="507"/>
              <w:rPr>
                <w:sz w:val="22"/>
              </w:rPr>
            </w:pPr>
            <w:r>
              <w:rPr>
                <w:sz w:val="22"/>
              </w:rPr>
              <w:t>Vidzemes rajona tiesas (Limbažos)</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3</w:t>
            </w:r>
          </w:p>
        </w:tc>
        <w:tc>
          <w:tcPr>
            <w:tcW w:w="2477" w:type="dxa"/>
          </w:tcPr>
          <w:p>
            <w:pPr>
              <w:pStyle w:val="TableParagraph"/>
              <w:spacing w:before="4"/>
              <w:rPr>
                <w:b/>
                <w:sz w:val="23"/>
              </w:rPr>
            </w:pPr>
          </w:p>
          <w:p>
            <w:pPr>
              <w:pStyle w:val="TableParagraph"/>
              <w:ind w:left="91" w:right="84"/>
              <w:jc w:val="center"/>
              <w:rPr>
                <w:sz w:val="20"/>
              </w:rPr>
            </w:pPr>
            <w:r>
              <w:rPr>
                <w:sz w:val="20"/>
              </w:rPr>
              <w:t>C33319614</w:t>
            </w:r>
          </w:p>
        </w:tc>
        <w:tc>
          <w:tcPr>
            <w:tcW w:w="2551" w:type="dxa"/>
          </w:tcPr>
          <w:p>
            <w:pPr>
              <w:pStyle w:val="TableParagraph"/>
              <w:spacing w:before="4"/>
              <w:rPr>
                <w:b/>
                <w:sz w:val="22"/>
              </w:rPr>
            </w:pPr>
          </w:p>
          <w:p>
            <w:pPr>
              <w:pStyle w:val="TableParagraph"/>
              <w:ind w:left="366" w:right="355"/>
              <w:jc w:val="center"/>
              <w:rPr>
                <w:sz w:val="22"/>
              </w:rPr>
            </w:pPr>
            <w:r>
              <w:rPr>
                <w:sz w:val="22"/>
              </w:rPr>
              <w:t>04.04.2018.</w:t>
            </w:r>
          </w:p>
        </w:tc>
        <w:tc>
          <w:tcPr>
            <w:tcW w:w="3117" w:type="dxa"/>
          </w:tcPr>
          <w:p>
            <w:pPr>
              <w:pStyle w:val="TableParagraph"/>
              <w:spacing w:before="4"/>
              <w:rPr>
                <w:b/>
                <w:sz w:val="22"/>
              </w:rPr>
            </w:pPr>
          </w:p>
          <w:p>
            <w:pPr>
              <w:pStyle w:val="TableParagraph"/>
              <w:ind w:left="119" w:right="106"/>
              <w:jc w:val="center"/>
              <w:rPr>
                <w:sz w:val="22"/>
              </w:rPr>
            </w:pPr>
            <w:r>
              <w:rPr>
                <w:sz w:val="22"/>
              </w:rPr>
              <w:t>Rīgas rajona tiesa</w:t>
            </w:r>
          </w:p>
        </w:tc>
      </w:tr>
      <w:tr>
        <w:trPr>
          <w:trHeight w:val="782" w:hRule="atLeast"/>
        </w:trPr>
        <w:tc>
          <w:tcPr>
            <w:tcW w:w="785" w:type="dxa"/>
          </w:tcPr>
          <w:p>
            <w:pPr>
              <w:pStyle w:val="TableParagraph"/>
              <w:spacing w:before="4"/>
              <w:rPr>
                <w:b/>
                <w:sz w:val="22"/>
              </w:rPr>
            </w:pPr>
          </w:p>
          <w:p>
            <w:pPr>
              <w:pStyle w:val="TableParagraph"/>
              <w:ind w:left="7"/>
              <w:jc w:val="center"/>
              <w:rPr>
                <w:sz w:val="22"/>
              </w:rPr>
            </w:pPr>
            <w:r>
              <w:rPr>
                <w:w w:val="100"/>
                <w:sz w:val="22"/>
              </w:rPr>
              <w:t>4</w:t>
            </w:r>
          </w:p>
        </w:tc>
        <w:tc>
          <w:tcPr>
            <w:tcW w:w="2477" w:type="dxa"/>
          </w:tcPr>
          <w:p>
            <w:pPr>
              <w:pStyle w:val="TableParagraph"/>
              <w:spacing w:before="4"/>
              <w:rPr>
                <w:b/>
                <w:sz w:val="23"/>
              </w:rPr>
            </w:pPr>
          </w:p>
          <w:p>
            <w:pPr>
              <w:pStyle w:val="TableParagraph"/>
              <w:ind w:left="91" w:right="84"/>
              <w:jc w:val="center"/>
              <w:rPr>
                <w:sz w:val="20"/>
              </w:rPr>
            </w:pPr>
            <w:r>
              <w:rPr>
                <w:sz w:val="20"/>
              </w:rPr>
              <w:t>C28287715</w:t>
            </w:r>
          </w:p>
        </w:tc>
        <w:tc>
          <w:tcPr>
            <w:tcW w:w="2551" w:type="dxa"/>
          </w:tcPr>
          <w:p>
            <w:pPr>
              <w:pStyle w:val="TableParagraph"/>
              <w:spacing w:before="4"/>
              <w:rPr>
                <w:b/>
                <w:sz w:val="22"/>
              </w:rPr>
            </w:pPr>
          </w:p>
          <w:p>
            <w:pPr>
              <w:pStyle w:val="TableParagraph"/>
              <w:ind w:left="366" w:right="355"/>
              <w:jc w:val="center"/>
              <w:rPr>
                <w:sz w:val="22"/>
              </w:rPr>
            </w:pPr>
            <w:r>
              <w:rPr>
                <w:sz w:val="22"/>
              </w:rPr>
              <w:t>27.09.2016.</w:t>
            </w:r>
          </w:p>
        </w:tc>
        <w:tc>
          <w:tcPr>
            <w:tcW w:w="3117" w:type="dxa"/>
          </w:tcPr>
          <w:p>
            <w:pPr>
              <w:pStyle w:val="TableParagraph"/>
              <w:spacing w:before="133"/>
              <w:ind w:left="1358" w:right="145" w:hanging="1184"/>
              <w:rPr>
                <w:sz w:val="22"/>
              </w:rPr>
            </w:pPr>
            <w:r>
              <w:rPr>
                <w:sz w:val="22"/>
              </w:rPr>
              <w:t>Rīgas pilsētas Kurzemes rajona tiesa</w:t>
            </w:r>
          </w:p>
        </w:tc>
      </w:tr>
    </w:tbl>
    <w:p>
      <w:pPr>
        <w:spacing w:after="0"/>
        <w:rPr>
          <w:sz w:val="22"/>
        </w:rPr>
        <w:sectPr>
          <w:pgSz w:w="11910" w:h="16840"/>
          <w:pgMar w:header="0" w:footer="1055" w:top="1420" w:bottom="1160" w:left="1180" w:right="1040"/>
        </w:sect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2477"/>
        <w:gridCol w:w="2551"/>
        <w:gridCol w:w="3117"/>
      </w:tblGrid>
      <w:tr>
        <w:trPr>
          <w:trHeight w:val="779" w:hRule="atLeast"/>
        </w:trPr>
        <w:tc>
          <w:tcPr>
            <w:tcW w:w="785" w:type="dxa"/>
          </w:tcPr>
          <w:p>
            <w:pPr>
              <w:pStyle w:val="TableParagraph"/>
              <w:spacing w:before="4"/>
              <w:rPr>
                <w:b/>
                <w:sz w:val="22"/>
              </w:rPr>
            </w:pPr>
          </w:p>
          <w:p>
            <w:pPr>
              <w:pStyle w:val="TableParagraph"/>
              <w:ind w:left="335"/>
              <w:rPr>
                <w:sz w:val="22"/>
              </w:rPr>
            </w:pPr>
            <w:r>
              <w:rPr>
                <w:w w:val="100"/>
                <w:sz w:val="22"/>
              </w:rPr>
              <w:t>5</w:t>
            </w:r>
          </w:p>
        </w:tc>
        <w:tc>
          <w:tcPr>
            <w:tcW w:w="2477" w:type="dxa"/>
          </w:tcPr>
          <w:p>
            <w:pPr>
              <w:pStyle w:val="TableParagraph"/>
              <w:spacing w:before="4"/>
              <w:rPr>
                <w:b/>
                <w:sz w:val="23"/>
              </w:rPr>
            </w:pPr>
          </w:p>
          <w:p>
            <w:pPr>
              <w:pStyle w:val="TableParagraph"/>
              <w:ind w:left="91" w:right="84"/>
              <w:jc w:val="center"/>
              <w:rPr>
                <w:sz w:val="20"/>
              </w:rPr>
            </w:pPr>
            <w:r>
              <w:rPr>
                <w:sz w:val="20"/>
              </w:rPr>
              <w:t>C33442016</w:t>
            </w:r>
          </w:p>
        </w:tc>
        <w:tc>
          <w:tcPr>
            <w:tcW w:w="2551" w:type="dxa"/>
          </w:tcPr>
          <w:p>
            <w:pPr>
              <w:pStyle w:val="TableParagraph"/>
              <w:spacing w:before="4"/>
              <w:rPr>
                <w:b/>
                <w:sz w:val="22"/>
              </w:rPr>
            </w:pPr>
          </w:p>
          <w:p>
            <w:pPr>
              <w:pStyle w:val="TableParagraph"/>
              <w:ind w:right="739"/>
              <w:jc w:val="right"/>
              <w:rPr>
                <w:sz w:val="22"/>
              </w:rPr>
            </w:pPr>
            <w:r>
              <w:rPr>
                <w:sz w:val="22"/>
              </w:rPr>
              <w:t>15.06.2017.</w:t>
            </w:r>
          </w:p>
        </w:tc>
        <w:tc>
          <w:tcPr>
            <w:tcW w:w="3117" w:type="dxa"/>
          </w:tcPr>
          <w:p>
            <w:pPr>
              <w:pStyle w:val="TableParagraph"/>
              <w:spacing w:before="4"/>
              <w:rPr>
                <w:b/>
                <w:sz w:val="22"/>
              </w:rPr>
            </w:pPr>
          </w:p>
          <w:p>
            <w:pPr>
              <w:pStyle w:val="TableParagraph"/>
              <w:ind w:left="119" w:right="106"/>
              <w:jc w:val="center"/>
              <w:rPr>
                <w:sz w:val="22"/>
              </w:rPr>
            </w:pPr>
            <w:r>
              <w:rPr>
                <w:sz w:val="22"/>
              </w:rPr>
              <w:t>Rīgas rajona tiesa</w:t>
            </w:r>
          </w:p>
        </w:tc>
      </w:tr>
      <w:tr>
        <w:trPr>
          <w:trHeight w:val="779" w:hRule="atLeast"/>
        </w:trPr>
        <w:tc>
          <w:tcPr>
            <w:tcW w:w="785" w:type="dxa"/>
          </w:tcPr>
          <w:p>
            <w:pPr>
              <w:pStyle w:val="TableParagraph"/>
              <w:spacing w:before="4"/>
              <w:rPr>
                <w:b/>
                <w:sz w:val="22"/>
              </w:rPr>
            </w:pPr>
          </w:p>
          <w:p>
            <w:pPr>
              <w:pStyle w:val="TableParagraph"/>
              <w:ind w:left="335"/>
              <w:rPr>
                <w:sz w:val="22"/>
              </w:rPr>
            </w:pPr>
            <w:r>
              <w:rPr>
                <w:w w:val="100"/>
                <w:sz w:val="22"/>
              </w:rPr>
              <w:t>6</w:t>
            </w:r>
          </w:p>
        </w:tc>
        <w:tc>
          <w:tcPr>
            <w:tcW w:w="2477" w:type="dxa"/>
          </w:tcPr>
          <w:p>
            <w:pPr>
              <w:pStyle w:val="TableParagraph"/>
              <w:spacing w:before="4"/>
              <w:rPr>
                <w:b/>
                <w:sz w:val="23"/>
              </w:rPr>
            </w:pPr>
          </w:p>
          <w:p>
            <w:pPr>
              <w:pStyle w:val="TableParagraph"/>
              <w:ind w:left="91" w:right="84"/>
              <w:jc w:val="center"/>
              <w:rPr>
                <w:sz w:val="20"/>
              </w:rPr>
            </w:pPr>
            <w:r>
              <w:rPr>
                <w:sz w:val="20"/>
              </w:rPr>
              <w:t>C28355616</w:t>
            </w:r>
          </w:p>
        </w:tc>
        <w:tc>
          <w:tcPr>
            <w:tcW w:w="2551" w:type="dxa"/>
          </w:tcPr>
          <w:p>
            <w:pPr>
              <w:pStyle w:val="TableParagraph"/>
              <w:spacing w:before="4"/>
              <w:rPr>
                <w:b/>
                <w:sz w:val="22"/>
              </w:rPr>
            </w:pPr>
          </w:p>
          <w:p>
            <w:pPr>
              <w:pStyle w:val="TableParagraph"/>
              <w:ind w:right="739"/>
              <w:jc w:val="right"/>
              <w:rPr>
                <w:sz w:val="22"/>
              </w:rPr>
            </w:pPr>
            <w:r>
              <w:rPr>
                <w:sz w:val="22"/>
              </w:rPr>
              <w:t>10.04.2017.</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r>
        <w:trPr>
          <w:trHeight w:val="782" w:hRule="atLeast"/>
        </w:trPr>
        <w:tc>
          <w:tcPr>
            <w:tcW w:w="785" w:type="dxa"/>
          </w:tcPr>
          <w:p>
            <w:pPr>
              <w:pStyle w:val="TableParagraph"/>
              <w:spacing w:before="4"/>
              <w:rPr>
                <w:b/>
                <w:sz w:val="22"/>
              </w:rPr>
            </w:pPr>
          </w:p>
          <w:p>
            <w:pPr>
              <w:pStyle w:val="TableParagraph"/>
              <w:ind w:left="335"/>
              <w:rPr>
                <w:sz w:val="22"/>
              </w:rPr>
            </w:pPr>
            <w:r>
              <w:rPr>
                <w:w w:val="100"/>
                <w:sz w:val="22"/>
              </w:rPr>
              <w:t>7</w:t>
            </w:r>
          </w:p>
        </w:tc>
        <w:tc>
          <w:tcPr>
            <w:tcW w:w="2477" w:type="dxa"/>
          </w:tcPr>
          <w:p>
            <w:pPr>
              <w:pStyle w:val="TableParagraph"/>
              <w:spacing w:before="4"/>
              <w:rPr>
                <w:b/>
                <w:sz w:val="23"/>
              </w:rPr>
            </w:pPr>
          </w:p>
          <w:p>
            <w:pPr>
              <w:pStyle w:val="TableParagraph"/>
              <w:ind w:left="91" w:right="84"/>
              <w:jc w:val="center"/>
              <w:rPr>
                <w:sz w:val="20"/>
              </w:rPr>
            </w:pPr>
            <w:r>
              <w:rPr>
                <w:sz w:val="20"/>
              </w:rPr>
              <w:t>C30631214</w:t>
            </w:r>
          </w:p>
        </w:tc>
        <w:tc>
          <w:tcPr>
            <w:tcW w:w="2551" w:type="dxa"/>
          </w:tcPr>
          <w:p>
            <w:pPr>
              <w:pStyle w:val="TableParagraph"/>
              <w:spacing w:before="4"/>
              <w:rPr>
                <w:b/>
                <w:sz w:val="22"/>
              </w:rPr>
            </w:pPr>
          </w:p>
          <w:p>
            <w:pPr>
              <w:pStyle w:val="TableParagraph"/>
              <w:ind w:right="739"/>
              <w:jc w:val="right"/>
              <w:rPr>
                <w:sz w:val="22"/>
              </w:rPr>
            </w:pPr>
            <w:r>
              <w:rPr>
                <w:sz w:val="22"/>
              </w:rPr>
              <w:t>03.05.2017.</w:t>
            </w:r>
          </w:p>
        </w:tc>
        <w:tc>
          <w:tcPr>
            <w:tcW w:w="3117" w:type="dxa"/>
          </w:tcPr>
          <w:p>
            <w:pPr>
              <w:pStyle w:val="TableParagraph"/>
              <w:spacing w:before="133"/>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2"/>
              <w:rPr>
                <w:b/>
                <w:sz w:val="22"/>
              </w:rPr>
            </w:pPr>
          </w:p>
          <w:p>
            <w:pPr>
              <w:pStyle w:val="TableParagraph"/>
              <w:ind w:left="335"/>
              <w:rPr>
                <w:sz w:val="22"/>
              </w:rPr>
            </w:pPr>
            <w:r>
              <w:rPr>
                <w:w w:val="100"/>
                <w:sz w:val="22"/>
              </w:rPr>
              <w:t>8</w:t>
            </w:r>
          </w:p>
        </w:tc>
        <w:tc>
          <w:tcPr>
            <w:tcW w:w="2477" w:type="dxa"/>
          </w:tcPr>
          <w:p>
            <w:pPr>
              <w:pStyle w:val="TableParagraph"/>
              <w:spacing w:before="2"/>
              <w:rPr>
                <w:b/>
                <w:sz w:val="23"/>
              </w:rPr>
            </w:pPr>
          </w:p>
          <w:p>
            <w:pPr>
              <w:pStyle w:val="TableParagraph"/>
              <w:ind w:left="91" w:right="84"/>
              <w:jc w:val="center"/>
              <w:rPr>
                <w:sz w:val="20"/>
              </w:rPr>
            </w:pPr>
            <w:r>
              <w:rPr>
                <w:sz w:val="20"/>
              </w:rPr>
              <w:t>C30572117</w:t>
            </w:r>
          </w:p>
        </w:tc>
        <w:tc>
          <w:tcPr>
            <w:tcW w:w="2551" w:type="dxa"/>
          </w:tcPr>
          <w:p>
            <w:pPr>
              <w:pStyle w:val="TableParagraph"/>
              <w:spacing w:before="2"/>
              <w:rPr>
                <w:b/>
                <w:sz w:val="22"/>
              </w:rPr>
            </w:pPr>
          </w:p>
          <w:p>
            <w:pPr>
              <w:pStyle w:val="TableParagraph"/>
              <w:ind w:right="739"/>
              <w:jc w:val="right"/>
              <w:rPr>
                <w:sz w:val="22"/>
              </w:rPr>
            </w:pPr>
            <w:r>
              <w:rPr>
                <w:sz w:val="22"/>
              </w:rPr>
              <w:t>11.12.2017.</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4"/>
              <w:rPr>
                <w:b/>
                <w:sz w:val="22"/>
              </w:rPr>
            </w:pPr>
          </w:p>
          <w:p>
            <w:pPr>
              <w:pStyle w:val="TableParagraph"/>
              <w:ind w:left="335"/>
              <w:rPr>
                <w:sz w:val="22"/>
              </w:rPr>
            </w:pPr>
            <w:r>
              <w:rPr>
                <w:w w:val="100"/>
                <w:sz w:val="22"/>
              </w:rPr>
              <w:t>9</w:t>
            </w:r>
          </w:p>
        </w:tc>
        <w:tc>
          <w:tcPr>
            <w:tcW w:w="2477" w:type="dxa"/>
          </w:tcPr>
          <w:p>
            <w:pPr>
              <w:pStyle w:val="TableParagraph"/>
              <w:spacing w:before="2"/>
              <w:rPr>
                <w:b/>
                <w:sz w:val="23"/>
              </w:rPr>
            </w:pPr>
          </w:p>
          <w:p>
            <w:pPr>
              <w:pStyle w:val="TableParagraph"/>
              <w:ind w:left="91" w:right="84"/>
              <w:jc w:val="center"/>
              <w:rPr>
                <w:sz w:val="20"/>
              </w:rPr>
            </w:pPr>
            <w:r>
              <w:rPr>
                <w:sz w:val="20"/>
              </w:rPr>
              <w:t>C71152018</w:t>
            </w:r>
          </w:p>
        </w:tc>
        <w:tc>
          <w:tcPr>
            <w:tcW w:w="2551" w:type="dxa"/>
          </w:tcPr>
          <w:p>
            <w:pPr>
              <w:pStyle w:val="TableParagraph"/>
              <w:spacing w:before="4"/>
              <w:rPr>
                <w:b/>
                <w:sz w:val="22"/>
              </w:rPr>
            </w:pPr>
          </w:p>
          <w:p>
            <w:pPr>
              <w:pStyle w:val="TableParagraph"/>
              <w:ind w:right="739"/>
              <w:jc w:val="right"/>
              <w:rPr>
                <w:sz w:val="22"/>
              </w:rPr>
            </w:pPr>
            <w:r>
              <w:rPr>
                <w:sz w:val="22"/>
              </w:rPr>
              <w:t>08.08.2018.</w:t>
            </w:r>
          </w:p>
        </w:tc>
        <w:tc>
          <w:tcPr>
            <w:tcW w:w="3117" w:type="dxa"/>
          </w:tcPr>
          <w:p>
            <w:pPr>
              <w:pStyle w:val="TableParagraph"/>
              <w:spacing w:before="4"/>
              <w:rPr>
                <w:b/>
                <w:sz w:val="22"/>
              </w:rPr>
            </w:pPr>
          </w:p>
          <w:p>
            <w:pPr>
              <w:pStyle w:val="TableParagraph"/>
              <w:ind w:left="117" w:right="106"/>
              <w:jc w:val="center"/>
              <w:rPr>
                <w:sz w:val="22"/>
              </w:rPr>
            </w:pPr>
            <w:r>
              <w:rPr>
                <w:sz w:val="22"/>
              </w:rPr>
              <w:t>Vidzemes rajona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10</w:t>
            </w:r>
          </w:p>
        </w:tc>
        <w:tc>
          <w:tcPr>
            <w:tcW w:w="2477" w:type="dxa"/>
          </w:tcPr>
          <w:p>
            <w:pPr>
              <w:pStyle w:val="TableParagraph"/>
              <w:spacing w:before="4"/>
              <w:rPr>
                <w:b/>
                <w:sz w:val="22"/>
              </w:rPr>
            </w:pPr>
          </w:p>
          <w:p>
            <w:pPr>
              <w:pStyle w:val="TableParagraph"/>
              <w:ind w:left="93" w:right="81"/>
              <w:jc w:val="center"/>
              <w:rPr>
                <w:sz w:val="22"/>
              </w:rPr>
            </w:pPr>
            <w:r>
              <w:rPr>
                <w:sz w:val="22"/>
              </w:rPr>
              <w:t>C13034414</w:t>
            </w:r>
          </w:p>
        </w:tc>
        <w:tc>
          <w:tcPr>
            <w:tcW w:w="2551" w:type="dxa"/>
          </w:tcPr>
          <w:p>
            <w:pPr>
              <w:pStyle w:val="TableParagraph"/>
              <w:spacing w:before="4"/>
              <w:rPr>
                <w:b/>
                <w:sz w:val="22"/>
              </w:rPr>
            </w:pPr>
          </w:p>
          <w:p>
            <w:pPr>
              <w:pStyle w:val="TableParagraph"/>
              <w:ind w:right="742"/>
              <w:jc w:val="right"/>
              <w:rPr>
                <w:sz w:val="22"/>
              </w:rPr>
            </w:pPr>
            <w:r>
              <w:rPr>
                <w:sz w:val="22"/>
              </w:rPr>
              <w:t>09.04.2014.</w:t>
            </w:r>
          </w:p>
        </w:tc>
        <w:tc>
          <w:tcPr>
            <w:tcW w:w="3117" w:type="dxa"/>
          </w:tcPr>
          <w:p>
            <w:pPr>
              <w:pStyle w:val="TableParagraph"/>
              <w:spacing w:before="4"/>
              <w:rPr>
                <w:b/>
                <w:sz w:val="22"/>
              </w:rPr>
            </w:pPr>
          </w:p>
          <w:p>
            <w:pPr>
              <w:pStyle w:val="TableParagraph"/>
              <w:ind w:left="118" w:right="106"/>
              <w:jc w:val="center"/>
              <w:rPr>
                <w:sz w:val="22"/>
              </w:rPr>
            </w:pPr>
            <w:r>
              <w:rPr>
                <w:sz w:val="22"/>
              </w:rPr>
              <w:t>Dobeles rajona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11</w:t>
            </w:r>
          </w:p>
        </w:tc>
        <w:tc>
          <w:tcPr>
            <w:tcW w:w="2477" w:type="dxa"/>
          </w:tcPr>
          <w:p>
            <w:pPr>
              <w:pStyle w:val="TableParagraph"/>
              <w:spacing w:before="4"/>
              <w:rPr>
                <w:b/>
                <w:sz w:val="22"/>
              </w:rPr>
            </w:pPr>
          </w:p>
          <w:p>
            <w:pPr>
              <w:pStyle w:val="TableParagraph"/>
              <w:ind w:left="93" w:right="81"/>
              <w:jc w:val="center"/>
              <w:rPr>
                <w:sz w:val="22"/>
              </w:rPr>
            </w:pPr>
            <w:r>
              <w:rPr>
                <w:sz w:val="22"/>
              </w:rPr>
              <w:t>C29589214</w:t>
            </w:r>
          </w:p>
        </w:tc>
        <w:tc>
          <w:tcPr>
            <w:tcW w:w="2551" w:type="dxa"/>
          </w:tcPr>
          <w:p>
            <w:pPr>
              <w:pStyle w:val="TableParagraph"/>
              <w:spacing w:before="4"/>
              <w:rPr>
                <w:b/>
                <w:sz w:val="22"/>
              </w:rPr>
            </w:pPr>
          </w:p>
          <w:p>
            <w:pPr>
              <w:pStyle w:val="TableParagraph"/>
              <w:ind w:right="739"/>
              <w:jc w:val="right"/>
              <w:rPr>
                <w:sz w:val="22"/>
              </w:rPr>
            </w:pPr>
            <w:r>
              <w:rPr>
                <w:sz w:val="22"/>
              </w:rPr>
              <w:t>12.06.2014.</w:t>
            </w:r>
          </w:p>
        </w:tc>
        <w:tc>
          <w:tcPr>
            <w:tcW w:w="3117" w:type="dxa"/>
          </w:tcPr>
          <w:p>
            <w:pPr>
              <w:pStyle w:val="TableParagraph"/>
              <w:spacing w:before="130"/>
              <w:ind w:left="731" w:right="522" w:hanging="183"/>
              <w:rPr>
                <w:sz w:val="22"/>
              </w:rPr>
            </w:pPr>
            <w:r>
              <w:rPr>
                <w:sz w:val="22"/>
              </w:rPr>
              <w:t>Rīgas pilsētas Latgales priekšpilsētas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12</w:t>
            </w:r>
          </w:p>
        </w:tc>
        <w:tc>
          <w:tcPr>
            <w:tcW w:w="2477" w:type="dxa"/>
          </w:tcPr>
          <w:p>
            <w:pPr>
              <w:pStyle w:val="TableParagraph"/>
              <w:spacing w:before="4"/>
              <w:rPr>
                <w:b/>
                <w:sz w:val="22"/>
              </w:rPr>
            </w:pPr>
          </w:p>
          <w:p>
            <w:pPr>
              <w:pStyle w:val="TableParagraph"/>
              <w:ind w:left="93" w:right="81"/>
              <w:jc w:val="center"/>
              <w:rPr>
                <w:sz w:val="22"/>
              </w:rPr>
            </w:pPr>
            <w:r>
              <w:rPr>
                <w:sz w:val="22"/>
              </w:rPr>
              <w:t>C13029716</w:t>
            </w:r>
          </w:p>
        </w:tc>
        <w:tc>
          <w:tcPr>
            <w:tcW w:w="2551" w:type="dxa"/>
          </w:tcPr>
          <w:p>
            <w:pPr>
              <w:pStyle w:val="TableParagraph"/>
              <w:spacing w:before="4"/>
              <w:rPr>
                <w:b/>
                <w:sz w:val="22"/>
              </w:rPr>
            </w:pPr>
          </w:p>
          <w:p>
            <w:pPr>
              <w:pStyle w:val="TableParagraph"/>
              <w:ind w:right="739"/>
              <w:jc w:val="right"/>
              <w:rPr>
                <w:sz w:val="22"/>
              </w:rPr>
            </w:pPr>
            <w:r>
              <w:rPr>
                <w:sz w:val="22"/>
              </w:rPr>
              <w:t>28.01.2016.</w:t>
            </w:r>
          </w:p>
        </w:tc>
        <w:tc>
          <w:tcPr>
            <w:tcW w:w="3117" w:type="dxa"/>
          </w:tcPr>
          <w:p>
            <w:pPr>
              <w:pStyle w:val="TableParagraph"/>
              <w:spacing w:before="4"/>
              <w:rPr>
                <w:b/>
                <w:sz w:val="22"/>
              </w:rPr>
            </w:pPr>
          </w:p>
          <w:p>
            <w:pPr>
              <w:pStyle w:val="TableParagraph"/>
              <w:ind w:left="118" w:right="106"/>
              <w:jc w:val="center"/>
              <w:rPr>
                <w:sz w:val="22"/>
              </w:rPr>
            </w:pPr>
            <w:r>
              <w:rPr>
                <w:sz w:val="22"/>
              </w:rPr>
              <w:t>Dobeles rajona tiesa</w:t>
            </w:r>
          </w:p>
        </w:tc>
      </w:tr>
      <w:tr>
        <w:trPr>
          <w:trHeight w:val="781" w:hRule="atLeast"/>
        </w:trPr>
        <w:tc>
          <w:tcPr>
            <w:tcW w:w="785" w:type="dxa"/>
          </w:tcPr>
          <w:p>
            <w:pPr>
              <w:pStyle w:val="TableParagraph"/>
              <w:spacing w:before="4"/>
              <w:rPr>
                <w:b/>
                <w:sz w:val="22"/>
              </w:rPr>
            </w:pPr>
          </w:p>
          <w:p>
            <w:pPr>
              <w:pStyle w:val="TableParagraph"/>
              <w:ind w:left="280"/>
              <w:rPr>
                <w:sz w:val="22"/>
              </w:rPr>
            </w:pPr>
            <w:r>
              <w:rPr>
                <w:sz w:val="22"/>
              </w:rPr>
              <w:t>13</w:t>
            </w:r>
          </w:p>
        </w:tc>
        <w:tc>
          <w:tcPr>
            <w:tcW w:w="2477" w:type="dxa"/>
          </w:tcPr>
          <w:p>
            <w:pPr>
              <w:pStyle w:val="TableParagraph"/>
              <w:spacing w:before="4"/>
              <w:rPr>
                <w:b/>
                <w:sz w:val="22"/>
              </w:rPr>
            </w:pPr>
          </w:p>
          <w:p>
            <w:pPr>
              <w:pStyle w:val="TableParagraph"/>
              <w:ind w:left="93" w:right="81"/>
              <w:jc w:val="center"/>
              <w:rPr>
                <w:sz w:val="22"/>
              </w:rPr>
            </w:pPr>
            <w:r>
              <w:rPr>
                <w:sz w:val="22"/>
              </w:rPr>
              <w:t>C24138715</w:t>
            </w:r>
          </w:p>
        </w:tc>
        <w:tc>
          <w:tcPr>
            <w:tcW w:w="2551" w:type="dxa"/>
          </w:tcPr>
          <w:p>
            <w:pPr>
              <w:pStyle w:val="TableParagraph"/>
              <w:spacing w:before="4"/>
              <w:rPr>
                <w:b/>
                <w:sz w:val="22"/>
              </w:rPr>
            </w:pPr>
          </w:p>
          <w:p>
            <w:pPr>
              <w:pStyle w:val="TableParagraph"/>
              <w:ind w:right="739"/>
              <w:jc w:val="right"/>
              <w:rPr>
                <w:sz w:val="22"/>
              </w:rPr>
            </w:pPr>
            <w:r>
              <w:rPr>
                <w:sz w:val="22"/>
              </w:rPr>
              <w:t>05.05.2015.</w:t>
            </w:r>
          </w:p>
        </w:tc>
        <w:tc>
          <w:tcPr>
            <w:tcW w:w="3117" w:type="dxa"/>
          </w:tcPr>
          <w:p>
            <w:pPr>
              <w:pStyle w:val="TableParagraph"/>
              <w:spacing w:before="4"/>
              <w:rPr>
                <w:b/>
                <w:sz w:val="22"/>
              </w:rPr>
            </w:pPr>
          </w:p>
          <w:p>
            <w:pPr>
              <w:pStyle w:val="TableParagraph"/>
              <w:ind w:left="119" w:right="106"/>
              <w:jc w:val="center"/>
              <w:rPr>
                <w:sz w:val="22"/>
              </w:rPr>
            </w:pPr>
            <w:r>
              <w:rPr>
                <w:sz w:val="22"/>
              </w:rPr>
              <w:t>Ogres rajona tiesa</w:t>
            </w:r>
          </w:p>
        </w:tc>
      </w:tr>
      <w:tr>
        <w:trPr>
          <w:trHeight w:val="779" w:hRule="atLeast"/>
        </w:trPr>
        <w:tc>
          <w:tcPr>
            <w:tcW w:w="785" w:type="dxa"/>
          </w:tcPr>
          <w:p>
            <w:pPr>
              <w:pStyle w:val="TableParagraph"/>
              <w:spacing w:before="2"/>
              <w:rPr>
                <w:b/>
                <w:sz w:val="22"/>
              </w:rPr>
            </w:pPr>
          </w:p>
          <w:p>
            <w:pPr>
              <w:pStyle w:val="TableParagraph"/>
              <w:ind w:left="280"/>
              <w:rPr>
                <w:sz w:val="22"/>
              </w:rPr>
            </w:pPr>
            <w:r>
              <w:rPr>
                <w:sz w:val="22"/>
              </w:rPr>
              <w:t>14</w:t>
            </w:r>
          </w:p>
        </w:tc>
        <w:tc>
          <w:tcPr>
            <w:tcW w:w="2477" w:type="dxa"/>
          </w:tcPr>
          <w:p>
            <w:pPr>
              <w:pStyle w:val="TableParagraph"/>
              <w:spacing w:before="2"/>
              <w:rPr>
                <w:b/>
                <w:sz w:val="22"/>
              </w:rPr>
            </w:pPr>
          </w:p>
          <w:p>
            <w:pPr>
              <w:pStyle w:val="TableParagraph"/>
              <w:ind w:left="93" w:right="81"/>
              <w:jc w:val="center"/>
              <w:rPr>
                <w:sz w:val="22"/>
              </w:rPr>
            </w:pPr>
            <w:r>
              <w:rPr>
                <w:sz w:val="22"/>
              </w:rPr>
              <w:t>C29577917</w:t>
            </w:r>
          </w:p>
        </w:tc>
        <w:tc>
          <w:tcPr>
            <w:tcW w:w="2551" w:type="dxa"/>
          </w:tcPr>
          <w:p>
            <w:pPr>
              <w:pStyle w:val="TableParagraph"/>
              <w:spacing w:before="2"/>
              <w:rPr>
                <w:b/>
                <w:sz w:val="22"/>
              </w:rPr>
            </w:pPr>
          </w:p>
          <w:p>
            <w:pPr>
              <w:pStyle w:val="TableParagraph"/>
              <w:ind w:right="739"/>
              <w:jc w:val="right"/>
              <w:rPr>
                <w:sz w:val="22"/>
              </w:rPr>
            </w:pPr>
            <w:r>
              <w:rPr>
                <w:sz w:val="22"/>
              </w:rPr>
              <w:t>04.01.2018.</w:t>
            </w:r>
          </w:p>
        </w:tc>
        <w:tc>
          <w:tcPr>
            <w:tcW w:w="3117" w:type="dxa"/>
          </w:tcPr>
          <w:p>
            <w:pPr>
              <w:pStyle w:val="TableParagraph"/>
              <w:spacing w:before="130"/>
              <w:ind w:left="731" w:right="522" w:hanging="183"/>
              <w:rPr>
                <w:sz w:val="22"/>
              </w:rPr>
            </w:pPr>
            <w:r>
              <w:rPr>
                <w:sz w:val="22"/>
              </w:rPr>
              <w:t>Rīgas pilsētas Latgales priekšpilsētas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15</w:t>
            </w:r>
          </w:p>
        </w:tc>
        <w:tc>
          <w:tcPr>
            <w:tcW w:w="2477" w:type="dxa"/>
          </w:tcPr>
          <w:p>
            <w:pPr>
              <w:pStyle w:val="TableParagraph"/>
              <w:spacing w:before="4"/>
              <w:rPr>
                <w:b/>
                <w:sz w:val="22"/>
              </w:rPr>
            </w:pPr>
          </w:p>
          <w:p>
            <w:pPr>
              <w:pStyle w:val="TableParagraph"/>
              <w:ind w:left="89" w:right="84"/>
              <w:jc w:val="center"/>
              <w:rPr>
                <w:sz w:val="22"/>
              </w:rPr>
            </w:pPr>
            <w:r>
              <w:rPr>
                <w:sz w:val="22"/>
              </w:rPr>
              <w:t>C34022218</w:t>
            </w:r>
          </w:p>
        </w:tc>
        <w:tc>
          <w:tcPr>
            <w:tcW w:w="2551" w:type="dxa"/>
          </w:tcPr>
          <w:p>
            <w:pPr>
              <w:pStyle w:val="TableParagraph"/>
              <w:spacing w:before="4"/>
              <w:rPr>
                <w:b/>
                <w:sz w:val="22"/>
              </w:rPr>
            </w:pPr>
          </w:p>
          <w:p>
            <w:pPr>
              <w:pStyle w:val="TableParagraph"/>
              <w:ind w:right="740"/>
              <w:jc w:val="right"/>
              <w:rPr>
                <w:sz w:val="22"/>
              </w:rPr>
            </w:pPr>
            <w:r>
              <w:rPr>
                <w:sz w:val="22"/>
              </w:rPr>
              <w:t>01.03.2018.</w:t>
            </w:r>
          </w:p>
        </w:tc>
        <w:tc>
          <w:tcPr>
            <w:tcW w:w="3117" w:type="dxa"/>
          </w:tcPr>
          <w:p>
            <w:pPr>
              <w:pStyle w:val="TableParagraph"/>
              <w:spacing w:before="4"/>
              <w:rPr>
                <w:b/>
                <w:sz w:val="22"/>
              </w:rPr>
            </w:pPr>
          </w:p>
          <w:p>
            <w:pPr>
              <w:pStyle w:val="TableParagraph"/>
              <w:ind w:left="119" w:right="106"/>
              <w:jc w:val="center"/>
              <w:rPr>
                <w:sz w:val="22"/>
              </w:rPr>
            </w:pPr>
            <w:r>
              <w:rPr>
                <w:sz w:val="22"/>
              </w:rPr>
              <w:t>Kurzemes apgabaltiesa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16</w:t>
            </w:r>
          </w:p>
        </w:tc>
        <w:tc>
          <w:tcPr>
            <w:tcW w:w="2477" w:type="dxa"/>
          </w:tcPr>
          <w:p>
            <w:pPr>
              <w:pStyle w:val="TableParagraph"/>
              <w:spacing w:before="4"/>
              <w:rPr>
                <w:b/>
                <w:sz w:val="22"/>
              </w:rPr>
            </w:pPr>
          </w:p>
          <w:p>
            <w:pPr>
              <w:pStyle w:val="TableParagraph"/>
              <w:ind w:left="93" w:right="81"/>
              <w:jc w:val="center"/>
              <w:rPr>
                <w:sz w:val="22"/>
              </w:rPr>
            </w:pPr>
            <w:r>
              <w:rPr>
                <w:sz w:val="22"/>
              </w:rPr>
              <w:t>C71207218</w:t>
            </w:r>
          </w:p>
        </w:tc>
        <w:tc>
          <w:tcPr>
            <w:tcW w:w="2551" w:type="dxa"/>
          </w:tcPr>
          <w:p>
            <w:pPr>
              <w:pStyle w:val="TableParagraph"/>
              <w:spacing w:before="4"/>
              <w:rPr>
                <w:b/>
                <w:sz w:val="22"/>
              </w:rPr>
            </w:pPr>
          </w:p>
          <w:p>
            <w:pPr>
              <w:pStyle w:val="TableParagraph"/>
              <w:ind w:right="739"/>
              <w:jc w:val="right"/>
              <w:rPr>
                <w:sz w:val="22"/>
              </w:rPr>
            </w:pPr>
            <w:r>
              <w:rPr>
                <w:sz w:val="22"/>
              </w:rPr>
              <w:t>14.09.2018.</w:t>
            </w:r>
          </w:p>
        </w:tc>
        <w:tc>
          <w:tcPr>
            <w:tcW w:w="3117" w:type="dxa"/>
          </w:tcPr>
          <w:p>
            <w:pPr>
              <w:pStyle w:val="TableParagraph"/>
              <w:spacing w:before="130"/>
              <w:ind w:left="913" w:right="477" w:hanging="411"/>
              <w:rPr>
                <w:sz w:val="22"/>
              </w:rPr>
            </w:pPr>
            <w:r>
              <w:rPr>
                <w:sz w:val="22"/>
              </w:rPr>
              <w:t>Vidzemes apgabaltiesas Civillietu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17</w:t>
            </w:r>
          </w:p>
        </w:tc>
        <w:tc>
          <w:tcPr>
            <w:tcW w:w="2477" w:type="dxa"/>
          </w:tcPr>
          <w:p>
            <w:pPr>
              <w:pStyle w:val="TableParagraph"/>
              <w:spacing w:before="4"/>
              <w:rPr>
                <w:b/>
                <w:sz w:val="22"/>
              </w:rPr>
            </w:pPr>
          </w:p>
          <w:p>
            <w:pPr>
              <w:pStyle w:val="TableParagraph"/>
              <w:ind w:left="93" w:right="81"/>
              <w:jc w:val="center"/>
              <w:rPr>
                <w:sz w:val="22"/>
              </w:rPr>
            </w:pPr>
            <w:r>
              <w:rPr>
                <w:sz w:val="22"/>
              </w:rPr>
              <w:t>C33386417</w:t>
            </w:r>
          </w:p>
        </w:tc>
        <w:tc>
          <w:tcPr>
            <w:tcW w:w="2551" w:type="dxa"/>
          </w:tcPr>
          <w:p>
            <w:pPr>
              <w:pStyle w:val="TableParagraph"/>
              <w:spacing w:before="4"/>
              <w:rPr>
                <w:b/>
                <w:sz w:val="22"/>
              </w:rPr>
            </w:pPr>
          </w:p>
          <w:p>
            <w:pPr>
              <w:pStyle w:val="TableParagraph"/>
              <w:ind w:right="739"/>
              <w:jc w:val="right"/>
              <w:rPr>
                <w:sz w:val="22"/>
              </w:rPr>
            </w:pPr>
            <w:r>
              <w:rPr>
                <w:sz w:val="22"/>
              </w:rPr>
              <w:t>03.05.2017.</w:t>
            </w:r>
          </w:p>
        </w:tc>
        <w:tc>
          <w:tcPr>
            <w:tcW w:w="3117" w:type="dxa"/>
          </w:tcPr>
          <w:p>
            <w:pPr>
              <w:pStyle w:val="TableParagraph"/>
              <w:spacing w:before="130"/>
              <w:ind w:left="933" w:right="220" w:hanging="682"/>
              <w:rPr>
                <w:sz w:val="22"/>
              </w:rPr>
            </w:pPr>
            <w:r>
              <w:rPr>
                <w:sz w:val="22"/>
              </w:rPr>
              <w:t>Rīgas apgabaltiesas Civillietu tiesas kolēģija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18</w:t>
            </w:r>
          </w:p>
        </w:tc>
        <w:tc>
          <w:tcPr>
            <w:tcW w:w="2477" w:type="dxa"/>
          </w:tcPr>
          <w:p>
            <w:pPr>
              <w:pStyle w:val="TableParagraph"/>
              <w:spacing w:before="4"/>
              <w:rPr>
                <w:b/>
                <w:sz w:val="22"/>
              </w:rPr>
            </w:pPr>
          </w:p>
          <w:p>
            <w:pPr>
              <w:pStyle w:val="TableParagraph"/>
              <w:ind w:left="93" w:right="81"/>
              <w:jc w:val="center"/>
              <w:rPr>
                <w:sz w:val="22"/>
              </w:rPr>
            </w:pPr>
            <w:r>
              <w:rPr>
                <w:sz w:val="22"/>
              </w:rPr>
              <w:t>C28333215</w:t>
            </w:r>
          </w:p>
        </w:tc>
        <w:tc>
          <w:tcPr>
            <w:tcW w:w="2551" w:type="dxa"/>
          </w:tcPr>
          <w:p>
            <w:pPr>
              <w:pStyle w:val="TableParagraph"/>
              <w:spacing w:before="4"/>
              <w:rPr>
                <w:b/>
                <w:sz w:val="22"/>
              </w:rPr>
            </w:pPr>
          </w:p>
          <w:p>
            <w:pPr>
              <w:pStyle w:val="TableParagraph"/>
              <w:ind w:right="739"/>
              <w:jc w:val="right"/>
              <w:rPr>
                <w:sz w:val="22"/>
              </w:rPr>
            </w:pPr>
            <w:r>
              <w:rPr>
                <w:sz w:val="22"/>
              </w:rPr>
              <w:t>02.09.2015.</w:t>
            </w:r>
          </w:p>
        </w:tc>
        <w:tc>
          <w:tcPr>
            <w:tcW w:w="3117" w:type="dxa"/>
          </w:tcPr>
          <w:p>
            <w:pPr>
              <w:pStyle w:val="TableParagraph"/>
              <w:spacing w:before="130"/>
              <w:ind w:left="1355" w:right="145" w:hanging="1181"/>
              <w:rPr>
                <w:sz w:val="22"/>
              </w:rPr>
            </w:pPr>
            <w:r>
              <w:rPr>
                <w:sz w:val="22"/>
              </w:rPr>
              <w:t>Rīgas pilsētas Kurzemes rajona tiesa</w:t>
            </w:r>
          </w:p>
        </w:tc>
      </w:tr>
      <w:tr>
        <w:trPr>
          <w:trHeight w:val="781" w:hRule="atLeast"/>
        </w:trPr>
        <w:tc>
          <w:tcPr>
            <w:tcW w:w="785" w:type="dxa"/>
          </w:tcPr>
          <w:p>
            <w:pPr>
              <w:pStyle w:val="TableParagraph"/>
              <w:spacing w:before="4"/>
              <w:rPr>
                <w:b/>
                <w:sz w:val="22"/>
              </w:rPr>
            </w:pPr>
          </w:p>
          <w:p>
            <w:pPr>
              <w:pStyle w:val="TableParagraph"/>
              <w:ind w:left="280"/>
              <w:rPr>
                <w:sz w:val="22"/>
              </w:rPr>
            </w:pPr>
            <w:r>
              <w:rPr>
                <w:sz w:val="22"/>
              </w:rPr>
              <w:t>19</w:t>
            </w:r>
          </w:p>
        </w:tc>
        <w:tc>
          <w:tcPr>
            <w:tcW w:w="2477" w:type="dxa"/>
          </w:tcPr>
          <w:p>
            <w:pPr>
              <w:pStyle w:val="TableParagraph"/>
              <w:spacing w:before="4"/>
              <w:rPr>
                <w:b/>
                <w:sz w:val="22"/>
              </w:rPr>
            </w:pPr>
          </w:p>
          <w:p>
            <w:pPr>
              <w:pStyle w:val="TableParagraph"/>
              <w:ind w:left="93" w:right="81"/>
              <w:jc w:val="center"/>
              <w:rPr>
                <w:sz w:val="22"/>
              </w:rPr>
            </w:pPr>
            <w:r>
              <w:rPr>
                <w:sz w:val="22"/>
              </w:rPr>
              <w:t>C11104315</w:t>
            </w:r>
          </w:p>
        </w:tc>
        <w:tc>
          <w:tcPr>
            <w:tcW w:w="2551" w:type="dxa"/>
          </w:tcPr>
          <w:p>
            <w:pPr>
              <w:pStyle w:val="TableParagraph"/>
              <w:spacing w:before="4"/>
              <w:rPr>
                <w:b/>
                <w:sz w:val="22"/>
              </w:rPr>
            </w:pPr>
          </w:p>
          <w:p>
            <w:pPr>
              <w:pStyle w:val="TableParagraph"/>
              <w:ind w:right="739"/>
              <w:jc w:val="right"/>
              <w:rPr>
                <w:sz w:val="22"/>
              </w:rPr>
            </w:pPr>
            <w:r>
              <w:rPr>
                <w:sz w:val="22"/>
              </w:rPr>
              <w:t>16.09.2015.</w:t>
            </w:r>
          </w:p>
        </w:tc>
        <w:tc>
          <w:tcPr>
            <w:tcW w:w="3117" w:type="dxa"/>
          </w:tcPr>
          <w:p>
            <w:pPr>
              <w:pStyle w:val="TableParagraph"/>
              <w:spacing w:before="4"/>
              <w:rPr>
                <w:b/>
                <w:sz w:val="22"/>
              </w:rPr>
            </w:pPr>
          </w:p>
          <w:p>
            <w:pPr>
              <w:pStyle w:val="TableParagraph"/>
              <w:ind w:left="119" w:right="105"/>
              <w:jc w:val="center"/>
              <w:rPr>
                <w:sz w:val="22"/>
              </w:rPr>
            </w:pPr>
            <w:r>
              <w:rPr>
                <w:sz w:val="22"/>
              </w:rPr>
              <w:t>Cēsu rajona tiesa</w:t>
            </w:r>
          </w:p>
        </w:tc>
      </w:tr>
      <w:tr>
        <w:trPr>
          <w:trHeight w:val="779" w:hRule="atLeast"/>
        </w:trPr>
        <w:tc>
          <w:tcPr>
            <w:tcW w:w="785" w:type="dxa"/>
          </w:tcPr>
          <w:p>
            <w:pPr>
              <w:pStyle w:val="TableParagraph"/>
              <w:spacing w:before="2"/>
              <w:rPr>
                <w:b/>
                <w:sz w:val="22"/>
              </w:rPr>
            </w:pPr>
          </w:p>
          <w:p>
            <w:pPr>
              <w:pStyle w:val="TableParagraph"/>
              <w:ind w:left="280"/>
              <w:rPr>
                <w:sz w:val="22"/>
              </w:rPr>
            </w:pPr>
            <w:r>
              <w:rPr>
                <w:sz w:val="22"/>
              </w:rPr>
              <w:t>20</w:t>
            </w:r>
          </w:p>
        </w:tc>
        <w:tc>
          <w:tcPr>
            <w:tcW w:w="2477" w:type="dxa"/>
          </w:tcPr>
          <w:p>
            <w:pPr>
              <w:pStyle w:val="TableParagraph"/>
              <w:spacing w:before="2"/>
              <w:rPr>
                <w:b/>
                <w:sz w:val="22"/>
              </w:rPr>
            </w:pPr>
          </w:p>
          <w:p>
            <w:pPr>
              <w:pStyle w:val="TableParagraph"/>
              <w:ind w:left="93" w:right="81"/>
              <w:jc w:val="center"/>
              <w:rPr>
                <w:sz w:val="22"/>
              </w:rPr>
            </w:pPr>
            <w:r>
              <w:rPr>
                <w:sz w:val="22"/>
              </w:rPr>
              <w:t>C11089116</w:t>
            </w:r>
          </w:p>
        </w:tc>
        <w:tc>
          <w:tcPr>
            <w:tcW w:w="2551" w:type="dxa"/>
          </w:tcPr>
          <w:p>
            <w:pPr>
              <w:pStyle w:val="TableParagraph"/>
              <w:spacing w:before="2"/>
              <w:rPr>
                <w:b/>
                <w:sz w:val="22"/>
              </w:rPr>
            </w:pPr>
          </w:p>
          <w:p>
            <w:pPr>
              <w:pStyle w:val="TableParagraph"/>
              <w:ind w:right="739"/>
              <w:jc w:val="right"/>
              <w:rPr>
                <w:sz w:val="22"/>
              </w:rPr>
            </w:pPr>
            <w:r>
              <w:rPr>
                <w:sz w:val="22"/>
              </w:rPr>
              <w:t>30.08.2016.</w:t>
            </w:r>
          </w:p>
        </w:tc>
        <w:tc>
          <w:tcPr>
            <w:tcW w:w="3117" w:type="dxa"/>
          </w:tcPr>
          <w:p>
            <w:pPr>
              <w:pStyle w:val="TableParagraph"/>
              <w:spacing w:before="2"/>
              <w:rPr>
                <w:b/>
                <w:sz w:val="22"/>
              </w:rPr>
            </w:pPr>
          </w:p>
          <w:p>
            <w:pPr>
              <w:pStyle w:val="TableParagraph"/>
              <w:ind w:left="119" w:right="105"/>
              <w:jc w:val="center"/>
              <w:rPr>
                <w:sz w:val="22"/>
              </w:rPr>
            </w:pPr>
            <w:r>
              <w:rPr>
                <w:sz w:val="22"/>
              </w:rPr>
              <w:t>Cēsu rajona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21</w:t>
            </w:r>
          </w:p>
        </w:tc>
        <w:tc>
          <w:tcPr>
            <w:tcW w:w="2477" w:type="dxa"/>
          </w:tcPr>
          <w:p>
            <w:pPr>
              <w:pStyle w:val="TableParagraph"/>
              <w:spacing w:before="4"/>
              <w:rPr>
                <w:b/>
                <w:sz w:val="22"/>
              </w:rPr>
            </w:pPr>
          </w:p>
          <w:p>
            <w:pPr>
              <w:pStyle w:val="TableParagraph"/>
              <w:ind w:left="93" w:right="81"/>
              <w:jc w:val="center"/>
              <w:rPr>
                <w:sz w:val="22"/>
              </w:rPr>
            </w:pPr>
            <w:r>
              <w:rPr>
                <w:sz w:val="22"/>
              </w:rPr>
              <w:t>C33390617</w:t>
            </w:r>
          </w:p>
        </w:tc>
        <w:tc>
          <w:tcPr>
            <w:tcW w:w="2551" w:type="dxa"/>
          </w:tcPr>
          <w:p>
            <w:pPr>
              <w:pStyle w:val="TableParagraph"/>
              <w:spacing w:before="4"/>
              <w:rPr>
                <w:b/>
                <w:sz w:val="22"/>
              </w:rPr>
            </w:pPr>
          </w:p>
          <w:p>
            <w:pPr>
              <w:pStyle w:val="TableParagraph"/>
              <w:ind w:right="739"/>
              <w:jc w:val="right"/>
              <w:rPr>
                <w:sz w:val="22"/>
              </w:rPr>
            </w:pPr>
            <w:r>
              <w:rPr>
                <w:sz w:val="22"/>
              </w:rPr>
              <w:t>24.02.2017.</w:t>
            </w:r>
          </w:p>
        </w:tc>
        <w:tc>
          <w:tcPr>
            <w:tcW w:w="3117" w:type="dxa"/>
          </w:tcPr>
          <w:p>
            <w:pPr>
              <w:pStyle w:val="TableParagraph"/>
              <w:spacing w:before="4"/>
              <w:rPr>
                <w:b/>
                <w:sz w:val="22"/>
              </w:rPr>
            </w:pPr>
          </w:p>
          <w:p>
            <w:pPr>
              <w:pStyle w:val="TableParagraph"/>
              <w:ind w:left="119" w:right="104"/>
              <w:jc w:val="center"/>
              <w:rPr>
                <w:sz w:val="22"/>
              </w:rPr>
            </w:pPr>
            <w:r>
              <w:rPr>
                <w:sz w:val="22"/>
              </w:rPr>
              <w:t>Rīgas rajona tiesa</w:t>
            </w:r>
          </w:p>
        </w:tc>
      </w:tr>
    </w:tbl>
    <w:p>
      <w:pPr>
        <w:spacing w:after="0"/>
        <w:jc w:val="center"/>
        <w:rPr>
          <w:sz w:val="22"/>
        </w:rPr>
        <w:sectPr>
          <w:pgSz w:w="11910" w:h="16840"/>
          <w:pgMar w:header="0" w:footer="1055" w:top="1420" w:bottom="1160" w:left="1180" w:right="104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2477"/>
        <w:gridCol w:w="2551"/>
        <w:gridCol w:w="3117"/>
      </w:tblGrid>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22</w:t>
            </w:r>
          </w:p>
        </w:tc>
        <w:tc>
          <w:tcPr>
            <w:tcW w:w="2477" w:type="dxa"/>
          </w:tcPr>
          <w:p>
            <w:pPr>
              <w:pStyle w:val="TableParagraph"/>
              <w:spacing w:before="4"/>
              <w:rPr>
                <w:b/>
                <w:sz w:val="22"/>
              </w:rPr>
            </w:pPr>
          </w:p>
          <w:p>
            <w:pPr>
              <w:pStyle w:val="TableParagraph"/>
              <w:ind w:left="725"/>
              <w:rPr>
                <w:sz w:val="22"/>
              </w:rPr>
            </w:pPr>
            <w:r>
              <w:rPr>
                <w:sz w:val="22"/>
              </w:rPr>
              <w:t>C13076017</w:t>
            </w:r>
          </w:p>
        </w:tc>
        <w:tc>
          <w:tcPr>
            <w:tcW w:w="2551" w:type="dxa"/>
          </w:tcPr>
          <w:p>
            <w:pPr>
              <w:pStyle w:val="TableParagraph"/>
              <w:spacing w:before="4"/>
              <w:rPr>
                <w:b/>
                <w:sz w:val="22"/>
              </w:rPr>
            </w:pPr>
          </w:p>
          <w:p>
            <w:pPr>
              <w:pStyle w:val="TableParagraph"/>
              <w:ind w:left="752"/>
              <w:rPr>
                <w:sz w:val="22"/>
              </w:rPr>
            </w:pPr>
            <w:r>
              <w:rPr>
                <w:sz w:val="22"/>
              </w:rPr>
              <w:t>11.12.2017.</w:t>
            </w:r>
          </w:p>
        </w:tc>
        <w:tc>
          <w:tcPr>
            <w:tcW w:w="3117" w:type="dxa"/>
          </w:tcPr>
          <w:p>
            <w:pPr>
              <w:pStyle w:val="TableParagraph"/>
              <w:spacing w:before="4"/>
              <w:rPr>
                <w:b/>
                <w:sz w:val="22"/>
              </w:rPr>
            </w:pPr>
          </w:p>
          <w:p>
            <w:pPr>
              <w:pStyle w:val="TableParagraph"/>
              <w:ind w:left="118" w:right="106"/>
              <w:jc w:val="center"/>
              <w:rPr>
                <w:sz w:val="22"/>
              </w:rPr>
            </w:pPr>
            <w:r>
              <w:rPr>
                <w:sz w:val="22"/>
              </w:rPr>
              <w:t>Dobeles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23</w:t>
            </w:r>
          </w:p>
        </w:tc>
        <w:tc>
          <w:tcPr>
            <w:tcW w:w="2477" w:type="dxa"/>
          </w:tcPr>
          <w:p>
            <w:pPr>
              <w:pStyle w:val="TableParagraph"/>
              <w:spacing w:before="4"/>
              <w:rPr>
                <w:b/>
                <w:sz w:val="22"/>
              </w:rPr>
            </w:pPr>
          </w:p>
          <w:p>
            <w:pPr>
              <w:pStyle w:val="TableParagraph"/>
              <w:ind w:left="725"/>
              <w:rPr>
                <w:sz w:val="22"/>
              </w:rPr>
            </w:pPr>
            <w:r>
              <w:rPr>
                <w:sz w:val="22"/>
              </w:rPr>
              <w:t>C39123215</w:t>
            </w:r>
          </w:p>
        </w:tc>
        <w:tc>
          <w:tcPr>
            <w:tcW w:w="2551" w:type="dxa"/>
          </w:tcPr>
          <w:p>
            <w:pPr>
              <w:pStyle w:val="TableParagraph"/>
              <w:spacing w:before="4"/>
              <w:rPr>
                <w:b/>
                <w:sz w:val="22"/>
              </w:rPr>
            </w:pPr>
          </w:p>
          <w:p>
            <w:pPr>
              <w:pStyle w:val="TableParagraph"/>
              <w:ind w:left="752"/>
              <w:rPr>
                <w:sz w:val="22"/>
              </w:rPr>
            </w:pPr>
            <w:r>
              <w:rPr>
                <w:sz w:val="22"/>
              </w:rPr>
              <w:t>16.12.2015.</w:t>
            </w:r>
          </w:p>
        </w:tc>
        <w:tc>
          <w:tcPr>
            <w:tcW w:w="3117" w:type="dxa"/>
          </w:tcPr>
          <w:p>
            <w:pPr>
              <w:pStyle w:val="TableParagraph"/>
              <w:spacing w:before="4"/>
              <w:rPr>
                <w:b/>
                <w:sz w:val="22"/>
              </w:rPr>
            </w:pPr>
          </w:p>
          <w:p>
            <w:pPr>
              <w:pStyle w:val="TableParagraph"/>
              <w:ind w:left="119" w:right="106"/>
              <w:jc w:val="center"/>
              <w:rPr>
                <w:sz w:val="22"/>
              </w:rPr>
            </w:pPr>
            <w:r>
              <w:rPr>
                <w:sz w:val="22"/>
              </w:rPr>
              <w:t>Valmieras rajona tiesa</w:t>
            </w:r>
          </w:p>
        </w:tc>
      </w:tr>
      <w:tr>
        <w:trPr>
          <w:trHeight w:val="782" w:hRule="atLeast"/>
        </w:trPr>
        <w:tc>
          <w:tcPr>
            <w:tcW w:w="785" w:type="dxa"/>
          </w:tcPr>
          <w:p>
            <w:pPr>
              <w:pStyle w:val="TableParagraph"/>
              <w:spacing w:before="4"/>
              <w:rPr>
                <w:b/>
                <w:sz w:val="22"/>
              </w:rPr>
            </w:pPr>
          </w:p>
          <w:p>
            <w:pPr>
              <w:pStyle w:val="TableParagraph"/>
              <w:ind w:left="86" w:right="79"/>
              <w:jc w:val="center"/>
              <w:rPr>
                <w:sz w:val="22"/>
              </w:rPr>
            </w:pPr>
            <w:r>
              <w:rPr>
                <w:sz w:val="22"/>
              </w:rPr>
              <w:t>24</w:t>
            </w:r>
          </w:p>
        </w:tc>
        <w:tc>
          <w:tcPr>
            <w:tcW w:w="2477" w:type="dxa"/>
          </w:tcPr>
          <w:p>
            <w:pPr>
              <w:pStyle w:val="TableParagraph"/>
              <w:spacing w:before="4"/>
              <w:rPr>
                <w:b/>
                <w:sz w:val="23"/>
              </w:rPr>
            </w:pPr>
          </w:p>
          <w:p>
            <w:pPr>
              <w:pStyle w:val="TableParagraph"/>
              <w:ind w:left="769"/>
              <w:rPr>
                <w:sz w:val="20"/>
              </w:rPr>
            </w:pPr>
            <w:r>
              <w:rPr>
                <w:sz w:val="20"/>
              </w:rPr>
              <w:t>C08048015</w:t>
            </w:r>
          </w:p>
        </w:tc>
        <w:tc>
          <w:tcPr>
            <w:tcW w:w="2551" w:type="dxa"/>
          </w:tcPr>
          <w:p>
            <w:pPr>
              <w:pStyle w:val="TableParagraph"/>
              <w:spacing w:before="4"/>
              <w:rPr>
                <w:b/>
                <w:sz w:val="22"/>
              </w:rPr>
            </w:pPr>
          </w:p>
          <w:p>
            <w:pPr>
              <w:pStyle w:val="TableParagraph"/>
              <w:ind w:left="752"/>
              <w:rPr>
                <w:sz w:val="22"/>
              </w:rPr>
            </w:pPr>
            <w:r>
              <w:rPr>
                <w:sz w:val="22"/>
              </w:rPr>
              <w:t>13.01.2016.</w:t>
            </w:r>
          </w:p>
        </w:tc>
        <w:tc>
          <w:tcPr>
            <w:tcW w:w="3117" w:type="dxa"/>
          </w:tcPr>
          <w:p>
            <w:pPr>
              <w:pStyle w:val="TableParagraph"/>
              <w:spacing w:before="4"/>
              <w:rPr>
                <w:b/>
                <w:sz w:val="22"/>
              </w:rPr>
            </w:pPr>
          </w:p>
          <w:p>
            <w:pPr>
              <w:pStyle w:val="TableParagraph"/>
              <w:ind w:left="119" w:right="105"/>
              <w:jc w:val="center"/>
              <w:rPr>
                <w:sz w:val="22"/>
              </w:rPr>
            </w:pPr>
            <w:r>
              <w:rPr>
                <w:sz w:val="22"/>
              </w:rPr>
              <w:t>Alūksnes rajona tiesa</w:t>
            </w:r>
          </w:p>
        </w:tc>
      </w:tr>
      <w:tr>
        <w:trPr>
          <w:trHeight w:val="779" w:hRule="atLeast"/>
        </w:trPr>
        <w:tc>
          <w:tcPr>
            <w:tcW w:w="785" w:type="dxa"/>
          </w:tcPr>
          <w:p>
            <w:pPr>
              <w:pStyle w:val="TableParagraph"/>
              <w:spacing w:before="2"/>
              <w:rPr>
                <w:b/>
                <w:sz w:val="23"/>
              </w:rPr>
            </w:pPr>
          </w:p>
          <w:p>
            <w:pPr>
              <w:pStyle w:val="TableParagraph"/>
              <w:ind w:left="87" w:right="76"/>
              <w:jc w:val="center"/>
              <w:rPr>
                <w:sz w:val="20"/>
              </w:rPr>
            </w:pPr>
            <w:r>
              <w:rPr>
                <w:sz w:val="20"/>
              </w:rPr>
              <w:t>25</w:t>
            </w:r>
          </w:p>
        </w:tc>
        <w:tc>
          <w:tcPr>
            <w:tcW w:w="2477" w:type="dxa"/>
          </w:tcPr>
          <w:p>
            <w:pPr>
              <w:pStyle w:val="TableParagraph"/>
              <w:spacing w:before="2"/>
              <w:rPr>
                <w:b/>
                <w:sz w:val="23"/>
              </w:rPr>
            </w:pPr>
          </w:p>
          <w:p>
            <w:pPr>
              <w:pStyle w:val="TableParagraph"/>
              <w:ind w:left="770"/>
              <w:rPr>
                <w:sz w:val="20"/>
              </w:rPr>
            </w:pPr>
            <w:r>
              <w:rPr>
                <w:sz w:val="20"/>
              </w:rPr>
              <w:t>C08051815</w:t>
            </w:r>
          </w:p>
        </w:tc>
        <w:tc>
          <w:tcPr>
            <w:tcW w:w="2551" w:type="dxa"/>
          </w:tcPr>
          <w:p>
            <w:pPr>
              <w:pStyle w:val="TableParagraph"/>
              <w:spacing w:before="2"/>
              <w:rPr>
                <w:b/>
                <w:sz w:val="22"/>
              </w:rPr>
            </w:pPr>
          </w:p>
          <w:p>
            <w:pPr>
              <w:pStyle w:val="TableParagraph"/>
              <w:ind w:left="752"/>
              <w:rPr>
                <w:sz w:val="22"/>
              </w:rPr>
            </w:pPr>
            <w:r>
              <w:rPr>
                <w:sz w:val="22"/>
              </w:rPr>
              <w:t>02.03.2016.</w:t>
            </w:r>
          </w:p>
        </w:tc>
        <w:tc>
          <w:tcPr>
            <w:tcW w:w="3117" w:type="dxa"/>
          </w:tcPr>
          <w:p>
            <w:pPr>
              <w:pStyle w:val="TableParagraph"/>
              <w:spacing w:before="2"/>
              <w:rPr>
                <w:b/>
                <w:sz w:val="22"/>
              </w:rPr>
            </w:pPr>
          </w:p>
          <w:p>
            <w:pPr>
              <w:pStyle w:val="TableParagraph"/>
              <w:ind w:left="119" w:right="105"/>
              <w:jc w:val="center"/>
              <w:rPr>
                <w:sz w:val="22"/>
              </w:rPr>
            </w:pPr>
            <w:r>
              <w:rPr>
                <w:sz w:val="22"/>
              </w:rPr>
              <w:t>Alūksnes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26</w:t>
            </w:r>
          </w:p>
        </w:tc>
        <w:tc>
          <w:tcPr>
            <w:tcW w:w="2477" w:type="dxa"/>
          </w:tcPr>
          <w:p>
            <w:pPr>
              <w:pStyle w:val="TableParagraph"/>
              <w:spacing w:before="4"/>
              <w:rPr>
                <w:b/>
                <w:sz w:val="22"/>
              </w:rPr>
            </w:pPr>
          </w:p>
          <w:p>
            <w:pPr>
              <w:pStyle w:val="TableParagraph"/>
              <w:ind w:left="725"/>
              <w:rPr>
                <w:sz w:val="22"/>
              </w:rPr>
            </w:pPr>
            <w:r>
              <w:rPr>
                <w:sz w:val="22"/>
              </w:rPr>
              <w:t>C20257516</w:t>
            </w:r>
          </w:p>
        </w:tc>
        <w:tc>
          <w:tcPr>
            <w:tcW w:w="2551" w:type="dxa"/>
          </w:tcPr>
          <w:p>
            <w:pPr>
              <w:pStyle w:val="TableParagraph"/>
              <w:spacing w:before="4"/>
              <w:rPr>
                <w:b/>
                <w:sz w:val="22"/>
              </w:rPr>
            </w:pPr>
          </w:p>
          <w:p>
            <w:pPr>
              <w:pStyle w:val="TableParagraph"/>
              <w:ind w:left="752"/>
              <w:rPr>
                <w:sz w:val="22"/>
              </w:rPr>
            </w:pPr>
            <w:r>
              <w:rPr>
                <w:sz w:val="22"/>
              </w:rPr>
              <w:t>06.04.2017.</w:t>
            </w:r>
          </w:p>
        </w:tc>
        <w:tc>
          <w:tcPr>
            <w:tcW w:w="3117" w:type="dxa"/>
          </w:tcPr>
          <w:p>
            <w:pPr>
              <w:pStyle w:val="TableParagraph"/>
              <w:spacing w:before="4"/>
              <w:rPr>
                <w:b/>
                <w:sz w:val="22"/>
              </w:rPr>
            </w:pPr>
          </w:p>
          <w:p>
            <w:pPr>
              <w:pStyle w:val="TableParagraph"/>
              <w:ind w:left="117" w:right="106"/>
              <w:jc w:val="center"/>
              <w:rPr>
                <w:sz w:val="22"/>
              </w:rPr>
            </w:pPr>
            <w:r>
              <w:rPr>
                <w:sz w:val="22"/>
              </w:rPr>
              <w:t>Liepājas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27</w:t>
            </w:r>
          </w:p>
        </w:tc>
        <w:tc>
          <w:tcPr>
            <w:tcW w:w="2477" w:type="dxa"/>
          </w:tcPr>
          <w:p>
            <w:pPr>
              <w:pStyle w:val="TableParagraph"/>
              <w:spacing w:before="4"/>
              <w:rPr>
                <w:b/>
                <w:sz w:val="23"/>
              </w:rPr>
            </w:pPr>
          </w:p>
          <w:p>
            <w:pPr>
              <w:pStyle w:val="TableParagraph"/>
              <w:ind w:left="769"/>
              <w:rPr>
                <w:sz w:val="20"/>
              </w:rPr>
            </w:pPr>
            <w:r>
              <w:rPr>
                <w:sz w:val="20"/>
              </w:rPr>
              <w:t>C20135417</w:t>
            </w:r>
          </w:p>
        </w:tc>
        <w:tc>
          <w:tcPr>
            <w:tcW w:w="2551" w:type="dxa"/>
          </w:tcPr>
          <w:p>
            <w:pPr>
              <w:pStyle w:val="TableParagraph"/>
              <w:spacing w:before="4"/>
              <w:rPr>
                <w:b/>
                <w:sz w:val="22"/>
              </w:rPr>
            </w:pPr>
          </w:p>
          <w:p>
            <w:pPr>
              <w:pStyle w:val="TableParagraph"/>
              <w:ind w:left="752"/>
              <w:rPr>
                <w:sz w:val="22"/>
              </w:rPr>
            </w:pPr>
            <w:r>
              <w:rPr>
                <w:sz w:val="22"/>
              </w:rPr>
              <w:t>20.06.2017.</w:t>
            </w:r>
          </w:p>
        </w:tc>
        <w:tc>
          <w:tcPr>
            <w:tcW w:w="3117" w:type="dxa"/>
          </w:tcPr>
          <w:p>
            <w:pPr>
              <w:pStyle w:val="TableParagraph"/>
              <w:spacing w:before="4"/>
              <w:rPr>
                <w:b/>
                <w:sz w:val="23"/>
              </w:rPr>
            </w:pPr>
          </w:p>
          <w:p>
            <w:pPr>
              <w:pStyle w:val="TableParagraph"/>
              <w:ind w:left="116" w:right="106"/>
              <w:jc w:val="center"/>
              <w:rPr>
                <w:sz w:val="20"/>
              </w:rPr>
            </w:pPr>
            <w:r>
              <w:rPr>
                <w:sz w:val="20"/>
              </w:rPr>
              <w:t>Liepājas tiesa</w:t>
            </w:r>
          </w:p>
        </w:tc>
      </w:tr>
      <w:tr>
        <w:trPr>
          <w:trHeight w:val="779" w:hRule="atLeast"/>
        </w:trPr>
        <w:tc>
          <w:tcPr>
            <w:tcW w:w="785" w:type="dxa"/>
          </w:tcPr>
          <w:p>
            <w:pPr>
              <w:pStyle w:val="TableParagraph"/>
              <w:spacing w:before="4"/>
              <w:rPr>
                <w:b/>
                <w:sz w:val="23"/>
              </w:rPr>
            </w:pPr>
          </w:p>
          <w:p>
            <w:pPr>
              <w:pStyle w:val="TableParagraph"/>
              <w:ind w:left="87" w:right="76"/>
              <w:jc w:val="center"/>
              <w:rPr>
                <w:sz w:val="20"/>
              </w:rPr>
            </w:pPr>
            <w:r>
              <w:rPr>
                <w:sz w:val="20"/>
              </w:rPr>
              <w:t>28</w:t>
            </w:r>
          </w:p>
        </w:tc>
        <w:tc>
          <w:tcPr>
            <w:tcW w:w="2477" w:type="dxa"/>
          </w:tcPr>
          <w:p>
            <w:pPr>
              <w:pStyle w:val="TableParagraph"/>
              <w:spacing w:before="4"/>
              <w:rPr>
                <w:b/>
                <w:sz w:val="23"/>
              </w:rPr>
            </w:pPr>
          </w:p>
          <w:p>
            <w:pPr>
              <w:pStyle w:val="TableParagraph"/>
              <w:ind w:left="770"/>
              <w:rPr>
                <w:sz w:val="20"/>
              </w:rPr>
            </w:pPr>
            <w:r>
              <w:rPr>
                <w:sz w:val="20"/>
              </w:rPr>
              <w:t>C20136516</w:t>
            </w:r>
          </w:p>
        </w:tc>
        <w:tc>
          <w:tcPr>
            <w:tcW w:w="2551" w:type="dxa"/>
          </w:tcPr>
          <w:p>
            <w:pPr>
              <w:pStyle w:val="TableParagraph"/>
              <w:spacing w:before="4"/>
              <w:rPr>
                <w:b/>
                <w:sz w:val="22"/>
              </w:rPr>
            </w:pPr>
          </w:p>
          <w:p>
            <w:pPr>
              <w:pStyle w:val="TableParagraph"/>
              <w:ind w:left="752"/>
              <w:rPr>
                <w:sz w:val="22"/>
              </w:rPr>
            </w:pPr>
            <w:r>
              <w:rPr>
                <w:sz w:val="22"/>
              </w:rPr>
              <w:t>06.09.2016.</w:t>
            </w:r>
          </w:p>
        </w:tc>
        <w:tc>
          <w:tcPr>
            <w:tcW w:w="3117" w:type="dxa"/>
          </w:tcPr>
          <w:p>
            <w:pPr>
              <w:pStyle w:val="TableParagraph"/>
              <w:spacing w:before="4"/>
              <w:rPr>
                <w:b/>
                <w:sz w:val="23"/>
              </w:rPr>
            </w:pPr>
          </w:p>
          <w:p>
            <w:pPr>
              <w:pStyle w:val="TableParagraph"/>
              <w:ind w:left="116" w:right="106"/>
              <w:jc w:val="center"/>
              <w:rPr>
                <w:sz w:val="20"/>
              </w:rPr>
            </w:pPr>
            <w:r>
              <w:rPr>
                <w:sz w:val="20"/>
              </w:rPr>
              <w:t>Liepājas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29</w:t>
            </w:r>
          </w:p>
        </w:tc>
        <w:tc>
          <w:tcPr>
            <w:tcW w:w="2477" w:type="dxa"/>
          </w:tcPr>
          <w:p>
            <w:pPr>
              <w:pStyle w:val="TableParagraph"/>
              <w:spacing w:before="130"/>
              <w:ind w:left="894" w:right="401" w:hanging="468"/>
              <w:rPr>
                <w:sz w:val="22"/>
              </w:rPr>
            </w:pPr>
            <w:r>
              <w:rPr>
                <w:sz w:val="22"/>
              </w:rPr>
              <w:t>C37101714 (SPC- 5/2017)</w:t>
            </w:r>
          </w:p>
        </w:tc>
        <w:tc>
          <w:tcPr>
            <w:tcW w:w="2551" w:type="dxa"/>
          </w:tcPr>
          <w:p>
            <w:pPr>
              <w:pStyle w:val="TableParagraph"/>
              <w:spacing w:before="4"/>
              <w:rPr>
                <w:b/>
                <w:sz w:val="22"/>
              </w:rPr>
            </w:pPr>
          </w:p>
          <w:p>
            <w:pPr>
              <w:pStyle w:val="TableParagraph"/>
              <w:ind w:left="752"/>
              <w:rPr>
                <w:sz w:val="22"/>
              </w:rPr>
            </w:pPr>
            <w:r>
              <w:rPr>
                <w:sz w:val="22"/>
              </w:rPr>
              <w:t>16.02.2017.</w:t>
            </w:r>
          </w:p>
        </w:tc>
        <w:tc>
          <w:tcPr>
            <w:tcW w:w="3117" w:type="dxa"/>
          </w:tcPr>
          <w:p>
            <w:pPr>
              <w:pStyle w:val="TableParagraph"/>
              <w:spacing w:before="130"/>
              <w:ind w:left="971" w:right="357" w:hanging="588"/>
              <w:rPr>
                <w:sz w:val="22"/>
              </w:rPr>
            </w:pPr>
            <w:r>
              <w:rPr>
                <w:sz w:val="22"/>
              </w:rPr>
              <w:t>Augstākās tiesas Civillietu departaments</w:t>
            </w:r>
          </w:p>
        </w:tc>
      </w:tr>
      <w:tr>
        <w:trPr>
          <w:trHeight w:val="781" w:hRule="atLeast"/>
        </w:trPr>
        <w:tc>
          <w:tcPr>
            <w:tcW w:w="785" w:type="dxa"/>
          </w:tcPr>
          <w:p>
            <w:pPr>
              <w:pStyle w:val="TableParagraph"/>
              <w:spacing w:before="4"/>
              <w:rPr>
                <w:b/>
                <w:sz w:val="22"/>
              </w:rPr>
            </w:pPr>
          </w:p>
          <w:p>
            <w:pPr>
              <w:pStyle w:val="TableParagraph"/>
              <w:ind w:left="86" w:right="79"/>
              <w:jc w:val="center"/>
              <w:rPr>
                <w:sz w:val="22"/>
              </w:rPr>
            </w:pPr>
            <w:r>
              <w:rPr>
                <w:sz w:val="22"/>
              </w:rPr>
              <w:t>30</w:t>
            </w:r>
          </w:p>
        </w:tc>
        <w:tc>
          <w:tcPr>
            <w:tcW w:w="2477" w:type="dxa"/>
          </w:tcPr>
          <w:p>
            <w:pPr>
              <w:pStyle w:val="TableParagraph"/>
              <w:spacing w:before="133"/>
              <w:ind w:left="839" w:right="381" w:hanging="430"/>
              <w:rPr>
                <w:sz w:val="22"/>
              </w:rPr>
            </w:pPr>
            <w:r>
              <w:rPr>
                <w:sz w:val="22"/>
              </w:rPr>
              <w:t>C33459812 (SKC- 19/2017)</w:t>
            </w:r>
          </w:p>
        </w:tc>
        <w:tc>
          <w:tcPr>
            <w:tcW w:w="2551" w:type="dxa"/>
          </w:tcPr>
          <w:p>
            <w:pPr>
              <w:pStyle w:val="TableParagraph"/>
              <w:spacing w:before="4"/>
              <w:rPr>
                <w:b/>
                <w:sz w:val="22"/>
              </w:rPr>
            </w:pPr>
          </w:p>
          <w:p>
            <w:pPr>
              <w:pStyle w:val="TableParagraph"/>
              <w:ind w:left="752"/>
              <w:rPr>
                <w:sz w:val="22"/>
              </w:rPr>
            </w:pPr>
            <w:r>
              <w:rPr>
                <w:sz w:val="22"/>
              </w:rPr>
              <w:t>28.09.2017.</w:t>
            </w:r>
          </w:p>
        </w:tc>
        <w:tc>
          <w:tcPr>
            <w:tcW w:w="3117" w:type="dxa"/>
          </w:tcPr>
          <w:p>
            <w:pPr>
              <w:pStyle w:val="TableParagraph"/>
              <w:spacing w:before="133"/>
              <w:ind w:left="971" w:right="357" w:hanging="588"/>
              <w:rPr>
                <w:sz w:val="22"/>
              </w:rPr>
            </w:pPr>
            <w:r>
              <w:rPr>
                <w:sz w:val="22"/>
              </w:rPr>
              <w:t>Augstākās tiesas Civillietu departaments</w:t>
            </w:r>
          </w:p>
        </w:tc>
      </w:tr>
    </w:tbl>
    <w:p>
      <w:pPr>
        <w:pStyle w:val="BodyText"/>
        <w:jc w:val="left"/>
        <w:rPr>
          <w:b/>
          <w:sz w:val="20"/>
        </w:rPr>
      </w:pPr>
    </w:p>
    <w:p>
      <w:pPr>
        <w:pStyle w:val="BodyText"/>
        <w:jc w:val="left"/>
        <w:rPr>
          <w:b/>
          <w:sz w:val="20"/>
        </w:rPr>
      </w:pPr>
    </w:p>
    <w:p>
      <w:pPr>
        <w:pStyle w:val="BodyText"/>
        <w:jc w:val="left"/>
        <w:rPr>
          <w:b/>
          <w:sz w:val="22"/>
        </w:rPr>
      </w:pPr>
    </w:p>
    <w:p>
      <w:pPr>
        <w:spacing w:before="89"/>
        <w:ind w:left="881" w:right="0" w:firstLine="0"/>
        <w:jc w:val="left"/>
        <w:rPr>
          <w:b/>
          <w:sz w:val="28"/>
        </w:rPr>
      </w:pPr>
      <w:r>
        <w:rPr>
          <w:b/>
          <w:sz w:val="28"/>
        </w:rPr>
        <w:t>LR Augstākās tiesas (Senāta) Civillietu departamenta nolēmumi</w:t>
      </w:r>
    </w:p>
    <w:p>
      <w:pPr>
        <w:pStyle w:val="BodyText"/>
        <w:spacing w:before="3"/>
        <w:jc w:val="left"/>
        <w:rPr>
          <w:b/>
          <w:sz w:val="22"/>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2477"/>
        <w:gridCol w:w="2551"/>
        <w:gridCol w:w="3117"/>
      </w:tblGrid>
      <w:tr>
        <w:trPr>
          <w:trHeight w:val="779" w:hRule="atLeast"/>
        </w:trPr>
        <w:tc>
          <w:tcPr>
            <w:tcW w:w="785" w:type="dxa"/>
          </w:tcPr>
          <w:p>
            <w:pPr>
              <w:pStyle w:val="TableParagraph"/>
              <w:spacing w:before="9"/>
              <w:rPr>
                <w:b/>
                <w:sz w:val="22"/>
              </w:rPr>
            </w:pPr>
          </w:p>
          <w:p>
            <w:pPr>
              <w:pStyle w:val="TableParagraph"/>
              <w:ind w:left="87" w:right="79"/>
              <w:jc w:val="center"/>
              <w:rPr>
                <w:b/>
                <w:sz w:val="22"/>
              </w:rPr>
            </w:pPr>
            <w:r>
              <w:rPr>
                <w:b/>
                <w:sz w:val="22"/>
              </w:rPr>
              <w:t>N.p.k.</w:t>
            </w:r>
          </w:p>
        </w:tc>
        <w:tc>
          <w:tcPr>
            <w:tcW w:w="2477" w:type="dxa"/>
          </w:tcPr>
          <w:p>
            <w:pPr>
              <w:pStyle w:val="TableParagraph"/>
              <w:spacing w:before="9"/>
              <w:rPr>
                <w:b/>
                <w:sz w:val="22"/>
              </w:rPr>
            </w:pPr>
          </w:p>
          <w:p>
            <w:pPr>
              <w:pStyle w:val="TableParagraph"/>
              <w:ind w:left="556"/>
              <w:rPr>
                <w:b/>
                <w:sz w:val="22"/>
              </w:rPr>
            </w:pPr>
            <w:r>
              <w:rPr>
                <w:b/>
                <w:sz w:val="22"/>
              </w:rPr>
              <w:t>Lietas numurs</w:t>
            </w:r>
          </w:p>
        </w:tc>
        <w:tc>
          <w:tcPr>
            <w:tcW w:w="2551" w:type="dxa"/>
          </w:tcPr>
          <w:p>
            <w:pPr>
              <w:pStyle w:val="TableParagraph"/>
              <w:spacing w:before="9"/>
              <w:rPr>
                <w:b/>
                <w:sz w:val="22"/>
              </w:rPr>
            </w:pPr>
          </w:p>
          <w:p>
            <w:pPr>
              <w:pStyle w:val="TableParagraph"/>
              <w:ind w:left="366" w:right="355"/>
              <w:jc w:val="center"/>
              <w:rPr>
                <w:b/>
                <w:sz w:val="22"/>
              </w:rPr>
            </w:pPr>
            <w:r>
              <w:rPr>
                <w:b/>
                <w:sz w:val="22"/>
              </w:rPr>
              <w:t>Lēmuma datums</w:t>
            </w:r>
          </w:p>
        </w:tc>
        <w:tc>
          <w:tcPr>
            <w:tcW w:w="3117" w:type="dxa"/>
          </w:tcPr>
          <w:p>
            <w:pPr>
              <w:pStyle w:val="TableParagraph"/>
              <w:spacing w:before="135"/>
              <w:ind w:left="1101" w:right="560" w:hanging="512"/>
              <w:rPr>
                <w:b/>
                <w:sz w:val="22"/>
              </w:rPr>
            </w:pPr>
            <w:r>
              <w:rPr>
                <w:b/>
                <w:sz w:val="22"/>
              </w:rPr>
              <w:t>Tiesa, kuras lēmums protestēts</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1</w:t>
            </w:r>
          </w:p>
        </w:tc>
        <w:tc>
          <w:tcPr>
            <w:tcW w:w="2477" w:type="dxa"/>
          </w:tcPr>
          <w:p>
            <w:pPr>
              <w:pStyle w:val="TableParagraph"/>
              <w:spacing w:before="130"/>
              <w:ind w:left="645" w:right="630" w:firstLine="79"/>
              <w:rPr>
                <w:sz w:val="22"/>
              </w:rPr>
            </w:pPr>
            <w:r>
              <w:rPr>
                <w:sz w:val="22"/>
              </w:rPr>
              <w:t>C40160515 SPC-11/2018</w:t>
            </w:r>
          </w:p>
        </w:tc>
        <w:tc>
          <w:tcPr>
            <w:tcW w:w="2551" w:type="dxa"/>
          </w:tcPr>
          <w:p>
            <w:pPr>
              <w:pStyle w:val="TableParagraph"/>
              <w:spacing w:before="4"/>
              <w:rPr>
                <w:b/>
                <w:sz w:val="22"/>
              </w:rPr>
            </w:pPr>
          </w:p>
          <w:p>
            <w:pPr>
              <w:pStyle w:val="TableParagraph"/>
              <w:ind w:left="366" w:right="355"/>
              <w:jc w:val="center"/>
              <w:rPr>
                <w:sz w:val="22"/>
              </w:rPr>
            </w:pPr>
            <w:r>
              <w:rPr>
                <w:sz w:val="22"/>
              </w:rPr>
              <w:t>21.05.2018.</w:t>
            </w:r>
          </w:p>
        </w:tc>
        <w:tc>
          <w:tcPr>
            <w:tcW w:w="3117" w:type="dxa"/>
          </w:tcPr>
          <w:p>
            <w:pPr>
              <w:pStyle w:val="TableParagraph"/>
              <w:spacing w:before="4"/>
              <w:rPr>
                <w:b/>
                <w:sz w:val="22"/>
              </w:rPr>
            </w:pPr>
          </w:p>
          <w:p>
            <w:pPr>
              <w:pStyle w:val="TableParagraph"/>
              <w:ind w:left="117" w:right="106"/>
              <w:jc w:val="center"/>
              <w:rPr>
                <w:sz w:val="22"/>
              </w:rPr>
            </w:pPr>
            <w:r>
              <w:rPr>
                <w:sz w:val="22"/>
              </w:rPr>
              <w:t>Ventspils 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2</w:t>
            </w:r>
          </w:p>
        </w:tc>
        <w:tc>
          <w:tcPr>
            <w:tcW w:w="2477" w:type="dxa"/>
          </w:tcPr>
          <w:p>
            <w:pPr>
              <w:pStyle w:val="TableParagraph"/>
              <w:spacing w:before="130"/>
              <w:ind w:left="645" w:right="630" w:firstLine="79"/>
              <w:rPr>
                <w:sz w:val="22"/>
              </w:rPr>
            </w:pPr>
            <w:r>
              <w:rPr>
                <w:sz w:val="22"/>
              </w:rPr>
              <w:t>C12190813 SPC-19/2016</w:t>
            </w:r>
          </w:p>
        </w:tc>
        <w:tc>
          <w:tcPr>
            <w:tcW w:w="2551" w:type="dxa"/>
          </w:tcPr>
          <w:p>
            <w:pPr>
              <w:pStyle w:val="TableParagraph"/>
              <w:spacing w:before="4"/>
              <w:rPr>
                <w:b/>
                <w:sz w:val="22"/>
              </w:rPr>
            </w:pPr>
          </w:p>
          <w:p>
            <w:pPr>
              <w:pStyle w:val="TableParagraph"/>
              <w:ind w:left="366" w:right="355"/>
              <w:jc w:val="center"/>
              <w:rPr>
                <w:sz w:val="22"/>
              </w:rPr>
            </w:pPr>
            <w:r>
              <w:rPr>
                <w:sz w:val="22"/>
              </w:rPr>
              <w:t>28.10.2016.</w:t>
            </w:r>
          </w:p>
        </w:tc>
        <w:tc>
          <w:tcPr>
            <w:tcW w:w="3117" w:type="dxa"/>
          </w:tcPr>
          <w:p>
            <w:pPr>
              <w:pStyle w:val="TableParagraph"/>
              <w:spacing w:before="4"/>
              <w:rPr>
                <w:b/>
                <w:sz w:val="22"/>
              </w:rPr>
            </w:pPr>
          </w:p>
          <w:p>
            <w:pPr>
              <w:pStyle w:val="TableParagraph"/>
              <w:ind w:left="119" w:right="106"/>
              <w:jc w:val="center"/>
              <w:rPr>
                <w:sz w:val="22"/>
              </w:rPr>
            </w:pPr>
            <w:r>
              <w:rPr>
                <w:sz w:val="22"/>
              </w:rPr>
              <w:t>Daugavpils 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3</w:t>
            </w:r>
          </w:p>
        </w:tc>
        <w:tc>
          <w:tcPr>
            <w:tcW w:w="2477" w:type="dxa"/>
          </w:tcPr>
          <w:p>
            <w:pPr>
              <w:pStyle w:val="TableParagraph"/>
              <w:spacing w:before="130"/>
              <w:ind w:left="645" w:right="630" w:firstLine="79"/>
              <w:rPr>
                <w:sz w:val="22"/>
              </w:rPr>
            </w:pPr>
            <w:r>
              <w:rPr>
                <w:sz w:val="22"/>
              </w:rPr>
              <w:t>C16082214 SPC-10/2017</w:t>
            </w:r>
          </w:p>
        </w:tc>
        <w:tc>
          <w:tcPr>
            <w:tcW w:w="2551" w:type="dxa"/>
          </w:tcPr>
          <w:p>
            <w:pPr>
              <w:pStyle w:val="TableParagraph"/>
              <w:spacing w:before="4"/>
              <w:rPr>
                <w:b/>
                <w:sz w:val="22"/>
              </w:rPr>
            </w:pPr>
          </w:p>
          <w:p>
            <w:pPr>
              <w:pStyle w:val="TableParagraph"/>
              <w:ind w:left="366" w:right="355"/>
              <w:jc w:val="center"/>
              <w:rPr>
                <w:sz w:val="22"/>
              </w:rPr>
            </w:pPr>
            <w:r>
              <w:rPr>
                <w:sz w:val="22"/>
              </w:rPr>
              <w:t>03.02.2017.</w:t>
            </w:r>
          </w:p>
        </w:tc>
        <w:tc>
          <w:tcPr>
            <w:tcW w:w="3117" w:type="dxa"/>
          </w:tcPr>
          <w:p>
            <w:pPr>
              <w:pStyle w:val="TableParagraph"/>
              <w:spacing w:before="4"/>
              <w:rPr>
                <w:b/>
                <w:sz w:val="22"/>
              </w:rPr>
            </w:pPr>
          </w:p>
          <w:p>
            <w:pPr>
              <w:pStyle w:val="TableParagraph"/>
              <w:ind w:left="119" w:right="103"/>
              <w:jc w:val="center"/>
              <w:rPr>
                <w:sz w:val="22"/>
              </w:rPr>
            </w:pPr>
            <w:r>
              <w:rPr>
                <w:sz w:val="22"/>
              </w:rPr>
              <w:t>Jēkabpils rajona tiesa</w:t>
            </w:r>
          </w:p>
        </w:tc>
      </w:tr>
      <w:tr>
        <w:trPr>
          <w:trHeight w:val="779" w:hRule="atLeast"/>
        </w:trPr>
        <w:tc>
          <w:tcPr>
            <w:tcW w:w="785" w:type="dxa"/>
          </w:tcPr>
          <w:p>
            <w:pPr>
              <w:pStyle w:val="TableParagraph"/>
              <w:spacing w:before="4"/>
              <w:rPr>
                <w:b/>
                <w:sz w:val="22"/>
              </w:rPr>
            </w:pPr>
          </w:p>
          <w:p>
            <w:pPr>
              <w:pStyle w:val="TableParagraph"/>
              <w:ind w:left="7"/>
              <w:jc w:val="center"/>
              <w:rPr>
                <w:sz w:val="22"/>
              </w:rPr>
            </w:pPr>
            <w:r>
              <w:rPr>
                <w:w w:val="100"/>
                <w:sz w:val="22"/>
              </w:rPr>
              <w:t>4</w:t>
            </w:r>
          </w:p>
        </w:tc>
        <w:tc>
          <w:tcPr>
            <w:tcW w:w="2477" w:type="dxa"/>
          </w:tcPr>
          <w:p>
            <w:pPr>
              <w:pStyle w:val="TableParagraph"/>
              <w:spacing w:before="133"/>
              <w:ind w:left="645" w:right="630" w:firstLine="79"/>
              <w:rPr>
                <w:sz w:val="22"/>
              </w:rPr>
            </w:pPr>
            <w:r>
              <w:rPr>
                <w:sz w:val="22"/>
              </w:rPr>
              <w:t>C19050715 SPC-11/2016</w:t>
            </w:r>
          </w:p>
        </w:tc>
        <w:tc>
          <w:tcPr>
            <w:tcW w:w="2551" w:type="dxa"/>
          </w:tcPr>
          <w:p>
            <w:pPr>
              <w:pStyle w:val="TableParagraph"/>
              <w:spacing w:before="4"/>
              <w:rPr>
                <w:b/>
                <w:sz w:val="22"/>
              </w:rPr>
            </w:pPr>
          </w:p>
          <w:p>
            <w:pPr>
              <w:pStyle w:val="TableParagraph"/>
              <w:ind w:left="366" w:right="355"/>
              <w:jc w:val="center"/>
              <w:rPr>
                <w:sz w:val="22"/>
              </w:rPr>
            </w:pPr>
            <w:r>
              <w:rPr>
                <w:sz w:val="22"/>
              </w:rPr>
              <w:t>20.05.2016.</w:t>
            </w:r>
          </w:p>
        </w:tc>
        <w:tc>
          <w:tcPr>
            <w:tcW w:w="3117" w:type="dxa"/>
          </w:tcPr>
          <w:p>
            <w:pPr>
              <w:pStyle w:val="TableParagraph"/>
              <w:spacing w:before="4"/>
              <w:rPr>
                <w:b/>
                <w:sz w:val="22"/>
              </w:rPr>
            </w:pPr>
          </w:p>
          <w:p>
            <w:pPr>
              <w:pStyle w:val="TableParagraph"/>
              <w:ind w:left="119" w:right="106"/>
              <w:jc w:val="center"/>
              <w:rPr>
                <w:sz w:val="22"/>
              </w:rPr>
            </w:pPr>
            <w:r>
              <w:rPr>
                <w:sz w:val="22"/>
              </w:rPr>
              <w:t>Kuldīgas rajona tiesa</w:t>
            </w:r>
          </w:p>
        </w:tc>
      </w:tr>
      <w:tr>
        <w:trPr>
          <w:trHeight w:val="781" w:hRule="atLeast"/>
        </w:trPr>
        <w:tc>
          <w:tcPr>
            <w:tcW w:w="785" w:type="dxa"/>
          </w:tcPr>
          <w:p>
            <w:pPr>
              <w:pStyle w:val="TableParagraph"/>
              <w:spacing w:before="4"/>
              <w:rPr>
                <w:b/>
                <w:sz w:val="22"/>
              </w:rPr>
            </w:pPr>
          </w:p>
          <w:p>
            <w:pPr>
              <w:pStyle w:val="TableParagraph"/>
              <w:ind w:left="7"/>
              <w:jc w:val="center"/>
              <w:rPr>
                <w:sz w:val="22"/>
              </w:rPr>
            </w:pPr>
            <w:r>
              <w:rPr>
                <w:w w:val="100"/>
                <w:sz w:val="22"/>
              </w:rPr>
              <w:t>5</w:t>
            </w:r>
          </w:p>
        </w:tc>
        <w:tc>
          <w:tcPr>
            <w:tcW w:w="2477" w:type="dxa"/>
          </w:tcPr>
          <w:p>
            <w:pPr>
              <w:pStyle w:val="TableParagraph"/>
              <w:spacing w:before="133"/>
              <w:ind w:left="645" w:right="630" w:firstLine="79"/>
              <w:rPr>
                <w:sz w:val="22"/>
              </w:rPr>
            </w:pPr>
            <w:r>
              <w:rPr>
                <w:sz w:val="22"/>
              </w:rPr>
              <w:t>C23065712 SPC-33/2015</w:t>
            </w:r>
          </w:p>
        </w:tc>
        <w:tc>
          <w:tcPr>
            <w:tcW w:w="2551" w:type="dxa"/>
          </w:tcPr>
          <w:p>
            <w:pPr>
              <w:pStyle w:val="TableParagraph"/>
              <w:spacing w:before="4"/>
              <w:rPr>
                <w:b/>
                <w:sz w:val="22"/>
              </w:rPr>
            </w:pPr>
          </w:p>
          <w:p>
            <w:pPr>
              <w:pStyle w:val="TableParagraph"/>
              <w:ind w:left="366" w:right="355"/>
              <w:jc w:val="center"/>
              <w:rPr>
                <w:sz w:val="22"/>
              </w:rPr>
            </w:pPr>
            <w:r>
              <w:rPr>
                <w:sz w:val="22"/>
              </w:rPr>
              <w:t>23.12.2015.</w:t>
            </w:r>
          </w:p>
        </w:tc>
        <w:tc>
          <w:tcPr>
            <w:tcW w:w="3117" w:type="dxa"/>
          </w:tcPr>
          <w:p>
            <w:pPr>
              <w:pStyle w:val="TableParagraph"/>
              <w:spacing w:before="4"/>
              <w:rPr>
                <w:b/>
                <w:sz w:val="22"/>
              </w:rPr>
            </w:pPr>
          </w:p>
          <w:p>
            <w:pPr>
              <w:pStyle w:val="TableParagraph"/>
              <w:ind w:left="117" w:right="106"/>
              <w:jc w:val="center"/>
              <w:rPr>
                <w:sz w:val="22"/>
              </w:rPr>
            </w:pPr>
            <w:r>
              <w:rPr>
                <w:sz w:val="22"/>
              </w:rPr>
              <w:t>Madonas rajona tiesa</w:t>
            </w:r>
          </w:p>
        </w:tc>
      </w:tr>
    </w:tbl>
    <w:p>
      <w:pPr>
        <w:spacing w:after="0"/>
        <w:jc w:val="center"/>
        <w:rPr>
          <w:sz w:val="22"/>
        </w:rPr>
        <w:sectPr>
          <w:pgSz w:w="11910" w:h="16840"/>
          <w:pgMar w:header="0" w:footer="1055" w:top="1420" w:bottom="1240" w:left="1180" w:right="1040"/>
        </w:sectPr>
      </w:pPr>
    </w:p>
    <w:tbl>
      <w:tblPr>
        <w:tblW w:w="0" w:type="auto"/>
        <w:jc w:val="left"/>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2477"/>
        <w:gridCol w:w="2551"/>
        <w:gridCol w:w="3117"/>
      </w:tblGrid>
      <w:tr>
        <w:trPr>
          <w:trHeight w:val="779" w:hRule="atLeast"/>
        </w:trPr>
        <w:tc>
          <w:tcPr>
            <w:tcW w:w="785" w:type="dxa"/>
          </w:tcPr>
          <w:p>
            <w:pPr>
              <w:pStyle w:val="TableParagraph"/>
              <w:spacing w:before="4"/>
              <w:rPr>
                <w:b/>
                <w:sz w:val="22"/>
              </w:rPr>
            </w:pPr>
          </w:p>
          <w:p>
            <w:pPr>
              <w:pStyle w:val="TableParagraph"/>
              <w:ind w:left="335"/>
              <w:rPr>
                <w:sz w:val="22"/>
              </w:rPr>
            </w:pPr>
            <w:r>
              <w:rPr>
                <w:w w:val="100"/>
                <w:sz w:val="22"/>
              </w:rPr>
              <w:t>6</w:t>
            </w:r>
          </w:p>
        </w:tc>
        <w:tc>
          <w:tcPr>
            <w:tcW w:w="2477" w:type="dxa"/>
          </w:tcPr>
          <w:p>
            <w:pPr>
              <w:pStyle w:val="TableParagraph"/>
              <w:spacing w:before="130"/>
              <w:ind w:left="700" w:right="686" w:firstLine="24"/>
              <w:rPr>
                <w:sz w:val="22"/>
              </w:rPr>
            </w:pPr>
            <w:r>
              <w:rPr>
                <w:sz w:val="22"/>
              </w:rPr>
              <w:t>C24091317 SPC-7/2018</w:t>
            </w:r>
          </w:p>
        </w:tc>
        <w:tc>
          <w:tcPr>
            <w:tcW w:w="2551" w:type="dxa"/>
          </w:tcPr>
          <w:p>
            <w:pPr>
              <w:pStyle w:val="TableParagraph"/>
              <w:spacing w:before="4"/>
              <w:rPr>
                <w:b/>
                <w:sz w:val="22"/>
              </w:rPr>
            </w:pPr>
          </w:p>
          <w:p>
            <w:pPr>
              <w:pStyle w:val="TableParagraph"/>
              <w:ind w:right="739"/>
              <w:jc w:val="right"/>
              <w:rPr>
                <w:sz w:val="22"/>
              </w:rPr>
            </w:pPr>
            <w:r>
              <w:rPr>
                <w:sz w:val="22"/>
              </w:rPr>
              <w:t>04.07.2018.</w:t>
            </w:r>
          </w:p>
        </w:tc>
        <w:tc>
          <w:tcPr>
            <w:tcW w:w="3117" w:type="dxa"/>
          </w:tcPr>
          <w:p>
            <w:pPr>
              <w:pStyle w:val="TableParagraph"/>
              <w:spacing w:before="4"/>
              <w:rPr>
                <w:b/>
                <w:sz w:val="22"/>
              </w:rPr>
            </w:pPr>
          </w:p>
          <w:p>
            <w:pPr>
              <w:pStyle w:val="TableParagraph"/>
              <w:ind w:left="119" w:right="105"/>
              <w:jc w:val="center"/>
              <w:rPr>
                <w:sz w:val="22"/>
              </w:rPr>
            </w:pPr>
            <w:r>
              <w:rPr>
                <w:sz w:val="22"/>
              </w:rPr>
              <w:t>Ogres rajona tiesa</w:t>
            </w:r>
          </w:p>
        </w:tc>
      </w:tr>
      <w:tr>
        <w:trPr>
          <w:trHeight w:val="779" w:hRule="atLeast"/>
        </w:trPr>
        <w:tc>
          <w:tcPr>
            <w:tcW w:w="785" w:type="dxa"/>
          </w:tcPr>
          <w:p>
            <w:pPr>
              <w:pStyle w:val="TableParagraph"/>
              <w:spacing w:before="4"/>
              <w:rPr>
                <w:b/>
                <w:sz w:val="22"/>
              </w:rPr>
            </w:pPr>
          </w:p>
          <w:p>
            <w:pPr>
              <w:pStyle w:val="TableParagraph"/>
              <w:ind w:left="335"/>
              <w:rPr>
                <w:sz w:val="22"/>
              </w:rPr>
            </w:pPr>
            <w:r>
              <w:rPr>
                <w:w w:val="100"/>
                <w:sz w:val="22"/>
              </w:rPr>
              <w:t>7</w:t>
            </w:r>
          </w:p>
        </w:tc>
        <w:tc>
          <w:tcPr>
            <w:tcW w:w="2477" w:type="dxa"/>
          </w:tcPr>
          <w:p>
            <w:pPr>
              <w:pStyle w:val="TableParagraph"/>
              <w:spacing w:before="130"/>
              <w:ind w:left="638" w:right="628" w:firstLine="86"/>
              <w:rPr>
                <w:sz w:val="22"/>
              </w:rPr>
            </w:pPr>
            <w:r>
              <w:rPr>
                <w:sz w:val="22"/>
              </w:rPr>
              <w:t>C24142313 SPC-0036-15</w:t>
            </w:r>
          </w:p>
        </w:tc>
        <w:tc>
          <w:tcPr>
            <w:tcW w:w="2551" w:type="dxa"/>
          </w:tcPr>
          <w:p>
            <w:pPr>
              <w:pStyle w:val="TableParagraph"/>
              <w:spacing w:before="4"/>
              <w:rPr>
                <w:b/>
                <w:sz w:val="22"/>
              </w:rPr>
            </w:pPr>
          </w:p>
          <w:p>
            <w:pPr>
              <w:pStyle w:val="TableParagraph"/>
              <w:ind w:right="739"/>
              <w:jc w:val="right"/>
              <w:rPr>
                <w:sz w:val="22"/>
              </w:rPr>
            </w:pPr>
            <w:r>
              <w:rPr>
                <w:sz w:val="22"/>
              </w:rPr>
              <w:t>04.12.2015.</w:t>
            </w:r>
          </w:p>
        </w:tc>
        <w:tc>
          <w:tcPr>
            <w:tcW w:w="3117" w:type="dxa"/>
          </w:tcPr>
          <w:p>
            <w:pPr>
              <w:pStyle w:val="TableParagraph"/>
              <w:spacing w:before="4"/>
              <w:rPr>
                <w:b/>
                <w:sz w:val="22"/>
              </w:rPr>
            </w:pPr>
          </w:p>
          <w:p>
            <w:pPr>
              <w:pStyle w:val="TableParagraph"/>
              <w:ind w:left="119" w:right="105"/>
              <w:jc w:val="center"/>
              <w:rPr>
                <w:sz w:val="22"/>
              </w:rPr>
            </w:pPr>
            <w:r>
              <w:rPr>
                <w:sz w:val="22"/>
              </w:rPr>
              <w:t>Ogres rajona tiesa</w:t>
            </w:r>
          </w:p>
        </w:tc>
      </w:tr>
      <w:tr>
        <w:trPr>
          <w:trHeight w:val="782" w:hRule="atLeast"/>
        </w:trPr>
        <w:tc>
          <w:tcPr>
            <w:tcW w:w="785" w:type="dxa"/>
          </w:tcPr>
          <w:p>
            <w:pPr>
              <w:pStyle w:val="TableParagraph"/>
              <w:spacing w:before="4"/>
              <w:rPr>
                <w:b/>
                <w:sz w:val="22"/>
              </w:rPr>
            </w:pPr>
          </w:p>
          <w:p>
            <w:pPr>
              <w:pStyle w:val="TableParagraph"/>
              <w:ind w:left="335"/>
              <w:rPr>
                <w:sz w:val="22"/>
              </w:rPr>
            </w:pPr>
            <w:r>
              <w:rPr>
                <w:w w:val="100"/>
                <w:sz w:val="22"/>
              </w:rPr>
              <w:t>8</w:t>
            </w:r>
          </w:p>
        </w:tc>
        <w:tc>
          <w:tcPr>
            <w:tcW w:w="2477" w:type="dxa"/>
          </w:tcPr>
          <w:p>
            <w:pPr>
              <w:pStyle w:val="TableParagraph"/>
              <w:spacing w:before="4"/>
              <w:rPr>
                <w:b/>
                <w:sz w:val="22"/>
              </w:rPr>
            </w:pPr>
          </w:p>
          <w:p>
            <w:pPr>
              <w:pStyle w:val="TableParagraph"/>
              <w:ind w:left="93" w:right="83"/>
              <w:jc w:val="center"/>
              <w:rPr>
                <w:sz w:val="22"/>
              </w:rPr>
            </w:pPr>
            <w:r>
              <w:rPr>
                <w:sz w:val="22"/>
              </w:rPr>
              <w:t>SPC –</w:t>
            </w:r>
            <w:r>
              <w:rPr>
                <w:spacing w:val="54"/>
                <w:sz w:val="22"/>
              </w:rPr>
              <w:t> </w:t>
            </w:r>
            <w:r>
              <w:rPr>
                <w:sz w:val="22"/>
              </w:rPr>
              <w:t>37/2012</w:t>
            </w:r>
          </w:p>
        </w:tc>
        <w:tc>
          <w:tcPr>
            <w:tcW w:w="2551" w:type="dxa"/>
          </w:tcPr>
          <w:p>
            <w:pPr>
              <w:pStyle w:val="TableParagraph"/>
              <w:spacing w:before="4"/>
              <w:rPr>
                <w:b/>
                <w:sz w:val="22"/>
              </w:rPr>
            </w:pPr>
          </w:p>
          <w:p>
            <w:pPr>
              <w:pStyle w:val="TableParagraph"/>
              <w:ind w:right="739"/>
              <w:jc w:val="right"/>
              <w:rPr>
                <w:sz w:val="22"/>
              </w:rPr>
            </w:pPr>
            <w:r>
              <w:rPr>
                <w:sz w:val="22"/>
              </w:rPr>
              <w:t>03.09.2012.</w:t>
            </w:r>
          </w:p>
        </w:tc>
        <w:tc>
          <w:tcPr>
            <w:tcW w:w="3117" w:type="dxa"/>
          </w:tcPr>
          <w:p>
            <w:pPr>
              <w:pStyle w:val="TableParagraph"/>
              <w:spacing w:before="4"/>
              <w:rPr>
                <w:b/>
                <w:sz w:val="22"/>
              </w:rPr>
            </w:pPr>
          </w:p>
          <w:p>
            <w:pPr>
              <w:pStyle w:val="TableParagraph"/>
              <w:ind w:left="119" w:right="105"/>
              <w:jc w:val="center"/>
              <w:rPr>
                <w:sz w:val="22"/>
              </w:rPr>
            </w:pPr>
            <w:r>
              <w:rPr>
                <w:sz w:val="22"/>
              </w:rPr>
              <w:t>Ogres rajona tiesa</w:t>
            </w:r>
          </w:p>
        </w:tc>
      </w:tr>
      <w:tr>
        <w:trPr>
          <w:trHeight w:val="779" w:hRule="atLeast"/>
        </w:trPr>
        <w:tc>
          <w:tcPr>
            <w:tcW w:w="785" w:type="dxa"/>
          </w:tcPr>
          <w:p>
            <w:pPr>
              <w:pStyle w:val="TableParagraph"/>
              <w:spacing w:before="2"/>
              <w:rPr>
                <w:b/>
                <w:sz w:val="22"/>
              </w:rPr>
            </w:pPr>
          </w:p>
          <w:p>
            <w:pPr>
              <w:pStyle w:val="TableParagraph"/>
              <w:ind w:left="335"/>
              <w:rPr>
                <w:sz w:val="22"/>
              </w:rPr>
            </w:pPr>
            <w:r>
              <w:rPr>
                <w:w w:val="100"/>
                <w:sz w:val="22"/>
              </w:rPr>
              <w:t>9</w:t>
            </w:r>
          </w:p>
        </w:tc>
        <w:tc>
          <w:tcPr>
            <w:tcW w:w="2477" w:type="dxa"/>
          </w:tcPr>
          <w:p>
            <w:pPr>
              <w:pStyle w:val="TableParagraph"/>
              <w:spacing w:before="2"/>
              <w:rPr>
                <w:b/>
                <w:sz w:val="22"/>
              </w:rPr>
            </w:pPr>
          </w:p>
          <w:p>
            <w:pPr>
              <w:pStyle w:val="TableParagraph"/>
              <w:ind w:left="93" w:right="80"/>
              <w:jc w:val="center"/>
              <w:rPr>
                <w:sz w:val="22"/>
              </w:rPr>
            </w:pPr>
            <w:r>
              <w:rPr>
                <w:sz w:val="22"/>
              </w:rPr>
              <w:t>SPC-19/2014</w:t>
            </w:r>
          </w:p>
        </w:tc>
        <w:tc>
          <w:tcPr>
            <w:tcW w:w="2551" w:type="dxa"/>
          </w:tcPr>
          <w:p>
            <w:pPr>
              <w:pStyle w:val="TableParagraph"/>
              <w:spacing w:before="2"/>
              <w:rPr>
                <w:b/>
                <w:sz w:val="22"/>
              </w:rPr>
            </w:pPr>
          </w:p>
          <w:p>
            <w:pPr>
              <w:pStyle w:val="TableParagraph"/>
              <w:ind w:right="739"/>
              <w:jc w:val="right"/>
              <w:rPr>
                <w:sz w:val="22"/>
              </w:rPr>
            </w:pPr>
            <w:r>
              <w:rPr>
                <w:sz w:val="22"/>
              </w:rPr>
              <w:t>30.05.2014.</w:t>
            </w:r>
          </w:p>
        </w:tc>
        <w:tc>
          <w:tcPr>
            <w:tcW w:w="3117" w:type="dxa"/>
          </w:tcPr>
          <w:p>
            <w:pPr>
              <w:pStyle w:val="TableParagraph"/>
              <w:spacing w:before="2"/>
              <w:rPr>
                <w:b/>
                <w:sz w:val="22"/>
              </w:rPr>
            </w:pPr>
          </w:p>
          <w:p>
            <w:pPr>
              <w:pStyle w:val="TableParagraph"/>
              <w:ind w:left="119" w:right="106"/>
              <w:jc w:val="center"/>
              <w:rPr>
                <w:sz w:val="22"/>
              </w:rPr>
            </w:pPr>
            <w:r>
              <w:rPr>
                <w:sz w:val="22"/>
              </w:rPr>
              <w:t>Preiļu rajona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10</w:t>
            </w:r>
          </w:p>
        </w:tc>
        <w:tc>
          <w:tcPr>
            <w:tcW w:w="2477" w:type="dxa"/>
          </w:tcPr>
          <w:p>
            <w:pPr>
              <w:pStyle w:val="TableParagraph"/>
              <w:spacing w:before="130"/>
              <w:ind w:left="645" w:right="630" w:firstLine="79"/>
              <w:rPr>
                <w:sz w:val="22"/>
              </w:rPr>
            </w:pPr>
            <w:r>
              <w:rPr>
                <w:sz w:val="22"/>
              </w:rPr>
              <w:t>C40160515 SPC-11/2018</w:t>
            </w:r>
          </w:p>
        </w:tc>
        <w:tc>
          <w:tcPr>
            <w:tcW w:w="2551" w:type="dxa"/>
          </w:tcPr>
          <w:p>
            <w:pPr>
              <w:pStyle w:val="TableParagraph"/>
              <w:spacing w:before="4"/>
              <w:rPr>
                <w:b/>
                <w:sz w:val="22"/>
              </w:rPr>
            </w:pPr>
          </w:p>
          <w:p>
            <w:pPr>
              <w:pStyle w:val="TableParagraph"/>
              <w:ind w:right="739"/>
              <w:jc w:val="right"/>
              <w:rPr>
                <w:sz w:val="22"/>
              </w:rPr>
            </w:pPr>
            <w:r>
              <w:rPr>
                <w:sz w:val="22"/>
              </w:rPr>
              <w:t>21.05.2018.</w:t>
            </w:r>
          </w:p>
        </w:tc>
        <w:tc>
          <w:tcPr>
            <w:tcW w:w="3117" w:type="dxa"/>
          </w:tcPr>
          <w:p>
            <w:pPr>
              <w:pStyle w:val="TableParagraph"/>
              <w:spacing w:before="4"/>
              <w:rPr>
                <w:b/>
                <w:sz w:val="22"/>
              </w:rPr>
            </w:pPr>
          </w:p>
          <w:p>
            <w:pPr>
              <w:pStyle w:val="TableParagraph"/>
              <w:ind w:left="117" w:right="106"/>
              <w:jc w:val="center"/>
              <w:rPr>
                <w:sz w:val="22"/>
              </w:rPr>
            </w:pPr>
            <w:r>
              <w:rPr>
                <w:sz w:val="22"/>
              </w:rPr>
              <w:t>Ventspils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11</w:t>
            </w:r>
          </w:p>
        </w:tc>
        <w:tc>
          <w:tcPr>
            <w:tcW w:w="2477" w:type="dxa"/>
          </w:tcPr>
          <w:p>
            <w:pPr>
              <w:pStyle w:val="TableParagraph"/>
              <w:spacing w:before="130"/>
              <w:ind w:left="700" w:right="686" w:firstLine="24"/>
              <w:rPr>
                <w:sz w:val="22"/>
              </w:rPr>
            </w:pPr>
            <w:r>
              <w:rPr>
                <w:sz w:val="22"/>
              </w:rPr>
              <w:t>C28315114 SPC-3/2018</w:t>
            </w:r>
          </w:p>
        </w:tc>
        <w:tc>
          <w:tcPr>
            <w:tcW w:w="2551" w:type="dxa"/>
          </w:tcPr>
          <w:p>
            <w:pPr>
              <w:pStyle w:val="TableParagraph"/>
              <w:spacing w:before="4"/>
              <w:rPr>
                <w:b/>
                <w:sz w:val="22"/>
              </w:rPr>
            </w:pPr>
          </w:p>
          <w:p>
            <w:pPr>
              <w:pStyle w:val="TableParagraph"/>
              <w:ind w:right="739"/>
              <w:jc w:val="right"/>
              <w:rPr>
                <w:sz w:val="22"/>
              </w:rPr>
            </w:pPr>
            <w:r>
              <w:rPr>
                <w:sz w:val="22"/>
              </w:rPr>
              <w:t>06.02.2018.</w:t>
            </w:r>
          </w:p>
        </w:tc>
        <w:tc>
          <w:tcPr>
            <w:tcW w:w="3117" w:type="dxa"/>
          </w:tcPr>
          <w:p>
            <w:pPr>
              <w:pStyle w:val="TableParagraph"/>
              <w:spacing w:before="130"/>
              <w:ind w:left="1358" w:right="145" w:hanging="1184"/>
              <w:rPr>
                <w:sz w:val="22"/>
              </w:rPr>
            </w:pPr>
            <w:r>
              <w:rPr>
                <w:sz w:val="22"/>
              </w:rPr>
              <w:t>Rīgas pilsētas Kurzemes rajona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12</w:t>
            </w:r>
          </w:p>
        </w:tc>
        <w:tc>
          <w:tcPr>
            <w:tcW w:w="2477" w:type="dxa"/>
          </w:tcPr>
          <w:p>
            <w:pPr>
              <w:pStyle w:val="TableParagraph"/>
              <w:spacing w:before="130"/>
              <w:ind w:left="638" w:right="628" w:firstLine="86"/>
              <w:rPr>
                <w:sz w:val="22"/>
              </w:rPr>
            </w:pPr>
            <w:r>
              <w:rPr>
                <w:sz w:val="22"/>
              </w:rPr>
              <w:t>C28330612 SPC-0006-16</w:t>
            </w:r>
          </w:p>
        </w:tc>
        <w:tc>
          <w:tcPr>
            <w:tcW w:w="2551" w:type="dxa"/>
          </w:tcPr>
          <w:p>
            <w:pPr>
              <w:pStyle w:val="TableParagraph"/>
              <w:spacing w:before="4"/>
              <w:rPr>
                <w:b/>
                <w:sz w:val="22"/>
              </w:rPr>
            </w:pPr>
          </w:p>
          <w:p>
            <w:pPr>
              <w:pStyle w:val="TableParagraph"/>
              <w:ind w:right="739"/>
              <w:jc w:val="right"/>
              <w:rPr>
                <w:sz w:val="22"/>
              </w:rPr>
            </w:pPr>
            <w:r>
              <w:rPr>
                <w:sz w:val="22"/>
              </w:rPr>
              <w:t>29.04.2016.</w:t>
            </w:r>
          </w:p>
        </w:tc>
        <w:tc>
          <w:tcPr>
            <w:tcW w:w="3117" w:type="dxa"/>
          </w:tcPr>
          <w:p>
            <w:pPr>
              <w:pStyle w:val="TableParagraph"/>
              <w:spacing w:before="130"/>
              <w:ind w:left="1358" w:right="145" w:hanging="1184"/>
              <w:rPr>
                <w:sz w:val="22"/>
              </w:rPr>
            </w:pPr>
            <w:r>
              <w:rPr>
                <w:sz w:val="22"/>
              </w:rPr>
              <w:t>Rīgas pilsētas Kurzemes rajona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13</w:t>
            </w:r>
          </w:p>
        </w:tc>
        <w:tc>
          <w:tcPr>
            <w:tcW w:w="2477" w:type="dxa"/>
          </w:tcPr>
          <w:p>
            <w:pPr>
              <w:pStyle w:val="TableParagraph"/>
              <w:spacing w:before="130"/>
              <w:ind w:left="700" w:right="686" w:firstLine="24"/>
              <w:rPr>
                <w:sz w:val="22"/>
              </w:rPr>
            </w:pPr>
            <w:r>
              <w:rPr>
                <w:sz w:val="22"/>
              </w:rPr>
              <w:t>C28367012 SPC-7/2016</w:t>
            </w:r>
          </w:p>
        </w:tc>
        <w:tc>
          <w:tcPr>
            <w:tcW w:w="2551" w:type="dxa"/>
          </w:tcPr>
          <w:p>
            <w:pPr>
              <w:pStyle w:val="TableParagraph"/>
              <w:spacing w:before="4"/>
              <w:rPr>
                <w:b/>
                <w:sz w:val="22"/>
              </w:rPr>
            </w:pPr>
          </w:p>
          <w:p>
            <w:pPr>
              <w:pStyle w:val="TableParagraph"/>
              <w:ind w:right="739"/>
              <w:jc w:val="right"/>
              <w:rPr>
                <w:sz w:val="22"/>
              </w:rPr>
            </w:pPr>
            <w:r>
              <w:rPr>
                <w:sz w:val="22"/>
              </w:rPr>
              <w:t>26.05.2016.</w:t>
            </w:r>
          </w:p>
        </w:tc>
        <w:tc>
          <w:tcPr>
            <w:tcW w:w="3117" w:type="dxa"/>
          </w:tcPr>
          <w:p>
            <w:pPr>
              <w:pStyle w:val="TableParagraph"/>
              <w:spacing w:before="130"/>
              <w:ind w:left="1358" w:right="145" w:hanging="1184"/>
              <w:rPr>
                <w:sz w:val="22"/>
              </w:rPr>
            </w:pPr>
            <w:r>
              <w:rPr>
                <w:sz w:val="22"/>
              </w:rPr>
              <w:t>Rīgas pilsētas Kurzemes rajona tiesa</w:t>
            </w:r>
          </w:p>
        </w:tc>
      </w:tr>
      <w:tr>
        <w:trPr>
          <w:trHeight w:val="781" w:hRule="atLeast"/>
        </w:trPr>
        <w:tc>
          <w:tcPr>
            <w:tcW w:w="785" w:type="dxa"/>
          </w:tcPr>
          <w:p>
            <w:pPr>
              <w:pStyle w:val="TableParagraph"/>
              <w:spacing w:before="4"/>
              <w:rPr>
                <w:b/>
                <w:sz w:val="22"/>
              </w:rPr>
            </w:pPr>
          </w:p>
          <w:p>
            <w:pPr>
              <w:pStyle w:val="TableParagraph"/>
              <w:ind w:left="280"/>
              <w:rPr>
                <w:sz w:val="22"/>
              </w:rPr>
            </w:pPr>
            <w:r>
              <w:rPr>
                <w:sz w:val="22"/>
              </w:rPr>
              <w:t>14</w:t>
            </w:r>
          </w:p>
        </w:tc>
        <w:tc>
          <w:tcPr>
            <w:tcW w:w="2477" w:type="dxa"/>
          </w:tcPr>
          <w:p>
            <w:pPr>
              <w:pStyle w:val="TableParagraph"/>
              <w:spacing w:before="4"/>
              <w:rPr>
                <w:b/>
                <w:sz w:val="22"/>
              </w:rPr>
            </w:pPr>
          </w:p>
          <w:p>
            <w:pPr>
              <w:pStyle w:val="TableParagraph"/>
              <w:ind w:left="93" w:right="80"/>
              <w:jc w:val="center"/>
              <w:rPr>
                <w:sz w:val="22"/>
              </w:rPr>
            </w:pPr>
            <w:r>
              <w:rPr>
                <w:sz w:val="22"/>
              </w:rPr>
              <w:t>SPC-35/2013</w:t>
            </w:r>
          </w:p>
        </w:tc>
        <w:tc>
          <w:tcPr>
            <w:tcW w:w="2551" w:type="dxa"/>
          </w:tcPr>
          <w:p>
            <w:pPr>
              <w:pStyle w:val="TableParagraph"/>
              <w:spacing w:before="4"/>
              <w:rPr>
                <w:b/>
                <w:sz w:val="22"/>
              </w:rPr>
            </w:pPr>
          </w:p>
          <w:p>
            <w:pPr>
              <w:pStyle w:val="TableParagraph"/>
              <w:ind w:right="739"/>
              <w:jc w:val="right"/>
              <w:rPr>
                <w:sz w:val="22"/>
              </w:rPr>
            </w:pPr>
            <w:r>
              <w:rPr>
                <w:sz w:val="22"/>
              </w:rPr>
              <w:t>27.06.2013.</w:t>
            </w:r>
          </w:p>
        </w:tc>
        <w:tc>
          <w:tcPr>
            <w:tcW w:w="3117" w:type="dxa"/>
          </w:tcPr>
          <w:p>
            <w:pPr>
              <w:pStyle w:val="TableParagraph"/>
              <w:spacing w:before="133"/>
              <w:ind w:left="1358" w:right="145" w:hanging="1184"/>
              <w:rPr>
                <w:sz w:val="22"/>
              </w:rPr>
            </w:pPr>
            <w:r>
              <w:rPr>
                <w:sz w:val="22"/>
              </w:rPr>
              <w:t>Rīgas pilsētas Kurzemes rajona tiesa</w:t>
            </w:r>
          </w:p>
        </w:tc>
      </w:tr>
      <w:tr>
        <w:trPr>
          <w:trHeight w:val="779" w:hRule="atLeast"/>
        </w:trPr>
        <w:tc>
          <w:tcPr>
            <w:tcW w:w="785" w:type="dxa"/>
          </w:tcPr>
          <w:p>
            <w:pPr>
              <w:pStyle w:val="TableParagraph"/>
              <w:spacing w:before="2"/>
              <w:rPr>
                <w:b/>
                <w:sz w:val="22"/>
              </w:rPr>
            </w:pPr>
          </w:p>
          <w:p>
            <w:pPr>
              <w:pStyle w:val="TableParagraph"/>
              <w:ind w:left="280"/>
              <w:rPr>
                <w:sz w:val="22"/>
              </w:rPr>
            </w:pPr>
            <w:r>
              <w:rPr>
                <w:sz w:val="22"/>
              </w:rPr>
              <w:t>15</w:t>
            </w:r>
          </w:p>
        </w:tc>
        <w:tc>
          <w:tcPr>
            <w:tcW w:w="2477" w:type="dxa"/>
          </w:tcPr>
          <w:p>
            <w:pPr>
              <w:pStyle w:val="TableParagraph"/>
              <w:spacing w:before="2"/>
              <w:rPr>
                <w:b/>
                <w:sz w:val="22"/>
              </w:rPr>
            </w:pPr>
          </w:p>
          <w:p>
            <w:pPr>
              <w:pStyle w:val="TableParagraph"/>
              <w:ind w:left="90" w:right="84"/>
              <w:jc w:val="center"/>
              <w:rPr>
                <w:sz w:val="22"/>
              </w:rPr>
            </w:pPr>
            <w:r>
              <w:rPr>
                <w:sz w:val="22"/>
              </w:rPr>
              <w:t>SPC-49/2013</w:t>
            </w:r>
          </w:p>
        </w:tc>
        <w:tc>
          <w:tcPr>
            <w:tcW w:w="2551" w:type="dxa"/>
          </w:tcPr>
          <w:p>
            <w:pPr>
              <w:pStyle w:val="TableParagraph"/>
              <w:spacing w:before="2"/>
              <w:rPr>
                <w:b/>
                <w:sz w:val="22"/>
              </w:rPr>
            </w:pPr>
          </w:p>
          <w:p>
            <w:pPr>
              <w:pStyle w:val="TableParagraph"/>
              <w:ind w:right="739"/>
              <w:jc w:val="right"/>
              <w:rPr>
                <w:sz w:val="22"/>
              </w:rPr>
            </w:pPr>
            <w:r>
              <w:rPr>
                <w:sz w:val="22"/>
              </w:rPr>
              <w:t>04.12.2013.</w:t>
            </w:r>
          </w:p>
        </w:tc>
        <w:tc>
          <w:tcPr>
            <w:tcW w:w="3117" w:type="dxa"/>
          </w:tcPr>
          <w:p>
            <w:pPr>
              <w:pStyle w:val="TableParagraph"/>
              <w:spacing w:before="130"/>
              <w:ind w:left="731" w:right="453" w:hanging="248"/>
              <w:rPr>
                <w:sz w:val="22"/>
              </w:rPr>
            </w:pPr>
            <w:r>
              <w:rPr>
                <w:sz w:val="22"/>
              </w:rPr>
              <w:t>Rīgas pilsētas Vidzemes priekšpilsētas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16</w:t>
            </w:r>
          </w:p>
        </w:tc>
        <w:tc>
          <w:tcPr>
            <w:tcW w:w="2477" w:type="dxa"/>
          </w:tcPr>
          <w:p>
            <w:pPr>
              <w:pStyle w:val="TableParagraph"/>
              <w:spacing w:before="130"/>
              <w:ind w:left="645" w:right="630" w:firstLine="79"/>
              <w:rPr>
                <w:sz w:val="22"/>
              </w:rPr>
            </w:pPr>
            <w:r>
              <w:rPr>
                <w:sz w:val="22"/>
              </w:rPr>
              <w:t>C31275015 SPC-15/2016</w:t>
            </w:r>
          </w:p>
        </w:tc>
        <w:tc>
          <w:tcPr>
            <w:tcW w:w="2551" w:type="dxa"/>
          </w:tcPr>
          <w:p>
            <w:pPr>
              <w:pStyle w:val="TableParagraph"/>
              <w:spacing w:before="4"/>
              <w:rPr>
                <w:b/>
                <w:sz w:val="22"/>
              </w:rPr>
            </w:pPr>
          </w:p>
          <w:p>
            <w:pPr>
              <w:pStyle w:val="TableParagraph"/>
              <w:ind w:right="739"/>
              <w:jc w:val="right"/>
              <w:rPr>
                <w:sz w:val="22"/>
              </w:rPr>
            </w:pPr>
            <w:r>
              <w:rPr>
                <w:sz w:val="22"/>
              </w:rPr>
              <w:t>09.12.2016.</w:t>
            </w:r>
          </w:p>
        </w:tc>
        <w:tc>
          <w:tcPr>
            <w:tcW w:w="3117" w:type="dxa"/>
          </w:tcPr>
          <w:p>
            <w:pPr>
              <w:pStyle w:val="TableParagraph"/>
              <w:spacing w:before="130"/>
              <w:ind w:left="731" w:right="465" w:hanging="236"/>
              <w:rPr>
                <w:sz w:val="22"/>
              </w:rPr>
            </w:pPr>
            <w:r>
              <w:rPr>
                <w:sz w:val="22"/>
              </w:rPr>
              <w:t>Rīgas pilsētas Zemgales priekšpilsētas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17</w:t>
            </w:r>
          </w:p>
        </w:tc>
        <w:tc>
          <w:tcPr>
            <w:tcW w:w="2477" w:type="dxa"/>
          </w:tcPr>
          <w:p>
            <w:pPr>
              <w:pStyle w:val="TableParagraph"/>
              <w:spacing w:before="130"/>
              <w:ind w:left="645" w:right="630" w:firstLine="79"/>
              <w:rPr>
                <w:sz w:val="22"/>
              </w:rPr>
            </w:pPr>
            <w:r>
              <w:rPr>
                <w:sz w:val="22"/>
              </w:rPr>
              <w:t>C31299813 SPC-42/2013</w:t>
            </w:r>
          </w:p>
        </w:tc>
        <w:tc>
          <w:tcPr>
            <w:tcW w:w="2551" w:type="dxa"/>
          </w:tcPr>
          <w:p>
            <w:pPr>
              <w:pStyle w:val="TableParagraph"/>
              <w:spacing w:before="4"/>
              <w:rPr>
                <w:b/>
                <w:sz w:val="22"/>
              </w:rPr>
            </w:pPr>
          </w:p>
          <w:p>
            <w:pPr>
              <w:pStyle w:val="TableParagraph"/>
              <w:ind w:right="739"/>
              <w:jc w:val="right"/>
              <w:rPr>
                <w:sz w:val="22"/>
              </w:rPr>
            </w:pPr>
            <w:r>
              <w:rPr>
                <w:sz w:val="22"/>
              </w:rPr>
              <w:t>04.10.2013.</w:t>
            </w:r>
          </w:p>
        </w:tc>
        <w:tc>
          <w:tcPr>
            <w:tcW w:w="3117" w:type="dxa"/>
          </w:tcPr>
          <w:p>
            <w:pPr>
              <w:pStyle w:val="TableParagraph"/>
              <w:spacing w:before="130"/>
              <w:ind w:left="731" w:right="465" w:hanging="236"/>
              <w:rPr>
                <w:sz w:val="22"/>
              </w:rPr>
            </w:pPr>
            <w:r>
              <w:rPr>
                <w:sz w:val="22"/>
              </w:rPr>
              <w:t>Rīgas pilsētas Zemgales priekšpilsētas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18</w:t>
            </w:r>
          </w:p>
        </w:tc>
        <w:tc>
          <w:tcPr>
            <w:tcW w:w="2477" w:type="dxa"/>
          </w:tcPr>
          <w:p>
            <w:pPr>
              <w:pStyle w:val="TableParagraph"/>
              <w:spacing w:before="130"/>
              <w:ind w:left="645" w:right="630" w:firstLine="79"/>
              <w:rPr>
                <w:sz w:val="22"/>
              </w:rPr>
            </w:pPr>
            <w:r>
              <w:rPr>
                <w:sz w:val="22"/>
              </w:rPr>
              <w:t>C32287412 SPC-27/2015</w:t>
            </w:r>
          </w:p>
        </w:tc>
        <w:tc>
          <w:tcPr>
            <w:tcW w:w="2551" w:type="dxa"/>
          </w:tcPr>
          <w:p>
            <w:pPr>
              <w:pStyle w:val="TableParagraph"/>
              <w:spacing w:before="4"/>
              <w:rPr>
                <w:b/>
                <w:sz w:val="22"/>
              </w:rPr>
            </w:pPr>
          </w:p>
          <w:p>
            <w:pPr>
              <w:pStyle w:val="TableParagraph"/>
              <w:ind w:right="739"/>
              <w:jc w:val="right"/>
              <w:rPr>
                <w:sz w:val="22"/>
              </w:rPr>
            </w:pPr>
            <w:r>
              <w:rPr>
                <w:sz w:val="22"/>
              </w:rPr>
              <w:t>27.11.2015.</w:t>
            </w:r>
          </w:p>
        </w:tc>
        <w:tc>
          <w:tcPr>
            <w:tcW w:w="3117" w:type="dxa"/>
          </w:tcPr>
          <w:p>
            <w:pPr>
              <w:pStyle w:val="TableParagraph"/>
              <w:spacing w:before="130"/>
              <w:ind w:left="1358" w:right="224" w:hanging="1104"/>
              <w:rPr>
                <w:sz w:val="22"/>
              </w:rPr>
            </w:pPr>
            <w:r>
              <w:rPr>
                <w:sz w:val="22"/>
              </w:rPr>
              <w:t>Rīgas pilsētas Ziemeļu rajona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19</w:t>
            </w:r>
          </w:p>
        </w:tc>
        <w:tc>
          <w:tcPr>
            <w:tcW w:w="2477" w:type="dxa"/>
          </w:tcPr>
          <w:p>
            <w:pPr>
              <w:pStyle w:val="TableParagraph"/>
              <w:spacing w:before="130"/>
              <w:ind w:left="645" w:right="630" w:firstLine="79"/>
              <w:rPr>
                <w:sz w:val="22"/>
              </w:rPr>
            </w:pPr>
            <w:r>
              <w:rPr>
                <w:sz w:val="22"/>
              </w:rPr>
              <w:t>C33289915 SPC-12/2018</w:t>
            </w:r>
          </w:p>
        </w:tc>
        <w:tc>
          <w:tcPr>
            <w:tcW w:w="2551" w:type="dxa"/>
          </w:tcPr>
          <w:p>
            <w:pPr>
              <w:pStyle w:val="TableParagraph"/>
              <w:spacing w:before="4"/>
              <w:rPr>
                <w:b/>
                <w:sz w:val="22"/>
              </w:rPr>
            </w:pPr>
          </w:p>
          <w:p>
            <w:pPr>
              <w:pStyle w:val="TableParagraph"/>
              <w:ind w:right="739"/>
              <w:jc w:val="right"/>
              <w:rPr>
                <w:sz w:val="22"/>
              </w:rPr>
            </w:pPr>
            <w:r>
              <w:rPr>
                <w:sz w:val="22"/>
              </w:rPr>
              <w:t>16.04.2018.</w:t>
            </w:r>
          </w:p>
        </w:tc>
        <w:tc>
          <w:tcPr>
            <w:tcW w:w="3117" w:type="dxa"/>
          </w:tcPr>
          <w:p>
            <w:pPr>
              <w:pStyle w:val="TableParagraph"/>
              <w:spacing w:before="4"/>
              <w:rPr>
                <w:b/>
                <w:sz w:val="22"/>
              </w:rPr>
            </w:pPr>
          </w:p>
          <w:p>
            <w:pPr>
              <w:pStyle w:val="TableParagraph"/>
              <w:ind w:left="119" w:right="106"/>
              <w:jc w:val="center"/>
              <w:rPr>
                <w:sz w:val="22"/>
              </w:rPr>
            </w:pPr>
            <w:r>
              <w:rPr>
                <w:sz w:val="22"/>
              </w:rPr>
              <w:t>Rīgas rajona tiesa</w:t>
            </w:r>
          </w:p>
        </w:tc>
      </w:tr>
      <w:tr>
        <w:trPr>
          <w:trHeight w:val="781" w:hRule="atLeast"/>
        </w:trPr>
        <w:tc>
          <w:tcPr>
            <w:tcW w:w="785" w:type="dxa"/>
          </w:tcPr>
          <w:p>
            <w:pPr>
              <w:pStyle w:val="TableParagraph"/>
              <w:spacing w:before="4"/>
              <w:rPr>
                <w:b/>
                <w:sz w:val="22"/>
              </w:rPr>
            </w:pPr>
          </w:p>
          <w:p>
            <w:pPr>
              <w:pStyle w:val="TableParagraph"/>
              <w:ind w:left="280"/>
              <w:rPr>
                <w:sz w:val="22"/>
              </w:rPr>
            </w:pPr>
            <w:r>
              <w:rPr>
                <w:sz w:val="22"/>
              </w:rPr>
              <w:t>20</w:t>
            </w:r>
          </w:p>
        </w:tc>
        <w:tc>
          <w:tcPr>
            <w:tcW w:w="2477" w:type="dxa"/>
          </w:tcPr>
          <w:p>
            <w:pPr>
              <w:pStyle w:val="TableParagraph"/>
              <w:spacing w:before="133"/>
              <w:ind w:left="625" w:right="599" w:firstLine="98"/>
              <w:rPr>
                <w:sz w:val="22"/>
              </w:rPr>
            </w:pPr>
            <w:r>
              <w:rPr>
                <w:sz w:val="22"/>
              </w:rPr>
              <w:t>C33354712 SPC–37/2013</w:t>
            </w:r>
          </w:p>
        </w:tc>
        <w:tc>
          <w:tcPr>
            <w:tcW w:w="2551" w:type="dxa"/>
          </w:tcPr>
          <w:p>
            <w:pPr>
              <w:pStyle w:val="TableParagraph"/>
              <w:spacing w:before="4"/>
              <w:rPr>
                <w:b/>
                <w:sz w:val="22"/>
              </w:rPr>
            </w:pPr>
          </w:p>
          <w:p>
            <w:pPr>
              <w:pStyle w:val="TableParagraph"/>
              <w:ind w:right="739"/>
              <w:jc w:val="right"/>
              <w:rPr>
                <w:sz w:val="22"/>
              </w:rPr>
            </w:pPr>
            <w:r>
              <w:rPr>
                <w:sz w:val="22"/>
              </w:rPr>
              <w:t>28.06.2013.</w:t>
            </w:r>
          </w:p>
        </w:tc>
        <w:tc>
          <w:tcPr>
            <w:tcW w:w="3117" w:type="dxa"/>
          </w:tcPr>
          <w:p>
            <w:pPr>
              <w:pStyle w:val="TableParagraph"/>
              <w:spacing w:before="4"/>
              <w:rPr>
                <w:b/>
                <w:sz w:val="22"/>
              </w:rPr>
            </w:pPr>
          </w:p>
          <w:p>
            <w:pPr>
              <w:pStyle w:val="TableParagraph"/>
              <w:ind w:left="119" w:right="106"/>
              <w:jc w:val="center"/>
              <w:rPr>
                <w:sz w:val="22"/>
              </w:rPr>
            </w:pPr>
            <w:r>
              <w:rPr>
                <w:sz w:val="22"/>
              </w:rPr>
              <w:t>Rīgas rajona tiesa</w:t>
            </w:r>
          </w:p>
        </w:tc>
      </w:tr>
      <w:tr>
        <w:trPr>
          <w:trHeight w:val="779" w:hRule="atLeast"/>
        </w:trPr>
        <w:tc>
          <w:tcPr>
            <w:tcW w:w="785" w:type="dxa"/>
          </w:tcPr>
          <w:p>
            <w:pPr>
              <w:pStyle w:val="TableParagraph"/>
              <w:spacing w:before="2"/>
              <w:rPr>
                <w:b/>
                <w:sz w:val="22"/>
              </w:rPr>
            </w:pPr>
          </w:p>
          <w:p>
            <w:pPr>
              <w:pStyle w:val="TableParagraph"/>
              <w:ind w:left="280"/>
              <w:rPr>
                <w:sz w:val="22"/>
              </w:rPr>
            </w:pPr>
            <w:r>
              <w:rPr>
                <w:sz w:val="22"/>
              </w:rPr>
              <w:t>21</w:t>
            </w:r>
          </w:p>
        </w:tc>
        <w:tc>
          <w:tcPr>
            <w:tcW w:w="2477" w:type="dxa"/>
          </w:tcPr>
          <w:p>
            <w:pPr>
              <w:pStyle w:val="TableParagraph"/>
              <w:spacing w:before="130"/>
              <w:ind w:left="645" w:right="630" w:firstLine="79"/>
              <w:rPr>
                <w:sz w:val="22"/>
              </w:rPr>
            </w:pPr>
            <w:r>
              <w:rPr>
                <w:sz w:val="22"/>
              </w:rPr>
              <w:t>C33459812 SPC-19/2017</w:t>
            </w:r>
          </w:p>
        </w:tc>
        <w:tc>
          <w:tcPr>
            <w:tcW w:w="2551" w:type="dxa"/>
          </w:tcPr>
          <w:p>
            <w:pPr>
              <w:pStyle w:val="TableParagraph"/>
              <w:spacing w:before="2"/>
              <w:rPr>
                <w:b/>
                <w:sz w:val="22"/>
              </w:rPr>
            </w:pPr>
          </w:p>
          <w:p>
            <w:pPr>
              <w:pStyle w:val="TableParagraph"/>
              <w:ind w:right="739"/>
              <w:jc w:val="right"/>
              <w:rPr>
                <w:sz w:val="22"/>
              </w:rPr>
            </w:pPr>
            <w:r>
              <w:rPr>
                <w:sz w:val="22"/>
              </w:rPr>
              <w:t>28.09.2017.</w:t>
            </w:r>
          </w:p>
        </w:tc>
        <w:tc>
          <w:tcPr>
            <w:tcW w:w="3117" w:type="dxa"/>
          </w:tcPr>
          <w:p>
            <w:pPr>
              <w:pStyle w:val="TableParagraph"/>
              <w:spacing w:before="2"/>
              <w:rPr>
                <w:b/>
                <w:sz w:val="22"/>
              </w:rPr>
            </w:pPr>
          </w:p>
          <w:p>
            <w:pPr>
              <w:pStyle w:val="TableParagraph"/>
              <w:ind w:left="119" w:right="106"/>
              <w:jc w:val="center"/>
              <w:rPr>
                <w:sz w:val="22"/>
              </w:rPr>
            </w:pPr>
            <w:r>
              <w:rPr>
                <w:sz w:val="22"/>
              </w:rPr>
              <w:t>Rīgas rajona tiesa</w:t>
            </w:r>
          </w:p>
        </w:tc>
      </w:tr>
      <w:tr>
        <w:trPr>
          <w:trHeight w:val="779" w:hRule="atLeast"/>
        </w:trPr>
        <w:tc>
          <w:tcPr>
            <w:tcW w:w="785" w:type="dxa"/>
          </w:tcPr>
          <w:p>
            <w:pPr>
              <w:pStyle w:val="TableParagraph"/>
              <w:spacing w:before="4"/>
              <w:rPr>
                <w:b/>
                <w:sz w:val="22"/>
              </w:rPr>
            </w:pPr>
          </w:p>
          <w:p>
            <w:pPr>
              <w:pStyle w:val="TableParagraph"/>
              <w:ind w:left="280"/>
              <w:rPr>
                <w:sz w:val="22"/>
              </w:rPr>
            </w:pPr>
            <w:r>
              <w:rPr>
                <w:sz w:val="22"/>
              </w:rPr>
              <w:t>22</w:t>
            </w:r>
          </w:p>
        </w:tc>
        <w:tc>
          <w:tcPr>
            <w:tcW w:w="2477" w:type="dxa"/>
          </w:tcPr>
          <w:p>
            <w:pPr>
              <w:pStyle w:val="TableParagraph"/>
              <w:spacing w:before="130"/>
              <w:ind w:left="638" w:right="628" w:firstLine="86"/>
              <w:rPr>
                <w:sz w:val="22"/>
              </w:rPr>
            </w:pPr>
            <w:r>
              <w:rPr>
                <w:sz w:val="22"/>
              </w:rPr>
              <w:t>C33486213 SPC-0044-15</w:t>
            </w:r>
          </w:p>
        </w:tc>
        <w:tc>
          <w:tcPr>
            <w:tcW w:w="2551" w:type="dxa"/>
          </w:tcPr>
          <w:p>
            <w:pPr>
              <w:pStyle w:val="TableParagraph"/>
              <w:spacing w:before="4"/>
              <w:rPr>
                <w:b/>
                <w:sz w:val="22"/>
              </w:rPr>
            </w:pPr>
          </w:p>
          <w:p>
            <w:pPr>
              <w:pStyle w:val="TableParagraph"/>
              <w:ind w:right="739"/>
              <w:jc w:val="right"/>
              <w:rPr>
                <w:sz w:val="22"/>
              </w:rPr>
            </w:pPr>
            <w:r>
              <w:rPr>
                <w:sz w:val="22"/>
              </w:rPr>
              <w:t>29.12.2015.</w:t>
            </w:r>
          </w:p>
        </w:tc>
        <w:tc>
          <w:tcPr>
            <w:tcW w:w="3117" w:type="dxa"/>
          </w:tcPr>
          <w:p>
            <w:pPr>
              <w:pStyle w:val="TableParagraph"/>
              <w:spacing w:before="4"/>
              <w:rPr>
                <w:b/>
                <w:sz w:val="22"/>
              </w:rPr>
            </w:pPr>
          </w:p>
          <w:p>
            <w:pPr>
              <w:pStyle w:val="TableParagraph"/>
              <w:ind w:left="119" w:right="106"/>
              <w:jc w:val="center"/>
              <w:rPr>
                <w:sz w:val="22"/>
              </w:rPr>
            </w:pPr>
            <w:r>
              <w:rPr>
                <w:sz w:val="22"/>
              </w:rPr>
              <w:t>Rīgas rajona tiesa</w:t>
            </w:r>
          </w:p>
        </w:tc>
      </w:tr>
    </w:tbl>
    <w:p>
      <w:pPr>
        <w:spacing w:after="0"/>
        <w:jc w:val="center"/>
        <w:rPr>
          <w:sz w:val="22"/>
        </w:rPr>
        <w:sectPr>
          <w:pgSz w:w="11910" w:h="16840"/>
          <w:pgMar w:header="0" w:footer="1055" w:top="1420" w:bottom="1160" w:left="1180" w:right="104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2477"/>
        <w:gridCol w:w="2551"/>
        <w:gridCol w:w="3117"/>
      </w:tblGrid>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23</w:t>
            </w:r>
          </w:p>
        </w:tc>
        <w:tc>
          <w:tcPr>
            <w:tcW w:w="2477" w:type="dxa"/>
          </w:tcPr>
          <w:p>
            <w:pPr>
              <w:pStyle w:val="TableParagraph"/>
              <w:spacing w:before="4"/>
              <w:rPr>
                <w:b/>
                <w:sz w:val="22"/>
              </w:rPr>
            </w:pPr>
          </w:p>
          <w:p>
            <w:pPr>
              <w:pStyle w:val="TableParagraph"/>
              <w:ind w:left="93" w:right="80"/>
              <w:jc w:val="center"/>
              <w:rPr>
                <w:sz w:val="22"/>
              </w:rPr>
            </w:pPr>
            <w:r>
              <w:rPr>
                <w:sz w:val="22"/>
              </w:rPr>
              <w:t>SPC-21/2016</w:t>
            </w:r>
          </w:p>
        </w:tc>
        <w:tc>
          <w:tcPr>
            <w:tcW w:w="2551" w:type="dxa"/>
          </w:tcPr>
          <w:p>
            <w:pPr>
              <w:pStyle w:val="TableParagraph"/>
              <w:spacing w:before="4"/>
              <w:rPr>
                <w:b/>
                <w:sz w:val="22"/>
              </w:rPr>
            </w:pPr>
          </w:p>
          <w:p>
            <w:pPr>
              <w:pStyle w:val="TableParagraph"/>
              <w:ind w:left="752"/>
              <w:rPr>
                <w:sz w:val="22"/>
              </w:rPr>
            </w:pPr>
            <w:r>
              <w:rPr>
                <w:sz w:val="22"/>
              </w:rPr>
              <w:t>28.12.2016.</w:t>
            </w:r>
          </w:p>
        </w:tc>
        <w:tc>
          <w:tcPr>
            <w:tcW w:w="3117" w:type="dxa"/>
          </w:tcPr>
          <w:p>
            <w:pPr>
              <w:pStyle w:val="TableParagraph"/>
              <w:spacing w:before="4"/>
              <w:rPr>
                <w:b/>
                <w:sz w:val="22"/>
              </w:rPr>
            </w:pPr>
          </w:p>
          <w:p>
            <w:pPr>
              <w:pStyle w:val="TableParagraph"/>
              <w:ind w:left="119" w:right="106"/>
              <w:jc w:val="center"/>
              <w:rPr>
                <w:sz w:val="22"/>
              </w:rPr>
            </w:pPr>
            <w:r>
              <w:rPr>
                <w:sz w:val="22"/>
              </w:rPr>
              <w:t>Rīgas rajona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24</w:t>
            </w:r>
          </w:p>
        </w:tc>
        <w:tc>
          <w:tcPr>
            <w:tcW w:w="2477" w:type="dxa"/>
          </w:tcPr>
          <w:p>
            <w:pPr>
              <w:pStyle w:val="TableParagraph"/>
              <w:spacing w:before="4"/>
              <w:rPr>
                <w:b/>
                <w:sz w:val="22"/>
              </w:rPr>
            </w:pPr>
          </w:p>
          <w:p>
            <w:pPr>
              <w:pStyle w:val="TableParagraph"/>
              <w:ind w:left="93" w:right="84"/>
              <w:jc w:val="center"/>
              <w:rPr>
                <w:sz w:val="22"/>
              </w:rPr>
            </w:pPr>
            <w:r>
              <w:rPr>
                <w:sz w:val="22"/>
              </w:rPr>
              <w:t>C35074713, SPC–5/2018</w:t>
            </w:r>
          </w:p>
        </w:tc>
        <w:tc>
          <w:tcPr>
            <w:tcW w:w="2551" w:type="dxa"/>
          </w:tcPr>
          <w:p>
            <w:pPr>
              <w:pStyle w:val="TableParagraph"/>
              <w:spacing w:before="4"/>
              <w:rPr>
                <w:b/>
                <w:sz w:val="22"/>
              </w:rPr>
            </w:pPr>
          </w:p>
          <w:p>
            <w:pPr>
              <w:pStyle w:val="TableParagraph"/>
              <w:ind w:left="753"/>
              <w:rPr>
                <w:sz w:val="22"/>
              </w:rPr>
            </w:pPr>
            <w:r>
              <w:rPr>
                <w:sz w:val="22"/>
              </w:rPr>
              <w:t>15.03.2018.</w:t>
            </w:r>
          </w:p>
        </w:tc>
        <w:tc>
          <w:tcPr>
            <w:tcW w:w="3117" w:type="dxa"/>
          </w:tcPr>
          <w:p>
            <w:pPr>
              <w:pStyle w:val="TableParagraph"/>
              <w:spacing w:before="4"/>
              <w:rPr>
                <w:b/>
                <w:sz w:val="22"/>
              </w:rPr>
            </w:pPr>
          </w:p>
          <w:p>
            <w:pPr>
              <w:pStyle w:val="TableParagraph"/>
              <w:ind w:left="116" w:right="106"/>
              <w:jc w:val="center"/>
              <w:rPr>
                <w:sz w:val="22"/>
              </w:rPr>
            </w:pPr>
            <w:r>
              <w:rPr>
                <w:sz w:val="22"/>
              </w:rPr>
              <w:t>Siguldas tiesa</w:t>
            </w:r>
          </w:p>
        </w:tc>
      </w:tr>
      <w:tr>
        <w:trPr>
          <w:trHeight w:val="782" w:hRule="atLeast"/>
        </w:trPr>
        <w:tc>
          <w:tcPr>
            <w:tcW w:w="785" w:type="dxa"/>
          </w:tcPr>
          <w:p>
            <w:pPr>
              <w:pStyle w:val="TableParagraph"/>
              <w:spacing w:before="4"/>
              <w:rPr>
                <w:b/>
                <w:sz w:val="22"/>
              </w:rPr>
            </w:pPr>
          </w:p>
          <w:p>
            <w:pPr>
              <w:pStyle w:val="TableParagraph"/>
              <w:ind w:left="86" w:right="79"/>
              <w:jc w:val="center"/>
              <w:rPr>
                <w:sz w:val="22"/>
              </w:rPr>
            </w:pPr>
            <w:r>
              <w:rPr>
                <w:sz w:val="22"/>
              </w:rPr>
              <w:t>25</w:t>
            </w:r>
          </w:p>
        </w:tc>
        <w:tc>
          <w:tcPr>
            <w:tcW w:w="2477" w:type="dxa"/>
          </w:tcPr>
          <w:p>
            <w:pPr>
              <w:pStyle w:val="TableParagraph"/>
              <w:spacing w:before="133"/>
              <w:ind w:left="681" w:right="653" w:firstLine="43"/>
              <w:rPr>
                <w:sz w:val="22"/>
              </w:rPr>
            </w:pPr>
            <w:r>
              <w:rPr>
                <w:sz w:val="22"/>
              </w:rPr>
              <w:t>C37101714 SPC–5/2017</w:t>
            </w:r>
          </w:p>
        </w:tc>
        <w:tc>
          <w:tcPr>
            <w:tcW w:w="2551" w:type="dxa"/>
          </w:tcPr>
          <w:p>
            <w:pPr>
              <w:pStyle w:val="TableParagraph"/>
              <w:spacing w:before="4"/>
              <w:rPr>
                <w:b/>
                <w:sz w:val="22"/>
              </w:rPr>
            </w:pPr>
          </w:p>
          <w:p>
            <w:pPr>
              <w:pStyle w:val="TableParagraph"/>
              <w:ind w:left="752"/>
              <w:rPr>
                <w:sz w:val="22"/>
              </w:rPr>
            </w:pPr>
            <w:r>
              <w:rPr>
                <w:sz w:val="22"/>
              </w:rPr>
              <w:t>16.02.2017.</w:t>
            </w:r>
          </w:p>
        </w:tc>
        <w:tc>
          <w:tcPr>
            <w:tcW w:w="3117" w:type="dxa"/>
          </w:tcPr>
          <w:p>
            <w:pPr>
              <w:pStyle w:val="TableParagraph"/>
              <w:spacing w:before="4"/>
              <w:rPr>
                <w:b/>
                <w:sz w:val="22"/>
              </w:rPr>
            </w:pPr>
          </w:p>
          <w:p>
            <w:pPr>
              <w:pStyle w:val="TableParagraph"/>
              <w:ind w:left="119" w:right="106"/>
              <w:jc w:val="center"/>
              <w:rPr>
                <w:sz w:val="22"/>
              </w:rPr>
            </w:pPr>
            <w:r>
              <w:rPr>
                <w:sz w:val="22"/>
              </w:rPr>
              <w:t>Tukuma rajona tiesa</w:t>
            </w:r>
          </w:p>
        </w:tc>
      </w:tr>
      <w:tr>
        <w:trPr>
          <w:trHeight w:val="779" w:hRule="atLeast"/>
        </w:trPr>
        <w:tc>
          <w:tcPr>
            <w:tcW w:w="785" w:type="dxa"/>
          </w:tcPr>
          <w:p>
            <w:pPr>
              <w:pStyle w:val="TableParagraph"/>
              <w:spacing w:before="2"/>
              <w:rPr>
                <w:b/>
                <w:sz w:val="22"/>
              </w:rPr>
            </w:pPr>
          </w:p>
          <w:p>
            <w:pPr>
              <w:pStyle w:val="TableParagraph"/>
              <w:ind w:left="86" w:right="79"/>
              <w:jc w:val="center"/>
              <w:rPr>
                <w:sz w:val="22"/>
              </w:rPr>
            </w:pPr>
            <w:r>
              <w:rPr>
                <w:sz w:val="22"/>
              </w:rPr>
              <w:t>26</w:t>
            </w:r>
          </w:p>
        </w:tc>
        <w:tc>
          <w:tcPr>
            <w:tcW w:w="2477" w:type="dxa"/>
          </w:tcPr>
          <w:p>
            <w:pPr>
              <w:pStyle w:val="TableParagraph"/>
              <w:spacing w:before="130"/>
              <w:ind w:left="700" w:right="686" w:firstLine="24"/>
              <w:rPr>
                <w:sz w:val="22"/>
              </w:rPr>
            </w:pPr>
            <w:r>
              <w:rPr>
                <w:sz w:val="22"/>
              </w:rPr>
              <w:t>C40040014 SPC-4/2015</w:t>
            </w:r>
          </w:p>
        </w:tc>
        <w:tc>
          <w:tcPr>
            <w:tcW w:w="2551" w:type="dxa"/>
          </w:tcPr>
          <w:p>
            <w:pPr>
              <w:pStyle w:val="TableParagraph"/>
              <w:spacing w:before="2"/>
              <w:rPr>
                <w:b/>
                <w:sz w:val="22"/>
              </w:rPr>
            </w:pPr>
          </w:p>
          <w:p>
            <w:pPr>
              <w:pStyle w:val="TableParagraph"/>
              <w:ind w:left="752"/>
              <w:rPr>
                <w:sz w:val="22"/>
              </w:rPr>
            </w:pPr>
            <w:r>
              <w:rPr>
                <w:sz w:val="22"/>
              </w:rPr>
              <w:t>24.02.2015.</w:t>
            </w:r>
          </w:p>
        </w:tc>
        <w:tc>
          <w:tcPr>
            <w:tcW w:w="3117" w:type="dxa"/>
          </w:tcPr>
          <w:p>
            <w:pPr>
              <w:pStyle w:val="TableParagraph"/>
              <w:spacing w:before="2"/>
              <w:rPr>
                <w:b/>
                <w:sz w:val="22"/>
              </w:rPr>
            </w:pPr>
          </w:p>
          <w:p>
            <w:pPr>
              <w:pStyle w:val="TableParagraph"/>
              <w:ind w:left="117" w:right="106"/>
              <w:jc w:val="center"/>
              <w:rPr>
                <w:sz w:val="22"/>
              </w:rPr>
            </w:pPr>
            <w:r>
              <w:rPr>
                <w:sz w:val="22"/>
              </w:rPr>
              <w:t>Ventspils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27</w:t>
            </w:r>
          </w:p>
        </w:tc>
        <w:tc>
          <w:tcPr>
            <w:tcW w:w="2477" w:type="dxa"/>
          </w:tcPr>
          <w:p>
            <w:pPr>
              <w:pStyle w:val="TableParagraph"/>
              <w:spacing w:before="4"/>
              <w:rPr>
                <w:b/>
                <w:sz w:val="22"/>
              </w:rPr>
            </w:pPr>
          </w:p>
          <w:p>
            <w:pPr>
              <w:pStyle w:val="TableParagraph"/>
              <w:ind w:left="93" w:right="84"/>
              <w:jc w:val="center"/>
              <w:rPr>
                <w:sz w:val="22"/>
              </w:rPr>
            </w:pPr>
            <w:r>
              <w:rPr>
                <w:sz w:val="22"/>
              </w:rPr>
              <w:t>SPC – 77/2011</w:t>
            </w:r>
          </w:p>
        </w:tc>
        <w:tc>
          <w:tcPr>
            <w:tcW w:w="2551" w:type="dxa"/>
          </w:tcPr>
          <w:p>
            <w:pPr>
              <w:pStyle w:val="TableParagraph"/>
              <w:spacing w:before="4"/>
              <w:rPr>
                <w:b/>
                <w:sz w:val="22"/>
              </w:rPr>
            </w:pPr>
          </w:p>
          <w:p>
            <w:pPr>
              <w:pStyle w:val="TableParagraph"/>
              <w:ind w:left="753"/>
              <w:rPr>
                <w:sz w:val="22"/>
              </w:rPr>
            </w:pPr>
            <w:r>
              <w:rPr>
                <w:sz w:val="22"/>
              </w:rPr>
              <w:t>23.11.2011.</w:t>
            </w:r>
          </w:p>
        </w:tc>
        <w:tc>
          <w:tcPr>
            <w:tcW w:w="3117" w:type="dxa"/>
          </w:tcPr>
          <w:p>
            <w:pPr>
              <w:pStyle w:val="TableParagraph"/>
              <w:spacing w:before="4"/>
              <w:rPr>
                <w:b/>
                <w:sz w:val="22"/>
              </w:rPr>
            </w:pPr>
          </w:p>
          <w:p>
            <w:pPr>
              <w:pStyle w:val="TableParagraph"/>
              <w:ind w:left="117" w:right="106"/>
              <w:jc w:val="center"/>
              <w:rPr>
                <w:sz w:val="22"/>
              </w:rPr>
            </w:pPr>
            <w:r>
              <w:rPr>
                <w:sz w:val="22"/>
              </w:rPr>
              <w:t>Ventspils tiesa</w:t>
            </w:r>
          </w:p>
        </w:tc>
      </w:tr>
      <w:tr>
        <w:trPr>
          <w:trHeight w:val="779" w:hRule="atLeast"/>
        </w:trPr>
        <w:tc>
          <w:tcPr>
            <w:tcW w:w="785" w:type="dxa"/>
          </w:tcPr>
          <w:p>
            <w:pPr>
              <w:pStyle w:val="TableParagraph"/>
              <w:spacing w:before="4"/>
              <w:rPr>
                <w:b/>
                <w:sz w:val="22"/>
              </w:rPr>
            </w:pPr>
          </w:p>
          <w:p>
            <w:pPr>
              <w:pStyle w:val="TableParagraph"/>
              <w:ind w:left="86" w:right="79"/>
              <w:jc w:val="center"/>
              <w:rPr>
                <w:sz w:val="22"/>
              </w:rPr>
            </w:pPr>
            <w:r>
              <w:rPr>
                <w:sz w:val="22"/>
              </w:rPr>
              <w:t>28</w:t>
            </w:r>
          </w:p>
        </w:tc>
        <w:tc>
          <w:tcPr>
            <w:tcW w:w="2477" w:type="dxa"/>
          </w:tcPr>
          <w:p>
            <w:pPr>
              <w:pStyle w:val="TableParagraph"/>
              <w:spacing w:before="130"/>
              <w:ind w:left="700" w:right="686" w:firstLine="24"/>
              <w:rPr>
                <w:sz w:val="22"/>
              </w:rPr>
            </w:pPr>
            <w:r>
              <w:rPr>
                <w:sz w:val="22"/>
              </w:rPr>
              <w:t>C68310217 SPC-2/2018</w:t>
            </w:r>
          </w:p>
        </w:tc>
        <w:tc>
          <w:tcPr>
            <w:tcW w:w="2551" w:type="dxa"/>
          </w:tcPr>
          <w:p>
            <w:pPr>
              <w:pStyle w:val="TableParagraph"/>
              <w:spacing w:before="4"/>
              <w:rPr>
                <w:b/>
                <w:sz w:val="22"/>
              </w:rPr>
            </w:pPr>
          </w:p>
          <w:p>
            <w:pPr>
              <w:pStyle w:val="TableParagraph"/>
              <w:ind w:left="752"/>
              <w:rPr>
                <w:sz w:val="22"/>
              </w:rPr>
            </w:pPr>
            <w:r>
              <w:rPr>
                <w:sz w:val="22"/>
              </w:rPr>
              <w:t>26.01.2018.</w:t>
            </w:r>
          </w:p>
        </w:tc>
        <w:tc>
          <w:tcPr>
            <w:tcW w:w="3117" w:type="dxa"/>
          </w:tcPr>
          <w:p>
            <w:pPr>
              <w:pStyle w:val="TableParagraph"/>
              <w:spacing w:before="4"/>
              <w:rPr>
                <w:b/>
                <w:sz w:val="22"/>
              </w:rPr>
            </w:pPr>
          </w:p>
          <w:p>
            <w:pPr>
              <w:pStyle w:val="TableParagraph"/>
              <w:ind w:left="118" w:right="106"/>
              <w:jc w:val="center"/>
              <w:rPr>
                <w:sz w:val="22"/>
              </w:rPr>
            </w:pPr>
            <w:r>
              <w:rPr>
                <w:sz w:val="22"/>
              </w:rPr>
              <w:t>Rīgas pilsētas Pārdaugavas tiesa</w:t>
            </w:r>
          </w:p>
        </w:tc>
      </w:tr>
    </w:tbl>
    <w:sectPr>
      <w:pgSz w:w="11910" w:h="16840"/>
      <w:pgMar w:header="0" w:footer="1055" w:top="1420" w:bottom="1160" w:left="11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BA"/>
    <w:family w:val="roman"/>
    <w:pitch w:val="variable"/>
  </w:font>
  <w:font w:name="Century Gothic">
    <w:altName w:val="Century Gothic"/>
    <w:charset w:val="BA"/>
    <w:family w:val="swiss"/>
    <w:pitch w:val="variable"/>
  </w:font>
  <w:font w:name="Calibri">
    <w:altName w:val="Calibri"/>
    <w:charset w:val="BA"/>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79.480011pt;margin-top:778.14624pt;width:18pt;height:15.3pt;mso-position-horizontal-relative:page;mso-position-vertical-relative:page;z-index:-26270003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9.480011pt;margin-top:778.14624pt;width:14pt;height:15.3pt;mso-position-horizontal-relative:page;mso-position-vertical-relative:page;z-index:-262687744" type="#_x0000_t202" filled="false" stroked="false">
          <v:textbox inset="0,0,0,0">
            <w:txbxContent>
              <w:p>
                <w:pPr>
                  <w:pStyle w:val="BodyText"/>
                  <w:spacing w:before="10"/>
                  <w:ind w:left="20"/>
                  <w:jc w:val="left"/>
                </w:pPr>
                <w:r>
                  <w:rPr/>
                  <w:t>21</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86720" from="72pt,729.660034pt" to="216.000004pt,729.660034pt" stroked="true" strokeweight=".600037pt" strokecolor="#000000">
          <v:stroke dashstyle="solid"/>
          <w10:wrap type="none"/>
        </v:line>
      </w:pict>
    </w:r>
    <w:r>
      <w:rPr/>
      <w:pict>
        <v:shape style="position:absolute;margin-left:281.480011pt;margin-top:778.14624pt;width:14pt;height:15.3pt;mso-position-horizontal-relative:page;mso-position-vertical-relative:page;z-index:-262685696" type="#_x0000_t202" filled="false" stroked="false">
          <v:textbox inset="0,0,0,0">
            <w:txbxContent>
              <w:p>
                <w:pPr>
                  <w:pStyle w:val="BodyText"/>
                  <w:spacing w:before="10"/>
                  <w:ind w:left="20"/>
                  <w:jc w:val="left"/>
                </w:pPr>
                <w:r>
                  <w:rPr/>
                  <w:t>22</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84672" from="90pt,741.180054pt" to="234.000004pt,741.180054pt" stroked="true" strokeweight=".599991pt" strokecolor="#000000">
          <v:stroke dashstyle="solid"/>
          <w10:wrap type="none"/>
        </v:line>
      </w:pict>
    </w:r>
    <w:r>
      <w:rPr/>
      <w:pict>
        <v:shape style="position:absolute;margin-left:297.480011pt;margin-top:778.14624pt;width:18pt;height:15.3pt;mso-position-horizontal-relative:page;mso-position-vertical-relative:page;z-index:-262683648" type="#_x0000_t202" filled="false" stroked="false">
          <v:textbox inset="0,0,0,0">
            <w:txbxContent>
              <w:p>
                <w:pPr>
                  <w:pStyle w:val="BodyText"/>
                  <w:spacing w:before="10"/>
                  <w:ind w:left="60"/>
                  <w:jc w:val="left"/>
                </w:pPr>
                <w:r>
                  <w:rPr/>
                  <w:t>23</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82624"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24</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81600" from="90pt,741.180054pt" to="234.000004pt,741.180054pt" stroked="true" strokeweight=".599991pt" strokecolor="#000000">
          <v:stroke dashstyle="solid"/>
          <w10:wrap type="none"/>
        </v:line>
      </w:pict>
    </w:r>
    <w:r>
      <w:rPr/>
      <w:pict>
        <v:shape style="position:absolute;margin-left:297.480011pt;margin-top:778.14624pt;width:18pt;height:15.3pt;mso-position-horizontal-relative:page;mso-position-vertical-relative:page;z-index:-26268057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25</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9.480011pt;margin-top:778.14624pt;width:14pt;height:15.3pt;mso-position-horizontal-relative:page;mso-position-vertical-relative:page;z-index:-262679552" type="#_x0000_t202" filled="false" stroked="false">
          <v:textbox inset="0,0,0,0">
            <w:txbxContent>
              <w:p>
                <w:pPr>
                  <w:pStyle w:val="BodyText"/>
                  <w:spacing w:before="10"/>
                  <w:ind w:left="20"/>
                  <w:jc w:val="left"/>
                </w:pPr>
                <w:r>
                  <w:rPr/>
                  <w:t>27</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78528" type="#_x0000_t202" filled="false" stroked="false">
          <v:textbox inset="0,0,0,0">
            <w:txbxContent>
              <w:p>
                <w:pPr>
                  <w:pStyle w:val="BodyText"/>
                  <w:spacing w:before="10"/>
                  <w:ind w:left="60"/>
                  <w:jc w:val="left"/>
                </w:pPr>
                <w:r>
                  <w:rPr/>
                  <w:t>28</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77504" from="90pt,718.140015pt" to="234.000004pt,718.140015pt" stroked="true" strokeweight=".599991pt" strokecolor="#000000">
          <v:stroke dashstyle="solid"/>
          <w10:wrap type="none"/>
        </v:line>
      </w:pict>
    </w:r>
    <w:r>
      <w:rPr/>
      <w:pict>
        <v:shape style="position:absolute;margin-left:299.480011pt;margin-top:778.14624pt;width:14pt;height:15.3pt;mso-position-horizontal-relative:page;mso-position-vertical-relative:page;z-index:-262676480" type="#_x0000_t202" filled="false" stroked="false">
          <v:textbox inset="0,0,0,0">
            <w:txbxContent>
              <w:p>
                <w:pPr>
                  <w:pStyle w:val="BodyText"/>
                  <w:spacing w:before="10"/>
                  <w:ind w:left="20"/>
                  <w:jc w:val="left"/>
                </w:pPr>
                <w:r>
                  <w:rPr/>
                  <w:t>29</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75456" type="#_x0000_t202" filled="false" stroked="false">
          <v:textbox inset="0,0,0,0">
            <w:txbxContent>
              <w:p>
                <w:pPr>
                  <w:pStyle w:val="BodyText"/>
                  <w:spacing w:before="10"/>
                  <w:ind w:left="60"/>
                  <w:jc w:val="left"/>
                </w:pPr>
                <w:r>
                  <w:rPr/>
                  <w:t>30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80011pt;margin-top:778.14624pt;width:18pt;height:15.3pt;mso-position-horizontal-relative:page;mso-position-vertical-relative:page;z-index:-26267443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31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80011pt;margin-top:778.14624pt;width:18pt;height:15.3pt;mso-position-horizontal-relative:page;mso-position-vertical-relative:page;z-index:-262699008"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11</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73408"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32</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72384" from="72pt,718.140015pt" to="216.000004pt,718.140015pt" stroked="true" strokeweight=".599991pt" strokecolor="#000000">
          <v:stroke dashstyle="solid"/>
          <w10:wrap type="none"/>
        </v:line>
      </w:pict>
    </w:r>
    <w:r>
      <w:rPr/>
      <w:pict>
        <v:shape style="position:absolute;margin-left:281.480011pt;margin-top:778.14624pt;width:14pt;height:15.3pt;mso-position-horizontal-relative:page;mso-position-vertical-relative:page;z-index:-262671360" type="#_x0000_t202" filled="false" stroked="false">
          <v:textbox inset="0,0,0,0">
            <w:txbxContent>
              <w:p>
                <w:pPr>
                  <w:pStyle w:val="BodyText"/>
                  <w:spacing w:before="10"/>
                  <w:ind w:left="20"/>
                  <w:jc w:val="left"/>
                </w:pPr>
                <w:r>
                  <w:rPr/>
                  <w:t>36</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80011pt;margin-top:778.14624pt;width:18pt;height:15.3pt;mso-position-horizontal-relative:page;mso-position-vertical-relative:page;z-index:-262670336" type="#_x0000_t202" filled="false" stroked="false">
          <v:textbox inset="0,0,0,0">
            <w:txbxContent>
              <w:p>
                <w:pPr>
                  <w:pStyle w:val="BodyText"/>
                  <w:spacing w:before="10"/>
                  <w:ind w:left="60"/>
                  <w:jc w:val="left"/>
                </w:pPr>
                <w:r>
                  <w:rPr/>
                  <w:t>37</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6931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38</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80011pt;margin-top:778.14624pt;width:18pt;height:15.3pt;mso-position-horizontal-relative:page;mso-position-vertical-relative:page;z-index:-262668288"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39</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67264" from="72pt,741.180054pt" to="216.000004pt,741.180054pt" stroked="true" strokeweight=".599991pt" strokecolor="#000000">
          <v:stroke dashstyle="solid"/>
          <w10:wrap type="none"/>
        </v:line>
      </w:pict>
    </w:r>
    <w:r>
      <w:rPr/>
      <w:pict>
        <v:shape style="position:absolute;margin-left:281.480011pt;margin-top:778.14624pt;width:14pt;height:15.3pt;mso-position-horizontal-relative:page;mso-position-vertical-relative:page;z-index:-262666240" type="#_x0000_t202" filled="false" stroked="false">
          <v:textbox inset="0,0,0,0">
            <w:txbxContent>
              <w:p>
                <w:pPr>
                  <w:pStyle w:val="BodyText"/>
                  <w:spacing w:before="10"/>
                  <w:ind w:left="20"/>
                  <w:jc w:val="left"/>
                </w:pPr>
                <w:r>
                  <w:rPr/>
                  <w:t>48</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80011pt;margin-top:778.14624pt;width:18pt;height:15.3pt;mso-position-horizontal-relative:page;mso-position-vertical-relative:page;z-index:-262665216" type="#_x0000_t202" filled="false" stroked="false">
          <v:textbox inset="0,0,0,0">
            <w:txbxContent>
              <w:p>
                <w:pPr>
                  <w:pStyle w:val="BodyText"/>
                  <w:spacing w:before="10"/>
                  <w:ind w:left="60"/>
                  <w:jc w:val="left"/>
                </w:pPr>
                <w:r>
                  <w:rPr/>
                  <w:t>49</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6419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50</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80011pt;margin-top:778.14624pt;width:18pt;height:15.3pt;mso-position-horizontal-relative:page;mso-position-vertical-relative:page;z-index:-262663168"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51</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62144" from="90pt,706.73999pt" to="234.000004pt,706.73999pt" stroked="true" strokeweight=".599991pt" strokecolor="#000000">
          <v:stroke dashstyle="solid"/>
          <w10:wrap type="none"/>
        </v:line>
      </w:pict>
    </w:r>
    <w:r>
      <w:rPr/>
      <w:pict>
        <v:shape style="position:absolute;margin-left:297.480011pt;margin-top:778.14624pt;width:18pt;height:15.3pt;mso-position-horizontal-relative:page;mso-position-vertical-relative:page;z-index:-262661120"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57</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97984" from="90pt,704.340027pt" to="234.000004pt,704.340027pt" stroked="true" strokeweight=".600037pt" strokecolor="#000000">
          <v:stroke dashstyle="solid"/>
          <w10:wrap type="none"/>
        </v:line>
      </w:pict>
    </w:r>
    <w:r>
      <w:rPr/>
      <w:pict>
        <v:shape style="position:absolute;margin-left:299.480011pt;margin-top:778.14624pt;width:14pt;height:15.3pt;mso-position-horizontal-relative:page;mso-position-vertical-relative:page;z-index:-262696960" type="#_x0000_t202" filled="false" stroked="false">
          <v:textbox inset="0,0,0,0">
            <w:txbxContent>
              <w:p>
                <w:pPr>
                  <w:pStyle w:val="BodyText"/>
                  <w:spacing w:before="10"/>
                  <w:ind w:left="20"/>
                  <w:jc w:val="left"/>
                </w:pPr>
                <w:r>
                  <w:rPr/>
                  <w:t>13</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6009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58</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80011pt;margin-top:778.14624pt;width:18pt;height:15.3pt;mso-position-horizontal-relative:page;mso-position-vertical-relative:page;z-index:-26265907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61</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58048"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62</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57024" from="90pt,750.420044pt" to="234.000004pt,750.420044pt" stroked="true" strokeweight=".600037pt" strokecolor="#000000">
          <v:stroke dashstyle="solid"/>
          <w10:wrap type="none"/>
        </v:line>
      </w:pict>
    </w:r>
    <w:r>
      <w:rPr/>
      <w:pict>
        <v:shape style="position:absolute;margin-left:299.480011pt;margin-top:778.14624pt;width:14pt;height:15.3pt;mso-position-horizontal-relative:page;mso-position-vertical-relative:page;z-index:-262656000" type="#_x0000_t202" filled="false" stroked="false">
          <v:textbox inset="0,0,0,0">
            <w:txbxContent>
              <w:p>
                <w:pPr>
                  <w:pStyle w:val="BodyText"/>
                  <w:spacing w:before="10"/>
                  <w:ind w:left="20"/>
                  <w:jc w:val="left"/>
                </w:pPr>
                <w:r>
                  <w:rPr/>
                  <w:t>65</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54976" type="#_x0000_t202" filled="false" stroked="false">
          <v:textbox inset="0,0,0,0">
            <w:txbxContent>
              <w:p>
                <w:pPr>
                  <w:pStyle w:val="BodyText"/>
                  <w:spacing w:before="10"/>
                  <w:ind w:left="60"/>
                  <w:jc w:val="left"/>
                </w:pPr>
                <w:r>
                  <w:rPr/>
                  <w:t>66</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4.480011pt;margin-top:778.14624pt;width:24.05pt;height:15.3pt;mso-position-horizontal-relative:page;mso-position-vertical-relative:page;z-index:-26265395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101</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52928" from="72pt,729.660034pt" to="216.000004pt,729.660034pt" stroked="true" strokeweight=".600037pt" strokecolor="#000000">
          <v:stroke dashstyle="solid"/>
          <w10:wrap type="none"/>
        </v:line>
      </w:pict>
    </w:r>
    <w:r>
      <w:rPr/>
      <w:pict>
        <v:shape style="position:absolute;margin-left:281.480011pt;margin-top:778.14624pt;width:14pt;height:15.3pt;mso-position-horizontal-relative:page;mso-position-vertical-relative:page;z-index:-262651904" type="#_x0000_t202" filled="false" stroked="false">
          <v:textbox inset="0,0,0,0">
            <w:txbxContent>
              <w:p>
                <w:pPr>
                  <w:pStyle w:val="BodyText"/>
                  <w:spacing w:before="10"/>
                  <w:ind w:left="20"/>
                  <w:jc w:val="left"/>
                </w:pPr>
                <w:r>
                  <w:rPr/>
                  <w:t>68</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50880"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100</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80011pt;margin-top:778.14624pt;width:18pt;height:15.3pt;mso-position-horizontal-relative:page;mso-position-vertical-relative:page;z-index:-26264985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71</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48832" from="90pt,660.660034pt" to="234.000004pt,660.660034pt" stroked="true" strokeweight=".600037pt" strokecolor="#000000">
          <v:stroke dashstyle="solid"/>
          <w10:wrap type="none"/>
        </v:line>
      </w:pict>
    </w:r>
    <w:r>
      <w:rPr/>
      <w:pict>
        <v:shape style="position:absolute;margin-left:296.480011pt;margin-top:778.14624pt;width:20.05pt;height:15.3pt;mso-position-horizontal-relative:page;mso-position-vertical-relative:page;z-index:-262647808" type="#_x0000_t202" filled="false" stroked="false">
          <v:textbox inset="0,0,0,0">
            <w:txbxContent>
              <w:p>
                <w:pPr>
                  <w:pStyle w:val="BodyText"/>
                  <w:spacing w:before="10"/>
                  <w:ind w:left="20"/>
                  <w:jc w:val="left"/>
                </w:pPr>
                <w:r>
                  <w:rPr/>
                  <w:t>109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95936" type="#_x0000_t202" filled="false" stroked="false">
          <v:textbox inset="0,0,0,0">
            <w:txbxContent>
              <w:p>
                <w:pPr>
                  <w:pStyle w:val="BodyText"/>
                  <w:spacing w:before="10"/>
                  <w:ind w:left="60"/>
                  <w:jc w:val="left"/>
                </w:pPr>
                <w:r>
                  <w:rPr/>
                  <w:t>14</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46784" type="#_x0000_t202" filled="false" stroked="false">
          <v:textbox inset="0,0,0,0">
            <w:txbxContent>
              <w:p>
                <w:pPr>
                  <w:pStyle w:val="BodyText"/>
                  <w:spacing w:before="10"/>
                  <w:ind w:left="60"/>
                  <w:jc w:val="left"/>
                </w:pPr>
                <w:r>
                  <w:rPr/>
                  <w:t>110</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4.480011pt;margin-top:778.14624pt;width:24.05pt;height:15.3pt;mso-position-horizontal-relative:page;mso-position-vertical-relative:page;z-index:-262645760"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111</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4473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112</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43712" from="90pt,718.140015pt" to="234.000004pt,718.140015pt" stroked="true" strokeweight=".599991pt" strokecolor="#000000">
          <v:stroke dashstyle="solid"/>
          <w10:wrap type="none"/>
        </v:line>
      </w:pict>
    </w:r>
    <w:r>
      <w:rPr/>
      <w:pict>
        <v:shape style="position:absolute;margin-left:296.480011pt;margin-top:778.14624pt;width:20.05pt;height:15.3pt;mso-position-horizontal-relative:page;mso-position-vertical-relative:page;z-index:-262642688" type="#_x0000_t202" filled="false" stroked="false">
          <v:textbox inset="0,0,0,0">
            <w:txbxContent>
              <w:p>
                <w:pPr>
                  <w:pStyle w:val="BodyText"/>
                  <w:spacing w:before="10"/>
                  <w:ind w:left="20"/>
                  <w:jc w:val="left"/>
                </w:pPr>
                <w:r>
                  <w:rPr/>
                  <w:t>129</w:t>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41664" type="#_x0000_t202" filled="false" stroked="false">
          <v:textbox inset="0,0,0,0">
            <w:txbxContent>
              <w:p>
                <w:pPr>
                  <w:pStyle w:val="BodyText"/>
                  <w:spacing w:before="10"/>
                  <w:ind w:left="60"/>
                  <w:jc w:val="left"/>
                </w:pPr>
                <w:r>
                  <w:rPr/>
                  <w:t>130</w:t>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4.480011pt;margin-top:778.14624pt;width:24.05pt;height:15.3pt;mso-position-horizontal-relative:page;mso-position-vertical-relative:page;z-index:-262640640"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131</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3961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132</w:t>
                </w:r>
                <w:r>
                  <w:rPr/>
                  <w:fldChar w:fldCharType="end"/>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38592" from="72pt,683.700012pt" to="216.000004pt,683.700012pt" stroked="true" strokeweight=".599991pt" strokecolor="#000000">
          <v:stroke dashstyle="solid"/>
          <w10:wrap type="none"/>
        </v:line>
      </w:pict>
    </w:r>
    <w:r>
      <w:rPr/>
      <w:pict>
        <v:shape style="position:absolute;margin-left:278.480011pt;margin-top:778.14624pt;width:20.05pt;height:15.3pt;mso-position-horizontal-relative:page;mso-position-vertical-relative:page;z-index:-262637568" type="#_x0000_t202" filled="false" stroked="false">
          <v:textbox inset="0,0,0,0">
            <w:txbxContent>
              <w:p>
                <w:pPr>
                  <w:pStyle w:val="BodyText"/>
                  <w:spacing w:before="10"/>
                  <w:ind w:left="20"/>
                  <w:jc w:val="left"/>
                </w:pPr>
                <w:r>
                  <w:rPr/>
                  <w:t>138</w:t>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36544" from="90pt,603.180054pt" to="234.000004pt,603.180054pt" stroked="true" strokeweight=".599991pt" strokecolor="#000000">
          <v:stroke dashstyle="solid"/>
          <w10:wrap type="none"/>
        </v:line>
      </w:pict>
    </w:r>
    <w:r>
      <w:rPr/>
      <w:pict>
        <v:shape style="position:absolute;margin-left:296.480011pt;margin-top:778.14624pt;width:20.05pt;height:15.3pt;mso-position-horizontal-relative:page;mso-position-vertical-relative:page;z-index:-262635520" type="#_x0000_t202" filled="false" stroked="false">
          <v:textbox inset="0,0,0,0">
            <w:txbxContent>
              <w:p>
                <w:pPr>
                  <w:pStyle w:val="BodyText"/>
                  <w:spacing w:before="10"/>
                  <w:ind w:left="20"/>
                  <w:jc w:val="left"/>
                </w:pPr>
                <w:r>
                  <w:rPr/>
                  <w:t>139</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3449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140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9.480011pt;margin-top:778.14624pt;width:14pt;height:15.3pt;mso-position-horizontal-relative:page;mso-position-vertical-relative:page;z-index:-262694912" type="#_x0000_t202" filled="false" stroked="false">
          <v:textbox inset="0,0,0,0">
            <w:txbxContent>
              <w:p>
                <w:pPr>
                  <w:pStyle w:val="BodyText"/>
                  <w:spacing w:before="10"/>
                  <w:ind w:left="20"/>
                  <w:jc w:val="left"/>
                </w:pPr>
                <w:r>
                  <w:rPr/>
                  <w:t>15</w:t>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4.480011pt;margin-top:778.14624pt;width:24.05pt;height:15.3pt;mso-position-horizontal-relative:page;mso-position-vertical-relative:page;z-index:-26263347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141</w:t>
                </w:r>
                <w:r>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32448" from="90pt,637.73999pt" to="234.000004pt,637.73999pt" stroked="true" strokeweight=".599991pt" strokecolor="#000000">
          <v:stroke dashstyle="solid"/>
          <w10:wrap type="none"/>
        </v:line>
      </w:pict>
    </w:r>
    <w:r>
      <w:rPr/>
      <w:pict>
        <v:shape style="position:absolute;margin-left:296.480011pt;margin-top:778.14624pt;width:20.05pt;height:15.3pt;mso-position-horizontal-relative:page;mso-position-vertical-relative:page;z-index:-262631424" type="#_x0000_t202" filled="false" stroked="false">
          <v:textbox inset="0,0,0,0">
            <w:txbxContent>
              <w:p>
                <w:pPr>
                  <w:pStyle w:val="BodyText"/>
                  <w:spacing w:before="10"/>
                  <w:ind w:left="20"/>
                  <w:jc w:val="left"/>
                </w:pPr>
                <w:r>
                  <w:rPr/>
                  <w:t>161</w:t>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30400" type="#_x0000_t202" filled="false" stroked="false">
          <v:textbox inset="0,0,0,0">
            <w:txbxContent>
              <w:p>
                <w:pPr>
                  <w:pStyle w:val="BodyText"/>
                  <w:spacing w:before="10"/>
                  <w:ind w:left="60"/>
                  <w:jc w:val="left"/>
                </w:pPr>
                <w:r>
                  <w:rPr/>
                  <w:t>162</w:t>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4.480011pt;margin-top:778.14624pt;width:24.05pt;height:15.3pt;mso-position-horizontal-relative:page;mso-position-vertical-relative:page;z-index:-26262937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163</w:t>
                </w:r>
                <w:r>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2835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164</w:t>
                </w:r>
                <w:r>
                  <w:rPr/>
                  <w:fldChar w:fldCharType="end"/>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27328" from="72pt,715.860046pt" to="216.000004pt,715.860046pt" stroked="true" strokeweight=".599991pt" strokecolor="#000000">
          <v:stroke dashstyle="solid"/>
          <w10:wrap type="none"/>
        </v:line>
      </w:pict>
    </w:r>
    <w:r>
      <w:rPr/>
      <w:pict>
        <v:shape style="position:absolute;margin-left:278.480011pt;margin-top:778.14624pt;width:20.05pt;height:15.3pt;mso-position-horizontal-relative:page;mso-position-vertical-relative:page;z-index:-262626304" type="#_x0000_t202" filled="false" stroked="false">
          <v:textbox inset="0,0,0,0">
            <w:txbxContent>
              <w:p>
                <w:pPr>
                  <w:pStyle w:val="BodyText"/>
                  <w:spacing w:before="10"/>
                  <w:ind w:left="20"/>
                  <w:jc w:val="left"/>
                </w:pPr>
                <w:r>
                  <w:rPr/>
                  <w:t>166</w:t>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4.480011pt;margin-top:778.14624pt;width:24.05pt;height:15.3pt;mso-position-horizontal-relative:page;mso-position-vertical-relative:page;z-index:-262625280" type="#_x0000_t202" filled="false" stroked="false">
          <v:textbox inset="0,0,0,0">
            <w:txbxContent>
              <w:p>
                <w:pPr>
                  <w:pStyle w:val="BodyText"/>
                  <w:spacing w:before="10"/>
                  <w:ind w:left="60"/>
                  <w:jc w:val="left"/>
                </w:pPr>
                <w:r>
                  <w:rPr/>
                  <w:t>167</w:t>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2425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168</w:t>
                </w:r>
                <w:r>
                  <w:rPr/>
                  <w:fldChar w:fldCharType="end"/>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4.480011pt;margin-top:778.14624pt;width:24.05pt;height:15.3pt;mso-position-horizontal-relative:page;mso-position-vertical-relative:page;z-index:-26262323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169</w:t>
                </w:r>
                <w:r>
                  <w:rPr/>
                  <w:fldChar w:fldCharType="end"/>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4.480011pt;margin-top:778.14624pt;width:24.05pt;height:15.3pt;mso-position-horizontal-relative:page;mso-position-vertical-relative:page;z-index:-262622208"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185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9.480011pt;margin-top:778.14624pt;width:18pt;height:15.3pt;mso-position-horizontal-relative:page;mso-position-vertical-relative:page;z-index:-262693888" type="#_x0000_t202" filled="false" stroked="false">
          <v:textbox inset="0,0,0,0">
            <w:txbxContent>
              <w:p>
                <w:pPr>
                  <w:pStyle w:val="BodyText"/>
                  <w:spacing w:before="10"/>
                  <w:ind w:left="60"/>
                  <w:jc w:val="left"/>
                </w:pPr>
                <w:r>
                  <w:rPr/>
                  <w:t>16</w:t>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21184"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186</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89pt;margin-top:746.124207pt;width:435.1pt;height:47.35pt;mso-position-horizontal-relative:page;mso-position-vertical-relative:page;z-index:-262620160" type="#_x0000_t202" filled="false" stroked="false">
          <v:textbox inset="0,0,0,0">
            <w:txbxContent>
              <w:p>
                <w:pPr>
                  <w:spacing w:before="10"/>
                  <w:ind w:left="20" w:right="189" w:firstLine="0"/>
                  <w:jc w:val="left"/>
                  <w:rPr>
                    <w:sz w:val="20"/>
                  </w:rPr>
                </w:pPr>
                <w:hyperlink r:id="rId1">
                  <w:r>
                    <w:rPr>
                      <w:color w:val="0562C1"/>
                      <w:w w:val="95"/>
                      <w:sz w:val="20"/>
                      <w:u w:val="single" w:color="0562C1"/>
                    </w:rPr>
                    <w:t>http://siteresources.worldbank.org/INTGILD/Resources/WBInsolvencyOfNaturalPersonsReport_01_11_13.</w:t>
                  </w:r>
                </w:hyperlink>
                <w:r>
                  <w:rPr>
                    <w:color w:val="0562C1"/>
                    <w:w w:val="95"/>
                    <w:sz w:val="20"/>
                  </w:rPr>
                  <w:t>    </w:t>
                </w:r>
                <w:r>
                  <w:rPr>
                    <w:color w:val="0562C1"/>
                    <w:sz w:val="20"/>
                    <w:u w:val="single" w:color="0562C1"/>
                  </w:rPr>
                  <w:t>pdf</w:t>
                </w:r>
                <w:r>
                  <w:rPr>
                    <w:color w:val="0562C1"/>
                    <w:sz w:val="20"/>
                  </w:rPr>
                  <w:t> </w:t>
                </w:r>
                <w:r>
                  <w:rPr>
                    <w:sz w:val="20"/>
                  </w:rPr>
                  <w:t>[aplūkots 2018.gada</w:t>
                </w:r>
                <w:r>
                  <w:rPr>
                    <w:spacing w:val="-3"/>
                    <w:sz w:val="20"/>
                  </w:rPr>
                  <w:t> </w:t>
                </w:r>
                <w:r>
                  <w:rPr>
                    <w:sz w:val="20"/>
                  </w:rPr>
                  <w:t>20.septembrī].</w:t>
                </w:r>
              </w:p>
              <w:p>
                <w:pPr>
                  <w:pStyle w:val="BodyText"/>
                  <w:spacing w:before="180"/>
                  <w:ind w:left="4151" w:right="4151"/>
                  <w:jc w:val="center"/>
                </w:pPr>
                <w:r>
                  <w:rPr/>
                  <w:fldChar w:fldCharType="begin"/>
                </w:r>
                <w:r>
                  <w:rPr/>
                  <w:instrText> PAGE </w:instrText>
                </w:r>
                <w:r>
                  <w:rPr/>
                  <w:fldChar w:fldCharType="separate"/>
                </w:r>
                <w:r>
                  <w:rPr/>
                  <w:t>193</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19136"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194</w:t>
                </w:r>
                <w:r>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6.480011pt;margin-top:778.14624pt;width:20.05pt;height:15.3pt;mso-position-horizontal-relative:page;mso-position-vertical-relative:page;z-index:-262618112" type="#_x0000_t202" filled="false" stroked="false">
          <v:textbox inset="0,0,0,0">
            <w:txbxContent>
              <w:p>
                <w:pPr>
                  <w:pStyle w:val="BodyText"/>
                  <w:spacing w:before="10"/>
                  <w:ind w:left="20"/>
                  <w:jc w:val="left"/>
                </w:pPr>
                <w:r>
                  <w:rPr/>
                  <w:t>197</w:t>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17088" type="#_x0000_t202" filled="false" stroked="false">
          <v:textbox inset="0,0,0,0">
            <w:txbxContent>
              <w:p>
                <w:pPr>
                  <w:pStyle w:val="BodyText"/>
                  <w:spacing w:before="10"/>
                  <w:ind w:left="60"/>
                  <w:jc w:val="left"/>
                </w:pPr>
                <w:r>
                  <w:rPr/>
                  <w:t>198</w:t>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16064" from="90pt,729.660034pt" to="234.000004pt,729.660034pt" stroked="true" strokeweight=".600037pt" strokecolor="#000000">
          <v:stroke dashstyle="solid"/>
          <w10:wrap type="none"/>
        </v:line>
      </w:pict>
    </w:r>
    <w:r>
      <w:rPr/>
      <w:pict>
        <v:shape style="position:absolute;margin-left:296.480011pt;margin-top:778.14624pt;width:20.05pt;height:15.3pt;mso-position-horizontal-relative:page;mso-position-vertical-relative:page;z-index:-262615040" type="#_x0000_t202" filled="false" stroked="false">
          <v:textbox inset="0,0,0,0">
            <w:txbxContent>
              <w:p>
                <w:pPr>
                  <w:pStyle w:val="BodyText"/>
                  <w:spacing w:before="10"/>
                  <w:ind w:left="20"/>
                  <w:jc w:val="left"/>
                </w:pPr>
                <w:r>
                  <w:rPr/>
                  <w:t>199</w:t>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14016" type="#_x0000_t202" filled="false" stroked="false">
          <v:textbox inset="0,0,0,0">
            <w:txbxContent>
              <w:p>
                <w:pPr>
                  <w:pStyle w:val="BodyText"/>
                  <w:spacing w:before="10"/>
                  <w:ind w:left="60"/>
                  <w:jc w:val="left"/>
                </w:pPr>
                <w:r>
                  <w:rPr/>
                  <w:t>200</w:t>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4.480011pt;margin-top:778.14624pt;width:24.05pt;height:15.3pt;mso-position-horizontal-relative:page;mso-position-vertical-relative:page;z-index:-26261299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201</w:t>
                </w:r>
                <w:r>
                  <w:rPr/>
                  <w:fldChar w:fldCharType="end"/>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76.480011pt;margin-top:778.14624pt;width:24.05pt;height:15.3pt;mso-position-horizontal-relative:page;mso-position-vertical-relative:page;z-index:-262611968"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202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92864" from="90pt,718.140015pt" to="234.000004pt,718.140015pt" stroked="true" strokeweight=".599991pt" strokecolor="#000000">
          <v:stroke dashstyle="solid"/>
          <w10:wrap type="none"/>
        </v:line>
      </w:pict>
    </w:r>
    <w:r>
      <w:rPr/>
      <w:pict>
        <v:shape style="position:absolute;margin-left:297.480011pt;margin-top:778.14624pt;width:18pt;height:15.3pt;mso-position-horizontal-relative:page;mso-position-vertical-relative:page;z-index:-262691840"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17</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262690816" from="72pt,706.73999pt" to="216.000004pt,706.73999pt" stroked="true" strokeweight=".599991pt" strokecolor="#000000">
          <v:stroke dashstyle="solid"/>
          <w10:wrap type="none"/>
        </v:line>
      </w:pict>
    </w:r>
    <w:r>
      <w:rPr/>
      <w:pict>
        <v:shape style="position:absolute;margin-left:281.480011pt;margin-top:778.14624pt;width:14pt;height:15.3pt;mso-position-horizontal-relative:page;mso-position-vertical-relative:page;z-index:-262689792" type="#_x0000_t202" filled="false" stroked="false">
          <v:textbox inset="0,0,0,0">
            <w:txbxContent>
              <w:p>
                <w:pPr>
                  <w:pStyle w:val="BodyText"/>
                  <w:spacing w:before="10"/>
                  <w:ind w:left="20"/>
                  <w:jc w:val="left"/>
                </w:pPr>
                <w:r>
                  <w:rPr/>
                  <w:t>18</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81.480011pt;margin-top:778.14624pt;width:14pt;height:15.3pt;mso-position-horizontal-relative:page;mso-position-vertical-relative:page;z-index:-262688768" type="#_x0000_t202" filled="false" stroked="false">
          <v:textbox inset="0,0,0,0">
            <w:txbxContent>
              <w:p>
                <w:pPr>
                  <w:pStyle w:val="BodyText"/>
                  <w:spacing w:before="10"/>
                  <w:ind w:left="20"/>
                  <w:jc w:val="left"/>
                </w:pPr>
                <w:r>
                  <w:rPr/>
                  <w:t>20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0">
    <w:multiLevelType w:val="hybridMultilevel"/>
    <w:lvl w:ilvl="0">
      <w:start w:val="1"/>
      <w:numFmt w:val="decimal"/>
      <w:lvlText w:val="%1)"/>
      <w:lvlJc w:val="left"/>
      <w:pPr>
        <w:ind w:left="242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3146" w:hanging="360"/>
      </w:pPr>
      <w:rPr>
        <w:rFonts w:hint="default"/>
      </w:rPr>
    </w:lvl>
    <w:lvl w:ilvl="2">
      <w:start w:val="0"/>
      <w:numFmt w:val="bullet"/>
      <w:lvlText w:val="•"/>
      <w:lvlJc w:val="left"/>
      <w:pPr>
        <w:ind w:left="3873" w:hanging="360"/>
      </w:pPr>
      <w:rPr>
        <w:rFonts w:hint="default"/>
      </w:rPr>
    </w:lvl>
    <w:lvl w:ilvl="3">
      <w:start w:val="0"/>
      <w:numFmt w:val="bullet"/>
      <w:lvlText w:val="•"/>
      <w:lvlJc w:val="left"/>
      <w:pPr>
        <w:ind w:left="4599" w:hanging="360"/>
      </w:pPr>
      <w:rPr>
        <w:rFonts w:hint="default"/>
      </w:rPr>
    </w:lvl>
    <w:lvl w:ilvl="4">
      <w:start w:val="0"/>
      <w:numFmt w:val="bullet"/>
      <w:lvlText w:val="•"/>
      <w:lvlJc w:val="left"/>
      <w:pPr>
        <w:ind w:left="5326" w:hanging="360"/>
      </w:pPr>
      <w:rPr>
        <w:rFonts w:hint="default"/>
      </w:rPr>
    </w:lvl>
    <w:lvl w:ilvl="5">
      <w:start w:val="0"/>
      <w:numFmt w:val="bullet"/>
      <w:lvlText w:val="•"/>
      <w:lvlJc w:val="left"/>
      <w:pPr>
        <w:ind w:left="6053" w:hanging="360"/>
      </w:pPr>
      <w:rPr>
        <w:rFonts w:hint="default"/>
      </w:rPr>
    </w:lvl>
    <w:lvl w:ilvl="6">
      <w:start w:val="0"/>
      <w:numFmt w:val="bullet"/>
      <w:lvlText w:val="•"/>
      <w:lvlJc w:val="left"/>
      <w:pPr>
        <w:ind w:left="6779" w:hanging="360"/>
      </w:pPr>
      <w:rPr>
        <w:rFonts w:hint="default"/>
      </w:rPr>
    </w:lvl>
    <w:lvl w:ilvl="7">
      <w:start w:val="0"/>
      <w:numFmt w:val="bullet"/>
      <w:lvlText w:val="•"/>
      <w:lvlJc w:val="left"/>
      <w:pPr>
        <w:ind w:left="7506" w:hanging="360"/>
      </w:pPr>
      <w:rPr>
        <w:rFonts w:hint="default"/>
      </w:rPr>
    </w:lvl>
    <w:lvl w:ilvl="8">
      <w:start w:val="0"/>
      <w:numFmt w:val="bullet"/>
      <w:lvlText w:val="•"/>
      <w:lvlJc w:val="left"/>
      <w:pPr>
        <w:ind w:left="8233" w:hanging="360"/>
      </w:pPr>
      <w:rPr>
        <w:rFonts w:hint="default"/>
      </w:rPr>
    </w:lvl>
  </w:abstractNum>
  <w:abstractNum w:abstractNumId="115">
    <w:multiLevelType w:val="hybridMultilevel"/>
    <w:lvl w:ilvl="0">
      <w:start w:val="4"/>
      <w:numFmt w:val="decimal"/>
      <w:lvlText w:val="%1."/>
      <w:lvlJc w:val="left"/>
      <w:pPr>
        <w:ind w:left="1899" w:hanging="360"/>
        <w:jc w:val="right"/>
      </w:pPr>
      <w:rPr>
        <w:rFonts w:hint="default" w:ascii="Times New Roman" w:hAnsi="Times New Roman" w:eastAsia="Times New Roman" w:cs="Times New Roman"/>
        <w:b/>
        <w:bCs/>
        <w:w w:val="100"/>
        <w:sz w:val="28"/>
        <w:szCs w:val="28"/>
      </w:rPr>
    </w:lvl>
    <w:lvl w:ilvl="1">
      <w:start w:val="0"/>
      <w:numFmt w:val="bullet"/>
      <w:lvlText w:val="•"/>
      <w:lvlJc w:val="left"/>
      <w:pPr>
        <w:ind w:left="2678" w:hanging="360"/>
      </w:pPr>
      <w:rPr>
        <w:rFonts w:hint="default"/>
      </w:rPr>
    </w:lvl>
    <w:lvl w:ilvl="2">
      <w:start w:val="0"/>
      <w:numFmt w:val="bullet"/>
      <w:lvlText w:val="•"/>
      <w:lvlJc w:val="left"/>
      <w:pPr>
        <w:ind w:left="3457" w:hanging="360"/>
      </w:pPr>
      <w:rPr>
        <w:rFonts w:hint="default"/>
      </w:rPr>
    </w:lvl>
    <w:lvl w:ilvl="3">
      <w:start w:val="0"/>
      <w:numFmt w:val="bullet"/>
      <w:lvlText w:val="•"/>
      <w:lvlJc w:val="left"/>
      <w:pPr>
        <w:ind w:left="4235" w:hanging="360"/>
      </w:pPr>
      <w:rPr>
        <w:rFonts w:hint="default"/>
      </w:rPr>
    </w:lvl>
    <w:lvl w:ilvl="4">
      <w:start w:val="0"/>
      <w:numFmt w:val="bullet"/>
      <w:lvlText w:val="•"/>
      <w:lvlJc w:val="left"/>
      <w:pPr>
        <w:ind w:left="5014" w:hanging="360"/>
      </w:pPr>
      <w:rPr>
        <w:rFonts w:hint="default"/>
      </w:rPr>
    </w:lvl>
    <w:lvl w:ilvl="5">
      <w:start w:val="0"/>
      <w:numFmt w:val="bullet"/>
      <w:lvlText w:val="•"/>
      <w:lvlJc w:val="left"/>
      <w:pPr>
        <w:ind w:left="5793" w:hanging="360"/>
      </w:pPr>
      <w:rPr>
        <w:rFonts w:hint="default"/>
      </w:rPr>
    </w:lvl>
    <w:lvl w:ilvl="6">
      <w:start w:val="0"/>
      <w:numFmt w:val="bullet"/>
      <w:lvlText w:val="•"/>
      <w:lvlJc w:val="left"/>
      <w:pPr>
        <w:ind w:left="6571" w:hanging="360"/>
      </w:pPr>
      <w:rPr>
        <w:rFonts w:hint="default"/>
      </w:rPr>
    </w:lvl>
    <w:lvl w:ilvl="7">
      <w:start w:val="0"/>
      <w:numFmt w:val="bullet"/>
      <w:lvlText w:val="•"/>
      <w:lvlJc w:val="left"/>
      <w:pPr>
        <w:ind w:left="7350" w:hanging="360"/>
      </w:pPr>
      <w:rPr>
        <w:rFonts w:hint="default"/>
      </w:rPr>
    </w:lvl>
    <w:lvl w:ilvl="8">
      <w:start w:val="0"/>
      <w:numFmt w:val="bullet"/>
      <w:lvlText w:val="•"/>
      <w:lvlJc w:val="left"/>
      <w:pPr>
        <w:ind w:left="8129" w:hanging="360"/>
      </w:pPr>
      <w:rPr>
        <w:rFonts w:hint="default"/>
      </w:rPr>
    </w:lvl>
  </w:abstractNum>
  <w:abstractNum w:abstractNumId="107">
    <w:multiLevelType w:val="hybridMultilevel"/>
    <w:lvl w:ilvl="0">
      <w:start w:val="1"/>
      <w:numFmt w:val="decimal"/>
      <w:lvlText w:val="%1)"/>
      <w:lvlJc w:val="left"/>
      <w:pPr>
        <w:ind w:left="1400" w:hanging="360"/>
        <w:jc w:val="left"/>
      </w:pPr>
      <w:rPr>
        <w:rFonts w:hint="default" w:ascii="Times New Roman" w:hAnsi="Times New Roman" w:eastAsia="Times New Roman" w:cs="Times New Roman"/>
        <w:spacing w:val="-30"/>
        <w:w w:val="100"/>
        <w:sz w:val="24"/>
        <w:szCs w:val="24"/>
      </w:rPr>
    </w:lvl>
    <w:lvl w:ilvl="1">
      <w:start w:val="0"/>
      <w:numFmt w:val="bullet"/>
      <w:lvlText w:val="•"/>
      <w:lvlJc w:val="left"/>
      <w:pPr>
        <w:ind w:left="2228" w:hanging="360"/>
      </w:pPr>
      <w:rPr>
        <w:rFonts w:hint="default"/>
      </w:rPr>
    </w:lvl>
    <w:lvl w:ilvl="2">
      <w:start w:val="0"/>
      <w:numFmt w:val="bullet"/>
      <w:lvlText w:val="•"/>
      <w:lvlJc w:val="left"/>
      <w:pPr>
        <w:ind w:left="3057" w:hanging="360"/>
      </w:pPr>
      <w:rPr>
        <w:rFonts w:hint="default"/>
      </w:rPr>
    </w:lvl>
    <w:lvl w:ilvl="3">
      <w:start w:val="0"/>
      <w:numFmt w:val="bullet"/>
      <w:lvlText w:val="•"/>
      <w:lvlJc w:val="left"/>
      <w:pPr>
        <w:ind w:left="3885" w:hanging="360"/>
      </w:pPr>
      <w:rPr>
        <w:rFonts w:hint="default"/>
      </w:rPr>
    </w:lvl>
    <w:lvl w:ilvl="4">
      <w:start w:val="0"/>
      <w:numFmt w:val="bullet"/>
      <w:lvlText w:val="•"/>
      <w:lvlJc w:val="left"/>
      <w:pPr>
        <w:ind w:left="4714" w:hanging="360"/>
      </w:pPr>
      <w:rPr>
        <w:rFonts w:hint="default"/>
      </w:rPr>
    </w:lvl>
    <w:lvl w:ilvl="5">
      <w:start w:val="0"/>
      <w:numFmt w:val="bullet"/>
      <w:lvlText w:val="•"/>
      <w:lvlJc w:val="left"/>
      <w:pPr>
        <w:ind w:left="5543"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0" w:hanging="360"/>
      </w:pPr>
      <w:rPr>
        <w:rFonts w:hint="default"/>
      </w:rPr>
    </w:lvl>
    <w:lvl w:ilvl="8">
      <w:start w:val="0"/>
      <w:numFmt w:val="bullet"/>
      <w:lvlText w:val="•"/>
      <w:lvlJc w:val="left"/>
      <w:pPr>
        <w:ind w:left="8029" w:hanging="360"/>
      </w:pPr>
      <w:rPr>
        <w:rFonts w:hint="default"/>
      </w:rPr>
    </w:lvl>
  </w:abstractNum>
  <w:abstractNum w:abstractNumId="9">
    <w:multiLevelType w:val="hybridMultilevel"/>
    <w:lvl w:ilvl="0">
      <w:start w:val="1"/>
      <w:numFmt w:val="lowerLetter"/>
      <w:lvlText w:val="%1)"/>
      <w:lvlJc w:val="left"/>
      <w:pPr>
        <w:ind w:left="1340" w:hanging="372"/>
        <w:jc w:val="left"/>
      </w:pPr>
      <w:rPr>
        <w:rFonts w:hint="default" w:ascii="Times New Roman" w:hAnsi="Times New Roman" w:eastAsia="Times New Roman" w:cs="Times New Roman"/>
        <w:spacing w:val="-5"/>
        <w:w w:val="100"/>
        <w:sz w:val="24"/>
        <w:szCs w:val="24"/>
      </w:rPr>
    </w:lvl>
    <w:lvl w:ilvl="1">
      <w:start w:val="0"/>
      <w:numFmt w:val="bullet"/>
      <w:lvlText w:val="•"/>
      <w:lvlJc w:val="left"/>
      <w:pPr>
        <w:ind w:left="2174" w:hanging="372"/>
      </w:pPr>
      <w:rPr>
        <w:rFonts w:hint="default"/>
      </w:rPr>
    </w:lvl>
    <w:lvl w:ilvl="2">
      <w:start w:val="0"/>
      <w:numFmt w:val="bullet"/>
      <w:lvlText w:val="•"/>
      <w:lvlJc w:val="left"/>
      <w:pPr>
        <w:ind w:left="3009" w:hanging="372"/>
      </w:pPr>
      <w:rPr>
        <w:rFonts w:hint="default"/>
      </w:rPr>
    </w:lvl>
    <w:lvl w:ilvl="3">
      <w:start w:val="0"/>
      <w:numFmt w:val="bullet"/>
      <w:lvlText w:val="•"/>
      <w:lvlJc w:val="left"/>
      <w:pPr>
        <w:ind w:left="3843" w:hanging="372"/>
      </w:pPr>
      <w:rPr>
        <w:rFonts w:hint="default"/>
      </w:rPr>
    </w:lvl>
    <w:lvl w:ilvl="4">
      <w:start w:val="0"/>
      <w:numFmt w:val="bullet"/>
      <w:lvlText w:val="•"/>
      <w:lvlJc w:val="left"/>
      <w:pPr>
        <w:ind w:left="4678" w:hanging="372"/>
      </w:pPr>
      <w:rPr>
        <w:rFonts w:hint="default"/>
      </w:rPr>
    </w:lvl>
    <w:lvl w:ilvl="5">
      <w:start w:val="0"/>
      <w:numFmt w:val="bullet"/>
      <w:lvlText w:val="•"/>
      <w:lvlJc w:val="left"/>
      <w:pPr>
        <w:ind w:left="5513" w:hanging="372"/>
      </w:pPr>
      <w:rPr>
        <w:rFonts w:hint="default"/>
      </w:rPr>
    </w:lvl>
    <w:lvl w:ilvl="6">
      <w:start w:val="0"/>
      <w:numFmt w:val="bullet"/>
      <w:lvlText w:val="•"/>
      <w:lvlJc w:val="left"/>
      <w:pPr>
        <w:ind w:left="6347" w:hanging="372"/>
      </w:pPr>
      <w:rPr>
        <w:rFonts w:hint="default"/>
      </w:rPr>
    </w:lvl>
    <w:lvl w:ilvl="7">
      <w:start w:val="0"/>
      <w:numFmt w:val="bullet"/>
      <w:lvlText w:val="•"/>
      <w:lvlJc w:val="left"/>
      <w:pPr>
        <w:ind w:left="7182" w:hanging="372"/>
      </w:pPr>
      <w:rPr>
        <w:rFonts w:hint="default"/>
      </w:rPr>
    </w:lvl>
    <w:lvl w:ilvl="8">
      <w:start w:val="0"/>
      <w:numFmt w:val="bullet"/>
      <w:lvlText w:val="•"/>
      <w:lvlJc w:val="left"/>
      <w:pPr>
        <w:ind w:left="8017" w:hanging="372"/>
      </w:pPr>
      <w:rPr>
        <w:rFonts w:hint="default"/>
      </w:rPr>
    </w:lvl>
  </w:abstractNum>
  <w:abstractNum w:abstractNumId="139">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4"/>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38">
    <w:multiLevelType w:val="hybridMultilevel"/>
    <w:lvl w:ilvl="0">
      <w:start w:val="26"/>
      <w:numFmt w:val="decimal"/>
      <w:lvlText w:val="%1."/>
      <w:lvlJc w:val="left"/>
      <w:pPr>
        <w:ind w:left="134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37">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4"/>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36">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5"/>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135">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0"/>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134">
    <w:multiLevelType w:val="hybridMultilevel"/>
    <w:lvl w:ilvl="0">
      <w:start w:val="1"/>
      <w:numFmt w:val="decimal"/>
      <w:lvlText w:val="%1."/>
      <w:lvlJc w:val="left"/>
      <w:pPr>
        <w:ind w:left="980" w:hanging="360"/>
        <w:jc w:val="left"/>
      </w:pPr>
      <w:rPr>
        <w:rFonts w:hint="default" w:ascii="Times New Roman" w:hAnsi="Times New Roman" w:eastAsia="Times New Roman" w:cs="Times New Roman"/>
        <w:spacing w:val="-4"/>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133">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0"/>
        <w:w w:val="100"/>
        <w:sz w:val="24"/>
        <w:szCs w:val="24"/>
      </w:rPr>
    </w:lvl>
    <w:lvl w:ilvl="1">
      <w:start w:val="0"/>
      <w:numFmt w:val="bullet"/>
      <w:lvlText w:val="•"/>
      <w:lvlJc w:val="left"/>
      <w:pPr>
        <w:ind w:left="1340" w:hanging="360"/>
      </w:pPr>
      <w:rPr>
        <w:rFonts w:hint="default"/>
      </w:rPr>
    </w:lvl>
    <w:lvl w:ilvl="2">
      <w:start w:val="0"/>
      <w:numFmt w:val="bullet"/>
      <w:lvlText w:val="•"/>
      <w:lvlJc w:val="left"/>
      <w:pPr>
        <w:ind w:left="2267" w:hanging="360"/>
      </w:pPr>
      <w:rPr>
        <w:rFonts w:hint="default"/>
      </w:rPr>
    </w:lvl>
    <w:lvl w:ilvl="3">
      <w:start w:val="0"/>
      <w:numFmt w:val="bullet"/>
      <w:lvlText w:val="•"/>
      <w:lvlJc w:val="left"/>
      <w:pPr>
        <w:ind w:left="3194" w:hanging="360"/>
      </w:pPr>
      <w:rPr>
        <w:rFonts w:hint="default"/>
      </w:rPr>
    </w:lvl>
    <w:lvl w:ilvl="4">
      <w:start w:val="0"/>
      <w:numFmt w:val="bullet"/>
      <w:lvlText w:val="•"/>
      <w:lvlJc w:val="left"/>
      <w:pPr>
        <w:ind w:left="4122" w:hanging="360"/>
      </w:pPr>
      <w:rPr>
        <w:rFonts w:hint="default"/>
      </w:rPr>
    </w:lvl>
    <w:lvl w:ilvl="5">
      <w:start w:val="0"/>
      <w:numFmt w:val="bullet"/>
      <w:lvlText w:val="•"/>
      <w:lvlJc w:val="left"/>
      <w:pPr>
        <w:ind w:left="5049" w:hanging="360"/>
      </w:pPr>
      <w:rPr>
        <w:rFonts w:hint="default"/>
      </w:rPr>
    </w:lvl>
    <w:lvl w:ilvl="6">
      <w:start w:val="0"/>
      <w:numFmt w:val="bullet"/>
      <w:lvlText w:val="•"/>
      <w:lvlJc w:val="left"/>
      <w:pPr>
        <w:ind w:left="5976" w:hanging="360"/>
      </w:pPr>
      <w:rPr>
        <w:rFonts w:hint="default"/>
      </w:rPr>
    </w:lvl>
    <w:lvl w:ilvl="7">
      <w:start w:val="0"/>
      <w:numFmt w:val="bullet"/>
      <w:lvlText w:val="•"/>
      <w:lvlJc w:val="left"/>
      <w:pPr>
        <w:ind w:left="6904" w:hanging="360"/>
      </w:pPr>
      <w:rPr>
        <w:rFonts w:hint="default"/>
      </w:rPr>
    </w:lvl>
    <w:lvl w:ilvl="8">
      <w:start w:val="0"/>
      <w:numFmt w:val="bullet"/>
      <w:lvlText w:val="•"/>
      <w:lvlJc w:val="left"/>
      <w:pPr>
        <w:ind w:left="7831" w:hanging="360"/>
      </w:pPr>
      <w:rPr>
        <w:rFonts w:hint="default"/>
      </w:rPr>
    </w:lvl>
  </w:abstractNum>
  <w:abstractNum w:abstractNumId="132">
    <w:multiLevelType w:val="hybridMultilevel"/>
    <w:lvl w:ilvl="0">
      <w:start w:val="1"/>
      <w:numFmt w:val="decimal"/>
      <w:lvlText w:val="%1)"/>
      <w:lvlJc w:val="left"/>
      <w:pPr>
        <w:ind w:left="1392" w:hanging="706"/>
        <w:jc w:val="left"/>
      </w:pPr>
      <w:rPr>
        <w:rFonts w:hint="default" w:ascii="Times New Roman" w:hAnsi="Times New Roman" w:eastAsia="Times New Roman" w:cs="Times New Roman"/>
        <w:spacing w:val="-29"/>
        <w:w w:val="100"/>
        <w:sz w:val="24"/>
        <w:szCs w:val="24"/>
      </w:rPr>
    </w:lvl>
    <w:lvl w:ilvl="1">
      <w:start w:val="0"/>
      <w:numFmt w:val="bullet"/>
      <w:lvlText w:val="•"/>
      <w:lvlJc w:val="left"/>
      <w:pPr>
        <w:ind w:left="2228" w:hanging="706"/>
      </w:pPr>
      <w:rPr>
        <w:rFonts w:hint="default"/>
      </w:rPr>
    </w:lvl>
    <w:lvl w:ilvl="2">
      <w:start w:val="0"/>
      <w:numFmt w:val="bullet"/>
      <w:lvlText w:val="•"/>
      <w:lvlJc w:val="left"/>
      <w:pPr>
        <w:ind w:left="3057" w:hanging="706"/>
      </w:pPr>
      <w:rPr>
        <w:rFonts w:hint="default"/>
      </w:rPr>
    </w:lvl>
    <w:lvl w:ilvl="3">
      <w:start w:val="0"/>
      <w:numFmt w:val="bullet"/>
      <w:lvlText w:val="•"/>
      <w:lvlJc w:val="left"/>
      <w:pPr>
        <w:ind w:left="3885" w:hanging="706"/>
      </w:pPr>
      <w:rPr>
        <w:rFonts w:hint="default"/>
      </w:rPr>
    </w:lvl>
    <w:lvl w:ilvl="4">
      <w:start w:val="0"/>
      <w:numFmt w:val="bullet"/>
      <w:lvlText w:val="•"/>
      <w:lvlJc w:val="left"/>
      <w:pPr>
        <w:ind w:left="4714" w:hanging="706"/>
      </w:pPr>
      <w:rPr>
        <w:rFonts w:hint="default"/>
      </w:rPr>
    </w:lvl>
    <w:lvl w:ilvl="5">
      <w:start w:val="0"/>
      <w:numFmt w:val="bullet"/>
      <w:lvlText w:val="•"/>
      <w:lvlJc w:val="left"/>
      <w:pPr>
        <w:ind w:left="5543" w:hanging="706"/>
      </w:pPr>
      <w:rPr>
        <w:rFonts w:hint="default"/>
      </w:rPr>
    </w:lvl>
    <w:lvl w:ilvl="6">
      <w:start w:val="0"/>
      <w:numFmt w:val="bullet"/>
      <w:lvlText w:val="•"/>
      <w:lvlJc w:val="left"/>
      <w:pPr>
        <w:ind w:left="6371" w:hanging="706"/>
      </w:pPr>
      <w:rPr>
        <w:rFonts w:hint="default"/>
      </w:rPr>
    </w:lvl>
    <w:lvl w:ilvl="7">
      <w:start w:val="0"/>
      <w:numFmt w:val="bullet"/>
      <w:lvlText w:val="•"/>
      <w:lvlJc w:val="left"/>
      <w:pPr>
        <w:ind w:left="7200" w:hanging="706"/>
      </w:pPr>
      <w:rPr>
        <w:rFonts w:hint="default"/>
      </w:rPr>
    </w:lvl>
    <w:lvl w:ilvl="8">
      <w:start w:val="0"/>
      <w:numFmt w:val="bullet"/>
      <w:lvlText w:val="•"/>
      <w:lvlJc w:val="left"/>
      <w:pPr>
        <w:ind w:left="8029" w:hanging="706"/>
      </w:pPr>
      <w:rPr>
        <w:rFonts w:hint="default"/>
      </w:rPr>
    </w:lvl>
  </w:abstractNum>
  <w:abstractNum w:abstractNumId="131">
    <w:multiLevelType w:val="hybridMultilevel"/>
    <w:lvl w:ilvl="0">
      <w:start w:val="1"/>
      <w:numFmt w:val="decimal"/>
      <w:lvlText w:val="%1)"/>
      <w:lvlJc w:val="left"/>
      <w:pPr>
        <w:ind w:left="1752" w:hanging="706"/>
        <w:jc w:val="left"/>
      </w:pPr>
      <w:rPr>
        <w:rFonts w:hint="default" w:ascii="Times New Roman" w:hAnsi="Times New Roman" w:eastAsia="Times New Roman" w:cs="Times New Roman"/>
        <w:spacing w:val="-11"/>
        <w:w w:val="100"/>
        <w:sz w:val="24"/>
        <w:szCs w:val="24"/>
      </w:rPr>
    </w:lvl>
    <w:lvl w:ilvl="1">
      <w:start w:val="0"/>
      <w:numFmt w:val="bullet"/>
      <w:lvlText w:val="•"/>
      <w:lvlJc w:val="left"/>
      <w:pPr>
        <w:ind w:left="2552" w:hanging="706"/>
      </w:pPr>
      <w:rPr>
        <w:rFonts w:hint="default"/>
      </w:rPr>
    </w:lvl>
    <w:lvl w:ilvl="2">
      <w:start w:val="0"/>
      <w:numFmt w:val="bullet"/>
      <w:lvlText w:val="•"/>
      <w:lvlJc w:val="left"/>
      <w:pPr>
        <w:ind w:left="3345" w:hanging="706"/>
      </w:pPr>
      <w:rPr>
        <w:rFonts w:hint="default"/>
      </w:rPr>
    </w:lvl>
    <w:lvl w:ilvl="3">
      <w:start w:val="0"/>
      <w:numFmt w:val="bullet"/>
      <w:lvlText w:val="•"/>
      <w:lvlJc w:val="left"/>
      <w:pPr>
        <w:ind w:left="4137" w:hanging="706"/>
      </w:pPr>
      <w:rPr>
        <w:rFonts w:hint="default"/>
      </w:rPr>
    </w:lvl>
    <w:lvl w:ilvl="4">
      <w:start w:val="0"/>
      <w:numFmt w:val="bullet"/>
      <w:lvlText w:val="•"/>
      <w:lvlJc w:val="left"/>
      <w:pPr>
        <w:ind w:left="4930" w:hanging="706"/>
      </w:pPr>
      <w:rPr>
        <w:rFonts w:hint="default"/>
      </w:rPr>
    </w:lvl>
    <w:lvl w:ilvl="5">
      <w:start w:val="0"/>
      <w:numFmt w:val="bullet"/>
      <w:lvlText w:val="•"/>
      <w:lvlJc w:val="left"/>
      <w:pPr>
        <w:ind w:left="5723" w:hanging="706"/>
      </w:pPr>
      <w:rPr>
        <w:rFonts w:hint="default"/>
      </w:rPr>
    </w:lvl>
    <w:lvl w:ilvl="6">
      <w:start w:val="0"/>
      <w:numFmt w:val="bullet"/>
      <w:lvlText w:val="•"/>
      <w:lvlJc w:val="left"/>
      <w:pPr>
        <w:ind w:left="6515" w:hanging="706"/>
      </w:pPr>
      <w:rPr>
        <w:rFonts w:hint="default"/>
      </w:rPr>
    </w:lvl>
    <w:lvl w:ilvl="7">
      <w:start w:val="0"/>
      <w:numFmt w:val="bullet"/>
      <w:lvlText w:val="•"/>
      <w:lvlJc w:val="left"/>
      <w:pPr>
        <w:ind w:left="7308" w:hanging="706"/>
      </w:pPr>
      <w:rPr>
        <w:rFonts w:hint="default"/>
      </w:rPr>
    </w:lvl>
    <w:lvl w:ilvl="8">
      <w:start w:val="0"/>
      <w:numFmt w:val="bullet"/>
      <w:lvlText w:val="•"/>
      <w:lvlJc w:val="left"/>
      <w:pPr>
        <w:ind w:left="8101" w:hanging="706"/>
      </w:pPr>
      <w:rPr>
        <w:rFonts w:hint="default"/>
      </w:rPr>
    </w:lvl>
  </w:abstractNum>
  <w:abstractNum w:abstractNumId="130">
    <w:multiLevelType w:val="hybridMultilevel"/>
    <w:lvl w:ilvl="0">
      <w:start w:val="1"/>
      <w:numFmt w:val="decimal"/>
      <w:lvlText w:val="%1)"/>
      <w:lvlJc w:val="left"/>
      <w:pPr>
        <w:ind w:left="1392" w:hanging="706"/>
        <w:jc w:val="right"/>
      </w:pPr>
      <w:rPr>
        <w:rFonts w:hint="default" w:ascii="Times New Roman" w:hAnsi="Times New Roman" w:eastAsia="Times New Roman" w:cs="Times New Roman"/>
        <w:spacing w:val="-29"/>
        <w:w w:val="100"/>
        <w:sz w:val="24"/>
        <w:szCs w:val="24"/>
      </w:rPr>
    </w:lvl>
    <w:lvl w:ilvl="1">
      <w:start w:val="0"/>
      <w:numFmt w:val="bullet"/>
      <w:lvlText w:val="•"/>
      <w:lvlJc w:val="left"/>
      <w:pPr>
        <w:ind w:left="2228" w:hanging="706"/>
      </w:pPr>
      <w:rPr>
        <w:rFonts w:hint="default"/>
      </w:rPr>
    </w:lvl>
    <w:lvl w:ilvl="2">
      <w:start w:val="0"/>
      <w:numFmt w:val="bullet"/>
      <w:lvlText w:val="•"/>
      <w:lvlJc w:val="left"/>
      <w:pPr>
        <w:ind w:left="3057" w:hanging="706"/>
      </w:pPr>
      <w:rPr>
        <w:rFonts w:hint="default"/>
      </w:rPr>
    </w:lvl>
    <w:lvl w:ilvl="3">
      <w:start w:val="0"/>
      <w:numFmt w:val="bullet"/>
      <w:lvlText w:val="•"/>
      <w:lvlJc w:val="left"/>
      <w:pPr>
        <w:ind w:left="3885" w:hanging="706"/>
      </w:pPr>
      <w:rPr>
        <w:rFonts w:hint="default"/>
      </w:rPr>
    </w:lvl>
    <w:lvl w:ilvl="4">
      <w:start w:val="0"/>
      <w:numFmt w:val="bullet"/>
      <w:lvlText w:val="•"/>
      <w:lvlJc w:val="left"/>
      <w:pPr>
        <w:ind w:left="4714" w:hanging="706"/>
      </w:pPr>
      <w:rPr>
        <w:rFonts w:hint="default"/>
      </w:rPr>
    </w:lvl>
    <w:lvl w:ilvl="5">
      <w:start w:val="0"/>
      <w:numFmt w:val="bullet"/>
      <w:lvlText w:val="•"/>
      <w:lvlJc w:val="left"/>
      <w:pPr>
        <w:ind w:left="5543" w:hanging="706"/>
      </w:pPr>
      <w:rPr>
        <w:rFonts w:hint="default"/>
      </w:rPr>
    </w:lvl>
    <w:lvl w:ilvl="6">
      <w:start w:val="0"/>
      <w:numFmt w:val="bullet"/>
      <w:lvlText w:val="•"/>
      <w:lvlJc w:val="left"/>
      <w:pPr>
        <w:ind w:left="6371" w:hanging="706"/>
      </w:pPr>
      <w:rPr>
        <w:rFonts w:hint="default"/>
      </w:rPr>
    </w:lvl>
    <w:lvl w:ilvl="7">
      <w:start w:val="0"/>
      <w:numFmt w:val="bullet"/>
      <w:lvlText w:val="•"/>
      <w:lvlJc w:val="left"/>
      <w:pPr>
        <w:ind w:left="7200" w:hanging="706"/>
      </w:pPr>
      <w:rPr>
        <w:rFonts w:hint="default"/>
      </w:rPr>
    </w:lvl>
    <w:lvl w:ilvl="8">
      <w:start w:val="0"/>
      <w:numFmt w:val="bullet"/>
      <w:lvlText w:val="•"/>
      <w:lvlJc w:val="left"/>
      <w:pPr>
        <w:ind w:left="8029" w:hanging="706"/>
      </w:pPr>
      <w:rPr>
        <w:rFonts w:hint="default"/>
      </w:rPr>
    </w:lvl>
  </w:abstractNum>
  <w:abstractNum w:abstractNumId="129">
    <w:multiLevelType w:val="hybridMultilevel"/>
    <w:lvl w:ilvl="0">
      <w:start w:val="1"/>
      <w:numFmt w:val="decimal"/>
      <w:lvlText w:val="%1)"/>
      <w:lvlJc w:val="left"/>
      <w:pPr>
        <w:ind w:left="1613" w:hanging="634"/>
        <w:jc w:val="right"/>
      </w:pPr>
      <w:rPr>
        <w:rFonts w:hint="default" w:ascii="Times New Roman" w:hAnsi="Times New Roman" w:eastAsia="Times New Roman" w:cs="Times New Roman"/>
        <w:spacing w:val="-22"/>
        <w:w w:val="100"/>
        <w:sz w:val="24"/>
        <w:szCs w:val="24"/>
      </w:rPr>
    </w:lvl>
    <w:lvl w:ilvl="1">
      <w:start w:val="1"/>
      <w:numFmt w:val="lowerLetter"/>
      <w:lvlText w:val="%2)"/>
      <w:lvlJc w:val="left"/>
      <w:pPr>
        <w:ind w:left="2038" w:hanging="425"/>
        <w:jc w:val="right"/>
      </w:pPr>
      <w:rPr>
        <w:rFonts w:hint="default" w:ascii="Times New Roman" w:hAnsi="Times New Roman" w:eastAsia="Times New Roman" w:cs="Times New Roman"/>
        <w:spacing w:val="-30"/>
        <w:w w:val="100"/>
        <w:sz w:val="24"/>
        <w:szCs w:val="24"/>
      </w:rPr>
    </w:lvl>
    <w:lvl w:ilvl="2">
      <w:start w:val="0"/>
      <w:numFmt w:val="bullet"/>
      <w:lvlText w:val="•"/>
      <w:lvlJc w:val="left"/>
      <w:pPr>
        <w:ind w:left="2889" w:hanging="425"/>
      </w:pPr>
      <w:rPr>
        <w:rFonts w:hint="default"/>
      </w:rPr>
    </w:lvl>
    <w:lvl w:ilvl="3">
      <w:start w:val="0"/>
      <w:numFmt w:val="bullet"/>
      <w:lvlText w:val="•"/>
      <w:lvlJc w:val="left"/>
      <w:pPr>
        <w:ind w:left="3739" w:hanging="425"/>
      </w:pPr>
      <w:rPr>
        <w:rFonts w:hint="default"/>
      </w:rPr>
    </w:lvl>
    <w:lvl w:ilvl="4">
      <w:start w:val="0"/>
      <w:numFmt w:val="bullet"/>
      <w:lvlText w:val="•"/>
      <w:lvlJc w:val="left"/>
      <w:pPr>
        <w:ind w:left="4588" w:hanging="425"/>
      </w:pPr>
      <w:rPr>
        <w:rFonts w:hint="default"/>
      </w:rPr>
    </w:lvl>
    <w:lvl w:ilvl="5">
      <w:start w:val="0"/>
      <w:numFmt w:val="bullet"/>
      <w:lvlText w:val="•"/>
      <w:lvlJc w:val="left"/>
      <w:pPr>
        <w:ind w:left="5438" w:hanging="425"/>
      </w:pPr>
      <w:rPr>
        <w:rFonts w:hint="default"/>
      </w:rPr>
    </w:lvl>
    <w:lvl w:ilvl="6">
      <w:start w:val="0"/>
      <w:numFmt w:val="bullet"/>
      <w:lvlText w:val="•"/>
      <w:lvlJc w:val="left"/>
      <w:pPr>
        <w:ind w:left="6288" w:hanging="425"/>
      </w:pPr>
      <w:rPr>
        <w:rFonts w:hint="default"/>
      </w:rPr>
    </w:lvl>
    <w:lvl w:ilvl="7">
      <w:start w:val="0"/>
      <w:numFmt w:val="bullet"/>
      <w:lvlText w:val="•"/>
      <w:lvlJc w:val="left"/>
      <w:pPr>
        <w:ind w:left="7137" w:hanging="425"/>
      </w:pPr>
      <w:rPr>
        <w:rFonts w:hint="default"/>
      </w:rPr>
    </w:lvl>
    <w:lvl w:ilvl="8">
      <w:start w:val="0"/>
      <w:numFmt w:val="bullet"/>
      <w:lvlText w:val="•"/>
      <w:lvlJc w:val="left"/>
      <w:pPr>
        <w:ind w:left="7987" w:hanging="425"/>
      </w:pPr>
      <w:rPr>
        <w:rFonts w:hint="default"/>
      </w:rPr>
    </w:lvl>
  </w:abstractNum>
  <w:abstractNum w:abstractNumId="128">
    <w:multiLevelType w:val="hybridMultilevel"/>
    <w:lvl w:ilvl="0">
      <w:start w:val="1"/>
      <w:numFmt w:val="decimal"/>
      <w:lvlText w:val="%1)"/>
      <w:lvlJc w:val="left"/>
      <w:pPr>
        <w:ind w:left="1613" w:hanging="634"/>
        <w:jc w:val="right"/>
      </w:pPr>
      <w:rPr>
        <w:rFonts w:hint="default" w:ascii="Times New Roman" w:hAnsi="Times New Roman" w:eastAsia="Times New Roman" w:cs="Times New Roman"/>
        <w:spacing w:val="-29"/>
        <w:w w:val="100"/>
        <w:sz w:val="24"/>
        <w:szCs w:val="24"/>
      </w:rPr>
    </w:lvl>
    <w:lvl w:ilvl="1">
      <w:start w:val="1"/>
      <w:numFmt w:val="lowerLetter"/>
      <w:lvlText w:val="%2)"/>
      <w:lvlJc w:val="left"/>
      <w:pPr>
        <w:ind w:left="1678" w:hanging="425"/>
        <w:jc w:val="right"/>
      </w:pPr>
      <w:rPr>
        <w:rFonts w:hint="default" w:ascii="Times New Roman" w:hAnsi="Times New Roman" w:eastAsia="Times New Roman" w:cs="Times New Roman"/>
        <w:spacing w:val="-12"/>
        <w:w w:val="100"/>
        <w:sz w:val="24"/>
        <w:szCs w:val="24"/>
      </w:rPr>
    </w:lvl>
    <w:lvl w:ilvl="2">
      <w:start w:val="0"/>
      <w:numFmt w:val="bullet"/>
      <w:lvlText w:val="-"/>
      <w:lvlJc w:val="left"/>
      <w:pPr>
        <w:ind w:left="1961" w:hanging="284"/>
      </w:pPr>
      <w:rPr>
        <w:rFonts w:hint="default" w:ascii="Times New Roman" w:hAnsi="Times New Roman" w:eastAsia="Times New Roman" w:cs="Times New Roman"/>
        <w:spacing w:val="-29"/>
        <w:w w:val="100"/>
        <w:sz w:val="24"/>
        <w:szCs w:val="24"/>
      </w:rPr>
    </w:lvl>
    <w:lvl w:ilvl="3">
      <w:start w:val="0"/>
      <w:numFmt w:val="bullet"/>
      <w:lvlText w:val="•"/>
      <w:lvlJc w:val="left"/>
      <w:pPr>
        <w:ind w:left="2925" w:hanging="284"/>
      </w:pPr>
      <w:rPr>
        <w:rFonts w:hint="default"/>
      </w:rPr>
    </w:lvl>
    <w:lvl w:ilvl="4">
      <w:start w:val="0"/>
      <w:numFmt w:val="bullet"/>
      <w:lvlText w:val="•"/>
      <w:lvlJc w:val="left"/>
      <w:pPr>
        <w:ind w:left="3891" w:hanging="284"/>
      </w:pPr>
      <w:rPr>
        <w:rFonts w:hint="default"/>
      </w:rPr>
    </w:lvl>
    <w:lvl w:ilvl="5">
      <w:start w:val="0"/>
      <w:numFmt w:val="bullet"/>
      <w:lvlText w:val="•"/>
      <w:lvlJc w:val="left"/>
      <w:pPr>
        <w:ind w:left="4857" w:hanging="284"/>
      </w:pPr>
      <w:rPr>
        <w:rFonts w:hint="default"/>
      </w:rPr>
    </w:lvl>
    <w:lvl w:ilvl="6">
      <w:start w:val="0"/>
      <w:numFmt w:val="bullet"/>
      <w:lvlText w:val="•"/>
      <w:lvlJc w:val="left"/>
      <w:pPr>
        <w:ind w:left="5823" w:hanging="284"/>
      </w:pPr>
      <w:rPr>
        <w:rFonts w:hint="default"/>
      </w:rPr>
    </w:lvl>
    <w:lvl w:ilvl="7">
      <w:start w:val="0"/>
      <w:numFmt w:val="bullet"/>
      <w:lvlText w:val="•"/>
      <w:lvlJc w:val="left"/>
      <w:pPr>
        <w:ind w:left="6789" w:hanging="284"/>
      </w:pPr>
      <w:rPr>
        <w:rFonts w:hint="default"/>
      </w:rPr>
    </w:lvl>
    <w:lvl w:ilvl="8">
      <w:start w:val="0"/>
      <w:numFmt w:val="bullet"/>
      <w:lvlText w:val="•"/>
      <w:lvlJc w:val="left"/>
      <w:pPr>
        <w:ind w:left="7754" w:hanging="284"/>
      </w:pPr>
      <w:rPr>
        <w:rFonts w:hint="default"/>
      </w:rPr>
    </w:lvl>
  </w:abstractNum>
  <w:abstractNum w:abstractNumId="127">
    <w:multiLevelType w:val="hybridMultilevel"/>
    <w:lvl w:ilvl="0">
      <w:start w:val="1"/>
      <w:numFmt w:val="decimal"/>
      <w:lvlText w:val="%1)"/>
      <w:lvlJc w:val="left"/>
      <w:pPr>
        <w:ind w:left="1253" w:hanging="634"/>
        <w:jc w:val="right"/>
      </w:pPr>
      <w:rPr>
        <w:rFonts w:hint="default" w:ascii="Times New Roman" w:hAnsi="Times New Roman" w:eastAsia="Times New Roman" w:cs="Times New Roman"/>
        <w:spacing w:val="-17"/>
        <w:w w:val="100"/>
        <w:sz w:val="24"/>
        <w:szCs w:val="24"/>
      </w:rPr>
    </w:lvl>
    <w:lvl w:ilvl="1">
      <w:start w:val="1"/>
      <w:numFmt w:val="lowerLetter"/>
      <w:lvlText w:val="%2)"/>
      <w:lvlJc w:val="left"/>
      <w:pPr>
        <w:ind w:left="2038" w:hanging="425"/>
        <w:jc w:val="left"/>
      </w:pPr>
      <w:rPr>
        <w:rFonts w:hint="default" w:ascii="Times New Roman" w:hAnsi="Times New Roman" w:eastAsia="Times New Roman" w:cs="Times New Roman"/>
        <w:spacing w:val="-17"/>
        <w:w w:val="100"/>
        <w:sz w:val="24"/>
        <w:szCs w:val="24"/>
      </w:rPr>
    </w:lvl>
    <w:lvl w:ilvl="2">
      <w:start w:val="0"/>
      <w:numFmt w:val="bullet"/>
      <w:lvlText w:val="•"/>
      <w:lvlJc w:val="left"/>
      <w:pPr>
        <w:ind w:left="2889" w:hanging="425"/>
      </w:pPr>
      <w:rPr>
        <w:rFonts w:hint="default"/>
      </w:rPr>
    </w:lvl>
    <w:lvl w:ilvl="3">
      <w:start w:val="0"/>
      <w:numFmt w:val="bullet"/>
      <w:lvlText w:val="•"/>
      <w:lvlJc w:val="left"/>
      <w:pPr>
        <w:ind w:left="3739" w:hanging="425"/>
      </w:pPr>
      <w:rPr>
        <w:rFonts w:hint="default"/>
      </w:rPr>
    </w:lvl>
    <w:lvl w:ilvl="4">
      <w:start w:val="0"/>
      <w:numFmt w:val="bullet"/>
      <w:lvlText w:val="•"/>
      <w:lvlJc w:val="left"/>
      <w:pPr>
        <w:ind w:left="4588" w:hanging="425"/>
      </w:pPr>
      <w:rPr>
        <w:rFonts w:hint="default"/>
      </w:rPr>
    </w:lvl>
    <w:lvl w:ilvl="5">
      <w:start w:val="0"/>
      <w:numFmt w:val="bullet"/>
      <w:lvlText w:val="•"/>
      <w:lvlJc w:val="left"/>
      <w:pPr>
        <w:ind w:left="5438" w:hanging="425"/>
      </w:pPr>
      <w:rPr>
        <w:rFonts w:hint="default"/>
      </w:rPr>
    </w:lvl>
    <w:lvl w:ilvl="6">
      <w:start w:val="0"/>
      <w:numFmt w:val="bullet"/>
      <w:lvlText w:val="•"/>
      <w:lvlJc w:val="left"/>
      <w:pPr>
        <w:ind w:left="6288" w:hanging="425"/>
      </w:pPr>
      <w:rPr>
        <w:rFonts w:hint="default"/>
      </w:rPr>
    </w:lvl>
    <w:lvl w:ilvl="7">
      <w:start w:val="0"/>
      <w:numFmt w:val="bullet"/>
      <w:lvlText w:val="•"/>
      <w:lvlJc w:val="left"/>
      <w:pPr>
        <w:ind w:left="7137" w:hanging="425"/>
      </w:pPr>
      <w:rPr>
        <w:rFonts w:hint="default"/>
      </w:rPr>
    </w:lvl>
    <w:lvl w:ilvl="8">
      <w:start w:val="0"/>
      <w:numFmt w:val="bullet"/>
      <w:lvlText w:val="•"/>
      <w:lvlJc w:val="left"/>
      <w:pPr>
        <w:ind w:left="7987" w:hanging="425"/>
      </w:pPr>
      <w:rPr>
        <w:rFonts w:hint="default"/>
      </w:rPr>
    </w:lvl>
  </w:abstractNum>
  <w:abstractNum w:abstractNumId="126">
    <w:multiLevelType w:val="hybridMultilevel"/>
    <w:lvl w:ilvl="0">
      <w:start w:val="1"/>
      <w:numFmt w:val="decimal"/>
      <w:lvlText w:val="%1)"/>
      <w:lvlJc w:val="left"/>
      <w:pPr>
        <w:ind w:left="1253" w:hanging="634"/>
        <w:jc w:val="left"/>
      </w:pPr>
      <w:rPr>
        <w:rFonts w:hint="default" w:ascii="Times New Roman" w:hAnsi="Times New Roman" w:eastAsia="Times New Roman" w:cs="Times New Roman"/>
        <w:spacing w:val="-29"/>
        <w:w w:val="100"/>
        <w:sz w:val="24"/>
        <w:szCs w:val="24"/>
      </w:rPr>
    </w:lvl>
    <w:lvl w:ilvl="1">
      <w:start w:val="0"/>
      <w:numFmt w:val="bullet"/>
      <w:lvlText w:val="•"/>
      <w:lvlJc w:val="left"/>
      <w:pPr>
        <w:ind w:left="2102" w:hanging="634"/>
      </w:pPr>
      <w:rPr>
        <w:rFonts w:hint="default"/>
      </w:rPr>
    </w:lvl>
    <w:lvl w:ilvl="2">
      <w:start w:val="0"/>
      <w:numFmt w:val="bullet"/>
      <w:lvlText w:val="•"/>
      <w:lvlJc w:val="left"/>
      <w:pPr>
        <w:ind w:left="2945" w:hanging="634"/>
      </w:pPr>
      <w:rPr>
        <w:rFonts w:hint="default"/>
      </w:rPr>
    </w:lvl>
    <w:lvl w:ilvl="3">
      <w:start w:val="0"/>
      <w:numFmt w:val="bullet"/>
      <w:lvlText w:val="•"/>
      <w:lvlJc w:val="left"/>
      <w:pPr>
        <w:ind w:left="3787" w:hanging="634"/>
      </w:pPr>
      <w:rPr>
        <w:rFonts w:hint="default"/>
      </w:rPr>
    </w:lvl>
    <w:lvl w:ilvl="4">
      <w:start w:val="0"/>
      <w:numFmt w:val="bullet"/>
      <w:lvlText w:val="•"/>
      <w:lvlJc w:val="left"/>
      <w:pPr>
        <w:ind w:left="4630" w:hanging="634"/>
      </w:pPr>
      <w:rPr>
        <w:rFonts w:hint="default"/>
      </w:rPr>
    </w:lvl>
    <w:lvl w:ilvl="5">
      <w:start w:val="0"/>
      <w:numFmt w:val="bullet"/>
      <w:lvlText w:val="•"/>
      <w:lvlJc w:val="left"/>
      <w:pPr>
        <w:ind w:left="5473" w:hanging="634"/>
      </w:pPr>
      <w:rPr>
        <w:rFonts w:hint="default"/>
      </w:rPr>
    </w:lvl>
    <w:lvl w:ilvl="6">
      <w:start w:val="0"/>
      <w:numFmt w:val="bullet"/>
      <w:lvlText w:val="•"/>
      <w:lvlJc w:val="left"/>
      <w:pPr>
        <w:ind w:left="6315" w:hanging="634"/>
      </w:pPr>
      <w:rPr>
        <w:rFonts w:hint="default"/>
      </w:rPr>
    </w:lvl>
    <w:lvl w:ilvl="7">
      <w:start w:val="0"/>
      <w:numFmt w:val="bullet"/>
      <w:lvlText w:val="•"/>
      <w:lvlJc w:val="left"/>
      <w:pPr>
        <w:ind w:left="7158" w:hanging="634"/>
      </w:pPr>
      <w:rPr>
        <w:rFonts w:hint="default"/>
      </w:rPr>
    </w:lvl>
    <w:lvl w:ilvl="8">
      <w:start w:val="0"/>
      <w:numFmt w:val="bullet"/>
      <w:lvlText w:val="•"/>
      <w:lvlJc w:val="left"/>
      <w:pPr>
        <w:ind w:left="8001" w:hanging="634"/>
      </w:pPr>
      <w:rPr>
        <w:rFonts w:hint="default"/>
      </w:rPr>
    </w:lvl>
  </w:abstractNum>
  <w:abstractNum w:abstractNumId="125">
    <w:multiLevelType w:val="hybridMultilevel"/>
    <w:lvl w:ilvl="0">
      <w:start w:val="1"/>
      <w:numFmt w:val="decimal"/>
      <w:lvlText w:val="%1)"/>
      <w:lvlJc w:val="left"/>
      <w:pPr>
        <w:ind w:left="1253" w:hanging="634"/>
        <w:jc w:val="left"/>
      </w:pPr>
      <w:rPr>
        <w:rFonts w:hint="default" w:ascii="Times New Roman" w:hAnsi="Times New Roman" w:eastAsia="Times New Roman" w:cs="Times New Roman"/>
        <w:spacing w:val="-29"/>
        <w:w w:val="100"/>
        <w:sz w:val="24"/>
        <w:szCs w:val="24"/>
      </w:rPr>
    </w:lvl>
    <w:lvl w:ilvl="1">
      <w:start w:val="1"/>
      <w:numFmt w:val="lowerLetter"/>
      <w:lvlText w:val="%2)"/>
      <w:lvlJc w:val="left"/>
      <w:pPr>
        <w:ind w:left="1678" w:hanging="425"/>
        <w:jc w:val="left"/>
      </w:pPr>
      <w:rPr>
        <w:rFonts w:hint="default" w:ascii="Times New Roman" w:hAnsi="Times New Roman" w:eastAsia="Times New Roman" w:cs="Times New Roman"/>
        <w:spacing w:val="-5"/>
        <w:w w:val="100"/>
        <w:sz w:val="24"/>
        <w:szCs w:val="24"/>
      </w:rPr>
    </w:lvl>
    <w:lvl w:ilvl="2">
      <w:start w:val="0"/>
      <w:numFmt w:val="bullet"/>
      <w:lvlText w:val="•"/>
      <w:lvlJc w:val="left"/>
      <w:pPr>
        <w:ind w:left="2569" w:hanging="425"/>
      </w:pPr>
      <w:rPr>
        <w:rFonts w:hint="default"/>
      </w:rPr>
    </w:lvl>
    <w:lvl w:ilvl="3">
      <w:start w:val="0"/>
      <w:numFmt w:val="bullet"/>
      <w:lvlText w:val="•"/>
      <w:lvlJc w:val="left"/>
      <w:pPr>
        <w:ind w:left="3459" w:hanging="425"/>
      </w:pPr>
      <w:rPr>
        <w:rFonts w:hint="default"/>
      </w:rPr>
    </w:lvl>
    <w:lvl w:ilvl="4">
      <w:start w:val="0"/>
      <w:numFmt w:val="bullet"/>
      <w:lvlText w:val="•"/>
      <w:lvlJc w:val="left"/>
      <w:pPr>
        <w:ind w:left="4348" w:hanging="425"/>
      </w:pPr>
      <w:rPr>
        <w:rFonts w:hint="default"/>
      </w:rPr>
    </w:lvl>
    <w:lvl w:ilvl="5">
      <w:start w:val="0"/>
      <w:numFmt w:val="bullet"/>
      <w:lvlText w:val="•"/>
      <w:lvlJc w:val="left"/>
      <w:pPr>
        <w:ind w:left="5238" w:hanging="425"/>
      </w:pPr>
      <w:rPr>
        <w:rFonts w:hint="default"/>
      </w:rPr>
    </w:lvl>
    <w:lvl w:ilvl="6">
      <w:start w:val="0"/>
      <w:numFmt w:val="bullet"/>
      <w:lvlText w:val="•"/>
      <w:lvlJc w:val="left"/>
      <w:pPr>
        <w:ind w:left="6128" w:hanging="425"/>
      </w:pPr>
      <w:rPr>
        <w:rFonts w:hint="default"/>
      </w:rPr>
    </w:lvl>
    <w:lvl w:ilvl="7">
      <w:start w:val="0"/>
      <w:numFmt w:val="bullet"/>
      <w:lvlText w:val="•"/>
      <w:lvlJc w:val="left"/>
      <w:pPr>
        <w:ind w:left="7017" w:hanging="425"/>
      </w:pPr>
      <w:rPr>
        <w:rFonts w:hint="default"/>
      </w:rPr>
    </w:lvl>
    <w:lvl w:ilvl="8">
      <w:start w:val="0"/>
      <w:numFmt w:val="bullet"/>
      <w:lvlText w:val="•"/>
      <w:lvlJc w:val="left"/>
      <w:pPr>
        <w:ind w:left="7907" w:hanging="425"/>
      </w:pPr>
      <w:rPr>
        <w:rFonts w:hint="default"/>
      </w:rPr>
    </w:lvl>
  </w:abstractNum>
  <w:abstractNum w:abstractNumId="124">
    <w:multiLevelType w:val="hybridMultilevel"/>
    <w:lvl w:ilvl="0">
      <w:start w:val="1"/>
      <w:numFmt w:val="decimal"/>
      <w:lvlText w:val="%1)"/>
      <w:lvlJc w:val="left"/>
      <w:pPr>
        <w:ind w:left="1328" w:hanging="281"/>
        <w:jc w:val="left"/>
      </w:pPr>
      <w:rPr>
        <w:rFonts w:hint="default" w:ascii="Times New Roman" w:hAnsi="Times New Roman" w:eastAsia="Times New Roman" w:cs="Times New Roman"/>
        <w:w w:val="100"/>
        <w:sz w:val="24"/>
        <w:szCs w:val="24"/>
      </w:rPr>
    </w:lvl>
    <w:lvl w:ilvl="1">
      <w:start w:val="1"/>
      <w:numFmt w:val="lowerLetter"/>
      <w:lvlText w:val="%2)"/>
      <w:lvlJc w:val="left"/>
      <w:pPr>
        <w:ind w:left="1678" w:hanging="360"/>
        <w:jc w:val="left"/>
      </w:pPr>
      <w:rPr>
        <w:rFonts w:hint="default" w:ascii="Times New Roman" w:hAnsi="Times New Roman" w:eastAsia="Times New Roman" w:cs="Times New Roman"/>
        <w:spacing w:val="-24"/>
        <w:w w:val="100"/>
        <w:sz w:val="24"/>
        <w:szCs w:val="24"/>
      </w:rPr>
    </w:lvl>
    <w:lvl w:ilvl="2">
      <w:start w:val="0"/>
      <w:numFmt w:val="bullet"/>
      <w:lvlText w:val="•"/>
      <w:lvlJc w:val="left"/>
      <w:pPr>
        <w:ind w:left="2569" w:hanging="360"/>
      </w:pPr>
      <w:rPr>
        <w:rFonts w:hint="default"/>
      </w:rPr>
    </w:lvl>
    <w:lvl w:ilvl="3">
      <w:start w:val="0"/>
      <w:numFmt w:val="bullet"/>
      <w:lvlText w:val="•"/>
      <w:lvlJc w:val="left"/>
      <w:pPr>
        <w:ind w:left="3459" w:hanging="360"/>
      </w:pPr>
      <w:rPr>
        <w:rFonts w:hint="default"/>
      </w:rPr>
    </w:lvl>
    <w:lvl w:ilvl="4">
      <w:start w:val="0"/>
      <w:numFmt w:val="bullet"/>
      <w:lvlText w:val="•"/>
      <w:lvlJc w:val="left"/>
      <w:pPr>
        <w:ind w:left="4348" w:hanging="360"/>
      </w:pPr>
      <w:rPr>
        <w:rFonts w:hint="default"/>
      </w:rPr>
    </w:lvl>
    <w:lvl w:ilvl="5">
      <w:start w:val="0"/>
      <w:numFmt w:val="bullet"/>
      <w:lvlText w:val="•"/>
      <w:lvlJc w:val="left"/>
      <w:pPr>
        <w:ind w:left="5238"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17" w:hanging="360"/>
      </w:pPr>
      <w:rPr>
        <w:rFonts w:hint="default"/>
      </w:rPr>
    </w:lvl>
    <w:lvl w:ilvl="8">
      <w:start w:val="0"/>
      <w:numFmt w:val="bullet"/>
      <w:lvlText w:val="•"/>
      <w:lvlJc w:val="left"/>
      <w:pPr>
        <w:ind w:left="7907" w:hanging="360"/>
      </w:pPr>
      <w:rPr>
        <w:rFonts w:hint="default"/>
      </w:rPr>
    </w:lvl>
  </w:abstractNum>
  <w:abstractNum w:abstractNumId="123">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0"/>
        <w:w w:val="100"/>
        <w:sz w:val="24"/>
        <w:szCs w:val="24"/>
      </w:rPr>
    </w:lvl>
    <w:lvl w:ilvl="1">
      <w:start w:val="1"/>
      <w:numFmt w:val="lowerLetter"/>
      <w:lvlText w:val="%2)"/>
      <w:lvlJc w:val="left"/>
      <w:pPr>
        <w:ind w:left="1340" w:hanging="360"/>
        <w:jc w:val="left"/>
      </w:pPr>
      <w:rPr>
        <w:rFonts w:hint="default" w:ascii="Times New Roman" w:hAnsi="Times New Roman" w:eastAsia="Times New Roman" w:cs="Times New Roman"/>
        <w:spacing w:val="-27"/>
        <w:w w:val="100"/>
        <w:sz w:val="24"/>
        <w:szCs w:val="24"/>
      </w:rPr>
    </w:lvl>
    <w:lvl w:ilvl="2">
      <w:start w:val="0"/>
      <w:numFmt w:val="bullet"/>
      <w:lvlText w:val="•"/>
      <w:lvlJc w:val="left"/>
      <w:pPr>
        <w:ind w:left="1760" w:hanging="360"/>
      </w:pPr>
      <w:rPr>
        <w:rFonts w:hint="default"/>
      </w:rPr>
    </w:lvl>
    <w:lvl w:ilvl="3">
      <w:start w:val="0"/>
      <w:numFmt w:val="bullet"/>
      <w:lvlText w:val="•"/>
      <w:lvlJc w:val="left"/>
      <w:pPr>
        <w:ind w:left="2750" w:hanging="360"/>
      </w:pPr>
      <w:rPr>
        <w:rFonts w:hint="default"/>
      </w:rPr>
    </w:lvl>
    <w:lvl w:ilvl="4">
      <w:start w:val="0"/>
      <w:numFmt w:val="bullet"/>
      <w:lvlText w:val="•"/>
      <w:lvlJc w:val="left"/>
      <w:pPr>
        <w:ind w:left="3741" w:hanging="360"/>
      </w:pPr>
      <w:rPr>
        <w:rFonts w:hint="default"/>
      </w:rPr>
    </w:lvl>
    <w:lvl w:ilvl="5">
      <w:start w:val="0"/>
      <w:numFmt w:val="bullet"/>
      <w:lvlText w:val="•"/>
      <w:lvlJc w:val="left"/>
      <w:pPr>
        <w:ind w:left="4732" w:hanging="360"/>
      </w:pPr>
      <w:rPr>
        <w:rFonts w:hint="default"/>
      </w:rPr>
    </w:lvl>
    <w:lvl w:ilvl="6">
      <w:start w:val="0"/>
      <w:numFmt w:val="bullet"/>
      <w:lvlText w:val="•"/>
      <w:lvlJc w:val="left"/>
      <w:pPr>
        <w:ind w:left="5723" w:hanging="360"/>
      </w:pPr>
      <w:rPr>
        <w:rFonts w:hint="default"/>
      </w:rPr>
    </w:lvl>
    <w:lvl w:ilvl="7">
      <w:start w:val="0"/>
      <w:numFmt w:val="bullet"/>
      <w:lvlText w:val="•"/>
      <w:lvlJc w:val="left"/>
      <w:pPr>
        <w:ind w:left="6714" w:hanging="360"/>
      </w:pPr>
      <w:rPr>
        <w:rFonts w:hint="default"/>
      </w:rPr>
    </w:lvl>
    <w:lvl w:ilvl="8">
      <w:start w:val="0"/>
      <w:numFmt w:val="bullet"/>
      <w:lvlText w:val="•"/>
      <w:lvlJc w:val="left"/>
      <w:pPr>
        <w:ind w:left="7704" w:hanging="360"/>
      </w:pPr>
      <w:rPr>
        <w:rFonts w:hint="default"/>
      </w:rPr>
    </w:lvl>
  </w:abstractNum>
  <w:abstractNum w:abstractNumId="122">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21">
    <w:multiLevelType w:val="hybridMultilevel"/>
    <w:lvl w:ilvl="0">
      <w:start w:val="1"/>
      <w:numFmt w:val="decimal"/>
      <w:lvlText w:val="%1)"/>
      <w:lvlJc w:val="left"/>
      <w:pPr>
        <w:ind w:left="2463" w:hanging="425"/>
        <w:jc w:val="left"/>
      </w:pPr>
      <w:rPr>
        <w:rFonts w:hint="default" w:ascii="Times New Roman" w:hAnsi="Times New Roman" w:eastAsia="Times New Roman" w:cs="Times New Roman"/>
        <w:spacing w:val="-16"/>
        <w:w w:val="100"/>
        <w:sz w:val="24"/>
        <w:szCs w:val="24"/>
      </w:rPr>
    </w:lvl>
    <w:lvl w:ilvl="1">
      <w:start w:val="0"/>
      <w:numFmt w:val="bullet"/>
      <w:lvlText w:val="•"/>
      <w:lvlJc w:val="left"/>
      <w:pPr>
        <w:ind w:left="3182" w:hanging="425"/>
      </w:pPr>
      <w:rPr>
        <w:rFonts w:hint="default"/>
      </w:rPr>
    </w:lvl>
    <w:lvl w:ilvl="2">
      <w:start w:val="0"/>
      <w:numFmt w:val="bullet"/>
      <w:lvlText w:val="•"/>
      <w:lvlJc w:val="left"/>
      <w:pPr>
        <w:ind w:left="3905" w:hanging="425"/>
      </w:pPr>
      <w:rPr>
        <w:rFonts w:hint="default"/>
      </w:rPr>
    </w:lvl>
    <w:lvl w:ilvl="3">
      <w:start w:val="0"/>
      <w:numFmt w:val="bullet"/>
      <w:lvlText w:val="•"/>
      <w:lvlJc w:val="left"/>
      <w:pPr>
        <w:ind w:left="4627" w:hanging="425"/>
      </w:pPr>
      <w:rPr>
        <w:rFonts w:hint="default"/>
      </w:rPr>
    </w:lvl>
    <w:lvl w:ilvl="4">
      <w:start w:val="0"/>
      <w:numFmt w:val="bullet"/>
      <w:lvlText w:val="•"/>
      <w:lvlJc w:val="left"/>
      <w:pPr>
        <w:ind w:left="5350" w:hanging="425"/>
      </w:pPr>
      <w:rPr>
        <w:rFonts w:hint="default"/>
      </w:rPr>
    </w:lvl>
    <w:lvl w:ilvl="5">
      <w:start w:val="0"/>
      <w:numFmt w:val="bullet"/>
      <w:lvlText w:val="•"/>
      <w:lvlJc w:val="left"/>
      <w:pPr>
        <w:ind w:left="6073" w:hanging="425"/>
      </w:pPr>
      <w:rPr>
        <w:rFonts w:hint="default"/>
      </w:rPr>
    </w:lvl>
    <w:lvl w:ilvl="6">
      <w:start w:val="0"/>
      <w:numFmt w:val="bullet"/>
      <w:lvlText w:val="•"/>
      <w:lvlJc w:val="left"/>
      <w:pPr>
        <w:ind w:left="6795" w:hanging="425"/>
      </w:pPr>
      <w:rPr>
        <w:rFonts w:hint="default"/>
      </w:rPr>
    </w:lvl>
    <w:lvl w:ilvl="7">
      <w:start w:val="0"/>
      <w:numFmt w:val="bullet"/>
      <w:lvlText w:val="•"/>
      <w:lvlJc w:val="left"/>
      <w:pPr>
        <w:ind w:left="7518" w:hanging="425"/>
      </w:pPr>
      <w:rPr>
        <w:rFonts w:hint="default"/>
      </w:rPr>
    </w:lvl>
    <w:lvl w:ilvl="8">
      <w:start w:val="0"/>
      <w:numFmt w:val="bullet"/>
      <w:lvlText w:val="•"/>
      <w:lvlJc w:val="left"/>
      <w:pPr>
        <w:ind w:left="8241" w:hanging="425"/>
      </w:pPr>
      <w:rPr>
        <w:rFonts w:hint="default"/>
      </w:rPr>
    </w:lvl>
  </w:abstractNum>
  <w:abstractNum w:abstractNumId="119">
    <w:multiLevelType w:val="hybridMultilevel"/>
    <w:lvl w:ilvl="0">
      <w:start w:val="1"/>
      <w:numFmt w:val="decimal"/>
      <w:lvlText w:val="%1)"/>
      <w:lvlJc w:val="left"/>
      <w:pPr>
        <w:ind w:left="1613" w:hanging="634"/>
        <w:jc w:val="right"/>
      </w:pPr>
      <w:rPr>
        <w:rFonts w:hint="default" w:ascii="Times New Roman" w:hAnsi="Times New Roman" w:eastAsia="Times New Roman" w:cs="Times New Roman"/>
        <w:spacing w:val="-29"/>
        <w:w w:val="100"/>
        <w:sz w:val="24"/>
        <w:szCs w:val="24"/>
      </w:rPr>
    </w:lvl>
    <w:lvl w:ilvl="1">
      <w:start w:val="0"/>
      <w:numFmt w:val="bullet"/>
      <w:lvlText w:val="•"/>
      <w:lvlJc w:val="left"/>
      <w:pPr>
        <w:ind w:left="2426" w:hanging="634"/>
      </w:pPr>
      <w:rPr>
        <w:rFonts w:hint="default"/>
      </w:rPr>
    </w:lvl>
    <w:lvl w:ilvl="2">
      <w:start w:val="0"/>
      <w:numFmt w:val="bullet"/>
      <w:lvlText w:val="•"/>
      <w:lvlJc w:val="left"/>
      <w:pPr>
        <w:ind w:left="3233" w:hanging="634"/>
      </w:pPr>
      <w:rPr>
        <w:rFonts w:hint="default"/>
      </w:rPr>
    </w:lvl>
    <w:lvl w:ilvl="3">
      <w:start w:val="0"/>
      <w:numFmt w:val="bullet"/>
      <w:lvlText w:val="•"/>
      <w:lvlJc w:val="left"/>
      <w:pPr>
        <w:ind w:left="4039" w:hanging="634"/>
      </w:pPr>
      <w:rPr>
        <w:rFonts w:hint="default"/>
      </w:rPr>
    </w:lvl>
    <w:lvl w:ilvl="4">
      <w:start w:val="0"/>
      <w:numFmt w:val="bullet"/>
      <w:lvlText w:val="•"/>
      <w:lvlJc w:val="left"/>
      <w:pPr>
        <w:ind w:left="4846" w:hanging="634"/>
      </w:pPr>
      <w:rPr>
        <w:rFonts w:hint="default"/>
      </w:rPr>
    </w:lvl>
    <w:lvl w:ilvl="5">
      <w:start w:val="0"/>
      <w:numFmt w:val="bullet"/>
      <w:lvlText w:val="•"/>
      <w:lvlJc w:val="left"/>
      <w:pPr>
        <w:ind w:left="5653" w:hanging="634"/>
      </w:pPr>
      <w:rPr>
        <w:rFonts w:hint="default"/>
      </w:rPr>
    </w:lvl>
    <w:lvl w:ilvl="6">
      <w:start w:val="0"/>
      <w:numFmt w:val="bullet"/>
      <w:lvlText w:val="•"/>
      <w:lvlJc w:val="left"/>
      <w:pPr>
        <w:ind w:left="6459" w:hanging="634"/>
      </w:pPr>
      <w:rPr>
        <w:rFonts w:hint="default"/>
      </w:rPr>
    </w:lvl>
    <w:lvl w:ilvl="7">
      <w:start w:val="0"/>
      <w:numFmt w:val="bullet"/>
      <w:lvlText w:val="•"/>
      <w:lvlJc w:val="left"/>
      <w:pPr>
        <w:ind w:left="7266" w:hanging="634"/>
      </w:pPr>
      <w:rPr>
        <w:rFonts w:hint="default"/>
      </w:rPr>
    </w:lvl>
    <w:lvl w:ilvl="8">
      <w:start w:val="0"/>
      <w:numFmt w:val="bullet"/>
      <w:lvlText w:val="•"/>
      <w:lvlJc w:val="left"/>
      <w:pPr>
        <w:ind w:left="8073" w:hanging="634"/>
      </w:pPr>
      <w:rPr>
        <w:rFonts w:hint="default"/>
      </w:rPr>
    </w:lvl>
  </w:abstractNum>
  <w:abstractNum w:abstractNumId="118">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b/>
        <w:bCs/>
        <w:i/>
        <w:spacing w:val="-147"/>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17">
    <w:multiLevelType w:val="hybridMultilevel"/>
    <w:lvl w:ilvl="0">
      <w:start w:val="1"/>
      <w:numFmt w:val="decimal"/>
      <w:lvlText w:val="%1)"/>
      <w:lvlJc w:val="left"/>
      <w:pPr>
        <w:ind w:left="98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116">
    <w:multiLevelType w:val="hybridMultilevel"/>
    <w:lvl w:ilvl="0">
      <w:start w:val="7"/>
      <w:numFmt w:val="decimal"/>
      <w:lvlText w:val="%1"/>
      <w:lvlJc w:val="left"/>
      <w:pPr>
        <w:ind w:left="1400" w:hanging="421"/>
        <w:jc w:val="left"/>
      </w:pPr>
      <w:rPr>
        <w:rFonts w:hint="default"/>
      </w:rPr>
    </w:lvl>
    <w:lvl w:ilvl="1">
      <w:start w:val="1"/>
      <w:numFmt w:val="decimal"/>
      <w:lvlText w:val="%1.%2."/>
      <w:lvlJc w:val="left"/>
      <w:pPr>
        <w:ind w:left="1400" w:hanging="421"/>
        <w:jc w:val="right"/>
      </w:pPr>
      <w:rPr>
        <w:rFonts w:hint="default" w:ascii="Times New Roman" w:hAnsi="Times New Roman" w:eastAsia="Times New Roman" w:cs="Times New Roman"/>
        <w:b/>
        <w:bCs/>
        <w:i/>
        <w:spacing w:val="-2"/>
        <w:w w:val="100"/>
        <w:sz w:val="24"/>
        <w:szCs w:val="24"/>
      </w:rPr>
    </w:lvl>
    <w:lvl w:ilvl="2">
      <w:start w:val="0"/>
      <w:numFmt w:val="bullet"/>
      <w:lvlText w:val="•"/>
      <w:lvlJc w:val="left"/>
      <w:pPr>
        <w:ind w:left="3057" w:hanging="421"/>
      </w:pPr>
      <w:rPr>
        <w:rFonts w:hint="default"/>
      </w:rPr>
    </w:lvl>
    <w:lvl w:ilvl="3">
      <w:start w:val="0"/>
      <w:numFmt w:val="bullet"/>
      <w:lvlText w:val="•"/>
      <w:lvlJc w:val="left"/>
      <w:pPr>
        <w:ind w:left="3885" w:hanging="421"/>
      </w:pPr>
      <w:rPr>
        <w:rFonts w:hint="default"/>
      </w:rPr>
    </w:lvl>
    <w:lvl w:ilvl="4">
      <w:start w:val="0"/>
      <w:numFmt w:val="bullet"/>
      <w:lvlText w:val="•"/>
      <w:lvlJc w:val="left"/>
      <w:pPr>
        <w:ind w:left="4714" w:hanging="421"/>
      </w:pPr>
      <w:rPr>
        <w:rFonts w:hint="default"/>
      </w:rPr>
    </w:lvl>
    <w:lvl w:ilvl="5">
      <w:start w:val="0"/>
      <w:numFmt w:val="bullet"/>
      <w:lvlText w:val="•"/>
      <w:lvlJc w:val="left"/>
      <w:pPr>
        <w:ind w:left="5543" w:hanging="421"/>
      </w:pPr>
      <w:rPr>
        <w:rFonts w:hint="default"/>
      </w:rPr>
    </w:lvl>
    <w:lvl w:ilvl="6">
      <w:start w:val="0"/>
      <w:numFmt w:val="bullet"/>
      <w:lvlText w:val="•"/>
      <w:lvlJc w:val="left"/>
      <w:pPr>
        <w:ind w:left="6371" w:hanging="421"/>
      </w:pPr>
      <w:rPr>
        <w:rFonts w:hint="default"/>
      </w:rPr>
    </w:lvl>
    <w:lvl w:ilvl="7">
      <w:start w:val="0"/>
      <w:numFmt w:val="bullet"/>
      <w:lvlText w:val="•"/>
      <w:lvlJc w:val="left"/>
      <w:pPr>
        <w:ind w:left="7200" w:hanging="421"/>
      </w:pPr>
      <w:rPr>
        <w:rFonts w:hint="default"/>
      </w:rPr>
    </w:lvl>
    <w:lvl w:ilvl="8">
      <w:start w:val="0"/>
      <w:numFmt w:val="bullet"/>
      <w:lvlText w:val="•"/>
      <w:lvlJc w:val="left"/>
      <w:pPr>
        <w:ind w:left="8029" w:hanging="421"/>
      </w:pPr>
      <w:rPr>
        <w:rFonts w:hint="default"/>
      </w:rPr>
    </w:lvl>
  </w:abstractNum>
  <w:abstractNum w:abstractNumId="114">
    <w:multiLevelType w:val="hybridMultilevel"/>
    <w:lvl w:ilvl="0">
      <w:start w:val="3"/>
      <w:numFmt w:val="decimal"/>
      <w:lvlText w:val="%1"/>
      <w:lvlJc w:val="left"/>
      <w:pPr>
        <w:ind w:left="1040" w:hanging="421"/>
        <w:jc w:val="left"/>
      </w:pPr>
      <w:rPr>
        <w:rFonts w:hint="default"/>
      </w:rPr>
    </w:lvl>
    <w:lvl w:ilvl="1">
      <w:start w:val="1"/>
      <w:numFmt w:val="decimal"/>
      <w:lvlText w:val="%1.%2."/>
      <w:lvlJc w:val="left"/>
      <w:pPr>
        <w:ind w:left="1040" w:hanging="421"/>
        <w:jc w:val="left"/>
      </w:pPr>
      <w:rPr>
        <w:rFonts w:hint="default" w:ascii="Times New Roman" w:hAnsi="Times New Roman" w:eastAsia="Times New Roman" w:cs="Times New Roman"/>
        <w:b/>
        <w:bCs/>
        <w:i/>
        <w:spacing w:val="-4"/>
        <w:w w:val="100"/>
        <w:sz w:val="24"/>
        <w:szCs w:val="24"/>
      </w:rPr>
    </w:lvl>
    <w:lvl w:ilvl="2">
      <w:start w:val="0"/>
      <w:numFmt w:val="bullet"/>
      <w:lvlText w:val="•"/>
      <w:lvlJc w:val="left"/>
      <w:pPr>
        <w:ind w:left="2769" w:hanging="421"/>
      </w:pPr>
      <w:rPr>
        <w:rFonts w:hint="default"/>
      </w:rPr>
    </w:lvl>
    <w:lvl w:ilvl="3">
      <w:start w:val="0"/>
      <w:numFmt w:val="bullet"/>
      <w:lvlText w:val="•"/>
      <w:lvlJc w:val="left"/>
      <w:pPr>
        <w:ind w:left="3633" w:hanging="421"/>
      </w:pPr>
      <w:rPr>
        <w:rFonts w:hint="default"/>
      </w:rPr>
    </w:lvl>
    <w:lvl w:ilvl="4">
      <w:start w:val="0"/>
      <w:numFmt w:val="bullet"/>
      <w:lvlText w:val="•"/>
      <w:lvlJc w:val="left"/>
      <w:pPr>
        <w:ind w:left="4498" w:hanging="421"/>
      </w:pPr>
      <w:rPr>
        <w:rFonts w:hint="default"/>
      </w:rPr>
    </w:lvl>
    <w:lvl w:ilvl="5">
      <w:start w:val="0"/>
      <w:numFmt w:val="bullet"/>
      <w:lvlText w:val="•"/>
      <w:lvlJc w:val="left"/>
      <w:pPr>
        <w:ind w:left="5363" w:hanging="421"/>
      </w:pPr>
      <w:rPr>
        <w:rFonts w:hint="default"/>
      </w:rPr>
    </w:lvl>
    <w:lvl w:ilvl="6">
      <w:start w:val="0"/>
      <w:numFmt w:val="bullet"/>
      <w:lvlText w:val="•"/>
      <w:lvlJc w:val="left"/>
      <w:pPr>
        <w:ind w:left="6227" w:hanging="421"/>
      </w:pPr>
      <w:rPr>
        <w:rFonts w:hint="default"/>
      </w:rPr>
    </w:lvl>
    <w:lvl w:ilvl="7">
      <w:start w:val="0"/>
      <w:numFmt w:val="bullet"/>
      <w:lvlText w:val="•"/>
      <w:lvlJc w:val="left"/>
      <w:pPr>
        <w:ind w:left="7092" w:hanging="421"/>
      </w:pPr>
      <w:rPr>
        <w:rFonts w:hint="default"/>
      </w:rPr>
    </w:lvl>
    <w:lvl w:ilvl="8">
      <w:start w:val="0"/>
      <w:numFmt w:val="bullet"/>
      <w:lvlText w:val="•"/>
      <w:lvlJc w:val="left"/>
      <w:pPr>
        <w:ind w:left="7957" w:hanging="421"/>
      </w:pPr>
      <w:rPr>
        <w:rFonts w:hint="default"/>
      </w:rPr>
    </w:lvl>
  </w:abstractNum>
  <w:abstractNum w:abstractNumId="113">
    <w:multiLevelType w:val="hybridMultilevel"/>
    <w:lvl w:ilvl="0">
      <w:start w:val="1"/>
      <w:numFmt w:val="decimal"/>
      <w:lvlText w:val="%1)"/>
      <w:lvlJc w:val="left"/>
      <w:pPr>
        <w:ind w:left="1472" w:hanging="425"/>
        <w:jc w:val="right"/>
      </w:pPr>
      <w:rPr>
        <w:rFonts w:hint="default" w:ascii="Times New Roman" w:hAnsi="Times New Roman" w:eastAsia="Times New Roman" w:cs="Times New Roman"/>
        <w:spacing w:val="-22"/>
        <w:w w:val="100"/>
        <w:sz w:val="24"/>
        <w:szCs w:val="24"/>
      </w:rPr>
    </w:lvl>
    <w:lvl w:ilvl="1">
      <w:start w:val="0"/>
      <w:numFmt w:val="bullet"/>
      <w:lvlText w:val="•"/>
      <w:lvlJc w:val="left"/>
      <w:pPr>
        <w:ind w:left="2300" w:hanging="425"/>
      </w:pPr>
      <w:rPr>
        <w:rFonts w:hint="default"/>
      </w:rPr>
    </w:lvl>
    <w:lvl w:ilvl="2">
      <w:start w:val="0"/>
      <w:numFmt w:val="bullet"/>
      <w:lvlText w:val="•"/>
      <w:lvlJc w:val="left"/>
      <w:pPr>
        <w:ind w:left="3121" w:hanging="425"/>
      </w:pPr>
      <w:rPr>
        <w:rFonts w:hint="default"/>
      </w:rPr>
    </w:lvl>
    <w:lvl w:ilvl="3">
      <w:start w:val="0"/>
      <w:numFmt w:val="bullet"/>
      <w:lvlText w:val="•"/>
      <w:lvlJc w:val="left"/>
      <w:pPr>
        <w:ind w:left="3941" w:hanging="425"/>
      </w:pPr>
      <w:rPr>
        <w:rFonts w:hint="default"/>
      </w:rPr>
    </w:lvl>
    <w:lvl w:ilvl="4">
      <w:start w:val="0"/>
      <w:numFmt w:val="bullet"/>
      <w:lvlText w:val="•"/>
      <w:lvlJc w:val="left"/>
      <w:pPr>
        <w:ind w:left="4762" w:hanging="425"/>
      </w:pPr>
      <w:rPr>
        <w:rFonts w:hint="default"/>
      </w:rPr>
    </w:lvl>
    <w:lvl w:ilvl="5">
      <w:start w:val="0"/>
      <w:numFmt w:val="bullet"/>
      <w:lvlText w:val="•"/>
      <w:lvlJc w:val="left"/>
      <w:pPr>
        <w:ind w:left="5583" w:hanging="425"/>
      </w:pPr>
      <w:rPr>
        <w:rFonts w:hint="default"/>
      </w:rPr>
    </w:lvl>
    <w:lvl w:ilvl="6">
      <w:start w:val="0"/>
      <w:numFmt w:val="bullet"/>
      <w:lvlText w:val="•"/>
      <w:lvlJc w:val="left"/>
      <w:pPr>
        <w:ind w:left="6403" w:hanging="425"/>
      </w:pPr>
      <w:rPr>
        <w:rFonts w:hint="default"/>
      </w:rPr>
    </w:lvl>
    <w:lvl w:ilvl="7">
      <w:start w:val="0"/>
      <w:numFmt w:val="bullet"/>
      <w:lvlText w:val="•"/>
      <w:lvlJc w:val="left"/>
      <w:pPr>
        <w:ind w:left="7224" w:hanging="425"/>
      </w:pPr>
      <w:rPr>
        <w:rFonts w:hint="default"/>
      </w:rPr>
    </w:lvl>
    <w:lvl w:ilvl="8">
      <w:start w:val="0"/>
      <w:numFmt w:val="bullet"/>
      <w:lvlText w:val="•"/>
      <w:lvlJc w:val="left"/>
      <w:pPr>
        <w:ind w:left="8045" w:hanging="425"/>
      </w:pPr>
      <w:rPr>
        <w:rFonts w:hint="default"/>
      </w:rPr>
    </w:lvl>
  </w:abstractNum>
  <w:abstractNum w:abstractNumId="112">
    <w:multiLevelType w:val="hybridMultilevel"/>
    <w:lvl w:ilvl="0">
      <w:start w:val="1"/>
      <w:numFmt w:val="decimal"/>
      <w:lvlText w:val="%1."/>
      <w:lvlJc w:val="left"/>
      <w:pPr>
        <w:ind w:left="3706" w:hanging="360"/>
        <w:jc w:val="right"/>
      </w:pPr>
      <w:rPr>
        <w:rFonts w:hint="default" w:ascii="Times New Roman" w:hAnsi="Times New Roman" w:eastAsia="Times New Roman" w:cs="Times New Roman"/>
        <w:b/>
        <w:bCs/>
        <w:w w:val="100"/>
        <w:sz w:val="28"/>
        <w:szCs w:val="28"/>
      </w:rPr>
    </w:lvl>
    <w:lvl w:ilvl="1">
      <w:start w:val="0"/>
      <w:numFmt w:val="bullet"/>
      <w:lvlText w:val="•"/>
      <w:lvlJc w:val="left"/>
      <w:pPr>
        <w:ind w:left="4298" w:hanging="360"/>
      </w:pPr>
      <w:rPr>
        <w:rFonts w:hint="default"/>
      </w:rPr>
    </w:lvl>
    <w:lvl w:ilvl="2">
      <w:start w:val="0"/>
      <w:numFmt w:val="bullet"/>
      <w:lvlText w:val="•"/>
      <w:lvlJc w:val="left"/>
      <w:pPr>
        <w:ind w:left="4897" w:hanging="360"/>
      </w:pPr>
      <w:rPr>
        <w:rFonts w:hint="default"/>
      </w:rPr>
    </w:lvl>
    <w:lvl w:ilvl="3">
      <w:start w:val="0"/>
      <w:numFmt w:val="bullet"/>
      <w:lvlText w:val="•"/>
      <w:lvlJc w:val="left"/>
      <w:pPr>
        <w:ind w:left="5495" w:hanging="360"/>
      </w:pPr>
      <w:rPr>
        <w:rFonts w:hint="default"/>
      </w:rPr>
    </w:lvl>
    <w:lvl w:ilvl="4">
      <w:start w:val="0"/>
      <w:numFmt w:val="bullet"/>
      <w:lvlText w:val="•"/>
      <w:lvlJc w:val="left"/>
      <w:pPr>
        <w:ind w:left="6094" w:hanging="360"/>
      </w:pPr>
      <w:rPr>
        <w:rFonts w:hint="default"/>
      </w:rPr>
    </w:lvl>
    <w:lvl w:ilvl="5">
      <w:start w:val="0"/>
      <w:numFmt w:val="bullet"/>
      <w:lvlText w:val="•"/>
      <w:lvlJc w:val="left"/>
      <w:pPr>
        <w:ind w:left="6693" w:hanging="360"/>
      </w:pPr>
      <w:rPr>
        <w:rFonts w:hint="default"/>
      </w:rPr>
    </w:lvl>
    <w:lvl w:ilvl="6">
      <w:start w:val="0"/>
      <w:numFmt w:val="bullet"/>
      <w:lvlText w:val="•"/>
      <w:lvlJc w:val="left"/>
      <w:pPr>
        <w:ind w:left="7291" w:hanging="360"/>
      </w:pPr>
      <w:rPr>
        <w:rFonts w:hint="default"/>
      </w:rPr>
    </w:lvl>
    <w:lvl w:ilvl="7">
      <w:start w:val="0"/>
      <w:numFmt w:val="bullet"/>
      <w:lvlText w:val="•"/>
      <w:lvlJc w:val="left"/>
      <w:pPr>
        <w:ind w:left="7890" w:hanging="360"/>
      </w:pPr>
      <w:rPr>
        <w:rFonts w:hint="default"/>
      </w:rPr>
    </w:lvl>
    <w:lvl w:ilvl="8">
      <w:start w:val="0"/>
      <w:numFmt w:val="bullet"/>
      <w:lvlText w:val="•"/>
      <w:lvlJc w:val="left"/>
      <w:pPr>
        <w:ind w:left="8489" w:hanging="360"/>
      </w:pPr>
      <w:rPr>
        <w:rFonts w:hint="default"/>
      </w:rPr>
    </w:lvl>
  </w:abstractNum>
  <w:abstractNum w:abstractNumId="111">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spacing w:val="-3"/>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10">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4"/>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09">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spacing w:val="-29"/>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08">
    <w:multiLevelType w:val="hybridMultilevel"/>
    <w:lvl w:ilvl="0">
      <w:start w:val="1"/>
      <w:numFmt w:val="upperLetter"/>
      <w:lvlText w:val="%1."/>
      <w:lvlJc w:val="left"/>
      <w:pPr>
        <w:ind w:left="260" w:hanging="293"/>
        <w:jc w:val="right"/>
      </w:pPr>
      <w:rPr>
        <w:rFonts w:hint="default" w:ascii="Times New Roman" w:hAnsi="Times New Roman" w:eastAsia="Times New Roman" w:cs="Times New Roman"/>
        <w:b/>
        <w:bCs/>
        <w:i/>
        <w:w w:val="100"/>
        <w:sz w:val="24"/>
        <w:szCs w:val="24"/>
      </w:rPr>
    </w:lvl>
    <w:lvl w:ilvl="1">
      <w:start w:val="1"/>
      <w:numFmt w:val="decimal"/>
      <w:lvlText w:val="%2)"/>
      <w:lvlJc w:val="left"/>
      <w:pPr>
        <w:ind w:left="1392" w:hanging="426"/>
        <w:jc w:val="right"/>
      </w:pPr>
      <w:rPr>
        <w:rFonts w:hint="default" w:ascii="Times New Roman" w:hAnsi="Times New Roman" w:eastAsia="Times New Roman" w:cs="Times New Roman"/>
        <w:spacing w:val="-29"/>
        <w:w w:val="100"/>
        <w:sz w:val="24"/>
        <w:szCs w:val="24"/>
      </w:rPr>
    </w:lvl>
    <w:lvl w:ilvl="2">
      <w:start w:val="0"/>
      <w:numFmt w:val="bullet"/>
      <w:lvlText w:val="•"/>
      <w:lvlJc w:val="left"/>
      <w:pPr>
        <w:ind w:left="2320" w:hanging="426"/>
      </w:pPr>
      <w:rPr>
        <w:rFonts w:hint="default"/>
      </w:rPr>
    </w:lvl>
    <w:lvl w:ilvl="3">
      <w:start w:val="0"/>
      <w:numFmt w:val="bullet"/>
      <w:lvlText w:val="•"/>
      <w:lvlJc w:val="left"/>
      <w:pPr>
        <w:ind w:left="3241" w:hanging="426"/>
      </w:pPr>
      <w:rPr>
        <w:rFonts w:hint="default"/>
      </w:rPr>
    </w:lvl>
    <w:lvl w:ilvl="4">
      <w:start w:val="0"/>
      <w:numFmt w:val="bullet"/>
      <w:lvlText w:val="•"/>
      <w:lvlJc w:val="left"/>
      <w:pPr>
        <w:ind w:left="4162" w:hanging="426"/>
      </w:pPr>
      <w:rPr>
        <w:rFonts w:hint="default"/>
      </w:rPr>
    </w:lvl>
    <w:lvl w:ilvl="5">
      <w:start w:val="0"/>
      <w:numFmt w:val="bullet"/>
      <w:lvlText w:val="•"/>
      <w:lvlJc w:val="left"/>
      <w:pPr>
        <w:ind w:left="5082" w:hanging="426"/>
      </w:pPr>
      <w:rPr>
        <w:rFonts w:hint="default"/>
      </w:rPr>
    </w:lvl>
    <w:lvl w:ilvl="6">
      <w:start w:val="0"/>
      <w:numFmt w:val="bullet"/>
      <w:lvlText w:val="•"/>
      <w:lvlJc w:val="left"/>
      <w:pPr>
        <w:ind w:left="6003" w:hanging="426"/>
      </w:pPr>
      <w:rPr>
        <w:rFonts w:hint="default"/>
      </w:rPr>
    </w:lvl>
    <w:lvl w:ilvl="7">
      <w:start w:val="0"/>
      <w:numFmt w:val="bullet"/>
      <w:lvlText w:val="•"/>
      <w:lvlJc w:val="left"/>
      <w:pPr>
        <w:ind w:left="6924" w:hanging="426"/>
      </w:pPr>
      <w:rPr>
        <w:rFonts w:hint="default"/>
      </w:rPr>
    </w:lvl>
    <w:lvl w:ilvl="8">
      <w:start w:val="0"/>
      <w:numFmt w:val="bullet"/>
      <w:lvlText w:val="•"/>
      <w:lvlJc w:val="left"/>
      <w:pPr>
        <w:ind w:left="7844" w:hanging="426"/>
      </w:pPr>
      <w:rPr>
        <w:rFonts w:hint="default"/>
      </w:rPr>
    </w:lvl>
  </w:abstractNum>
  <w:abstractNum w:abstractNumId="106">
    <w:multiLevelType w:val="hybridMultilevel"/>
    <w:lvl w:ilvl="0">
      <w:start w:val="1"/>
      <w:numFmt w:val="decimal"/>
      <w:lvlText w:val="%1)"/>
      <w:lvlJc w:val="left"/>
      <w:pPr>
        <w:ind w:left="980" w:hanging="360"/>
        <w:jc w:val="left"/>
      </w:pPr>
      <w:rPr>
        <w:rFonts w:hint="default" w:ascii="Times New Roman" w:hAnsi="Times New Roman" w:eastAsia="Times New Roman" w:cs="Times New Roman"/>
        <w:spacing w:val="-29"/>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105">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3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04">
    <w:multiLevelType w:val="hybridMultilevel"/>
    <w:lvl w:ilvl="0">
      <w:start w:val="1"/>
      <w:numFmt w:val="decimal"/>
      <w:lvlText w:val="%1)"/>
      <w:lvlJc w:val="left"/>
      <w:pPr>
        <w:ind w:left="176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552" w:hanging="360"/>
      </w:pPr>
      <w:rPr>
        <w:rFonts w:hint="default"/>
      </w:rPr>
    </w:lvl>
    <w:lvl w:ilvl="2">
      <w:start w:val="0"/>
      <w:numFmt w:val="bullet"/>
      <w:lvlText w:val="•"/>
      <w:lvlJc w:val="left"/>
      <w:pPr>
        <w:ind w:left="3345" w:hanging="360"/>
      </w:pPr>
      <w:rPr>
        <w:rFonts w:hint="default"/>
      </w:rPr>
    </w:lvl>
    <w:lvl w:ilvl="3">
      <w:start w:val="0"/>
      <w:numFmt w:val="bullet"/>
      <w:lvlText w:val="•"/>
      <w:lvlJc w:val="left"/>
      <w:pPr>
        <w:ind w:left="4137" w:hanging="360"/>
      </w:pPr>
      <w:rPr>
        <w:rFonts w:hint="default"/>
      </w:rPr>
    </w:lvl>
    <w:lvl w:ilvl="4">
      <w:start w:val="0"/>
      <w:numFmt w:val="bullet"/>
      <w:lvlText w:val="•"/>
      <w:lvlJc w:val="left"/>
      <w:pPr>
        <w:ind w:left="4930" w:hanging="360"/>
      </w:pPr>
      <w:rPr>
        <w:rFonts w:hint="default"/>
      </w:rPr>
    </w:lvl>
    <w:lvl w:ilvl="5">
      <w:start w:val="0"/>
      <w:numFmt w:val="bullet"/>
      <w:lvlText w:val="•"/>
      <w:lvlJc w:val="left"/>
      <w:pPr>
        <w:ind w:left="5723" w:hanging="360"/>
      </w:pPr>
      <w:rPr>
        <w:rFonts w:hint="default"/>
      </w:rPr>
    </w:lvl>
    <w:lvl w:ilvl="6">
      <w:start w:val="0"/>
      <w:numFmt w:val="bullet"/>
      <w:lvlText w:val="•"/>
      <w:lvlJc w:val="left"/>
      <w:pPr>
        <w:ind w:left="6515" w:hanging="360"/>
      </w:pPr>
      <w:rPr>
        <w:rFonts w:hint="default"/>
      </w:rPr>
    </w:lvl>
    <w:lvl w:ilvl="7">
      <w:start w:val="0"/>
      <w:numFmt w:val="bullet"/>
      <w:lvlText w:val="•"/>
      <w:lvlJc w:val="left"/>
      <w:pPr>
        <w:ind w:left="7308" w:hanging="360"/>
      </w:pPr>
      <w:rPr>
        <w:rFonts w:hint="default"/>
      </w:rPr>
    </w:lvl>
    <w:lvl w:ilvl="8">
      <w:start w:val="0"/>
      <w:numFmt w:val="bullet"/>
      <w:lvlText w:val="•"/>
      <w:lvlJc w:val="left"/>
      <w:pPr>
        <w:ind w:left="8101" w:hanging="360"/>
      </w:pPr>
      <w:rPr>
        <w:rFonts w:hint="default"/>
      </w:rPr>
    </w:lvl>
  </w:abstractNum>
  <w:abstractNum w:abstractNumId="103">
    <w:multiLevelType w:val="hybridMultilevel"/>
    <w:lvl w:ilvl="0">
      <w:start w:val="1"/>
      <w:numFmt w:val="decimal"/>
      <w:lvlText w:val="%1)"/>
      <w:lvlJc w:val="left"/>
      <w:pPr>
        <w:ind w:left="980" w:hanging="360"/>
        <w:jc w:val="left"/>
      </w:pPr>
      <w:rPr>
        <w:rFonts w:hint="default" w:ascii="Times New Roman" w:hAnsi="Times New Roman" w:eastAsia="Times New Roman" w:cs="Times New Roman"/>
        <w:spacing w:val="-29"/>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102">
    <w:multiLevelType w:val="hybridMultilevel"/>
    <w:lvl w:ilvl="0">
      <w:start w:val="1"/>
      <w:numFmt w:val="decimal"/>
      <w:lvlText w:val="%1)"/>
      <w:lvlJc w:val="left"/>
      <w:pPr>
        <w:ind w:left="1328" w:hanging="257"/>
        <w:jc w:val="right"/>
      </w:pPr>
      <w:rPr>
        <w:rFonts w:hint="default" w:ascii="Times New Roman" w:hAnsi="Times New Roman" w:eastAsia="Times New Roman" w:cs="Times New Roman"/>
        <w:i/>
        <w:spacing w:val="-120"/>
        <w:w w:val="100"/>
        <w:sz w:val="24"/>
        <w:szCs w:val="24"/>
        <w:u w:val="single" w:color="000000"/>
      </w:rPr>
    </w:lvl>
    <w:lvl w:ilvl="1">
      <w:start w:val="1"/>
      <w:numFmt w:val="decimal"/>
      <w:lvlText w:val="%2)"/>
      <w:lvlJc w:val="left"/>
      <w:pPr>
        <w:ind w:left="620" w:hanging="277"/>
        <w:jc w:val="left"/>
      </w:pPr>
      <w:rPr>
        <w:rFonts w:hint="default" w:ascii="Times New Roman" w:hAnsi="Times New Roman" w:eastAsia="Times New Roman" w:cs="Times New Roman"/>
        <w:w w:val="100"/>
        <w:sz w:val="24"/>
        <w:szCs w:val="24"/>
      </w:rPr>
    </w:lvl>
    <w:lvl w:ilvl="2">
      <w:start w:val="0"/>
      <w:numFmt w:val="bullet"/>
      <w:lvlText w:val="•"/>
      <w:lvlJc w:val="left"/>
      <w:pPr>
        <w:ind w:left="2249" w:hanging="277"/>
      </w:pPr>
      <w:rPr>
        <w:rFonts w:hint="default"/>
      </w:rPr>
    </w:lvl>
    <w:lvl w:ilvl="3">
      <w:start w:val="0"/>
      <w:numFmt w:val="bullet"/>
      <w:lvlText w:val="•"/>
      <w:lvlJc w:val="left"/>
      <w:pPr>
        <w:ind w:left="3179" w:hanging="277"/>
      </w:pPr>
      <w:rPr>
        <w:rFonts w:hint="default"/>
      </w:rPr>
    </w:lvl>
    <w:lvl w:ilvl="4">
      <w:start w:val="0"/>
      <w:numFmt w:val="bullet"/>
      <w:lvlText w:val="•"/>
      <w:lvlJc w:val="left"/>
      <w:pPr>
        <w:ind w:left="4108" w:hanging="277"/>
      </w:pPr>
      <w:rPr>
        <w:rFonts w:hint="default"/>
      </w:rPr>
    </w:lvl>
    <w:lvl w:ilvl="5">
      <w:start w:val="0"/>
      <w:numFmt w:val="bullet"/>
      <w:lvlText w:val="•"/>
      <w:lvlJc w:val="left"/>
      <w:pPr>
        <w:ind w:left="5038" w:hanging="277"/>
      </w:pPr>
      <w:rPr>
        <w:rFonts w:hint="default"/>
      </w:rPr>
    </w:lvl>
    <w:lvl w:ilvl="6">
      <w:start w:val="0"/>
      <w:numFmt w:val="bullet"/>
      <w:lvlText w:val="•"/>
      <w:lvlJc w:val="left"/>
      <w:pPr>
        <w:ind w:left="5968" w:hanging="277"/>
      </w:pPr>
      <w:rPr>
        <w:rFonts w:hint="default"/>
      </w:rPr>
    </w:lvl>
    <w:lvl w:ilvl="7">
      <w:start w:val="0"/>
      <w:numFmt w:val="bullet"/>
      <w:lvlText w:val="•"/>
      <w:lvlJc w:val="left"/>
      <w:pPr>
        <w:ind w:left="6897" w:hanging="277"/>
      </w:pPr>
      <w:rPr>
        <w:rFonts w:hint="default"/>
      </w:rPr>
    </w:lvl>
    <w:lvl w:ilvl="8">
      <w:start w:val="0"/>
      <w:numFmt w:val="bullet"/>
      <w:lvlText w:val="•"/>
      <w:lvlJc w:val="left"/>
      <w:pPr>
        <w:ind w:left="7827" w:hanging="277"/>
      </w:pPr>
      <w:rPr>
        <w:rFonts w:hint="default"/>
      </w:rPr>
    </w:lvl>
  </w:abstractNum>
  <w:abstractNum w:abstractNumId="101">
    <w:multiLevelType w:val="hybridMultilevel"/>
    <w:lvl w:ilvl="0">
      <w:start w:val="1"/>
      <w:numFmt w:val="decimal"/>
      <w:lvlText w:val="%1."/>
      <w:lvlJc w:val="left"/>
      <w:pPr>
        <w:ind w:left="120" w:hanging="58"/>
        <w:jc w:val="left"/>
      </w:pPr>
      <w:rPr>
        <w:rFonts w:hint="default" w:ascii="Times New Roman" w:hAnsi="Times New Roman" w:eastAsia="Times New Roman" w:cs="Times New Roman"/>
        <w:spacing w:val="-17"/>
        <w:w w:val="100"/>
        <w:sz w:val="22"/>
        <w:szCs w:val="22"/>
        <w:u w:val="single" w:color="000000"/>
      </w:rPr>
    </w:lvl>
    <w:lvl w:ilvl="1">
      <w:start w:val="0"/>
      <w:numFmt w:val="bullet"/>
      <w:lvlText w:val="•"/>
      <w:lvlJc w:val="left"/>
      <w:pPr>
        <w:ind w:left="990" w:hanging="58"/>
      </w:pPr>
      <w:rPr>
        <w:rFonts w:hint="default"/>
      </w:rPr>
    </w:lvl>
    <w:lvl w:ilvl="2">
      <w:start w:val="0"/>
      <w:numFmt w:val="bullet"/>
      <w:lvlText w:val="•"/>
      <w:lvlJc w:val="left"/>
      <w:pPr>
        <w:ind w:left="1861" w:hanging="58"/>
      </w:pPr>
      <w:rPr>
        <w:rFonts w:hint="default"/>
      </w:rPr>
    </w:lvl>
    <w:lvl w:ilvl="3">
      <w:start w:val="0"/>
      <w:numFmt w:val="bullet"/>
      <w:lvlText w:val="•"/>
      <w:lvlJc w:val="left"/>
      <w:pPr>
        <w:ind w:left="2732" w:hanging="58"/>
      </w:pPr>
      <w:rPr>
        <w:rFonts w:hint="default"/>
      </w:rPr>
    </w:lvl>
    <w:lvl w:ilvl="4">
      <w:start w:val="0"/>
      <w:numFmt w:val="bullet"/>
      <w:lvlText w:val="•"/>
      <w:lvlJc w:val="left"/>
      <w:pPr>
        <w:ind w:left="3602" w:hanging="58"/>
      </w:pPr>
      <w:rPr>
        <w:rFonts w:hint="default"/>
      </w:rPr>
    </w:lvl>
    <w:lvl w:ilvl="5">
      <w:start w:val="0"/>
      <w:numFmt w:val="bullet"/>
      <w:lvlText w:val="•"/>
      <w:lvlJc w:val="left"/>
      <w:pPr>
        <w:ind w:left="4473" w:hanging="58"/>
      </w:pPr>
      <w:rPr>
        <w:rFonts w:hint="default"/>
      </w:rPr>
    </w:lvl>
    <w:lvl w:ilvl="6">
      <w:start w:val="0"/>
      <w:numFmt w:val="bullet"/>
      <w:lvlText w:val="•"/>
      <w:lvlJc w:val="left"/>
      <w:pPr>
        <w:ind w:left="5344" w:hanging="58"/>
      </w:pPr>
      <w:rPr>
        <w:rFonts w:hint="default"/>
      </w:rPr>
    </w:lvl>
    <w:lvl w:ilvl="7">
      <w:start w:val="0"/>
      <w:numFmt w:val="bullet"/>
      <w:lvlText w:val="•"/>
      <w:lvlJc w:val="left"/>
      <w:pPr>
        <w:ind w:left="6215" w:hanging="58"/>
      </w:pPr>
      <w:rPr>
        <w:rFonts w:hint="default"/>
      </w:rPr>
    </w:lvl>
    <w:lvl w:ilvl="8">
      <w:start w:val="0"/>
      <w:numFmt w:val="bullet"/>
      <w:lvlText w:val="•"/>
      <w:lvlJc w:val="left"/>
      <w:pPr>
        <w:ind w:left="7085" w:hanging="58"/>
      </w:pPr>
      <w:rPr>
        <w:rFonts w:hint="default"/>
      </w:rPr>
    </w:lvl>
  </w:abstractNum>
  <w:abstractNum w:abstractNumId="100">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99">
    <w:multiLevelType w:val="hybridMultilevel"/>
    <w:lvl w:ilvl="0">
      <w:start w:val="1"/>
      <w:numFmt w:val="decimal"/>
      <w:lvlText w:val="%1)"/>
      <w:lvlJc w:val="left"/>
      <w:pPr>
        <w:ind w:left="1328" w:hanging="308"/>
        <w:jc w:val="left"/>
      </w:pPr>
      <w:rPr>
        <w:rFonts w:hint="default" w:ascii="Times New Roman" w:hAnsi="Times New Roman" w:eastAsia="Times New Roman" w:cs="Times New Roman"/>
        <w:spacing w:val="-15"/>
        <w:w w:val="100"/>
        <w:sz w:val="24"/>
        <w:szCs w:val="24"/>
      </w:rPr>
    </w:lvl>
    <w:lvl w:ilvl="1">
      <w:start w:val="0"/>
      <w:numFmt w:val="bullet"/>
      <w:lvlText w:val="•"/>
      <w:lvlJc w:val="left"/>
      <w:pPr>
        <w:ind w:left="2156" w:hanging="308"/>
      </w:pPr>
      <w:rPr>
        <w:rFonts w:hint="default"/>
      </w:rPr>
    </w:lvl>
    <w:lvl w:ilvl="2">
      <w:start w:val="0"/>
      <w:numFmt w:val="bullet"/>
      <w:lvlText w:val="•"/>
      <w:lvlJc w:val="left"/>
      <w:pPr>
        <w:ind w:left="2993" w:hanging="308"/>
      </w:pPr>
      <w:rPr>
        <w:rFonts w:hint="default"/>
      </w:rPr>
    </w:lvl>
    <w:lvl w:ilvl="3">
      <w:start w:val="0"/>
      <w:numFmt w:val="bullet"/>
      <w:lvlText w:val="•"/>
      <w:lvlJc w:val="left"/>
      <w:pPr>
        <w:ind w:left="3829" w:hanging="308"/>
      </w:pPr>
      <w:rPr>
        <w:rFonts w:hint="default"/>
      </w:rPr>
    </w:lvl>
    <w:lvl w:ilvl="4">
      <w:start w:val="0"/>
      <w:numFmt w:val="bullet"/>
      <w:lvlText w:val="•"/>
      <w:lvlJc w:val="left"/>
      <w:pPr>
        <w:ind w:left="4666" w:hanging="308"/>
      </w:pPr>
      <w:rPr>
        <w:rFonts w:hint="default"/>
      </w:rPr>
    </w:lvl>
    <w:lvl w:ilvl="5">
      <w:start w:val="0"/>
      <w:numFmt w:val="bullet"/>
      <w:lvlText w:val="•"/>
      <w:lvlJc w:val="left"/>
      <w:pPr>
        <w:ind w:left="5503" w:hanging="308"/>
      </w:pPr>
      <w:rPr>
        <w:rFonts w:hint="default"/>
      </w:rPr>
    </w:lvl>
    <w:lvl w:ilvl="6">
      <w:start w:val="0"/>
      <w:numFmt w:val="bullet"/>
      <w:lvlText w:val="•"/>
      <w:lvlJc w:val="left"/>
      <w:pPr>
        <w:ind w:left="6339" w:hanging="308"/>
      </w:pPr>
      <w:rPr>
        <w:rFonts w:hint="default"/>
      </w:rPr>
    </w:lvl>
    <w:lvl w:ilvl="7">
      <w:start w:val="0"/>
      <w:numFmt w:val="bullet"/>
      <w:lvlText w:val="•"/>
      <w:lvlJc w:val="left"/>
      <w:pPr>
        <w:ind w:left="7176" w:hanging="308"/>
      </w:pPr>
      <w:rPr>
        <w:rFonts w:hint="default"/>
      </w:rPr>
    </w:lvl>
    <w:lvl w:ilvl="8">
      <w:start w:val="0"/>
      <w:numFmt w:val="bullet"/>
      <w:lvlText w:val="•"/>
      <w:lvlJc w:val="left"/>
      <w:pPr>
        <w:ind w:left="8013" w:hanging="308"/>
      </w:pPr>
      <w:rPr>
        <w:rFonts w:hint="default"/>
      </w:rPr>
    </w:lvl>
  </w:abstractNum>
  <w:abstractNum w:abstractNumId="98">
    <w:multiLevelType w:val="hybridMultilevel"/>
    <w:lvl w:ilvl="0">
      <w:start w:val="1"/>
      <w:numFmt w:val="decimal"/>
      <w:lvlText w:val="%1)"/>
      <w:lvlJc w:val="left"/>
      <w:pPr>
        <w:ind w:left="980" w:hanging="360"/>
        <w:jc w:val="left"/>
      </w:pPr>
      <w:rPr>
        <w:rFonts w:hint="default" w:ascii="Times New Roman" w:hAnsi="Times New Roman" w:eastAsia="Times New Roman" w:cs="Times New Roman"/>
        <w:spacing w:val="-29"/>
        <w:w w:val="100"/>
        <w:sz w:val="24"/>
        <w:szCs w:val="24"/>
      </w:rPr>
    </w:lvl>
    <w:lvl w:ilvl="1">
      <w:start w:val="1"/>
      <w:numFmt w:val="upperRoman"/>
      <w:lvlText w:val="%2."/>
      <w:lvlJc w:val="left"/>
      <w:pPr>
        <w:ind w:left="260" w:hanging="238"/>
        <w:jc w:val="left"/>
      </w:pPr>
      <w:rPr>
        <w:rFonts w:hint="default" w:ascii="Times New Roman" w:hAnsi="Times New Roman" w:eastAsia="Times New Roman" w:cs="Times New Roman"/>
        <w:b/>
        <w:bCs/>
        <w:i/>
        <w:w w:val="100"/>
        <w:sz w:val="24"/>
        <w:szCs w:val="24"/>
      </w:rPr>
    </w:lvl>
    <w:lvl w:ilvl="2">
      <w:start w:val="5"/>
      <w:numFmt w:val="upperRoman"/>
      <w:lvlText w:val="%3."/>
      <w:lvlJc w:val="left"/>
      <w:pPr>
        <w:ind w:left="4713" w:hanging="341"/>
        <w:jc w:val="right"/>
      </w:pPr>
      <w:rPr>
        <w:rFonts w:hint="default" w:ascii="Times New Roman" w:hAnsi="Times New Roman" w:eastAsia="Times New Roman" w:cs="Times New Roman"/>
        <w:b/>
        <w:bCs/>
        <w:color w:val="4472C3"/>
        <w:w w:val="100"/>
        <w:sz w:val="28"/>
        <w:szCs w:val="28"/>
      </w:rPr>
    </w:lvl>
    <w:lvl w:ilvl="3">
      <w:start w:val="0"/>
      <w:numFmt w:val="bullet"/>
      <w:lvlText w:val="•"/>
      <w:lvlJc w:val="left"/>
      <w:pPr>
        <w:ind w:left="5340" w:hanging="341"/>
      </w:pPr>
      <w:rPr>
        <w:rFonts w:hint="default"/>
      </w:rPr>
    </w:lvl>
    <w:lvl w:ilvl="4">
      <w:start w:val="0"/>
      <w:numFmt w:val="bullet"/>
      <w:lvlText w:val="•"/>
      <w:lvlJc w:val="left"/>
      <w:pPr>
        <w:ind w:left="5961" w:hanging="341"/>
      </w:pPr>
      <w:rPr>
        <w:rFonts w:hint="default"/>
      </w:rPr>
    </w:lvl>
    <w:lvl w:ilvl="5">
      <w:start w:val="0"/>
      <w:numFmt w:val="bullet"/>
      <w:lvlText w:val="•"/>
      <w:lvlJc w:val="left"/>
      <w:pPr>
        <w:ind w:left="6582" w:hanging="341"/>
      </w:pPr>
      <w:rPr>
        <w:rFonts w:hint="default"/>
      </w:rPr>
    </w:lvl>
    <w:lvl w:ilvl="6">
      <w:start w:val="0"/>
      <w:numFmt w:val="bullet"/>
      <w:lvlText w:val="•"/>
      <w:lvlJc w:val="left"/>
      <w:pPr>
        <w:ind w:left="7203" w:hanging="341"/>
      </w:pPr>
      <w:rPr>
        <w:rFonts w:hint="default"/>
      </w:rPr>
    </w:lvl>
    <w:lvl w:ilvl="7">
      <w:start w:val="0"/>
      <w:numFmt w:val="bullet"/>
      <w:lvlText w:val="•"/>
      <w:lvlJc w:val="left"/>
      <w:pPr>
        <w:ind w:left="7824" w:hanging="341"/>
      </w:pPr>
      <w:rPr>
        <w:rFonts w:hint="default"/>
      </w:rPr>
    </w:lvl>
    <w:lvl w:ilvl="8">
      <w:start w:val="0"/>
      <w:numFmt w:val="bullet"/>
      <w:lvlText w:val="•"/>
      <w:lvlJc w:val="left"/>
      <w:pPr>
        <w:ind w:left="8444" w:hanging="341"/>
      </w:pPr>
      <w:rPr>
        <w:rFonts w:hint="default"/>
      </w:rPr>
    </w:lvl>
  </w:abstractNum>
  <w:abstractNum w:abstractNumId="97">
    <w:multiLevelType w:val="hybridMultilevel"/>
    <w:lvl w:ilvl="0">
      <w:start w:val="1"/>
      <w:numFmt w:val="decimal"/>
      <w:lvlText w:val="%1)"/>
      <w:lvlJc w:val="left"/>
      <w:pPr>
        <w:ind w:left="1752" w:hanging="425"/>
        <w:jc w:val="right"/>
      </w:pPr>
      <w:rPr>
        <w:rFonts w:hint="default" w:ascii="Times New Roman" w:hAnsi="Times New Roman" w:eastAsia="Times New Roman" w:cs="Times New Roman"/>
        <w:spacing w:val="-29"/>
        <w:w w:val="100"/>
        <w:sz w:val="24"/>
        <w:szCs w:val="24"/>
      </w:rPr>
    </w:lvl>
    <w:lvl w:ilvl="1">
      <w:start w:val="0"/>
      <w:numFmt w:val="bullet"/>
      <w:lvlText w:val="•"/>
      <w:lvlJc w:val="left"/>
      <w:pPr>
        <w:ind w:left="2552" w:hanging="425"/>
      </w:pPr>
      <w:rPr>
        <w:rFonts w:hint="default"/>
      </w:rPr>
    </w:lvl>
    <w:lvl w:ilvl="2">
      <w:start w:val="0"/>
      <w:numFmt w:val="bullet"/>
      <w:lvlText w:val="•"/>
      <w:lvlJc w:val="left"/>
      <w:pPr>
        <w:ind w:left="3345" w:hanging="425"/>
      </w:pPr>
      <w:rPr>
        <w:rFonts w:hint="default"/>
      </w:rPr>
    </w:lvl>
    <w:lvl w:ilvl="3">
      <w:start w:val="0"/>
      <w:numFmt w:val="bullet"/>
      <w:lvlText w:val="•"/>
      <w:lvlJc w:val="left"/>
      <w:pPr>
        <w:ind w:left="4137" w:hanging="425"/>
      </w:pPr>
      <w:rPr>
        <w:rFonts w:hint="default"/>
      </w:rPr>
    </w:lvl>
    <w:lvl w:ilvl="4">
      <w:start w:val="0"/>
      <w:numFmt w:val="bullet"/>
      <w:lvlText w:val="•"/>
      <w:lvlJc w:val="left"/>
      <w:pPr>
        <w:ind w:left="4930" w:hanging="425"/>
      </w:pPr>
      <w:rPr>
        <w:rFonts w:hint="default"/>
      </w:rPr>
    </w:lvl>
    <w:lvl w:ilvl="5">
      <w:start w:val="0"/>
      <w:numFmt w:val="bullet"/>
      <w:lvlText w:val="•"/>
      <w:lvlJc w:val="left"/>
      <w:pPr>
        <w:ind w:left="5723" w:hanging="425"/>
      </w:pPr>
      <w:rPr>
        <w:rFonts w:hint="default"/>
      </w:rPr>
    </w:lvl>
    <w:lvl w:ilvl="6">
      <w:start w:val="0"/>
      <w:numFmt w:val="bullet"/>
      <w:lvlText w:val="•"/>
      <w:lvlJc w:val="left"/>
      <w:pPr>
        <w:ind w:left="6515" w:hanging="425"/>
      </w:pPr>
      <w:rPr>
        <w:rFonts w:hint="default"/>
      </w:rPr>
    </w:lvl>
    <w:lvl w:ilvl="7">
      <w:start w:val="0"/>
      <w:numFmt w:val="bullet"/>
      <w:lvlText w:val="•"/>
      <w:lvlJc w:val="left"/>
      <w:pPr>
        <w:ind w:left="7308" w:hanging="425"/>
      </w:pPr>
      <w:rPr>
        <w:rFonts w:hint="default"/>
      </w:rPr>
    </w:lvl>
    <w:lvl w:ilvl="8">
      <w:start w:val="0"/>
      <w:numFmt w:val="bullet"/>
      <w:lvlText w:val="•"/>
      <w:lvlJc w:val="left"/>
      <w:pPr>
        <w:ind w:left="8101" w:hanging="425"/>
      </w:pPr>
      <w:rPr>
        <w:rFonts w:hint="default"/>
      </w:rPr>
    </w:lvl>
  </w:abstractNum>
  <w:abstractNum w:abstractNumId="96">
    <w:multiLevelType w:val="hybridMultilevel"/>
    <w:lvl w:ilvl="0">
      <w:start w:val="1"/>
      <w:numFmt w:val="decimal"/>
      <w:lvlText w:val="%1)"/>
      <w:lvlJc w:val="left"/>
      <w:pPr>
        <w:ind w:left="620" w:hanging="277"/>
        <w:jc w:val="right"/>
      </w:pPr>
      <w:rPr>
        <w:rFonts w:hint="default" w:ascii="Times New Roman" w:hAnsi="Times New Roman" w:eastAsia="Times New Roman" w:cs="Times New Roman"/>
        <w:w w:val="100"/>
        <w:sz w:val="24"/>
        <w:szCs w:val="24"/>
      </w:rPr>
    </w:lvl>
    <w:lvl w:ilvl="1">
      <w:start w:val="0"/>
      <w:numFmt w:val="bullet"/>
      <w:lvlText w:val="•"/>
      <w:lvlJc w:val="left"/>
      <w:pPr>
        <w:ind w:left="1526" w:hanging="277"/>
      </w:pPr>
      <w:rPr>
        <w:rFonts w:hint="default"/>
      </w:rPr>
    </w:lvl>
    <w:lvl w:ilvl="2">
      <w:start w:val="0"/>
      <w:numFmt w:val="bullet"/>
      <w:lvlText w:val="•"/>
      <w:lvlJc w:val="left"/>
      <w:pPr>
        <w:ind w:left="2433" w:hanging="277"/>
      </w:pPr>
      <w:rPr>
        <w:rFonts w:hint="default"/>
      </w:rPr>
    </w:lvl>
    <w:lvl w:ilvl="3">
      <w:start w:val="0"/>
      <w:numFmt w:val="bullet"/>
      <w:lvlText w:val="•"/>
      <w:lvlJc w:val="left"/>
      <w:pPr>
        <w:ind w:left="3339" w:hanging="277"/>
      </w:pPr>
      <w:rPr>
        <w:rFonts w:hint="default"/>
      </w:rPr>
    </w:lvl>
    <w:lvl w:ilvl="4">
      <w:start w:val="0"/>
      <w:numFmt w:val="bullet"/>
      <w:lvlText w:val="•"/>
      <w:lvlJc w:val="left"/>
      <w:pPr>
        <w:ind w:left="4246" w:hanging="277"/>
      </w:pPr>
      <w:rPr>
        <w:rFonts w:hint="default"/>
      </w:rPr>
    </w:lvl>
    <w:lvl w:ilvl="5">
      <w:start w:val="0"/>
      <w:numFmt w:val="bullet"/>
      <w:lvlText w:val="•"/>
      <w:lvlJc w:val="left"/>
      <w:pPr>
        <w:ind w:left="5153" w:hanging="277"/>
      </w:pPr>
      <w:rPr>
        <w:rFonts w:hint="default"/>
      </w:rPr>
    </w:lvl>
    <w:lvl w:ilvl="6">
      <w:start w:val="0"/>
      <w:numFmt w:val="bullet"/>
      <w:lvlText w:val="•"/>
      <w:lvlJc w:val="left"/>
      <w:pPr>
        <w:ind w:left="6059" w:hanging="277"/>
      </w:pPr>
      <w:rPr>
        <w:rFonts w:hint="default"/>
      </w:rPr>
    </w:lvl>
    <w:lvl w:ilvl="7">
      <w:start w:val="0"/>
      <w:numFmt w:val="bullet"/>
      <w:lvlText w:val="•"/>
      <w:lvlJc w:val="left"/>
      <w:pPr>
        <w:ind w:left="6966" w:hanging="277"/>
      </w:pPr>
      <w:rPr>
        <w:rFonts w:hint="default"/>
      </w:rPr>
    </w:lvl>
    <w:lvl w:ilvl="8">
      <w:start w:val="0"/>
      <w:numFmt w:val="bullet"/>
      <w:lvlText w:val="•"/>
      <w:lvlJc w:val="left"/>
      <w:pPr>
        <w:ind w:left="7873" w:hanging="277"/>
      </w:pPr>
      <w:rPr>
        <w:rFonts w:hint="default"/>
      </w:rPr>
    </w:lvl>
  </w:abstractNum>
  <w:abstractNum w:abstractNumId="95">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9"/>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94">
    <w:multiLevelType w:val="hybridMultilevel"/>
    <w:lvl w:ilvl="0">
      <w:start w:val="1"/>
      <w:numFmt w:val="decimal"/>
      <w:lvlText w:val="%1)"/>
      <w:lvlJc w:val="left"/>
      <w:pPr>
        <w:ind w:left="1896" w:hanging="570"/>
        <w:jc w:val="right"/>
      </w:pPr>
      <w:rPr>
        <w:rFonts w:hint="default" w:ascii="Times New Roman" w:hAnsi="Times New Roman" w:eastAsia="Times New Roman" w:cs="Times New Roman"/>
        <w:spacing w:val="-22"/>
        <w:w w:val="100"/>
        <w:sz w:val="24"/>
        <w:szCs w:val="24"/>
      </w:rPr>
    </w:lvl>
    <w:lvl w:ilvl="1">
      <w:start w:val="1"/>
      <w:numFmt w:val="lowerLetter"/>
      <w:lvlText w:val="(%2)"/>
      <w:lvlJc w:val="left"/>
      <w:pPr>
        <w:ind w:left="1961" w:hanging="569"/>
        <w:jc w:val="left"/>
      </w:pPr>
      <w:rPr>
        <w:rFonts w:hint="default" w:ascii="Times New Roman" w:hAnsi="Times New Roman" w:eastAsia="Times New Roman" w:cs="Times New Roman"/>
        <w:spacing w:val="-27"/>
        <w:w w:val="100"/>
        <w:sz w:val="24"/>
        <w:szCs w:val="24"/>
      </w:rPr>
    </w:lvl>
    <w:lvl w:ilvl="2">
      <w:start w:val="0"/>
      <w:numFmt w:val="bullet"/>
      <w:lvlText w:val="•"/>
      <w:lvlJc w:val="left"/>
      <w:pPr>
        <w:ind w:left="2818" w:hanging="569"/>
      </w:pPr>
      <w:rPr>
        <w:rFonts w:hint="default"/>
      </w:rPr>
    </w:lvl>
    <w:lvl w:ilvl="3">
      <w:start w:val="0"/>
      <w:numFmt w:val="bullet"/>
      <w:lvlText w:val="•"/>
      <w:lvlJc w:val="left"/>
      <w:pPr>
        <w:ind w:left="3676" w:hanging="569"/>
      </w:pPr>
      <w:rPr>
        <w:rFonts w:hint="default"/>
      </w:rPr>
    </w:lvl>
    <w:lvl w:ilvl="4">
      <w:start w:val="0"/>
      <w:numFmt w:val="bullet"/>
      <w:lvlText w:val="•"/>
      <w:lvlJc w:val="left"/>
      <w:pPr>
        <w:ind w:left="4535" w:hanging="569"/>
      </w:pPr>
      <w:rPr>
        <w:rFonts w:hint="default"/>
      </w:rPr>
    </w:lvl>
    <w:lvl w:ilvl="5">
      <w:start w:val="0"/>
      <w:numFmt w:val="bullet"/>
      <w:lvlText w:val="•"/>
      <w:lvlJc w:val="left"/>
      <w:pPr>
        <w:ind w:left="5393" w:hanging="569"/>
      </w:pPr>
      <w:rPr>
        <w:rFonts w:hint="default"/>
      </w:rPr>
    </w:lvl>
    <w:lvl w:ilvl="6">
      <w:start w:val="0"/>
      <w:numFmt w:val="bullet"/>
      <w:lvlText w:val="•"/>
      <w:lvlJc w:val="left"/>
      <w:pPr>
        <w:ind w:left="6252" w:hanging="569"/>
      </w:pPr>
      <w:rPr>
        <w:rFonts w:hint="default"/>
      </w:rPr>
    </w:lvl>
    <w:lvl w:ilvl="7">
      <w:start w:val="0"/>
      <w:numFmt w:val="bullet"/>
      <w:lvlText w:val="•"/>
      <w:lvlJc w:val="left"/>
      <w:pPr>
        <w:ind w:left="7110" w:hanging="569"/>
      </w:pPr>
      <w:rPr>
        <w:rFonts w:hint="default"/>
      </w:rPr>
    </w:lvl>
    <w:lvl w:ilvl="8">
      <w:start w:val="0"/>
      <w:numFmt w:val="bullet"/>
      <w:lvlText w:val="•"/>
      <w:lvlJc w:val="left"/>
      <w:pPr>
        <w:ind w:left="7969" w:hanging="569"/>
      </w:pPr>
      <w:rPr>
        <w:rFonts w:hint="default"/>
      </w:rPr>
    </w:lvl>
  </w:abstractNum>
  <w:abstractNum w:abstractNumId="93">
    <w:multiLevelType w:val="hybridMultilevel"/>
    <w:lvl w:ilvl="0">
      <w:start w:val="1"/>
      <w:numFmt w:val="decimal"/>
      <w:lvlText w:val="%1."/>
      <w:lvlJc w:val="left"/>
      <w:pPr>
        <w:ind w:left="826" w:hanging="567"/>
        <w:jc w:val="left"/>
      </w:pPr>
      <w:rPr>
        <w:rFonts w:hint="default" w:ascii="Times New Roman" w:hAnsi="Times New Roman" w:eastAsia="Times New Roman" w:cs="Times New Roman"/>
        <w:spacing w:val="-12"/>
        <w:w w:val="100"/>
        <w:sz w:val="24"/>
        <w:szCs w:val="24"/>
      </w:rPr>
    </w:lvl>
    <w:lvl w:ilvl="1">
      <w:start w:val="1"/>
      <w:numFmt w:val="decimal"/>
      <w:lvlText w:val="%1.%2."/>
      <w:lvlJc w:val="left"/>
      <w:pPr>
        <w:ind w:left="1341" w:hanging="362"/>
        <w:jc w:val="right"/>
      </w:pPr>
      <w:rPr>
        <w:rFonts w:hint="default" w:ascii="Times New Roman" w:hAnsi="Times New Roman" w:eastAsia="Times New Roman" w:cs="Times New Roman"/>
        <w:b/>
        <w:bCs/>
        <w:i/>
        <w:w w:val="100"/>
        <w:sz w:val="22"/>
        <w:szCs w:val="22"/>
      </w:rPr>
    </w:lvl>
    <w:lvl w:ilvl="2">
      <w:start w:val="1"/>
      <w:numFmt w:val="upperLetter"/>
      <w:lvlText w:val="%3."/>
      <w:lvlJc w:val="left"/>
      <w:pPr>
        <w:ind w:left="620" w:hanging="305"/>
        <w:jc w:val="right"/>
      </w:pPr>
      <w:rPr>
        <w:rFonts w:hint="default" w:ascii="Times New Roman" w:hAnsi="Times New Roman" w:eastAsia="Times New Roman" w:cs="Times New Roman"/>
        <w:b/>
        <w:bCs/>
        <w:i/>
        <w:w w:val="100"/>
        <w:sz w:val="24"/>
        <w:szCs w:val="24"/>
      </w:rPr>
    </w:lvl>
    <w:lvl w:ilvl="3">
      <w:start w:val="1"/>
      <w:numFmt w:val="decimal"/>
      <w:lvlText w:val="%4)"/>
      <w:lvlJc w:val="left"/>
      <w:pPr>
        <w:ind w:left="1700" w:hanging="360"/>
        <w:jc w:val="left"/>
      </w:pPr>
      <w:rPr>
        <w:rFonts w:hint="default" w:ascii="Times New Roman" w:hAnsi="Times New Roman" w:eastAsia="Times New Roman" w:cs="Times New Roman"/>
        <w:spacing w:val="-29"/>
        <w:w w:val="100"/>
        <w:sz w:val="24"/>
        <w:szCs w:val="24"/>
      </w:rPr>
    </w:lvl>
    <w:lvl w:ilvl="4">
      <w:start w:val="0"/>
      <w:numFmt w:val="bullet"/>
      <w:lvlText w:val="•"/>
      <w:lvlJc w:val="left"/>
      <w:pPr>
        <w:ind w:left="4700" w:hanging="360"/>
      </w:pPr>
      <w:rPr>
        <w:rFonts w:hint="default"/>
      </w:rPr>
    </w:lvl>
    <w:lvl w:ilvl="5">
      <w:start w:val="0"/>
      <w:numFmt w:val="bullet"/>
      <w:lvlText w:val="•"/>
      <w:lvlJc w:val="left"/>
      <w:pPr>
        <w:ind w:left="5531" w:hanging="360"/>
      </w:pPr>
      <w:rPr>
        <w:rFonts w:hint="default"/>
      </w:rPr>
    </w:lvl>
    <w:lvl w:ilvl="6">
      <w:start w:val="0"/>
      <w:numFmt w:val="bullet"/>
      <w:lvlText w:val="•"/>
      <w:lvlJc w:val="left"/>
      <w:pPr>
        <w:ind w:left="6362" w:hanging="360"/>
      </w:pPr>
      <w:rPr>
        <w:rFonts w:hint="default"/>
      </w:rPr>
    </w:lvl>
    <w:lvl w:ilvl="7">
      <w:start w:val="0"/>
      <w:numFmt w:val="bullet"/>
      <w:lvlText w:val="•"/>
      <w:lvlJc w:val="left"/>
      <w:pPr>
        <w:ind w:left="7193" w:hanging="360"/>
      </w:pPr>
      <w:rPr>
        <w:rFonts w:hint="default"/>
      </w:rPr>
    </w:lvl>
    <w:lvl w:ilvl="8">
      <w:start w:val="0"/>
      <w:numFmt w:val="bullet"/>
      <w:lvlText w:val="•"/>
      <w:lvlJc w:val="left"/>
      <w:pPr>
        <w:ind w:left="8024" w:hanging="360"/>
      </w:pPr>
      <w:rPr>
        <w:rFonts w:hint="default"/>
      </w:rPr>
    </w:lvl>
  </w:abstractNum>
  <w:abstractNum w:abstractNumId="92">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spacing w:val="-4"/>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91">
    <w:multiLevelType w:val="hybridMultilevel"/>
    <w:lvl w:ilvl="0">
      <w:start w:val="1"/>
      <w:numFmt w:val="decimal"/>
      <w:lvlText w:val="%1."/>
      <w:lvlJc w:val="left"/>
      <w:pPr>
        <w:ind w:left="687" w:hanging="360"/>
        <w:jc w:val="right"/>
      </w:pPr>
      <w:rPr>
        <w:rFonts w:hint="default" w:ascii="Times New Roman" w:hAnsi="Times New Roman" w:eastAsia="Times New Roman" w:cs="Times New Roman"/>
        <w:spacing w:val="-3"/>
        <w:w w:val="100"/>
        <w:sz w:val="24"/>
        <w:szCs w:val="24"/>
      </w:rPr>
    </w:lvl>
    <w:lvl w:ilvl="1">
      <w:start w:val="1"/>
      <w:numFmt w:val="decimal"/>
      <w:lvlText w:val="%1.%2."/>
      <w:lvlJc w:val="left"/>
      <w:pPr>
        <w:ind w:left="1700" w:hanging="732"/>
        <w:jc w:val="left"/>
      </w:pPr>
      <w:rPr>
        <w:rFonts w:hint="default" w:ascii="Times New Roman" w:hAnsi="Times New Roman" w:eastAsia="Times New Roman" w:cs="Times New Roman"/>
        <w:spacing w:val="-4"/>
        <w:w w:val="100"/>
        <w:sz w:val="24"/>
        <w:szCs w:val="24"/>
      </w:rPr>
    </w:lvl>
    <w:lvl w:ilvl="2">
      <w:start w:val="0"/>
      <w:numFmt w:val="bullet"/>
      <w:lvlText w:val="•"/>
      <w:lvlJc w:val="left"/>
      <w:pPr>
        <w:ind w:left="2060" w:hanging="732"/>
      </w:pPr>
      <w:rPr>
        <w:rFonts w:hint="default"/>
      </w:rPr>
    </w:lvl>
    <w:lvl w:ilvl="3">
      <w:start w:val="0"/>
      <w:numFmt w:val="bullet"/>
      <w:lvlText w:val="•"/>
      <w:lvlJc w:val="left"/>
      <w:pPr>
        <w:ind w:left="3013" w:hanging="732"/>
      </w:pPr>
      <w:rPr>
        <w:rFonts w:hint="default"/>
      </w:rPr>
    </w:lvl>
    <w:lvl w:ilvl="4">
      <w:start w:val="0"/>
      <w:numFmt w:val="bullet"/>
      <w:lvlText w:val="•"/>
      <w:lvlJc w:val="left"/>
      <w:pPr>
        <w:ind w:left="3966" w:hanging="732"/>
      </w:pPr>
      <w:rPr>
        <w:rFonts w:hint="default"/>
      </w:rPr>
    </w:lvl>
    <w:lvl w:ilvl="5">
      <w:start w:val="0"/>
      <w:numFmt w:val="bullet"/>
      <w:lvlText w:val="•"/>
      <w:lvlJc w:val="left"/>
      <w:pPr>
        <w:ind w:left="4919" w:hanging="732"/>
      </w:pPr>
      <w:rPr>
        <w:rFonts w:hint="default"/>
      </w:rPr>
    </w:lvl>
    <w:lvl w:ilvl="6">
      <w:start w:val="0"/>
      <w:numFmt w:val="bullet"/>
      <w:lvlText w:val="•"/>
      <w:lvlJc w:val="left"/>
      <w:pPr>
        <w:ind w:left="5873" w:hanging="732"/>
      </w:pPr>
      <w:rPr>
        <w:rFonts w:hint="default"/>
      </w:rPr>
    </w:lvl>
    <w:lvl w:ilvl="7">
      <w:start w:val="0"/>
      <w:numFmt w:val="bullet"/>
      <w:lvlText w:val="•"/>
      <w:lvlJc w:val="left"/>
      <w:pPr>
        <w:ind w:left="6826" w:hanging="732"/>
      </w:pPr>
      <w:rPr>
        <w:rFonts w:hint="default"/>
      </w:rPr>
    </w:lvl>
    <w:lvl w:ilvl="8">
      <w:start w:val="0"/>
      <w:numFmt w:val="bullet"/>
      <w:lvlText w:val="•"/>
      <w:lvlJc w:val="left"/>
      <w:pPr>
        <w:ind w:left="7779" w:hanging="732"/>
      </w:pPr>
      <w:rPr>
        <w:rFonts w:hint="default"/>
      </w:rPr>
    </w:lvl>
  </w:abstractNum>
  <w:abstractNum w:abstractNumId="90">
    <w:multiLevelType w:val="hybridMultilevel"/>
    <w:lvl w:ilvl="0">
      <w:start w:val="1"/>
      <w:numFmt w:val="decimal"/>
      <w:lvlText w:val="%1)"/>
      <w:lvlJc w:val="left"/>
      <w:pPr>
        <w:ind w:left="1614" w:hanging="287"/>
        <w:jc w:val="left"/>
      </w:pPr>
      <w:rPr>
        <w:rFonts w:hint="default" w:ascii="Times New Roman" w:hAnsi="Times New Roman" w:eastAsia="Times New Roman" w:cs="Times New Roman"/>
        <w:w w:val="100"/>
        <w:sz w:val="24"/>
        <w:szCs w:val="24"/>
      </w:rPr>
    </w:lvl>
    <w:lvl w:ilvl="1">
      <w:start w:val="0"/>
      <w:numFmt w:val="bullet"/>
      <w:lvlText w:val="•"/>
      <w:lvlJc w:val="left"/>
      <w:pPr>
        <w:ind w:left="2426" w:hanging="287"/>
      </w:pPr>
      <w:rPr>
        <w:rFonts w:hint="default"/>
      </w:rPr>
    </w:lvl>
    <w:lvl w:ilvl="2">
      <w:start w:val="0"/>
      <w:numFmt w:val="bullet"/>
      <w:lvlText w:val="•"/>
      <w:lvlJc w:val="left"/>
      <w:pPr>
        <w:ind w:left="3233" w:hanging="287"/>
      </w:pPr>
      <w:rPr>
        <w:rFonts w:hint="default"/>
      </w:rPr>
    </w:lvl>
    <w:lvl w:ilvl="3">
      <w:start w:val="0"/>
      <w:numFmt w:val="bullet"/>
      <w:lvlText w:val="•"/>
      <w:lvlJc w:val="left"/>
      <w:pPr>
        <w:ind w:left="4039" w:hanging="287"/>
      </w:pPr>
      <w:rPr>
        <w:rFonts w:hint="default"/>
      </w:rPr>
    </w:lvl>
    <w:lvl w:ilvl="4">
      <w:start w:val="0"/>
      <w:numFmt w:val="bullet"/>
      <w:lvlText w:val="•"/>
      <w:lvlJc w:val="left"/>
      <w:pPr>
        <w:ind w:left="4846" w:hanging="287"/>
      </w:pPr>
      <w:rPr>
        <w:rFonts w:hint="default"/>
      </w:rPr>
    </w:lvl>
    <w:lvl w:ilvl="5">
      <w:start w:val="0"/>
      <w:numFmt w:val="bullet"/>
      <w:lvlText w:val="•"/>
      <w:lvlJc w:val="left"/>
      <w:pPr>
        <w:ind w:left="5653" w:hanging="287"/>
      </w:pPr>
      <w:rPr>
        <w:rFonts w:hint="default"/>
      </w:rPr>
    </w:lvl>
    <w:lvl w:ilvl="6">
      <w:start w:val="0"/>
      <w:numFmt w:val="bullet"/>
      <w:lvlText w:val="•"/>
      <w:lvlJc w:val="left"/>
      <w:pPr>
        <w:ind w:left="6459" w:hanging="287"/>
      </w:pPr>
      <w:rPr>
        <w:rFonts w:hint="default"/>
      </w:rPr>
    </w:lvl>
    <w:lvl w:ilvl="7">
      <w:start w:val="0"/>
      <w:numFmt w:val="bullet"/>
      <w:lvlText w:val="•"/>
      <w:lvlJc w:val="left"/>
      <w:pPr>
        <w:ind w:left="7266" w:hanging="287"/>
      </w:pPr>
      <w:rPr>
        <w:rFonts w:hint="default"/>
      </w:rPr>
    </w:lvl>
    <w:lvl w:ilvl="8">
      <w:start w:val="0"/>
      <w:numFmt w:val="bullet"/>
      <w:lvlText w:val="•"/>
      <w:lvlJc w:val="left"/>
      <w:pPr>
        <w:ind w:left="8073" w:hanging="287"/>
      </w:pPr>
      <w:rPr>
        <w:rFonts w:hint="default"/>
      </w:rPr>
    </w:lvl>
  </w:abstractNum>
  <w:abstractNum w:abstractNumId="89">
    <w:multiLevelType w:val="hybridMultilevel"/>
    <w:lvl w:ilvl="0">
      <w:start w:val="1"/>
      <w:numFmt w:val="decimal"/>
      <w:lvlText w:val="%1)"/>
      <w:lvlJc w:val="left"/>
      <w:pPr>
        <w:ind w:left="1392" w:hanging="425"/>
        <w:jc w:val="left"/>
      </w:pPr>
      <w:rPr>
        <w:rFonts w:hint="default" w:ascii="Times New Roman" w:hAnsi="Times New Roman" w:eastAsia="Times New Roman" w:cs="Times New Roman"/>
        <w:spacing w:val="-16"/>
        <w:w w:val="100"/>
        <w:sz w:val="24"/>
        <w:szCs w:val="24"/>
      </w:rPr>
    </w:lvl>
    <w:lvl w:ilvl="1">
      <w:start w:val="1"/>
      <w:numFmt w:val="lowerLetter"/>
      <w:lvlText w:val="%2)"/>
      <w:lvlJc w:val="left"/>
      <w:pPr>
        <w:ind w:left="1678" w:hanging="286"/>
        <w:jc w:val="left"/>
      </w:pPr>
      <w:rPr>
        <w:rFonts w:hint="default" w:ascii="Times New Roman" w:hAnsi="Times New Roman" w:eastAsia="Times New Roman" w:cs="Times New Roman"/>
        <w:spacing w:val="-21"/>
        <w:w w:val="100"/>
        <w:sz w:val="24"/>
        <w:szCs w:val="24"/>
      </w:rPr>
    </w:lvl>
    <w:lvl w:ilvl="2">
      <w:start w:val="0"/>
      <w:numFmt w:val="bullet"/>
      <w:lvlText w:val="•"/>
      <w:lvlJc w:val="left"/>
      <w:pPr>
        <w:ind w:left="2569" w:hanging="286"/>
      </w:pPr>
      <w:rPr>
        <w:rFonts w:hint="default"/>
      </w:rPr>
    </w:lvl>
    <w:lvl w:ilvl="3">
      <w:start w:val="0"/>
      <w:numFmt w:val="bullet"/>
      <w:lvlText w:val="•"/>
      <w:lvlJc w:val="left"/>
      <w:pPr>
        <w:ind w:left="3459" w:hanging="286"/>
      </w:pPr>
      <w:rPr>
        <w:rFonts w:hint="default"/>
      </w:rPr>
    </w:lvl>
    <w:lvl w:ilvl="4">
      <w:start w:val="0"/>
      <w:numFmt w:val="bullet"/>
      <w:lvlText w:val="•"/>
      <w:lvlJc w:val="left"/>
      <w:pPr>
        <w:ind w:left="4348" w:hanging="286"/>
      </w:pPr>
      <w:rPr>
        <w:rFonts w:hint="default"/>
      </w:rPr>
    </w:lvl>
    <w:lvl w:ilvl="5">
      <w:start w:val="0"/>
      <w:numFmt w:val="bullet"/>
      <w:lvlText w:val="•"/>
      <w:lvlJc w:val="left"/>
      <w:pPr>
        <w:ind w:left="5238" w:hanging="286"/>
      </w:pPr>
      <w:rPr>
        <w:rFonts w:hint="default"/>
      </w:rPr>
    </w:lvl>
    <w:lvl w:ilvl="6">
      <w:start w:val="0"/>
      <w:numFmt w:val="bullet"/>
      <w:lvlText w:val="•"/>
      <w:lvlJc w:val="left"/>
      <w:pPr>
        <w:ind w:left="6128" w:hanging="286"/>
      </w:pPr>
      <w:rPr>
        <w:rFonts w:hint="default"/>
      </w:rPr>
    </w:lvl>
    <w:lvl w:ilvl="7">
      <w:start w:val="0"/>
      <w:numFmt w:val="bullet"/>
      <w:lvlText w:val="•"/>
      <w:lvlJc w:val="left"/>
      <w:pPr>
        <w:ind w:left="7017" w:hanging="286"/>
      </w:pPr>
      <w:rPr>
        <w:rFonts w:hint="default"/>
      </w:rPr>
    </w:lvl>
    <w:lvl w:ilvl="8">
      <w:start w:val="0"/>
      <w:numFmt w:val="bullet"/>
      <w:lvlText w:val="•"/>
      <w:lvlJc w:val="left"/>
      <w:pPr>
        <w:ind w:left="7907" w:hanging="286"/>
      </w:pPr>
      <w:rPr>
        <w:rFonts w:hint="default"/>
      </w:rPr>
    </w:lvl>
  </w:abstractNum>
  <w:abstractNum w:abstractNumId="88">
    <w:multiLevelType w:val="hybridMultilevel"/>
    <w:lvl w:ilvl="0">
      <w:start w:val="3"/>
      <w:numFmt w:val="decimal"/>
      <w:lvlText w:val="%1"/>
      <w:lvlJc w:val="left"/>
      <w:pPr>
        <w:ind w:left="1752" w:hanging="425"/>
        <w:jc w:val="left"/>
      </w:pPr>
      <w:rPr>
        <w:rFonts w:hint="default"/>
      </w:rPr>
    </w:lvl>
    <w:lvl w:ilvl="1">
      <w:start w:val="1"/>
      <w:numFmt w:val="decimal"/>
      <w:lvlText w:val="%1.%2."/>
      <w:lvlJc w:val="left"/>
      <w:pPr>
        <w:ind w:left="1752" w:hanging="425"/>
        <w:jc w:val="right"/>
      </w:pPr>
      <w:rPr>
        <w:rFonts w:hint="default" w:ascii="Times New Roman" w:hAnsi="Times New Roman" w:eastAsia="Times New Roman" w:cs="Times New Roman"/>
        <w:b/>
        <w:bCs/>
        <w:i/>
        <w:w w:val="100"/>
        <w:sz w:val="24"/>
        <w:szCs w:val="24"/>
      </w:rPr>
    </w:lvl>
    <w:lvl w:ilvl="2">
      <w:start w:val="0"/>
      <w:numFmt w:val="bullet"/>
      <w:lvlText w:val="•"/>
      <w:lvlJc w:val="left"/>
      <w:pPr>
        <w:ind w:left="3345" w:hanging="425"/>
      </w:pPr>
      <w:rPr>
        <w:rFonts w:hint="default"/>
      </w:rPr>
    </w:lvl>
    <w:lvl w:ilvl="3">
      <w:start w:val="0"/>
      <w:numFmt w:val="bullet"/>
      <w:lvlText w:val="•"/>
      <w:lvlJc w:val="left"/>
      <w:pPr>
        <w:ind w:left="4137" w:hanging="425"/>
      </w:pPr>
      <w:rPr>
        <w:rFonts w:hint="default"/>
      </w:rPr>
    </w:lvl>
    <w:lvl w:ilvl="4">
      <w:start w:val="0"/>
      <w:numFmt w:val="bullet"/>
      <w:lvlText w:val="•"/>
      <w:lvlJc w:val="left"/>
      <w:pPr>
        <w:ind w:left="4930" w:hanging="425"/>
      </w:pPr>
      <w:rPr>
        <w:rFonts w:hint="default"/>
      </w:rPr>
    </w:lvl>
    <w:lvl w:ilvl="5">
      <w:start w:val="0"/>
      <w:numFmt w:val="bullet"/>
      <w:lvlText w:val="•"/>
      <w:lvlJc w:val="left"/>
      <w:pPr>
        <w:ind w:left="5723" w:hanging="425"/>
      </w:pPr>
      <w:rPr>
        <w:rFonts w:hint="default"/>
      </w:rPr>
    </w:lvl>
    <w:lvl w:ilvl="6">
      <w:start w:val="0"/>
      <w:numFmt w:val="bullet"/>
      <w:lvlText w:val="•"/>
      <w:lvlJc w:val="left"/>
      <w:pPr>
        <w:ind w:left="6515" w:hanging="425"/>
      </w:pPr>
      <w:rPr>
        <w:rFonts w:hint="default"/>
      </w:rPr>
    </w:lvl>
    <w:lvl w:ilvl="7">
      <w:start w:val="0"/>
      <w:numFmt w:val="bullet"/>
      <w:lvlText w:val="•"/>
      <w:lvlJc w:val="left"/>
      <w:pPr>
        <w:ind w:left="7308" w:hanging="425"/>
      </w:pPr>
      <w:rPr>
        <w:rFonts w:hint="default"/>
      </w:rPr>
    </w:lvl>
    <w:lvl w:ilvl="8">
      <w:start w:val="0"/>
      <w:numFmt w:val="bullet"/>
      <w:lvlText w:val="•"/>
      <w:lvlJc w:val="left"/>
      <w:pPr>
        <w:ind w:left="8101" w:hanging="425"/>
      </w:pPr>
      <w:rPr>
        <w:rFonts w:hint="default"/>
      </w:rPr>
    </w:lvl>
  </w:abstractNum>
  <w:abstractNum w:abstractNumId="87">
    <w:multiLevelType w:val="hybridMultilevel"/>
    <w:lvl w:ilvl="0">
      <w:start w:val="1"/>
      <w:numFmt w:val="decimal"/>
      <w:lvlText w:val="%1)"/>
      <w:lvlJc w:val="left"/>
      <w:pPr>
        <w:ind w:left="980" w:hanging="360"/>
        <w:jc w:val="left"/>
      </w:pPr>
      <w:rPr>
        <w:rFonts w:hint="default" w:ascii="Times New Roman" w:hAnsi="Times New Roman" w:eastAsia="Times New Roman" w:cs="Times New Roman"/>
        <w:spacing w:val="-25"/>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86">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spacing w:val="-20"/>
        <w:w w:val="100"/>
        <w:sz w:val="24"/>
        <w:szCs w:val="24"/>
      </w:rPr>
    </w:lvl>
    <w:lvl w:ilvl="1">
      <w:start w:val="1"/>
      <w:numFmt w:val="lowerLetter"/>
      <w:lvlText w:val="%2)"/>
      <w:lvlJc w:val="left"/>
      <w:pPr>
        <w:ind w:left="1896" w:hanging="569"/>
        <w:jc w:val="left"/>
      </w:pPr>
      <w:rPr>
        <w:rFonts w:hint="default" w:ascii="Times New Roman" w:hAnsi="Times New Roman" w:eastAsia="Times New Roman" w:cs="Times New Roman"/>
        <w:spacing w:val="-5"/>
        <w:w w:val="100"/>
        <w:sz w:val="24"/>
        <w:szCs w:val="24"/>
      </w:rPr>
    </w:lvl>
    <w:lvl w:ilvl="2">
      <w:start w:val="0"/>
      <w:numFmt w:val="bullet"/>
      <w:lvlText w:val="•"/>
      <w:lvlJc w:val="left"/>
      <w:pPr>
        <w:ind w:left="1900" w:hanging="569"/>
      </w:pPr>
      <w:rPr>
        <w:rFonts w:hint="default"/>
      </w:rPr>
    </w:lvl>
    <w:lvl w:ilvl="3">
      <w:start w:val="0"/>
      <w:numFmt w:val="bullet"/>
      <w:lvlText w:val="•"/>
      <w:lvlJc w:val="left"/>
      <w:pPr>
        <w:ind w:left="2873" w:hanging="569"/>
      </w:pPr>
      <w:rPr>
        <w:rFonts w:hint="default"/>
      </w:rPr>
    </w:lvl>
    <w:lvl w:ilvl="4">
      <w:start w:val="0"/>
      <w:numFmt w:val="bullet"/>
      <w:lvlText w:val="•"/>
      <w:lvlJc w:val="left"/>
      <w:pPr>
        <w:ind w:left="3846" w:hanging="569"/>
      </w:pPr>
      <w:rPr>
        <w:rFonts w:hint="default"/>
      </w:rPr>
    </w:lvl>
    <w:lvl w:ilvl="5">
      <w:start w:val="0"/>
      <w:numFmt w:val="bullet"/>
      <w:lvlText w:val="•"/>
      <w:lvlJc w:val="left"/>
      <w:pPr>
        <w:ind w:left="4819" w:hanging="569"/>
      </w:pPr>
      <w:rPr>
        <w:rFonts w:hint="default"/>
      </w:rPr>
    </w:lvl>
    <w:lvl w:ilvl="6">
      <w:start w:val="0"/>
      <w:numFmt w:val="bullet"/>
      <w:lvlText w:val="•"/>
      <w:lvlJc w:val="left"/>
      <w:pPr>
        <w:ind w:left="5793" w:hanging="569"/>
      </w:pPr>
      <w:rPr>
        <w:rFonts w:hint="default"/>
      </w:rPr>
    </w:lvl>
    <w:lvl w:ilvl="7">
      <w:start w:val="0"/>
      <w:numFmt w:val="bullet"/>
      <w:lvlText w:val="•"/>
      <w:lvlJc w:val="left"/>
      <w:pPr>
        <w:ind w:left="6766" w:hanging="569"/>
      </w:pPr>
      <w:rPr>
        <w:rFonts w:hint="default"/>
      </w:rPr>
    </w:lvl>
    <w:lvl w:ilvl="8">
      <w:start w:val="0"/>
      <w:numFmt w:val="bullet"/>
      <w:lvlText w:val="•"/>
      <w:lvlJc w:val="left"/>
      <w:pPr>
        <w:ind w:left="7739" w:hanging="569"/>
      </w:pPr>
      <w:rPr>
        <w:rFonts w:hint="default"/>
      </w:rPr>
    </w:lvl>
  </w:abstractNum>
  <w:abstractNum w:abstractNumId="85">
    <w:multiLevelType w:val="hybridMultilevel"/>
    <w:lvl w:ilvl="0">
      <w:start w:val="1"/>
      <w:numFmt w:val="decimal"/>
      <w:lvlText w:val="%1)"/>
      <w:lvlJc w:val="left"/>
      <w:pPr>
        <w:ind w:left="1392" w:hanging="426"/>
        <w:jc w:val="left"/>
      </w:pPr>
      <w:rPr>
        <w:rFonts w:hint="default" w:ascii="Times New Roman" w:hAnsi="Times New Roman" w:eastAsia="Times New Roman" w:cs="Times New Roman"/>
        <w:spacing w:val="-15"/>
        <w:w w:val="100"/>
        <w:sz w:val="24"/>
        <w:szCs w:val="24"/>
      </w:rPr>
    </w:lvl>
    <w:lvl w:ilvl="1">
      <w:start w:val="0"/>
      <w:numFmt w:val="bullet"/>
      <w:lvlText w:val="•"/>
      <w:lvlJc w:val="left"/>
      <w:pPr>
        <w:ind w:left="2228" w:hanging="426"/>
      </w:pPr>
      <w:rPr>
        <w:rFonts w:hint="default"/>
      </w:rPr>
    </w:lvl>
    <w:lvl w:ilvl="2">
      <w:start w:val="0"/>
      <w:numFmt w:val="bullet"/>
      <w:lvlText w:val="•"/>
      <w:lvlJc w:val="left"/>
      <w:pPr>
        <w:ind w:left="3057" w:hanging="426"/>
      </w:pPr>
      <w:rPr>
        <w:rFonts w:hint="default"/>
      </w:rPr>
    </w:lvl>
    <w:lvl w:ilvl="3">
      <w:start w:val="0"/>
      <w:numFmt w:val="bullet"/>
      <w:lvlText w:val="•"/>
      <w:lvlJc w:val="left"/>
      <w:pPr>
        <w:ind w:left="3885" w:hanging="426"/>
      </w:pPr>
      <w:rPr>
        <w:rFonts w:hint="default"/>
      </w:rPr>
    </w:lvl>
    <w:lvl w:ilvl="4">
      <w:start w:val="0"/>
      <w:numFmt w:val="bullet"/>
      <w:lvlText w:val="•"/>
      <w:lvlJc w:val="left"/>
      <w:pPr>
        <w:ind w:left="4714" w:hanging="426"/>
      </w:pPr>
      <w:rPr>
        <w:rFonts w:hint="default"/>
      </w:rPr>
    </w:lvl>
    <w:lvl w:ilvl="5">
      <w:start w:val="0"/>
      <w:numFmt w:val="bullet"/>
      <w:lvlText w:val="•"/>
      <w:lvlJc w:val="left"/>
      <w:pPr>
        <w:ind w:left="5543" w:hanging="426"/>
      </w:pPr>
      <w:rPr>
        <w:rFonts w:hint="default"/>
      </w:rPr>
    </w:lvl>
    <w:lvl w:ilvl="6">
      <w:start w:val="0"/>
      <w:numFmt w:val="bullet"/>
      <w:lvlText w:val="•"/>
      <w:lvlJc w:val="left"/>
      <w:pPr>
        <w:ind w:left="6371" w:hanging="426"/>
      </w:pPr>
      <w:rPr>
        <w:rFonts w:hint="default"/>
      </w:rPr>
    </w:lvl>
    <w:lvl w:ilvl="7">
      <w:start w:val="0"/>
      <w:numFmt w:val="bullet"/>
      <w:lvlText w:val="•"/>
      <w:lvlJc w:val="left"/>
      <w:pPr>
        <w:ind w:left="7200" w:hanging="426"/>
      </w:pPr>
      <w:rPr>
        <w:rFonts w:hint="default"/>
      </w:rPr>
    </w:lvl>
    <w:lvl w:ilvl="8">
      <w:start w:val="0"/>
      <w:numFmt w:val="bullet"/>
      <w:lvlText w:val="•"/>
      <w:lvlJc w:val="left"/>
      <w:pPr>
        <w:ind w:left="8029" w:hanging="426"/>
      </w:pPr>
      <w:rPr>
        <w:rFonts w:hint="default"/>
      </w:rPr>
    </w:lvl>
  </w:abstractNum>
  <w:abstractNum w:abstractNumId="84">
    <w:multiLevelType w:val="hybridMultilevel"/>
    <w:lvl w:ilvl="0">
      <w:start w:val="1"/>
      <w:numFmt w:val="decimal"/>
      <w:lvlText w:val="%1)"/>
      <w:lvlJc w:val="left"/>
      <w:pPr>
        <w:ind w:left="1392" w:hanging="426"/>
        <w:jc w:val="left"/>
      </w:pPr>
      <w:rPr>
        <w:rFonts w:hint="default" w:ascii="Times New Roman" w:hAnsi="Times New Roman" w:eastAsia="Times New Roman" w:cs="Times New Roman"/>
        <w:spacing w:val="-15"/>
        <w:w w:val="100"/>
        <w:sz w:val="24"/>
        <w:szCs w:val="24"/>
      </w:rPr>
    </w:lvl>
    <w:lvl w:ilvl="1">
      <w:start w:val="0"/>
      <w:numFmt w:val="bullet"/>
      <w:lvlText w:val="•"/>
      <w:lvlJc w:val="left"/>
      <w:pPr>
        <w:ind w:left="2228" w:hanging="426"/>
      </w:pPr>
      <w:rPr>
        <w:rFonts w:hint="default"/>
      </w:rPr>
    </w:lvl>
    <w:lvl w:ilvl="2">
      <w:start w:val="0"/>
      <w:numFmt w:val="bullet"/>
      <w:lvlText w:val="•"/>
      <w:lvlJc w:val="left"/>
      <w:pPr>
        <w:ind w:left="3057" w:hanging="426"/>
      </w:pPr>
      <w:rPr>
        <w:rFonts w:hint="default"/>
      </w:rPr>
    </w:lvl>
    <w:lvl w:ilvl="3">
      <w:start w:val="0"/>
      <w:numFmt w:val="bullet"/>
      <w:lvlText w:val="•"/>
      <w:lvlJc w:val="left"/>
      <w:pPr>
        <w:ind w:left="3885" w:hanging="426"/>
      </w:pPr>
      <w:rPr>
        <w:rFonts w:hint="default"/>
      </w:rPr>
    </w:lvl>
    <w:lvl w:ilvl="4">
      <w:start w:val="0"/>
      <w:numFmt w:val="bullet"/>
      <w:lvlText w:val="•"/>
      <w:lvlJc w:val="left"/>
      <w:pPr>
        <w:ind w:left="4714" w:hanging="426"/>
      </w:pPr>
      <w:rPr>
        <w:rFonts w:hint="default"/>
      </w:rPr>
    </w:lvl>
    <w:lvl w:ilvl="5">
      <w:start w:val="0"/>
      <w:numFmt w:val="bullet"/>
      <w:lvlText w:val="•"/>
      <w:lvlJc w:val="left"/>
      <w:pPr>
        <w:ind w:left="5543" w:hanging="426"/>
      </w:pPr>
      <w:rPr>
        <w:rFonts w:hint="default"/>
      </w:rPr>
    </w:lvl>
    <w:lvl w:ilvl="6">
      <w:start w:val="0"/>
      <w:numFmt w:val="bullet"/>
      <w:lvlText w:val="•"/>
      <w:lvlJc w:val="left"/>
      <w:pPr>
        <w:ind w:left="6371" w:hanging="426"/>
      </w:pPr>
      <w:rPr>
        <w:rFonts w:hint="default"/>
      </w:rPr>
    </w:lvl>
    <w:lvl w:ilvl="7">
      <w:start w:val="0"/>
      <w:numFmt w:val="bullet"/>
      <w:lvlText w:val="•"/>
      <w:lvlJc w:val="left"/>
      <w:pPr>
        <w:ind w:left="7200" w:hanging="426"/>
      </w:pPr>
      <w:rPr>
        <w:rFonts w:hint="default"/>
      </w:rPr>
    </w:lvl>
    <w:lvl w:ilvl="8">
      <w:start w:val="0"/>
      <w:numFmt w:val="bullet"/>
      <w:lvlText w:val="•"/>
      <w:lvlJc w:val="left"/>
      <w:pPr>
        <w:ind w:left="8029" w:hanging="426"/>
      </w:pPr>
      <w:rPr>
        <w:rFonts w:hint="default"/>
      </w:rPr>
    </w:lvl>
  </w:abstractNum>
  <w:abstractNum w:abstractNumId="83">
    <w:multiLevelType w:val="hybridMultilevel"/>
    <w:lvl w:ilvl="0">
      <w:start w:val="1"/>
      <w:numFmt w:val="decimal"/>
      <w:lvlText w:val="%1)"/>
      <w:lvlJc w:val="left"/>
      <w:pPr>
        <w:ind w:left="170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498" w:hanging="360"/>
      </w:pPr>
      <w:rPr>
        <w:rFonts w:hint="default"/>
      </w:rPr>
    </w:lvl>
    <w:lvl w:ilvl="2">
      <w:start w:val="0"/>
      <w:numFmt w:val="bullet"/>
      <w:lvlText w:val="•"/>
      <w:lvlJc w:val="left"/>
      <w:pPr>
        <w:ind w:left="3297" w:hanging="360"/>
      </w:pPr>
      <w:rPr>
        <w:rFonts w:hint="default"/>
      </w:rPr>
    </w:lvl>
    <w:lvl w:ilvl="3">
      <w:start w:val="0"/>
      <w:numFmt w:val="bullet"/>
      <w:lvlText w:val="•"/>
      <w:lvlJc w:val="left"/>
      <w:pPr>
        <w:ind w:left="4095" w:hanging="360"/>
      </w:pPr>
      <w:rPr>
        <w:rFonts w:hint="default"/>
      </w:rPr>
    </w:lvl>
    <w:lvl w:ilvl="4">
      <w:start w:val="0"/>
      <w:numFmt w:val="bullet"/>
      <w:lvlText w:val="•"/>
      <w:lvlJc w:val="left"/>
      <w:pPr>
        <w:ind w:left="4894" w:hanging="360"/>
      </w:pPr>
      <w:rPr>
        <w:rFonts w:hint="default"/>
      </w:rPr>
    </w:lvl>
    <w:lvl w:ilvl="5">
      <w:start w:val="0"/>
      <w:numFmt w:val="bullet"/>
      <w:lvlText w:val="•"/>
      <w:lvlJc w:val="left"/>
      <w:pPr>
        <w:ind w:left="5693" w:hanging="360"/>
      </w:pPr>
      <w:rPr>
        <w:rFonts w:hint="default"/>
      </w:rPr>
    </w:lvl>
    <w:lvl w:ilvl="6">
      <w:start w:val="0"/>
      <w:numFmt w:val="bullet"/>
      <w:lvlText w:val="•"/>
      <w:lvlJc w:val="left"/>
      <w:pPr>
        <w:ind w:left="6491" w:hanging="360"/>
      </w:pPr>
      <w:rPr>
        <w:rFonts w:hint="default"/>
      </w:rPr>
    </w:lvl>
    <w:lvl w:ilvl="7">
      <w:start w:val="0"/>
      <w:numFmt w:val="bullet"/>
      <w:lvlText w:val="•"/>
      <w:lvlJc w:val="left"/>
      <w:pPr>
        <w:ind w:left="7290" w:hanging="360"/>
      </w:pPr>
      <w:rPr>
        <w:rFonts w:hint="default"/>
      </w:rPr>
    </w:lvl>
    <w:lvl w:ilvl="8">
      <w:start w:val="0"/>
      <w:numFmt w:val="bullet"/>
      <w:lvlText w:val="•"/>
      <w:lvlJc w:val="left"/>
      <w:pPr>
        <w:ind w:left="8089" w:hanging="360"/>
      </w:pPr>
      <w:rPr>
        <w:rFonts w:hint="default"/>
      </w:rPr>
    </w:lvl>
  </w:abstractNum>
  <w:abstractNum w:abstractNumId="82">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81">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80">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0"/>
        <w:w w:val="100"/>
        <w:sz w:val="24"/>
        <w:szCs w:val="24"/>
      </w:rPr>
    </w:lvl>
    <w:lvl w:ilvl="1">
      <w:start w:val="1"/>
      <w:numFmt w:val="lowerLetter"/>
      <w:lvlText w:val="%2)"/>
      <w:lvlJc w:val="left"/>
      <w:pPr>
        <w:ind w:left="1392" w:hanging="425"/>
        <w:jc w:val="left"/>
      </w:pPr>
      <w:rPr>
        <w:rFonts w:hint="default" w:ascii="Times New Roman" w:hAnsi="Times New Roman" w:eastAsia="Times New Roman" w:cs="Times New Roman"/>
        <w:spacing w:val="-4"/>
        <w:w w:val="100"/>
        <w:sz w:val="24"/>
        <w:szCs w:val="24"/>
      </w:rPr>
    </w:lvl>
    <w:lvl w:ilvl="2">
      <w:start w:val="0"/>
      <w:numFmt w:val="bullet"/>
      <w:lvlText w:val="•"/>
      <w:lvlJc w:val="left"/>
      <w:pPr>
        <w:ind w:left="1700" w:hanging="425"/>
      </w:pPr>
      <w:rPr>
        <w:rFonts w:hint="default"/>
      </w:rPr>
    </w:lvl>
    <w:lvl w:ilvl="3">
      <w:start w:val="0"/>
      <w:numFmt w:val="bullet"/>
      <w:lvlText w:val="•"/>
      <w:lvlJc w:val="left"/>
      <w:pPr>
        <w:ind w:left="1760" w:hanging="425"/>
      </w:pPr>
      <w:rPr>
        <w:rFonts w:hint="default"/>
      </w:rPr>
    </w:lvl>
    <w:lvl w:ilvl="4">
      <w:start w:val="0"/>
      <w:numFmt w:val="bullet"/>
      <w:lvlText w:val="•"/>
      <w:lvlJc w:val="left"/>
      <w:pPr>
        <w:ind w:left="2892" w:hanging="425"/>
      </w:pPr>
      <w:rPr>
        <w:rFonts w:hint="default"/>
      </w:rPr>
    </w:lvl>
    <w:lvl w:ilvl="5">
      <w:start w:val="0"/>
      <w:numFmt w:val="bullet"/>
      <w:lvlText w:val="•"/>
      <w:lvlJc w:val="left"/>
      <w:pPr>
        <w:ind w:left="4024" w:hanging="425"/>
      </w:pPr>
      <w:rPr>
        <w:rFonts w:hint="default"/>
      </w:rPr>
    </w:lvl>
    <w:lvl w:ilvl="6">
      <w:start w:val="0"/>
      <w:numFmt w:val="bullet"/>
      <w:lvlText w:val="•"/>
      <w:lvlJc w:val="left"/>
      <w:pPr>
        <w:ind w:left="5157" w:hanging="425"/>
      </w:pPr>
      <w:rPr>
        <w:rFonts w:hint="default"/>
      </w:rPr>
    </w:lvl>
    <w:lvl w:ilvl="7">
      <w:start w:val="0"/>
      <w:numFmt w:val="bullet"/>
      <w:lvlText w:val="•"/>
      <w:lvlJc w:val="left"/>
      <w:pPr>
        <w:ind w:left="6289" w:hanging="425"/>
      </w:pPr>
      <w:rPr>
        <w:rFonts w:hint="default"/>
      </w:rPr>
    </w:lvl>
    <w:lvl w:ilvl="8">
      <w:start w:val="0"/>
      <w:numFmt w:val="bullet"/>
      <w:lvlText w:val="•"/>
      <w:lvlJc w:val="left"/>
      <w:pPr>
        <w:ind w:left="7421" w:hanging="425"/>
      </w:pPr>
      <w:rPr>
        <w:rFonts w:hint="default"/>
      </w:rPr>
    </w:lvl>
  </w:abstractNum>
  <w:abstractNum w:abstractNumId="79">
    <w:multiLevelType w:val="hybridMultilevel"/>
    <w:lvl w:ilvl="0">
      <w:start w:val="1"/>
      <w:numFmt w:val="decimal"/>
      <w:lvlText w:val="%1)"/>
      <w:lvlJc w:val="left"/>
      <w:pPr>
        <w:ind w:left="968" w:hanging="281"/>
        <w:jc w:val="right"/>
      </w:pPr>
      <w:rPr>
        <w:rFonts w:hint="default" w:ascii="Times New Roman" w:hAnsi="Times New Roman" w:eastAsia="Times New Roman" w:cs="Times New Roman"/>
        <w:w w:val="100"/>
        <w:sz w:val="24"/>
        <w:szCs w:val="24"/>
      </w:rPr>
    </w:lvl>
    <w:lvl w:ilvl="1">
      <w:start w:val="0"/>
      <w:numFmt w:val="bullet"/>
      <w:lvlText w:val="•"/>
      <w:lvlJc w:val="left"/>
      <w:pPr>
        <w:ind w:left="1832" w:hanging="281"/>
      </w:pPr>
      <w:rPr>
        <w:rFonts w:hint="default"/>
      </w:rPr>
    </w:lvl>
    <w:lvl w:ilvl="2">
      <w:start w:val="0"/>
      <w:numFmt w:val="bullet"/>
      <w:lvlText w:val="•"/>
      <w:lvlJc w:val="left"/>
      <w:pPr>
        <w:ind w:left="2705" w:hanging="281"/>
      </w:pPr>
      <w:rPr>
        <w:rFonts w:hint="default"/>
      </w:rPr>
    </w:lvl>
    <w:lvl w:ilvl="3">
      <w:start w:val="0"/>
      <w:numFmt w:val="bullet"/>
      <w:lvlText w:val="•"/>
      <w:lvlJc w:val="left"/>
      <w:pPr>
        <w:ind w:left="3577" w:hanging="281"/>
      </w:pPr>
      <w:rPr>
        <w:rFonts w:hint="default"/>
      </w:rPr>
    </w:lvl>
    <w:lvl w:ilvl="4">
      <w:start w:val="0"/>
      <w:numFmt w:val="bullet"/>
      <w:lvlText w:val="•"/>
      <w:lvlJc w:val="left"/>
      <w:pPr>
        <w:ind w:left="4450" w:hanging="281"/>
      </w:pPr>
      <w:rPr>
        <w:rFonts w:hint="default"/>
      </w:rPr>
    </w:lvl>
    <w:lvl w:ilvl="5">
      <w:start w:val="0"/>
      <w:numFmt w:val="bullet"/>
      <w:lvlText w:val="•"/>
      <w:lvlJc w:val="left"/>
      <w:pPr>
        <w:ind w:left="5323" w:hanging="281"/>
      </w:pPr>
      <w:rPr>
        <w:rFonts w:hint="default"/>
      </w:rPr>
    </w:lvl>
    <w:lvl w:ilvl="6">
      <w:start w:val="0"/>
      <w:numFmt w:val="bullet"/>
      <w:lvlText w:val="•"/>
      <w:lvlJc w:val="left"/>
      <w:pPr>
        <w:ind w:left="6195" w:hanging="281"/>
      </w:pPr>
      <w:rPr>
        <w:rFonts w:hint="default"/>
      </w:rPr>
    </w:lvl>
    <w:lvl w:ilvl="7">
      <w:start w:val="0"/>
      <w:numFmt w:val="bullet"/>
      <w:lvlText w:val="•"/>
      <w:lvlJc w:val="left"/>
      <w:pPr>
        <w:ind w:left="7068" w:hanging="281"/>
      </w:pPr>
      <w:rPr>
        <w:rFonts w:hint="default"/>
      </w:rPr>
    </w:lvl>
    <w:lvl w:ilvl="8">
      <w:start w:val="0"/>
      <w:numFmt w:val="bullet"/>
      <w:lvlText w:val="•"/>
      <w:lvlJc w:val="left"/>
      <w:pPr>
        <w:ind w:left="7941" w:hanging="281"/>
      </w:pPr>
      <w:rPr>
        <w:rFonts w:hint="default"/>
      </w:rPr>
    </w:lvl>
  </w:abstractNum>
  <w:abstractNum w:abstractNumId="78">
    <w:multiLevelType w:val="hybridMultilevel"/>
    <w:lvl w:ilvl="0">
      <w:start w:val="1"/>
      <w:numFmt w:val="decimal"/>
      <w:lvlText w:val="%1)"/>
      <w:lvlJc w:val="left"/>
      <w:pPr>
        <w:ind w:left="98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77">
    <w:multiLevelType w:val="hybridMultilevel"/>
    <w:lvl w:ilvl="0">
      <w:start w:val="1"/>
      <w:numFmt w:val="decimal"/>
      <w:lvlText w:val="%1)"/>
      <w:lvlJc w:val="left"/>
      <w:pPr>
        <w:ind w:left="260" w:hanging="258"/>
        <w:jc w:val="left"/>
      </w:pPr>
      <w:rPr>
        <w:rFonts w:hint="default" w:ascii="Times New Roman" w:hAnsi="Times New Roman" w:eastAsia="Times New Roman" w:cs="Times New Roman"/>
        <w:w w:val="100"/>
        <w:sz w:val="24"/>
        <w:szCs w:val="24"/>
      </w:rPr>
    </w:lvl>
    <w:lvl w:ilvl="1">
      <w:start w:val="0"/>
      <w:numFmt w:val="bullet"/>
      <w:lvlText w:val="•"/>
      <w:lvlJc w:val="left"/>
      <w:pPr>
        <w:ind w:left="1202" w:hanging="258"/>
      </w:pPr>
      <w:rPr>
        <w:rFonts w:hint="default"/>
      </w:rPr>
    </w:lvl>
    <w:lvl w:ilvl="2">
      <w:start w:val="0"/>
      <w:numFmt w:val="bullet"/>
      <w:lvlText w:val="•"/>
      <w:lvlJc w:val="left"/>
      <w:pPr>
        <w:ind w:left="2145" w:hanging="258"/>
      </w:pPr>
      <w:rPr>
        <w:rFonts w:hint="default"/>
      </w:rPr>
    </w:lvl>
    <w:lvl w:ilvl="3">
      <w:start w:val="0"/>
      <w:numFmt w:val="bullet"/>
      <w:lvlText w:val="•"/>
      <w:lvlJc w:val="left"/>
      <w:pPr>
        <w:ind w:left="3087" w:hanging="258"/>
      </w:pPr>
      <w:rPr>
        <w:rFonts w:hint="default"/>
      </w:rPr>
    </w:lvl>
    <w:lvl w:ilvl="4">
      <w:start w:val="0"/>
      <w:numFmt w:val="bullet"/>
      <w:lvlText w:val="•"/>
      <w:lvlJc w:val="left"/>
      <w:pPr>
        <w:ind w:left="4030" w:hanging="258"/>
      </w:pPr>
      <w:rPr>
        <w:rFonts w:hint="default"/>
      </w:rPr>
    </w:lvl>
    <w:lvl w:ilvl="5">
      <w:start w:val="0"/>
      <w:numFmt w:val="bullet"/>
      <w:lvlText w:val="•"/>
      <w:lvlJc w:val="left"/>
      <w:pPr>
        <w:ind w:left="4973" w:hanging="258"/>
      </w:pPr>
      <w:rPr>
        <w:rFonts w:hint="default"/>
      </w:rPr>
    </w:lvl>
    <w:lvl w:ilvl="6">
      <w:start w:val="0"/>
      <w:numFmt w:val="bullet"/>
      <w:lvlText w:val="•"/>
      <w:lvlJc w:val="left"/>
      <w:pPr>
        <w:ind w:left="5915" w:hanging="258"/>
      </w:pPr>
      <w:rPr>
        <w:rFonts w:hint="default"/>
      </w:rPr>
    </w:lvl>
    <w:lvl w:ilvl="7">
      <w:start w:val="0"/>
      <w:numFmt w:val="bullet"/>
      <w:lvlText w:val="•"/>
      <w:lvlJc w:val="left"/>
      <w:pPr>
        <w:ind w:left="6858" w:hanging="258"/>
      </w:pPr>
      <w:rPr>
        <w:rFonts w:hint="default"/>
      </w:rPr>
    </w:lvl>
    <w:lvl w:ilvl="8">
      <w:start w:val="0"/>
      <w:numFmt w:val="bullet"/>
      <w:lvlText w:val="•"/>
      <w:lvlJc w:val="left"/>
      <w:pPr>
        <w:ind w:left="7801" w:hanging="258"/>
      </w:pPr>
      <w:rPr>
        <w:rFonts w:hint="default"/>
      </w:rPr>
    </w:lvl>
  </w:abstractNum>
  <w:abstractNum w:abstractNumId="76">
    <w:multiLevelType w:val="hybridMultilevel"/>
    <w:lvl w:ilvl="0">
      <w:start w:val="9"/>
      <w:numFmt w:val="upperLetter"/>
      <w:lvlText w:val="%1."/>
      <w:lvlJc w:val="left"/>
      <w:pPr>
        <w:ind w:left="620" w:hanging="360"/>
        <w:jc w:val="right"/>
      </w:pPr>
      <w:rPr>
        <w:rFonts w:hint="default" w:ascii="Times New Roman" w:hAnsi="Times New Roman" w:eastAsia="Times New Roman" w:cs="Times New Roman"/>
        <w:b/>
        <w:bCs/>
        <w:i/>
        <w:spacing w:val="-19"/>
        <w:w w:val="100"/>
        <w:sz w:val="24"/>
        <w:szCs w:val="24"/>
      </w:rPr>
    </w:lvl>
    <w:lvl w:ilvl="1">
      <w:start w:val="1"/>
      <w:numFmt w:val="decimal"/>
      <w:lvlText w:val="%2)"/>
      <w:lvlJc w:val="left"/>
      <w:pPr>
        <w:ind w:left="1599" w:hanging="260"/>
        <w:jc w:val="left"/>
      </w:pPr>
      <w:rPr>
        <w:rFonts w:hint="default" w:ascii="Times New Roman" w:hAnsi="Times New Roman" w:eastAsia="Times New Roman" w:cs="Times New Roman"/>
        <w:spacing w:val="-4"/>
        <w:w w:val="100"/>
        <w:sz w:val="24"/>
        <w:szCs w:val="24"/>
      </w:rPr>
    </w:lvl>
    <w:lvl w:ilvl="2">
      <w:start w:val="0"/>
      <w:numFmt w:val="bullet"/>
      <w:lvlText w:val="•"/>
      <w:lvlJc w:val="left"/>
      <w:pPr>
        <w:ind w:left="2498" w:hanging="260"/>
      </w:pPr>
      <w:rPr>
        <w:rFonts w:hint="default"/>
      </w:rPr>
    </w:lvl>
    <w:lvl w:ilvl="3">
      <w:start w:val="0"/>
      <w:numFmt w:val="bullet"/>
      <w:lvlText w:val="•"/>
      <w:lvlJc w:val="left"/>
      <w:pPr>
        <w:ind w:left="3396" w:hanging="260"/>
      </w:pPr>
      <w:rPr>
        <w:rFonts w:hint="default"/>
      </w:rPr>
    </w:lvl>
    <w:lvl w:ilvl="4">
      <w:start w:val="0"/>
      <w:numFmt w:val="bullet"/>
      <w:lvlText w:val="•"/>
      <w:lvlJc w:val="left"/>
      <w:pPr>
        <w:ind w:left="4295" w:hanging="260"/>
      </w:pPr>
      <w:rPr>
        <w:rFonts w:hint="default"/>
      </w:rPr>
    </w:lvl>
    <w:lvl w:ilvl="5">
      <w:start w:val="0"/>
      <w:numFmt w:val="bullet"/>
      <w:lvlText w:val="•"/>
      <w:lvlJc w:val="left"/>
      <w:pPr>
        <w:ind w:left="5193" w:hanging="260"/>
      </w:pPr>
      <w:rPr>
        <w:rFonts w:hint="default"/>
      </w:rPr>
    </w:lvl>
    <w:lvl w:ilvl="6">
      <w:start w:val="0"/>
      <w:numFmt w:val="bullet"/>
      <w:lvlText w:val="•"/>
      <w:lvlJc w:val="left"/>
      <w:pPr>
        <w:ind w:left="6092" w:hanging="260"/>
      </w:pPr>
      <w:rPr>
        <w:rFonts w:hint="default"/>
      </w:rPr>
    </w:lvl>
    <w:lvl w:ilvl="7">
      <w:start w:val="0"/>
      <w:numFmt w:val="bullet"/>
      <w:lvlText w:val="•"/>
      <w:lvlJc w:val="left"/>
      <w:pPr>
        <w:ind w:left="6990" w:hanging="260"/>
      </w:pPr>
      <w:rPr>
        <w:rFonts w:hint="default"/>
      </w:rPr>
    </w:lvl>
    <w:lvl w:ilvl="8">
      <w:start w:val="0"/>
      <w:numFmt w:val="bullet"/>
      <w:lvlText w:val="•"/>
      <w:lvlJc w:val="left"/>
      <w:pPr>
        <w:ind w:left="7889" w:hanging="260"/>
      </w:pPr>
      <w:rPr>
        <w:rFonts w:hint="default"/>
      </w:rPr>
    </w:lvl>
  </w:abstractNum>
  <w:abstractNum w:abstractNumId="75">
    <w:multiLevelType w:val="hybridMultilevel"/>
    <w:lvl w:ilvl="0">
      <w:start w:val="1"/>
      <w:numFmt w:val="decimal"/>
      <w:lvlText w:val="%1)"/>
      <w:lvlJc w:val="left"/>
      <w:pPr>
        <w:ind w:left="1239" w:hanging="260"/>
        <w:jc w:val="left"/>
      </w:pPr>
      <w:rPr>
        <w:rFonts w:hint="default" w:ascii="Times New Roman" w:hAnsi="Times New Roman" w:eastAsia="Times New Roman" w:cs="Times New Roman"/>
        <w:spacing w:val="-4"/>
        <w:w w:val="100"/>
        <w:sz w:val="24"/>
        <w:szCs w:val="24"/>
      </w:rPr>
    </w:lvl>
    <w:lvl w:ilvl="1">
      <w:start w:val="0"/>
      <w:numFmt w:val="bullet"/>
      <w:lvlText w:val="•"/>
      <w:lvlJc w:val="left"/>
      <w:pPr>
        <w:ind w:left="2084" w:hanging="260"/>
      </w:pPr>
      <w:rPr>
        <w:rFonts w:hint="default"/>
      </w:rPr>
    </w:lvl>
    <w:lvl w:ilvl="2">
      <w:start w:val="0"/>
      <w:numFmt w:val="bullet"/>
      <w:lvlText w:val="•"/>
      <w:lvlJc w:val="left"/>
      <w:pPr>
        <w:ind w:left="2929" w:hanging="260"/>
      </w:pPr>
      <w:rPr>
        <w:rFonts w:hint="default"/>
      </w:rPr>
    </w:lvl>
    <w:lvl w:ilvl="3">
      <w:start w:val="0"/>
      <w:numFmt w:val="bullet"/>
      <w:lvlText w:val="•"/>
      <w:lvlJc w:val="left"/>
      <w:pPr>
        <w:ind w:left="3773" w:hanging="260"/>
      </w:pPr>
      <w:rPr>
        <w:rFonts w:hint="default"/>
      </w:rPr>
    </w:lvl>
    <w:lvl w:ilvl="4">
      <w:start w:val="0"/>
      <w:numFmt w:val="bullet"/>
      <w:lvlText w:val="•"/>
      <w:lvlJc w:val="left"/>
      <w:pPr>
        <w:ind w:left="4618" w:hanging="260"/>
      </w:pPr>
      <w:rPr>
        <w:rFonts w:hint="default"/>
      </w:rPr>
    </w:lvl>
    <w:lvl w:ilvl="5">
      <w:start w:val="0"/>
      <w:numFmt w:val="bullet"/>
      <w:lvlText w:val="•"/>
      <w:lvlJc w:val="left"/>
      <w:pPr>
        <w:ind w:left="5463" w:hanging="260"/>
      </w:pPr>
      <w:rPr>
        <w:rFonts w:hint="default"/>
      </w:rPr>
    </w:lvl>
    <w:lvl w:ilvl="6">
      <w:start w:val="0"/>
      <w:numFmt w:val="bullet"/>
      <w:lvlText w:val="•"/>
      <w:lvlJc w:val="left"/>
      <w:pPr>
        <w:ind w:left="6307" w:hanging="260"/>
      </w:pPr>
      <w:rPr>
        <w:rFonts w:hint="default"/>
      </w:rPr>
    </w:lvl>
    <w:lvl w:ilvl="7">
      <w:start w:val="0"/>
      <w:numFmt w:val="bullet"/>
      <w:lvlText w:val="•"/>
      <w:lvlJc w:val="left"/>
      <w:pPr>
        <w:ind w:left="7152" w:hanging="260"/>
      </w:pPr>
      <w:rPr>
        <w:rFonts w:hint="default"/>
      </w:rPr>
    </w:lvl>
    <w:lvl w:ilvl="8">
      <w:start w:val="0"/>
      <w:numFmt w:val="bullet"/>
      <w:lvlText w:val="•"/>
      <w:lvlJc w:val="left"/>
      <w:pPr>
        <w:ind w:left="7997" w:hanging="260"/>
      </w:pPr>
      <w:rPr>
        <w:rFonts w:hint="default"/>
      </w:rPr>
    </w:lvl>
  </w:abstractNum>
  <w:abstractNum w:abstractNumId="74">
    <w:multiLevelType w:val="hybridMultilevel"/>
    <w:lvl w:ilvl="0">
      <w:start w:val="1"/>
      <w:numFmt w:val="decimal"/>
      <w:lvlText w:val="%1)"/>
      <w:lvlJc w:val="left"/>
      <w:pPr>
        <w:ind w:left="620" w:hanging="347"/>
        <w:jc w:val="left"/>
      </w:pPr>
      <w:rPr>
        <w:rFonts w:hint="default" w:ascii="Times New Roman" w:hAnsi="Times New Roman" w:eastAsia="Times New Roman" w:cs="Times New Roman"/>
        <w:spacing w:val="-12"/>
        <w:w w:val="100"/>
        <w:sz w:val="24"/>
        <w:szCs w:val="24"/>
      </w:rPr>
    </w:lvl>
    <w:lvl w:ilvl="1">
      <w:start w:val="0"/>
      <w:numFmt w:val="bullet"/>
      <w:lvlText w:val="•"/>
      <w:lvlJc w:val="left"/>
      <w:pPr>
        <w:ind w:left="1526" w:hanging="347"/>
      </w:pPr>
      <w:rPr>
        <w:rFonts w:hint="default"/>
      </w:rPr>
    </w:lvl>
    <w:lvl w:ilvl="2">
      <w:start w:val="0"/>
      <w:numFmt w:val="bullet"/>
      <w:lvlText w:val="•"/>
      <w:lvlJc w:val="left"/>
      <w:pPr>
        <w:ind w:left="2433" w:hanging="347"/>
      </w:pPr>
      <w:rPr>
        <w:rFonts w:hint="default"/>
      </w:rPr>
    </w:lvl>
    <w:lvl w:ilvl="3">
      <w:start w:val="0"/>
      <w:numFmt w:val="bullet"/>
      <w:lvlText w:val="•"/>
      <w:lvlJc w:val="left"/>
      <w:pPr>
        <w:ind w:left="3339" w:hanging="347"/>
      </w:pPr>
      <w:rPr>
        <w:rFonts w:hint="default"/>
      </w:rPr>
    </w:lvl>
    <w:lvl w:ilvl="4">
      <w:start w:val="0"/>
      <w:numFmt w:val="bullet"/>
      <w:lvlText w:val="•"/>
      <w:lvlJc w:val="left"/>
      <w:pPr>
        <w:ind w:left="4246" w:hanging="347"/>
      </w:pPr>
      <w:rPr>
        <w:rFonts w:hint="default"/>
      </w:rPr>
    </w:lvl>
    <w:lvl w:ilvl="5">
      <w:start w:val="0"/>
      <w:numFmt w:val="bullet"/>
      <w:lvlText w:val="•"/>
      <w:lvlJc w:val="left"/>
      <w:pPr>
        <w:ind w:left="5153" w:hanging="347"/>
      </w:pPr>
      <w:rPr>
        <w:rFonts w:hint="default"/>
      </w:rPr>
    </w:lvl>
    <w:lvl w:ilvl="6">
      <w:start w:val="0"/>
      <w:numFmt w:val="bullet"/>
      <w:lvlText w:val="•"/>
      <w:lvlJc w:val="left"/>
      <w:pPr>
        <w:ind w:left="6059" w:hanging="347"/>
      </w:pPr>
      <w:rPr>
        <w:rFonts w:hint="default"/>
      </w:rPr>
    </w:lvl>
    <w:lvl w:ilvl="7">
      <w:start w:val="0"/>
      <w:numFmt w:val="bullet"/>
      <w:lvlText w:val="•"/>
      <w:lvlJc w:val="left"/>
      <w:pPr>
        <w:ind w:left="6966" w:hanging="347"/>
      </w:pPr>
      <w:rPr>
        <w:rFonts w:hint="default"/>
      </w:rPr>
    </w:lvl>
    <w:lvl w:ilvl="8">
      <w:start w:val="0"/>
      <w:numFmt w:val="bullet"/>
      <w:lvlText w:val="•"/>
      <w:lvlJc w:val="left"/>
      <w:pPr>
        <w:ind w:left="7873" w:hanging="347"/>
      </w:pPr>
      <w:rPr>
        <w:rFonts w:hint="default"/>
      </w:rPr>
    </w:lvl>
  </w:abstractNum>
  <w:abstractNum w:abstractNumId="73">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72">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71">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0"/>
        <w:w w:val="100"/>
        <w:sz w:val="24"/>
        <w:szCs w:val="24"/>
      </w:rPr>
    </w:lvl>
    <w:lvl w:ilvl="1">
      <w:start w:val="1"/>
      <w:numFmt w:val="lowerLetter"/>
      <w:lvlText w:val="%2)"/>
      <w:lvlJc w:val="left"/>
      <w:pPr>
        <w:ind w:left="2060" w:hanging="360"/>
        <w:jc w:val="left"/>
      </w:pPr>
      <w:rPr>
        <w:rFonts w:hint="default" w:ascii="Times New Roman" w:hAnsi="Times New Roman" w:eastAsia="Times New Roman" w:cs="Times New Roman"/>
        <w:spacing w:val="-7"/>
        <w:w w:val="100"/>
        <w:sz w:val="24"/>
        <w:szCs w:val="24"/>
      </w:rPr>
    </w:lvl>
    <w:lvl w:ilvl="2">
      <w:start w:val="0"/>
      <w:numFmt w:val="bullet"/>
      <w:lvlText w:val="•"/>
      <w:lvlJc w:val="left"/>
      <w:pPr>
        <w:ind w:left="2907" w:hanging="360"/>
      </w:pPr>
      <w:rPr>
        <w:rFonts w:hint="default"/>
      </w:rPr>
    </w:lvl>
    <w:lvl w:ilvl="3">
      <w:start w:val="0"/>
      <w:numFmt w:val="bullet"/>
      <w:lvlText w:val="•"/>
      <w:lvlJc w:val="left"/>
      <w:pPr>
        <w:ind w:left="3754" w:hanging="360"/>
      </w:pPr>
      <w:rPr>
        <w:rFonts w:hint="default"/>
      </w:rPr>
    </w:lvl>
    <w:lvl w:ilvl="4">
      <w:start w:val="0"/>
      <w:numFmt w:val="bullet"/>
      <w:lvlText w:val="•"/>
      <w:lvlJc w:val="left"/>
      <w:pPr>
        <w:ind w:left="4602" w:hanging="360"/>
      </w:pPr>
      <w:rPr>
        <w:rFonts w:hint="default"/>
      </w:rPr>
    </w:lvl>
    <w:lvl w:ilvl="5">
      <w:start w:val="0"/>
      <w:numFmt w:val="bullet"/>
      <w:lvlText w:val="•"/>
      <w:lvlJc w:val="left"/>
      <w:pPr>
        <w:ind w:left="5449" w:hanging="360"/>
      </w:pPr>
      <w:rPr>
        <w:rFonts w:hint="default"/>
      </w:rPr>
    </w:lvl>
    <w:lvl w:ilvl="6">
      <w:start w:val="0"/>
      <w:numFmt w:val="bullet"/>
      <w:lvlText w:val="•"/>
      <w:lvlJc w:val="left"/>
      <w:pPr>
        <w:ind w:left="6296" w:hanging="360"/>
      </w:pPr>
      <w:rPr>
        <w:rFonts w:hint="default"/>
      </w:rPr>
    </w:lvl>
    <w:lvl w:ilvl="7">
      <w:start w:val="0"/>
      <w:numFmt w:val="bullet"/>
      <w:lvlText w:val="•"/>
      <w:lvlJc w:val="left"/>
      <w:pPr>
        <w:ind w:left="7144" w:hanging="360"/>
      </w:pPr>
      <w:rPr>
        <w:rFonts w:hint="default"/>
      </w:rPr>
    </w:lvl>
    <w:lvl w:ilvl="8">
      <w:start w:val="0"/>
      <w:numFmt w:val="bullet"/>
      <w:lvlText w:val="•"/>
      <w:lvlJc w:val="left"/>
      <w:pPr>
        <w:ind w:left="7991" w:hanging="360"/>
      </w:pPr>
      <w:rPr>
        <w:rFonts w:hint="default"/>
      </w:rPr>
    </w:lvl>
  </w:abstractNum>
  <w:abstractNum w:abstractNumId="70">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69">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0"/>
        <w:w w:val="100"/>
        <w:sz w:val="24"/>
        <w:szCs w:val="24"/>
      </w:rPr>
    </w:lvl>
    <w:lvl w:ilvl="1">
      <w:start w:val="1"/>
      <w:numFmt w:val="lowerLetter"/>
      <w:lvlText w:val="%2)"/>
      <w:lvlJc w:val="left"/>
      <w:pPr>
        <w:ind w:left="1392" w:hanging="425"/>
        <w:jc w:val="left"/>
      </w:pPr>
      <w:rPr>
        <w:rFonts w:hint="default" w:ascii="Times New Roman" w:hAnsi="Times New Roman" w:eastAsia="Times New Roman" w:cs="Times New Roman"/>
        <w:spacing w:val="-12"/>
        <w:w w:val="100"/>
        <w:sz w:val="24"/>
        <w:szCs w:val="24"/>
      </w:rPr>
    </w:lvl>
    <w:lvl w:ilvl="2">
      <w:start w:val="0"/>
      <w:numFmt w:val="bullet"/>
      <w:lvlText w:val="•"/>
      <w:lvlJc w:val="left"/>
      <w:pPr>
        <w:ind w:left="1760" w:hanging="425"/>
      </w:pPr>
      <w:rPr>
        <w:rFonts w:hint="default"/>
      </w:rPr>
    </w:lvl>
    <w:lvl w:ilvl="3">
      <w:start w:val="0"/>
      <w:numFmt w:val="bullet"/>
      <w:lvlText w:val="•"/>
      <w:lvlJc w:val="left"/>
      <w:pPr>
        <w:ind w:left="2750" w:hanging="425"/>
      </w:pPr>
      <w:rPr>
        <w:rFonts w:hint="default"/>
      </w:rPr>
    </w:lvl>
    <w:lvl w:ilvl="4">
      <w:start w:val="0"/>
      <w:numFmt w:val="bullet"/>
      <w:lvlText w:val="•"/>
      <w:lvlJc w:val="left"/>
      <w:pPr>
        <w:ind w:left="3741" w:hanging="425"/>
      </w:pPr>
      <w:rPr>
        <w:rFonts w:hint="default"/>
      </w:rPr>
    </w:lvl>
    <w:lvl w:ilvl="5">
      <w:start w:val="0"/>
      <w:numFmt w:val="bullet"/>
      <w:lvlText w:val="•"/>
      <w:lvlJc w:val="left"/>
      <w:pPr>
        <w:ind w:left="4732" w:hanging="425"/>
      </w:pPr>
      <w:rPr>
        <w:rFonts w:hint="default"/>
      </w:rPr>
    </w:lvl>
    <w:lvl w:ilvl="6">
      <w:start w:val="0"/>
      <w:numFmt w:val="bullet"/>
      <w:lvlText w:val="•"/>
      <w:lvlJc w:val="left"/>
      <w:pPr>
        <w:ind w:left="5723" w:hanging="425"/>
      </w:pPr>
      <w:rPr>
        <w:rFonts w:hint="default"/>
      </w:rPr>
    </w:lvl>
    <w:lvl w:ilvl="7">
      <w:start w:val="0"/>
      <w:numFmt w:val="bullet"/>
      <w:lvlText w:val="•"/>
      <w:lvlJc w:val="left"/>
      <w:pPr>
        <w:ind w:left="6714" w:hanging="425"/>
      </w:pPr>
      <w:rPr>
        <w:rFonts w:hint="default"/>
      </w:rPr>
    </w:lvl>
    <w:lvl w:ilvl="8">
      <w:start w:val="0"/>
      <w:numFmt w:val="bullet"/>
      <w:lvlText w:val="•"/>
      <w:lvlJc w:val="left"/>
      <w:pPr>
        <w:ind w:left="7704" w:hanging="425"/>
      </w:pPr>
      <w:rPr>
        <w:rFonts w:hint="default"/>
      </w:rPr>
    </w:lvl>
  </w:abstractNum>
  <w:abstractNum w:abstractNumId="68">
    <w:multiLevelType w:val="hybridMultilevel"/>
    <w:lvl w:ilvl="0">
      <w:start w:val="1"/>
      <w:numFmt w:val="upperLetter"/>
      <w:lvlText w:val="%1."/>
      <w:lvlJc w:val="left"/>
      <w:pPr>
        <w:ind w:left="260" w:hanging="360"/>
        <w:jc w:val="right"/>
      </w:pPr>
      <w:rPr>
        <w:rFonts w:hint="default" w:ascii="Times New Roman" w:hAnsi="Times New Roman" w:eastAsia="Times New Roman" w:cs="Times New Roman"/>
        <w:b/>
        <w:bCs/>
        <w:i/>
        <w:spacing w:val="-10"/>
        <w:w w:val="100"/>
        <w:sz w:val="24"/>
        <w:szCs w:val="24"/>
      </w:rPr>
    </w:lvl>
    <w:lvl w:ilvl="1">
      <w:start w:val="1"/>
      <w:numFmt w:val="decimal"/>
      <w:lvlText w:val="%2)"/>
      <w:lvlJc w:val="left"/>
      <w:pPr>
        <w:ind w:left="260" w:hanging="304"/>
        <w:jc w:val="right"/>
      </w:pPr>
      <w:rPr>
        <w:rFonts w:hint="default" w:ascii="Times New Roman" w:hAnsi="Times New Roman" w:eastAsia="Times New Roman" w:cs="Times New Roman"/>
        <w:spacing w:val="-20"/>
        <w:w w:val="100"/>
        <w:sz w:val="24"/>
        <w:szCs w:val="24"/>
      </w:rPr>
    </w:lvl>
    <w:lvl w:ilvl="2">
      <w:start w:val="0"/>
      <w:numFmt w:val="bullet"/>
      <w:lvlText w:val="•"/>
      <w:lvlJc w:val="left"/>
      <w:pPr>
        <w:ind w:left="2145" w:hanging="304"/>
      </w:pPr>
      <w:rPr>
        <w:rFonts w:hint="default"/>
      </w:rPr>
    </w:lvl>
    <w:lvl w:ilvl="3">
      <w:start w:val="0"/>
      <w:numFmt w:val="bullet"/>
      <w:lvlText w:val="•"/>
      <w:lvlJc w:val="left"/>
      <w:pPr>
        <w:ind w:left="3087" w:hanging="304"/>
      </w:pPr>
      <w:rPr>
        <w:rFonts w:hint="default"/>
      </w:rPr>
    </w:lvl>
    <w:lvl w:ilvl="4">
      <w:start w:val="0"/>
      <w:numFmt w:val="bullet"/>
      <w:lvlText w:val="•"/>
      <w:lvlJc w:val="left"/>
      <w:pPr>
        <w:ind w:left="4030" w:hanging="304"/>
      </w:pPr>
      <w:rPr>
        <w:rFonts w:hint="default"/>
      </w:rPr>
    </w:lvl>
    <w:lvl w:ilvl="5">
      <w:start w:val="0"/>
      <w:numFmt w:val="bullet"/>
      <w:lvlText w:val="•"/>
      <w:lvlJc w:val="left"/>
      <w:pPr>
        <w:ind w:left="4973" w:hanging="304"/>
      </w:pPr>
      <w:rPr>
        <w:rFonts w:hint="default"/>
      </w:rPr>
    </w:lvl>
    <w:lvl w:ilvl="6">
      <w:start w:val="0"/>
      <w:numFmt w:val="bullet"/>
      <w:lvlText w:val="•"/>
      <w:lvlJc w:val="left"/>
      <w:pPr>
        <w:ind w:left="5915" w:hanging="304"/>
      </w:pPr>
      <w:rPr>
        <w:rFonts w:hint="default"/>
      </w:rPr>
    </w:lvl>
    <w:lvl w:ilvl="7">
      <w:start w:val="0"/>
      <w:numFmt w:val="bullet"/>
      <w:lvlText w:val="•"/>
      <w:lvlJc w:val="left"/>
      <w:pPr>
        <w:ind w:left="6858" w:hanging="304"/>
      </w:pPr>
      <w:rPr>
        <w:rFonts w:hint="default"/>
      </w:rPr>
    </w:lvl>
    <w:lvl w:ilvl="8">
      <w:start w:val="0"/>
      <w:numFmt w:val="bullet"/>
      <w:lvlText w:val="•"/>
      <w:lvlJc w:val="left"/>
      <w:pPr>
        <w:ind w:left="7801" w:hanging="304"/>
      </w:pPr>
      <w:rPr>
        <w:rFonts w:hint="default"/>
      </w:rPr>
    </w:lvl>
  </w:abstractNum>
  <w:abstractNum w:abstractNumId="67">
    <w:multiLevelType w:val="hybridMultilevel"/>
    <w:lvl w:ilvl="0">
      <w:start w:val="2"/>
      <w:numFmt w:val="decimal"/>
      <w:lvlText w:val="%1"/>
      <w:lvlJc w:val="left"/>
      <w:pPr>
        <w:ind w:left="981" w:hanging="362"/>
        <w:jc w:val="left"/>
      </w:pPr>
      <w:rPr>
        <w:rFonts w:hint="default"/>
      </w:rPr>
    </w:lvl>
    <w:lvl w:ilvl="1">
      <w:start w:val="1"/>
      <w:numFmt w:val="decimal"/>
      <w:lvlText w:val="%1.%2."/>
      <w:lvlJc w:val="left"/>
      <w:pPr>
        <w:ind w:left="981" w:hanging="362"/>
        <w:jc w:val="right"/>
      </w:pPr>
      <w:rPr>
        <w:rFonts w:hint="default" w:ascii="Times New Roman" w:hAnsi="Times New Roman" w:eastAsia="Times New Roman" w:cs="Times New Roman"/>
        <w:b/>
        <w:bCs/>
        <w:i/>
        <w:spacing w:val="-4"/>
        <w:w w:val="100"/>
        <w:sz w:val="22"/>
        <w:szCs w:val="22"/>
      </w:rPr>
    </w:lvl>
    <w:lvl w:ilvl="2">
      <w:start w:val="1"/>
      <w:numFmt w:val="upperLetter"/>
      <w:lvlText w:val="%3."/>
      <w:lvlJc w:val="left"/>
      <w:pPr>
        <w:ind w:left="620" w:hanging="720"/>
        <w:jc w:val="right"/>
      </w:pPr>
      <w:rPr>
        <w:rFonts w:hint="default" w:ascii="Times New Roman" w:hAnsi="Times New Roman" w:eastAsia="Times New Roman" w:cs="Times New Roman"/>
        <w:b/>
        <w:bCs/>
        <w:i/>
        <w:spacing w:val="-6"/>
        <w:w w:val="100"/>
        <w:sz w:val="24"/>
        <w:szCs w:val="24"/>
      </w:rPr>
    </w:lvl>
    <w:lvl w:ilvl="3">
      <w:start w:val="0"/>
      <w:numFmt w:val="bullet"/>
      <w:lvlText w:val="•"/>
      <w:lvlJc w:val="left"/>
      <w:pPr>
        <w:ind w:left="2914" w:hanging="720"/>
      </w:pPr>
      <w:rPr>
        <w:rFonts w:hint="default"/>
      </w:rPr>
    </w:lvl>
    <w:lvl w:ilvl="4">
      <w:start w:val="0"/>
      <w:numFmt w:val="bullet"/>
      <w:lvlText w:val="•"/>
      <w:lvlJc w:val="left"/>
      <w:pPr>
        <w:ind w:left="3882" w:hanging="720"/>
      </w:pPr>
      <w:rPr>
        <w:rFonts w:hint="default"/>
      </w:rPr>
    </w:lvl>
    <w:lvl w:ilvl="5">
      <w:start w:val="0"/>
      <w:numFmt w:val="bullet"/>
      <w:lvlText w:val="•"/>
      <w:lvlJc w:val="left"/>
      <w:pPr>
        <w:ind w:left="4849" w:hanging="720"/>
      </w:pPr>
      <w:rPr>
        <w:rFonts w:hint="default"/>
      </w:rPr>
    </w:lvl>
    <w:lvl w:ilvl="6">
      <w:start w:val="0"/>
      <w:numFmt w:val="bullet"/>
      <w:lvlText w:val="•"/>
      <w:lvlJc w:val="left"/>
      <w:pPr>
        <w:ind w:left="5816" w:hanging="720"/>
      </w:pPr>
      <w:rPr>
        <w:rFonts w:hint="default"/>
      </w:rPr>
    </w:lvl>
    <w:lvl w:ilvl="7">
      <w:start w:val="0"/>
      <w:numFmt w:val="bullet"/>
      <w:lvlText w:val="•"/>
      <w:lvlJc w:val="left"/>
      <w:pPr>
        <w:ind w:left="6784" w:hanging="720"/>
      </w:pPr>
      <w:rPr>
        <w:rFonts w:hint="default"/>
      </w:rPr>
    </w:lvl>
    <w:lvl w:ilvl="8">
      <w:start w:val="0"/>
      <w:numFmt w:val="bullet"/>
      <w:lvlText w:val="•"/>
      <w:lvlJc w:val="left"/>
      <w:pPr>
        <w:ind w:left="7751" w:hanging="720"/>
      </w:pPr>
      <w:rPr>
        <w:rFonts w:hint="default"/>
      </w:rPr>
    </w:lvl>
  </w:abstractNum>
  <w:abstractNum w:abstractNumId="66">
    <w:multiLevelType w:val="hybridMultilevel"/>
    <w:lvl w:ilvl="0">
      <w:start w:val="1"/>
      <w:numFmt w:val="decimal"/>
      <w:lvlText w:val="%1."/>
      <w:lvlJc w:val="left"/>
      <w:pPr>
        <w:ind w:left="543" w:hanging="284"/>
        <w:jc w:val="right"/>
      </w:pPr>
      <w:rPr>
        <w:rFonts w:hint="default" w:ascii="Times New Roman" w:hAnsi="Times New Roman" w:eastAsia="Times New Roman" w:cs="Times New Roman"/>
        <w:spacing w:val="-27"/>
        <w:w w:val="100"/>
        <w:sz w:val="24"/>
        <w:szCs w:val="24"/>
      </w:rPr>
    </w:lvl>
    <w:lvl w:ilvl="1">
      <w:start w:val="2"/>
      <w:numFmt w:val="decimal"/>
      <w:lvlText w:val="%2."/>
      <w:lvlJc w:val="left"/>
      <w:pPr>
        <w:ind w:left="4443" w:hanging="360"/>
        <w:jc w:val="right"/>
      </w:pPr>
      <w:rPr>
        <w:rFonts w:hint="default" w:ascii="Times New Roman" w:hAnsi="Times New Roman" w:eastAsia="Times New Roman" w:cs="Times New Roman"/>
        <w:b/>
        <w:bCs/>
        <w:w w:val="100"/>
        <w:sz w:val="28"/>
        <w:szCs w:val="28"/>
      </w:rPr>
    </w:lvl>
    <w:lvl w:ilvl="2">
      <w:start w:val="0"/>
      <w:numFmt w:val="bullet"/>
      <w:lvlText w:val="•"/>
      <w:lvlJc w:val="left"/>
      <w:pPr>
        <w:ind w:left="5022" w:hanging="360"/>
      </w:pPr>
      <w:rPr>
        <w:rFonts w:hint="default"/>
      </w:rPr>
    </w:lvl>
    <w:lvl w:ilvl="3">
      <w:start w:val="0"/>
      <w:numFmt w:val="bullet"/>
      <w:lvlText w:val="•"/>
      <w:lvlJc w:val="left"/>
      <w:pPr>
        <w:ind w:left="5605" w:hanging="360"/>
      </w:pPr>
      <w:rPr>
        <w:rFonts w:hint="default"/>
      </w:rPr>
    </w:lvl>
    <w:lvl w:ilvl="4">
      <w:start w:val="0"/>
      <w:numFmt w:val="bullet"/>
      <w:lvlText w:val="•"/>
      <w:lvlJc w:val="left"/>
      <w:pPr>
        <w:ind w:left="6188" w:hanging="360"/>
      </w:pPr>
      <w:rPr>
        <w:rFonts w:hint="default"/>
      </w:rPr>
    </w:lvl>
    <w:lvl w:ilvl="5">
      <w:start w:val="0"/>
      <w:numFmt w:val="bullet"/>
      <w:lvlText w:val="•"/>
      <w:lvlJc w:val="left"/>
      <w:pPr>
        <w:ind w:left="6771" w:hanging="360"/>
      </w:pPr>
      <w:rPr>
        <w:rFonts w:hint="default"/>
      </w:rPr>
    </w:lvl>
    <w:lvl w:ilvl="6">
      <w:start w:val="0"/>
      <w:numFmt w:val="bullet"/>
      <w:lvlText w:val="•"/>
      <w:lvlJc w:val="left"/>
      <w:pPr>
        <w:ind w:left="7354" w:hanging="360"/>
      </w:pPr>
      <w:rPr>
        <w:rFonts w:hint="default"/>
      </w:rPr>
    </w:lvl>
    <w:lvl w:ilvl="7">
      <w:start w:val="0"/>
      <w:numFmt w:val="bullet"/>
      <w:lvlText w:val="•"/>
      <w:lvlJc w:val="left"/>
      <w:pPr>
        <w:ind w:left="7937" w:hanging="360"/>
      </w:pPr>
      <w:rPr>
        <w:rFonts w:hint="default"/>
      </w:rPr>
    </w:lvl>
    <w:lvl w:ilvl="8">
      <w:start w:val="0"/>
      <w:numFmt w:val="bullet"/>
      <w:lvlText w:val="•"/>
      <w:lvlJc w:val="left"/>
      <w:pPr>
        <w:ind w:left="8520" w:hanging="360"/>
      </w:pPr>
      <w:rPr>
        <w:rFonts w:hint="default"/>
      </w:rPr>
    </w:lvl>
  </w:abstractNum>
  <w:abstractNum w:abstractNumId="65">
    <w:multiLevelType w:val="hybridMultilevel"/>
    <w:lvl w:ilvl="0">
      <w:start w:val="1"/>
      <w:numFmt w:val="lowerLetter"/>
      <w:lvlText w:val="%1."/>
      <w:lvlJc w:val="left"/>
      <w:pPr>
        <w:ind w:left="1700" w:hanging="360"/>
        <w:jc w:val="left"/>
      </w:pPr>
      <w:rPr>
        <w:rFonts w:hint="default" w:ascii="Times New Roman" w:hAnsi="Times New Roman" w:eastAsia="Times New Roman" w:cs="Times New Roman"/>
        <w:spacing w:val="-10"/>
        <w:w w:val="100"/>
        <w:sz w:val="24"/>
        <w:szCs w:val="24"/>
      </w:rPr>
    </w:lvl>
    <w:lvl w:ilvl="1">
      <w:start w:val="0"/>
      <w:numFmt w:val="bullet"/>
      <w:lvlText w:val="•"/>
      <w:lvlJc w:val="left"/>
      <w:pPr>
        <w:ind w:left="2498" w:hanging="360"/>
      </w:pPr>
      <w:rPr>
        <w:rFonts w:hint="default"/>
      </w:rPr>
    </w:lvl>
    <w:lvl w:ilvl="2">
      <w:start w:val="0"/>
      <w:numFmt w:val="bullet"/>
      <w:lvlText w:val="•"/>
      <w:lvlJc w:val="left"/>
      <w:pPr>
        <w:ind w:left="3297" w:hanging="360"/>
      </w:pPr>
      <w:rPr>
        <w:rFonts w:hint="default"/>
      </w:rPr>
    </w:lvl>
    <w:lvl w:ilvl="3">
      <w:start w:val="0"/>
      <w:numFmt w:val="bullet"/>
      <w:lvlText w:val="•"/>
      <w:lvlJc w:val="left"/>
      <w:pPr>
        <w:ind w:left="4095" w:hanging="360"/>
      </w:pPr>
      <w:rPr>
        <w:rFonts w:hint="default"/>
      </w:rPr>
    </w:lvl>
    <w:lvl w:ilvl="4">
      <w:start w:val="0"/>
      <w:numFmt w:val="bullet"/>
      <w:lvlText w:val="•"/>
      <w:lvlJc w:val="left"/>
      <w:pPr>
        <w:ind w:left="4894" w:hanging="360"/>
      </w:pPr>
      <w:rPr>
        <w:rFonts w:hint="default"/>
      </w:rPr>
    </w:lvl>
    <w:lvl w:ilvl="5">
      <w:start w:val="0"/>
      <w:numFmt w:val="bullet"/>
      <w:lvlText w:val="•"/>
      <w:lvlJc w:val="left"/>
      <w:pPr>
        <w:ind w:left="5693" w:hanging="360"/>
      </w:pPr>
      <w:rPr>
        <w:rFonts w:hint="default"/>
      </w:rPr>
    </w:lvl>
    <w:lvl w:ilvl="6">
      <w:start w:val="0"/>
      <w:numFmt w:val="bullet"/>
      <w:lvlText w:val="•"/>
      <w:lvlJc w:val="left"/>
      <w:pPr>
        <w:ind w:left="6491" w:hanging="360"/>
      </w:pPr>
      <w:rPr>
        <w:rFonts w:hint="default"/>
      </w:rPr>
    </w:lvl>
    <w:lvl w:ilvl="7">
      <w:start w:val="0"/>
      <w:numFmt w:val="bullet"/>
      <w:lvlText w:val="•"/>
      <w:lvlJc w:val="left"/>
      <w:pPr>
        <w:ind w:left="7290" w:hanging="360"/>
      </w:pPr>
      <w:rPr>
        <w:rFonts w:hint="default"/>
      </w:rPr>
    </w:lvl>
    <w:lvl w:ilvl="8">
      <w:start w:val="0"/>
      <w:numFmt w:val="bullet"/>
      <w:lvlText w:val="•"/>
      <w:lvlJc w:val="left"/>
      <w:pPr>
        <w:ind w:left="8089" w:hanging="360"/>
      </w:pPr>
      <w:rPr>
        <w:rFonts w:hint="default"/>
      </w:rPr>
    </w:lvl>
  </w:abstractNum>
  <w:abstractNum w:abstractNumId="64">
    <w:multiLevelType w:val="hybridMultilevel"/>
    <w:lvl w:ilvl="0">
      <w:start w:val="1"/>
      <w:numFmt w:val="decimal"/>
      <w:lvlText w:val="%1)"/>
      <w:lvlJc w:val="left"/>
      <w:pPr>
        <w:ind w:left="1678" w:hanging="360"/>
        <w:jc w:val="right"/>
      </w:pPr>
      <w:rPr>
        <w:rFonts w:hint="default" w:ascii="Times New Roman" w:hAnsi="Times New Roman" w:eastAsia="Times New Roman" w:cs="Times New Roman"/>
        <w:spacing w:val="-20"/>
        <w:w w:val="100"/>
        <w:sz w:val="24"/>
        <w:szCs w:val="24"/>
      </w:rPr>
    </w:lvl>
    <w:lvl w:ilvl="1">
      <w:start w:val="0"/>
      <w:numFmt w:val="bullet"/>
      <w:lvlText w:val="•"/>
      <w:lvlJc w:val="left"/>
      <w:pPr>
        <w:ind w:left="2480" w:hanging="360"/>
      </w:pPr>
      <w:rPr>
        <w:rFonts w:hint="default"/>
      </w:rPr>
    </w:lvl>
    <w:lvl w:ilvl="2">
      <w:start w:val="0"/>
      <w:numFmt w:val="bullet"/>
      <w:lvlText w:val="•"/>
      <w:lvlJc w:val="left"/>
      <w:pPr>
        <w:ind w:left="3281" w:hanging="360"/>
      </w:pPr>
      <w:rPr>
        <w:rFonts w:hint="default"/>
      </w:rPr>
    </w:lvl>
    <w:lvl w:ilvl="3">
      <w:start w:val="0"/>
      <w:numFmt w:val="bullet"/>
      <w:lvlText w:val="•"/>
      <w:lvlJc w:val="left"/>
      <w:pPr>
        <w:ind w:left="4081" w:hanging="360"/>
      </w:pPr>
      <w:rPr>
        <w:rFonts w:hint="default"/>
      </w:rPr>
    </w:lvl>
    <w:lvl w:ilvl="4">
      <w:start w:val="0"/>
      <w:numFmt w:val="bullet"/>
      <w:lvlText w:val="•"/>
      <w:lvlJc w:val="left"/>
      <w:pPr>
        <w:ind w:left="4882" w:hanging="360"/>
      </w:pPr>
      <w:rPr>
        <w:rFonts w:hint="default"/>
      </w:rPr>
    </w:lvl>
    <w:lvl w:ilvl="5">
      <w:start w:val="0"/>
      <w:numFmt w:val="bullet"/>
      <w:lvlText w:val="•"/>
      <w:lvlJc w:val="left"/>
      <w:pPr>
        <w:ind w:left="5683" w:hanging="360"/>
      </w:pPr>
      <w:rPr>
        <w:rFonts w:hint="default"/>
      </w:rPr>
    </w:lvl>
    <w:lvl w:ilvl="6">
      <w:start w:val="0"/>
      <w:numFmt w:val="bullet"/>
      <w:lvlText w:val="•"/>
      <w:lvlJc w:val="left"/>
      <w:pPr>
        <w:ind w:left="6483" w:hanging="360"/>
      </w:pPr>
      <w:rPr>
        <w:rFonts w:hint="default"/>
      </w:rPr>
    </w:lvl>
    <w:lvl w:ilvl="7">
      <w:start w:val="0"/>
      <w:numFmt w:val="bullet"/>
      <w:lvlText w:val="•"/>
      <w:lvlJc w:val="left"/>
      <w:pPr>
        <w:ind w:left="7284" w:hanging="360"/>
      </w:pPr>
      <w:rPr>
        <w:rFonts w:hint="default"/>
      </w:rPr>
    </w:lvl>
    <w:lvl w:ilvl="8">
      <w:start w:val="0"/>
      <w:numFmt w:val="bullet"/>
      <w:lvlText w:val="•"/>
      <w:lvlJc w:val="left"/>
      <w:pPr>
        <w:ind w:left="8085" w:hanging="360"/>
      </w:pPr>
      <w:rPr>
        <w:rFonts w:hint="default"/>
      </w:rPr>
    </w:lvl>
  </w:abstractNum>
  <w:abstractNum w:abstractNumId="63">
    <w:multiLevelType w:val="hybridMultilevel"/>
    <w:lvl w:ilvl="0">
      <w:start w:val="1"/>
      <w:numFmt w:val="decimal"/>
      <w:lvlText w:val="%1)"/>
      <w:lvlJc w:val="left"/>
      <w:pPr>
        <w:ind w:left="1472" w:hanging="360"/>
        <w:jc w:val="left"/>
      </w:pPr>
      <w:rPr>
        <w:rFonts w:hint="default" w:ascii="Times New Roman" w:hAnsi="Times New Roman" w:eastAsia="Times New Roman" w:cs="Times New Roman"/>
        <w:spacing w:val="-29"/>
        <w:w w:val="100"/>
        <w:sz w:val="24"/>
        <w:szCs w:val="24"/>
      </w:rPr>
    </w:lvl>
    <w:lvl w:ilvl="1">
      <w:start w:val="1"/>
      <w:numFmt w:val="lowerLetter"/>
      <w:lvlText w:val="%2."/>
      <w:lvlJc w:val="left"/>
      <w:pPr>
        <w:ind w:left="2038" w:hanging="360"/>
        <w:jc w:val="right"/>
      </w:pPr>
      <w:rPr>
        <w:rFonts w:hint="default" w:ascii="Times New Roman" w:hAnsi="Times New Roman" w:eastAsia="Times New Roman" w:cs="Times New Roman"/>
        <w:spacing w:val="-4"/>
        <w:w w:val="100"/>
        <w:sz w:val="24"/>
        <w:szCs w:val="24"/>
      </w:rPr>
    </w:lvl>
    <w:lvl w:ilvl="2">
      <w:start w:val="0"/>
      <w:numFmt w:val="bullet"/>
      <w:lvlText w:val="•"/>
      <w:lvlJc w:val="left"/>
      <w:pPr>
        <w:ind w:left="2889" w:hanging="360"/>
      </w:pPr>
      <w:rPr>
        <w:rFonts w:hint="default"/>
      </w:rPr>
    </w:lvl>
    <w:lvl w:ilvl="3">
      <w:start w:val="0"/>
      <w:numFmt w:val="bullet"/>
      <w:lvlText w:val="•"/>
      <w:lvlJc w:val="left"/>
      <w:pPr>
        <w:ind w:left="3739"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8" w:hanging="360"/>
      </w:pPr>
      <w:rPr>
        <w:rFonts w:hint="default"/>
      </w:rPr>
    </w:lvl>
    <w:lvl w:ilvl="6">
      <w:start w:val="0"/>
      <w:numFmt w:val="bullet"/>
      <w:lvlText w:val="•"/>
      <w:lvlJc w:val="left"/>
      <w:pPr>
        <w:ind w:left="6288" w:hanging="360"/>
      </w:pPr>
      <w:rPr>
        <w:rFonts w:hint="default"/>
      </w:rPr>
    </w:lvl>
    <w:lvl w:ilvl="7">
      <w:start w:val="0"/>
      <w:numFmt w:val="bullet"/>
      <w:lvlText w:val="•"/>
      <w:lvlJc w:val="left"/>
      <w:pPr>
        <w:ind w:left="7137" w:hanging="360"/>
      </w:pPr>
      <w:rPr>
        <w:rFonts w:hint="default"/>
      </w:rPr>
    </w:lvl>
    <w:lvl w:ilvl="8">
      <w:start w:val="0"/>
      <w:numFmt w:val="bullet"/>
      <w:lvlText w:val="•"/>
      <w:lvlJc w:val="left"/>
      <w:pPr>
        <w:ind w:left="7987" w:hanging="360"/>
      </w:pPr>
      <w:rPr>
        <w:rFonts w:hint="default"/>
      </w:rPr>
    </w:lvl>
  </w:abstractNum>
  <w:abstractNum w:abstractNumId="62">
    <w:multiLevelType w:val="hybridMultilevel"/>
    <w:lvl w:ilvl="0">
      <w:start w:val="1"/>
      <w:numFmt w:val="lowerLetter"/>
      <w:lvlText w:val="%1."/>
      <w:lvlJc w:val="left"/>
      <w:pPr>
        <w:ind w:left="2060" w:hanging="360"/>
        <w:jc w:val="right"/>
      </w:pPr>
      <w:rPr>
        <w:rFonts w:hint="default" w:ascii="Times New Roman" w:hAnsi="Times New Roman" w:eastAsia="Times New Roman" w:cs="Times New Roman"/>
        <w:spacing w:val="-24"/>
        <w:w w:val="100"/>
        <w:sz w:val="24"/>
        <w:szCs w:val="24"/>
      </w:rPr>
    </w:lvl>
    <w:lvl w:ilvl="1">
      <w:start w:val="0"/>
      <w:numFmt w:val="bullet"/>
      <w:lvlText w:val="•"/>
      <w:lvlJc w:val="left"/>
      <w:pPr>
        <w:ind w:left="2822" w:hanging="360"/>
      </w:pPr>
      <w:rPr>
        <w:rFonts w:hint="default"/>
      </w:rPr>
    </w:lvl>
    <w:lvl w:ilvl="2">
      <w:start w:val="0"/>
      <w:numFmt w:val="bullet"/>
      <w:lvlText w:val="•"/>
      <w:lvlJc w:val="left"/>
      <w:pPr>
        <w:ind w:left="3585" w:hanging="360"/>
      </w:pPr>
      <w:rPr>
        <w:rFonts w:hint="default"/>
      </w:rPr>
    </w:lvl>
    <w:lvl w:ilvl="3">
      <w:start w:val="0"/>
      <w:numFmt w:val="bullet"/>
      <w:lvlText w:val="•"/>
      <w:lvlJc w:val="left"/>
      <w:pPr>
        <w:ind w:left="4347" w:hanging="360"/>
      </w:pPr>
      <w:rPr>
        <w:rFonts w:hint="default"/>
      </w:rPr>
    </w:lvl>
    <w:lvl w:ilvl="4">
      <w:start w:val="0"/>
      <w:numFmt w:val="bullet"/>
      <w:lvlText w:val="•"/>
      <w:lvlJc w:val="left"/>
      <w:pPr>
        <w:ind w:left="5110" w:hanging="360"/>
      </w:pPr>
      <w:rPr>
        <w:rFonts w:hint="default"/>
      </w:rPr>
    </w:lvl>
    <w:lvl w:ilvl="5">
      <w:start w:val="0"/>
      <w:numFmt w:val="bullet"/>
      <w:lvlText w:val="•"/>
      <w:lvlJc w:val="left"/>
      <w:pPr>
        <w:ind w:left="5873" w:hanging="360"/>
      </w:pPr>
      <w:rPr>
        <w:rFonts w:hint="default"/>
      </w:rPr>
    </w:lvl>
    <w:lvl w:ilvl="6">
      <w:start w:val="0"/>
      <w:numFmt w:val="bullet"/>
      <w:lvlText w:val="•"/>
      <w:lvlJc w:val="left"/>
      <w:pPr>
        <w:ind w:left="6635" w:hanging="360"/>
      </w:pPr>
      <w:rPr>
        <w:rFonts w:hint="default"/>
      </w:rPr>
    </w:lvl>
    <w:lvl w:ilvl="7">
      <w:start w:val="0"/>
      <w:numFmt w:val="bullet"/>
      <w:lvlText w:val="•"/>
      <w:lvlJc w:val="left"/>
      <w:pPr>
        <w:ind w:left="7398" w:hanging="360"/>
      </w:pPr>
      <w:rPr>
        <w:rFonts w:hint="default"/>
      </w:rPr>
    </w:lvl>
    <w:lvl w:ilvl="8">
      <w:start w:val="0"/>
      <w:numFmt w:val="bullet"/>
      <w:lvlText w:val="•"/>
      <w:lvlJc w:val="left"/>
      <w:pPr>
        <w:ind w:left="8161" w:hanging="360"/>
      </w:pPr>
      <w:rPr>
        <w:rFonts w:hint="default"/>
      </w:rPr>
    </w:lvl>
  </w:abstractNum>
  <w:abstractNum w:abstractNumId="61">
    <w:multiLevelType w:val="hybridMultilevel"/>
    <w:lvl w:ilvl="0">
      <w:start w:val="1"/>
      <w:numFmt w:val="decimal"/>
      <w:lvlText w:val="%1)"/>
      <w:lvlJc w:val="left"/>
      <w:pPr>
        <w:ind w:left="1700" w:hanging="360"/>
        <w:jc w:val="right"/>
      </w:pPr>
      <w:rPr>
        <w:rFonts w:hint="default" w:ascii="Times New Roman" w:hAnsi="Times New Roman" w:eastAsia="Times New Roman" w:cs="Times New Roman"/>
        <w:spacing w:val="-20"/>
        <w:w w:val="100"/>
        <w:sz w:val="24"/>
        <w:szCs w:val="24"/>
      </w:rPr>
    </w:lvl>
    <w:lvl w:ilvl="1">
      <w:start w:val="0"/>
      <w:numFmt w:val="bullet"/>
      <w:lvlText w:val="•"/>
      <w:lvlJc w:val="left"/>
      <w:pPr>
        <w:ind w:left="2498" w:hanging="360"/>
      </w:pPr>
      <w:rPr>
        <w:rFonts w:hint="default"/>
      </w:rPr>
    </w:lvl>
    <w:lvl w:ilvl="2">
      <w:start w:val="0"/>
      <w:numFmt w:val="bullet"/>
      <w:lvlText w:val="•"/>
      <w:lvlJc w:val="left"/>
      <w:pPr>
        <w:ind w:left="3297" w:hanging="360"/>
      </w:pPr>
      <w:rPr>
        <w:rFonts w:hint="default"/>
      </w:rPr>
    </w:lvl>
    <w:lvl w:ilvl="3">
      <w:start w:val="0"/>
      <w:numFmt w:val="bullet"/>
      <w:lvlText w:val="•"/>
      <w:lvlJc w:val="left"/>
      <w:pPr>
        <w:ind w:left="4095" w:hanging="360"/>
      </w:pPr>
      <w:rPr>
        <w:rFonts w:hint="default"/>
      </w:rPr>
    </w:lvl>
    <w:lvl w:ilvl="4">
      <w:start w:val="0"/>
      <w:numFmt w:val="bullet"/>
      <w:lvlText w:val="•"/>
      <w:lvlJc w:val="left"/>
      <w:pPr>
        <w:ind w:left="4894" w:hanging="360"/>
      </w:pPr>
      <w:rPr>
        <w:rFonts w:hint="default"/>
      </w:rPr>
    </w:lvl>
    <w:lvl w:ilvl="5">
      <w:start w:val="0"/>
      <w:numFmt w:val="bullet"/>
      <w:lvlText w:val="•"/>
      <w:lvlJc w:val="left"/>
      <w:pPr>
        <w:ind w:left="5693" w:hanging="360"/>
      </w:pPr>
      <w:rPr>
        <w:rFonts w:hint="default"/>
      </w:rPr>
    </w:lvl>
    <w:lvl w:ilvl="6">
      <w:start w:val="0"/>
      <w:numFmt w:val="bullet"/>
      <w:lvlText w:val="•"/>
      <w:lvlJc w:val="left"/>
      <w:pPr>
        <w:ind w:left="6491" w:hanging="360"/>
      </w:pPr>
      <w:rPr>
        <w:rFonts w:hint="default"/>
      </w:rPr>
    </w:lvl>
    <w:lvl w:ilvl="7">
      <w:start w:val="0"/>
      <w:numFmt w:val="bullet"/>
      <w:lvlText w:val="•"/>
      <w:lvlJc w:val="left"/>
      <w:pPr>
        <w:ind w:left="7290" w:hanging="360"/>
      </w:pPr>
      <w:rPr>
        <w:rFonts w:hint="default"/>
      </w:rPr>
    </w:lvl>
    <w:lvl w:ilvl="8">
      <w:start w:val="0"/>
      <w:numFmt w:val="bullet"/>
      <w:lvlText w:val="•"/>
      <w:lvlJc w:val="left"/>
      <w:pPr>
        <w:ind w:left="8089" w:hanging="360"/>
      </w:pPr>
      <w:rPr>
        <w:rFonts w:hint="default"/>
      </w:rPr>
    </w:lvl>
  </w:abstractNum>
  <w:abstractNum w:abstractNumId="60">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3"/>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59">
    <w:multiLevelType w:val="hybridMultilevel"/>
    <w:lvl w:ilvl="0">
      <w:start w:val="1"/>
      <w:numFmt w:val="decimal"/>
      <w:lvlText w:val="%1)"/>
      <w:lvlJc w:val="left"/>
      <w:pPr>
        <w:ind w:left="1896" w:hanging="570"/>
        <w:jc w:val="right"/>
      </w:pPr>
      <w:rPr>
        <w:rFonts w:hint="default" w:ascii="Times New Roman" w:hAnsi="Times New Roman" w:eastAsia="Times New Roman" w:cs="Times New Roman"/>
        <w:spacing w:val="-20"/>
        <w:w w:val="100"/>
        <w:sz w:val="24"/>
        <w:szCs w:val="24"/>
      </w:rPr>
    </w:lvl>
    <w:lvl w:ilvl="1">
      <w:start w:val="0"/>
      <w:numFmt w:val="bullet"/>
      <w:lvlText w:val="•"/>
      <w:lvlJc w:val="left"/>
      <w:pPr>
        <w:ind w:left="2678" w:hanging="570"/>
      </w:pPr>
      <w:rPr>
        <w:rFonts w:hint="default"/>
      </w:rPr>
    </w:lvl>
    <w:lvl w:ilvl="2">
      <w:start w:val="0"/>
      <w:numFmt w:val="bullet"/>
      <w:lvlText w:val="•"/>
      <w:lvlJc w:val="left"/>
      <w:pPr>
        <w:ind w:left="3457" w:hanging="570"/>
      </w:pPr>
      <w:rPr>
        <w:rFonts w:hint="default"/>
      </w:rPr>
    </w:lvl>
    <w:lvl w:ilvl="3">
      <w:start w:val="0"/>
      <w:numFmt w:val="bullet"/>
      <w:lvlText w:val="•"/>
      <w:lvlJc w:val="left"/>
      <w:pPr>
        <w:ind w:left="4235" w:hanging="570"/>
      </w:pPr>
      <w:rPr>
        <w:rFonts w:hint="default"/>
      </w:rPr>
    </w:lvl>
    <w:lvl w:ilvl="4">
      <w:start w:val="0"/>
      <w:numFmt w:val="bullet"/>
      <w:lvlText w:val="•"/>
      <w:lvlJc w:val="left"/>
      <w:pPr>
        <w:ind w:left="5014" w:hanging="570"/>
      </w:pPr>
      <w:rPr>
        <w:rFonts w:hint="default"/>
      </w:rPr>
    </w:lvl>
    <w:lvl w:ilvl="5">
      <w:start w:val="0"/>
      <w:numFmt w:val="bullet"/>
      <w:lvlText w:val="•"/>
      <w:lvlJc w:val="left"/>
      <w:pPr>
        <w:ind w:left="5793" w:hanging="570"/>
      </w:pPr>
      <w:rPr>
        <w:rFonts w:hint="default"/>
      </w:rPr>
    </w:lvl>
    <w:lvl w:ilvl="6">
      <w:start w:val="0"/>
      <w:numFmt w:val="bullet"/>
      <w:lvlText w:val="•"/>
      <w:lvlJc w:val="left"/>
      <w:pPr>
        <w:ind w:left="6571" w:hanging="570"/>
      </w:pPr>
      <w:rPr>
        <w:rFonts w:hint="default"/>
      </w:rPr>
    </w:lvl>
    <w:lvl w:ilvl="7">
      <w:start w:val="0"/>
      <w:numFmt w:val="bullet"/>
      <w:lvlText w:val="•"/>
      <w:lvlJc w:val="left"/>
      <w:pPr>
        <w:ind w:left="7350" w:hanging="570"/>
      </w:pPr>
      <w:rPr>
        <w:rFonts w:hint="default"/>
      </w:rPr>
    </w:lvl>
    <w:lvl w:ilvl="8">
      <w:start w:val="0"/>
      <w:numFmt w:val="bullet"/>
      <w:lvlText w:val="•"/>
      <w:lvlJc w:val="left"/>
      <w:pPr>
        <w:ind w:left="8129" w:hanging="570"/>
      </w:pPr>
      <w:rPr>
        <w:rFonts w:hint="default"/>
      </w:rPr>
    </w:lvl>
  </w:abstractNum>
  <w:abstractNum w:abstractNumId="58">
    <w:multiLevelType w:val="hybridMultilevel"/>
    <w:lvl w:ilvl="0">
      <w:start w:val="1"/>
      <w:numFmt w:val="decimal"/>
      <w:lvlText w:val="%1)"/>
      <w:lvlJc w:val="left"/>
      <w:pPr>
        <w:ind w:left="1896" w:hanging="569"/>
        <w:jc w:val="left"/>
      </w:pPr>
      <w:rPr>
        <w:rFonts w:hint="default" w:ascii="Times New Roman" w:hAnsi="Times New Roman" w:eastAsia="Times New Roman" w:cs="Times New Roman"/>
        <w:spacing w:val="-24"/>
        <w:w w:val="100"/>
        <w:sz w:val="24"/>
        <w:szCs w:val="24"/>
      </w:rPr>
    </w:lvl>
    <w:lvl w:ilvl="1">
      <w:start w:val="0"/>
      <w:numFmt w:val="bullet"/>
      <w:lvlText w:val="•"/>
      <w:lvlJc w:val="left"/>
      <w:pPr>
        <w:ind w:left="2678" w:hanging="569"/>
      </w:pPr>
      <w:rPr>
        <w:rFonts w:hint="default"/>
      </w:rPr>
    </w:lvl>
    <w:lvl w:ilvl="2">
      <w:start w:val="0"/>
      <w:numFmt w:val="bullet"/>
      <w:lvlText w:val="•"/>
      <w:lvlJc w:val="left"/>
      <w:pPr>
        <w:ind w:left="3457" w:hanging="569"/>
      </w:pPr>
      <w:rPr>
        <w:rFonts w:hint="default"/>
      </w:rPr>
    </w:lvl>
    <w:lvl w:ilvl="3">
      <w:start w:val="0"/>
      <w:numFmt w:val="bullet"/>
      <w:lvlText w:val="•"/>
      <w:lvlJc w:val="left"/>
      <w:pPr>
        <w:ind w:left="4235" w:hanging="569"/>
      </w:pPr>
      <w:rPr>
        <w:rFonts w:hint="default"/>
      </w:rPr>
    </w:lvl>
    <w:lvl w:ilvl="4">
      <w:start w:val="0"/>
      <w:numFmt w:val="bullet"/>
      <w:lvlText w:val="•"/>
      <w:lvlJc w:val="left"/>
      <w:pPr>
        <w:ind w:left="5014" w:hanging="569"/>
      </w:pPr>
      <w:rPr>
        <w:rFonts w:hint="default"/>
      </w:rPr>
    </w:lvl>
    <w:lvl w:ilvl="5">
      <w:start w:val="0"/>
      <w:numFmt w:val="bullet"/>
      <w:lvlText w:val="•"/>
      <w:lvlJc w:val="left"/>
      <w:pPr>
        <w:ind w:left="5793" w:hanging="569"/>
      </w:pPr>
      <w:rPr>
        <w:rFonts w:hint="default"/>
      </w:rPr>
    </w:lvl>
    <w:lvl w:ilvl="6">
      <w:start w:val="0"/>
      <w:numFmt w:val="bullet"/>
      <w:lvlText w:val="•"/>
      <w:lvlJc w:val="left"/>
      <w:pPr>
        <w:ind w:left="6571" w:hanging="569"/>
      </w:pPr>
      <w:rPr>
        <w:rFonts w:hint="default"/>
      </w:rPr>
    </w:lvl>
    <w:lvl w:ilvl="7">
      <w:start w:val="0"/>
      <w:numFmt w:val="bullet"/>
      <w:lvlText w:val="•"/>
      <w:lvlJc w:val="left"/>
      <w:pPr>
        <w:ind w:left="7350" w:hanging="569"/>
      </w:pPr>
      <w:rPr>
        <w:rFonts w:hint="default"/>
      </w:rPr>
    </w:lvl>
    <w:lvl w:ilvl="8">
      <w:start w:val="0"/>
      <w:numFmt w:val="bullet"/>
      <w:lvlText w:val="•"/>
      <w:lvlJc w:val="left"/>
      <w:pPr>
        <w:ind w:left="8129" w:hanging="569"/>
      </w:pPr>
      <w:rPr>
        <w:rFonts w:hint="default"/>
      </w:rPr>
    </w:lvl>
  </w:abstractNum>
  <w:abstractNum w:abstractNumId="57">
    <w:multiLevelType w:val="hybridMultilevel"/>
    <w:lvl w:ilvl="0">
      <w:start w:val="1"/>
      <w:numFmt w:val="lowerLetter"/>
      <w:lvlText w:val="(%1)"/>
      <w:lvlJc w:val="left"/>
      <w:pPr>
        <w:ind w:left="533" w:hanging="27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454" w:hanging="274"/>
      </w:pPr>
      <w:rPr>
        <w:rFonts w:hint="default"/>
      </w:rPr>
    </w:lvl>
    <w:lvl w:ilvl="2">
      <w:start w:val="0"/>
      <w:numFmt w:val="bullet"/>
      <w:lvlText w:val="•"/>
      <w:lvlJc w:val="left"/>
      <w:pPr>
        <w:ind w:left="2369" w:hanging="274"/>
      </w:pPr>
      <w:rPr>
        <w:rFonts w:hint="default"/>
      </w:rPr>
    </w:lvl>
    <w:lvl w:ilvl="3">
      <w:start w:val="0"/>
      <w:numFmt w:val="bullet"/>
      <w:lvlText w:val="•"/>
      <w:lvlJc w:val="left"/>
      <w:pPr>
        <w:ind w:left="3283" w:hanging="274"/>
      </w:pPr>
      <w:rPr>
        <w:rFonts w:hint="default"/>
      </w:rPr>
    </w:lvl>
    <w:lvl w:ilvl="4">
      <w:start w:val="0"/>
      <w:numFmt w:val="bullet"/>
      <w:lvlText w:val="•"/>
      <w:lvlJc w:val="left"/>
      <w:pPr>
        <w:ind w:left="4198" w:hanging="274"/>
      </w:pPr>
      <w:rPr>
        <w:rFonts w:hint="default"/>
      </w:rPr>
    </w:lvl>
    <w:lvl w:ilvl="5">
      <w:start w:val="0"/>
      <w:numFmt w:val="bullet"/>
      <w:lvlText w:val="•"/>
      <w:lvlJc w:val="left"/>
      <w:pPr>
        <w:ind w:left="5113" w:hanging="274"/>
      </w:pPr>
      <w:rPr>
        <w:rFonts w:hint="default"/>
      </w:rPr>
    </w:lvl>
    <w:lvl w:ilvl="6">
      <w:start w:val="0"/>
      <w:numFmt w:val="bullet"/>
      <w:lvlText w:val="•"/>
      <w:lvlJc w:val="left"/>
      <w:pPr>
        <w:ind w:left="6027" w:hanging="274"/>
      </w:pPr>
      <w:rPr>
        <w:rFonts w:hint="default"/>
      </w:rPr>
    </w:lvl>
    <w:lvl w:ilvl="7">
      <w:start w:val="0"/>
      <w:numFmt w:val="bullet"/>
      <w:lvlText w:val="•"/>
      <w:lvlJc w:val="left"/>
      <w:pPr>
        <w:ind w:left="6942" w:hanging="274"/>
      </w:pPr>
      <w:rPr>
        <w:rFonts w:hint="default"/>
      </w:rPr>
    </w:lvl>
    <w:lvl w:ilvl="8">
      <w:start w:val="0"/>
      <w:numFmt w:val="bullet"/>
      <w:lvlText w:val="•"/>
      <w:lvlJc w:val="left"/>
      <w:pPr>
        <w:ind w:left="7857" w:hanging="274"/>
      </w:pPr>
      <w:rPr>
        <w:rFonts w:hint="default"/>
      </w:rPr>
    </w:lvl>
  </w:abstractNum>
  <w:abstractNum w:abstractNumId="56">
    <w:multiLevelType w:val="hybridMultilevel"/>
    <w:lvl w:ilvl="0">
      <w:start w:val="0"/>
      <w:numFmt w:val="bullet"/>
      <w:lvlText w:val="–"/>
      <w:lvlJc w:val="left"/>
      <w:pPr>
        <w:ind w:left="260" w:hanging="180"/>
      </w:pPr>
      <w:rPr>
        <w:rFonts w:hint="default" w:ascii="Times New Roman" w:hAnsi="Times New Roman" w:eastAsia="Times New Roman" w:cs="Times New Roman"/>
        <w:spacing w:val="-29"/>
        <w:w w:val="100"/>
        <w:sz w:val="24"/>
        <w:szCs w:val="24"/>
      </w:rPr>
    </w:lvl>
    <w:lvl w:ilvl="1">
      <w:start w:val="0"/>
      <w:numFmt w:val="bullet"/>
      <w:lvlText w:val="•"/>
      <w:lvlJc w:val="left"/>
      <w:pPr>
        <w:ind w:left="1202" w:hanging="180"/>
      </w:pPr>
      <w:rPr>
        <w:rFonts w:hint="default"/>
      </w:rPr>
    </w:lvl>
    <w:lvl w:ilvl="2">
      <w:start w:val="0"/>
      <w:numFmt w:val="bullet"/>
      <w:lvlText w:val="•"/>
      <w:lvlJc w:val="left"/>
      <w:pPr>
        <w:ind w:left="2145" w:hanging="180"/>
      </w:pPr>
      <w:rPr>
        <w:rFonts w:hint="default"/>
      </w:rPr>
    </w:lvl>
    <w:lvl w:ilvl="3">
      <w:start w:val="0"/>
      <w:numFmt w:val="bullet"/>
      <w:lvlText w:val="•"/>
      <w:lvlJc w:val="left"/>
      <w:pPr>
        <w:ind w:left="3087" w:hanging="180"/>
      </w:pPr>
      <w:rPr>
        <w:rFonts w:hint="default"/>
      </w:rPr>
    </w:lvl>
    <w:lvl w:ilvl="4">
      <w:start w:val="0"/>
      <w:numFmt w:val="bullet"/>
      <w:lvlText w:val="•"/>
      <w:lvlJc w:val="left"/>
      <w:pPr>
        <w:ind w:left="4030" w:hanging="180"/>
      </w:pPr>
      <w:rPr>
        <w:rFonts w:hint="default"/>
      </w:rPr>
    </w:lvl>
    <w:lvl w:ilvl="5">
      <w:start w:val="0"/>
      <w:numFmt w:val="bullet"/>
      <w:lvlText w:val="•"/>
      <w:lvlJc w:val="left"/>
      <w:pPr>
        <w:ind w:left="4973" w:hanging="180"/>
      </w:pPr>
      <w:rPr>
        <w:rFonts w:hint="default"/>
      </w:rPr>
    </w:lvl>
    <w:lvl w:ilvl="6">
      <w:start w:val="0"/>
      <w:numFmt w:val="bullet"/>
      <w:lvlText w:val="•"/>
      <w:lvlJc w:val="left"/>
      <w:pPr>
        <w:ind w:left="5915" w:hanging="180"/>
      </w:pPr>
      <w:rPr>
        <w:rFonts w:hint="default"/>
      </w:rPr>
    </w:lvl>
    <w:lvl w:ilvl="7">
      <w:start w:val="0"/>
      <w:numFmt w:val="bullet"/>
      <w:lvlText w:val="•"/>
      <w:lvlJc w:val="left"/>
      <w:pPr>
        <w:ind w:left="6858" w:hanging="180"/>
      </w:pPr>
      <w:rPr>
        <w:rFonts w:hint="default"/>
      </w:rPr>
    </w:lvl>
    <w:lvl w:ilvl="8">
      <w:start w:val="0"/>
      <w:numFmt w:val="bullet"/>
      <w:lvlText w:val="•"/>
      <w:lvlJc w:val="left"/>
      <w:pPr>
        <w:ind w:left="7801" w:hanging="180"/>
      </w:pPr>
      <w:rPr>
        <w:rFonts w:hint="default"/>
      </w:rPr>
    </w:lvl>
  </w:abstractNum>
  <w:abstractNum w:abstractNumId="55">
    <w:multiLevelType w:val="hybridMultilevel"/>
    <w:lvl w:ilvl="0">
      <w:start w:val="1"/>
      <w:numFmt w:val="upperLetter"/>
      <w:lvlText w:val="%1."/>
      <w:lvlJc w:val="left"/>
      <w:pPr>
        <w:ind w:left="1047" w:hanging="360"/>
        <w:jc w:val="right"/>
      </w:pPr>
      <w:rPr>
        <w:rFonts w:hint="default" w:ascii="Times New Roman" w:hAnsi="Times New Roman" w:eastAsia="Times New Roman" w:cs="Times New Roman"/>
        <w:b/>
        <w:bCs/>
        <w:i/>
        <w:spacing w:val="-5"/>
        <w:w w:val="100"/>
        <w:sz w:val="24"/>
        <w:szCs w:val="24"/>
      </w:rPr>
    </w:lvl>
    <w:lvl w:ilvl="1">
      <w:start w:val="1"/>
      <w:numFmt w:val="decimal"/>
      <w:lvlText w:val="%2."/>
      <w:lvlJc w:val="left"/>
      <w:pPr>
        <w:ind w:left="2780" w:hanging="360"/>
        <w:jc w:val="left"/>
      </w:pPr>
      <w:rPr>
        <w:rFonts w:hint="default" w:ascii="Times New Roman" w:hAnsi="Times New Roman" w:eastAsia="Times New Roman" w:cs="Times New Roman"/>
        <w:spacing w:val="-3"/>
        <w:w w:val="100"/>
        <w:sz w:val="24"/>
        <w:szCs w:val="24"/>
      </w:rPr>
    </w:lvl>
    <w:lvl w:ilvl="2">
      <w:start w:val="1"/>
      <w:numFmt w:val="decimal"/>
      <w:lvlText w:val="%3)"/>
      <w:lvlJc w:val="left"/>
      <w:pPr>
        <w:ind w:left="1340" w:hanging="360"/>
        <w:jc w:val="left"/>
      </w:pPr>
      <w:rPr>
        <w:rFonts w:hint="default" w:ascii="Times New Roman" w:hAnsi="Times New Roman" w:eastAsia="Times New Roman" w:cs="Times New Roman"/>
        <w:spacing w:val="-20"/>
        <w:w w:val="100"/>
        <w:sz w:val="24"/>
        <w:szCs w:val="24"/>
      </w:rPr>
    </w:lvl>
    <w:lvl w:ilvl="3">
      <w:start w:val="1"/>
      <w:numFmt w:val="lowerLetter"/>
      <w:lvlText w:val="%4)"/>
      <w:lvlJc w:val="left"/>
      <w:pPr>
        <w:ind w:left="1820" w:hanging="428"/>
        <w:jc w:val="left"/>
      </w:pPr>
      <w:rPr>
        <w:rFonts w:hint="default" w:ascii="Times New Roman" w:hAnsi="Times New Roman" w:eastAsia="Times New Roman" w:cs="Times New Roman"/>
        <w:spacing w:val="-12"/>
        <w:w w:val="100"/>
        <w:sz w:val="24"/>
        <w:szCs w:val="24"/>
      </w:rPr>
    </w:lvl>
    <w:lvl w:ilvl="4">
      <w:start w:val="0"/>
      <w:numFmt w:val="bullet"/>
      <w:lvlText w:val="•"/>
      <w:lvlJc w:val="left"/>
      <w:pPr>
        <w:ind w:left="1760" w:hanging="428"/>
      </w:pPr>
      <w:rPr>
        <w:rFonts w:hint="default"/>
      </w:rPr>
    </w:lvl>
    <w:lvl w:ilvl="5">
      <w:start w:val="0"/>
      <w:numFmt w:val="bullet"/>
      <w:lvlText w:val="•"/>
      <w:lvlJc w:val="left"/>
      <w:pPr>
        <w:ind w:left="1820" w:hanging="428"/>
      </w:pPr>
      <w:rPr>
        <w:rFonts w:hint="default"/>
      </w:rPr>
    </w:lvl>
    <w:lvl w:ilvl="6">
      <w:start w:val="0"/>
      <w:numFmt w:val="bullet"/>
      <w:lvlText w:val="•"/>
      <w:lvlJc w:val="left"/>
      <w:pPr>
        <w:ind w:left="2780" w:hanging="428"/>
      </w:pPr>
      <w:rPr>
        <w:rFonts w:hint="default"/>
      </w:rPr>
    </w:lvl>
    <w:lvl w:ilvl="7">
      <w:start w:val="0"/>
      <w:numFmt w:val="bullet"/>
      <w:lvlText w:val="•"/>
      <w:lvlJc w:val="left"/>
      <w:pPr>
        <w:ind w:left="4506" w:hanging="428"/>
      </w:pPr>
      <w:rPr>
        <w:rFonts w:hint="default"/>
      </w:rPr>
    </w:lvl>
    <w:lvl w:ilvl="8">
      <w:start w:val="0"/>
      <w:numFmt w:val="bullet"/>
      <w:lvlText w:val="•"/>
      <w:lvlJc w:val="left"/>
      <w:pPr>
        <w:ind w:left="6233" w:hanging="428"/>
      </w:pPr>
      <w:rPr>
        <w:rFonts w:hint="default"/>
      </w:rPr>
    </w:lvl>
  </w:abstractNum>
  <w:abstractNum w:abstractNumId="54">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1"/>
      <w:numFmt w:val="lowerLetter"/>
      <w:lvlText w:val="%2)"/>
      <w:lvlJc w:val="left"/>
      <w:pPr>
        <w:ind w:left="1700" w:hanging="360"/>
        <w:jc w:val="left"/>
      </w:pPr>
      <w:rPr>
        <w:rFonts w:hint="default" w:ascii="Times New Roman" w:hAnsi="Times New Roman" w:eastAsia="Times New Roman" w:cs="Times New Roman"/>
        <w:spacing w:val="-22"/>
        <w:w w:val="100"/>
        <w:sz w:val="24"/>
        <w:szCs w:val="24"/>
      </w:rPr>
    </w:lvl>
    <w:lvl w:ilvl="2">
      <w:start w:val="0"/>
      <w:numFmt w:val="bullet"/>
      <w:lvlText w:val="•"/>
      <w:lvlJc w:val="left"/>
      <w:pPr>
        <w:ind w:left="2587" w:hanging="360"/>
      </w:pPr>
      <w:rPr>
        <w:rFonts w:hint="default"/>
      </w:rPr>
    </w:lvl>
    <w:lvl w:ilvl="3">
      <w:start w:val="0"/>
      <w:numFmt w:val="bullet"/>
      <w:lvlText w:val="•"/>
      <w:lvlJc w:val="left"/>
      <w:pPr>
        <w:ind w:left="3474" w:hanging="360"/>
      </w:pPr>
      <w:rPr>
        <w:rFonts w:hint="default"/>
      </w:rPr>
    </w:lvl>
    <w:lvl w:ilvl="4">
      <w:start w:val="0"/>
      <w:numFmt w:val="bullet"/>
      <w:lvlText w:val="•"/>
      <w:lvlJc w:val="left"/>
      <w:pPr>
        <w:ind w:left="4362" w:hanging="360"/>
      </w:pPr>
      <w:rPr>
        <w:rFonts w:hint="default"/>
      </w:rPr>
    </w:lvl>
    <w:lvl w:ilvl="5">
      <w:start w:val="0"/>
      <w:numFmt w:val="bullet"/>
      <w:lvlText w:val="•"/>
      <w:lvlJc w:val="left"/>
      <w:pPr>
        <w:ind w:left="5249" w:hanging="360"/>
      </w:pPr>
      <w:rPr>
        <w:rFonts w:hint="default"/>
      </w:rPr>
    </w:lvl>
    <w:lvl w:ilvl="6">
      <w:start w:val="0"/>
      <w:numFmt w:val="bullet"/>
      <w:lvlText w:val="•"/>
      <w:lvlJc w:val="left"/>
      <w:pPr>
        <w:ind w:left="6136" w:hanging="360"/>
      </w:pPr>
      <w:rPr>
        <w:rFonts w:hint="default"/>
      </w:rPr>
    </w:lvl>
    <w:lvl w:ilvl="7">
      <w:start w:val="0"/>
      <w:numFmt w:val="bullet"/>
      <w:lvlText w:val="•"/>
      <w:lvlJc w:val="left"/>
      <w:pPr>
        <w:ind w:left="7024" w:hanging="360"/>
      </w:pPr>
      <w:rPr>
        <w:rFonts w:hint="default"/>
      </w:rPr>
    </w:lvl>
    <w:lvl w:ilvl="8">
      <w:start w:val="0"/>
      <w:numFmt w:val="bullet"/>
      <w:lvlText w:val="•"/>
      <w:lvlJc w:val="left"/>
      <w:pPr>
        <w:ind w:left="7911" w:hanging="360"/>
      </w:pPr>
      <w:rPr>
        <w:rFonts w:hint="default"/>
      </w:rPr>
    </w:lvl>
  </w:abstractNum>
  <w:abstractNum w:abstractNumId="53">
    <w:multiLevelType w:val="hybridMultilevel"/>
    <w:lvl w:ilvl="0">
      <w:start w:val="1"/>
      <w:numFmt w:val="decimal"/>
      <w:lvlText w:val="%1"/>
      <w:lvlJc w:val="left"/>
      <w:pPr>
        <w:ind w:left="1341" w:hanging="362"/>
        <w:jc w:val="left"/>
      </w:pPr>
      <w:rPr>
        <w:rFonts w:hint="default"/>
      </w:rPr>
    </w:lvl>
    <w:lvl w:ilvl="1">
      <w:start w:val="1"/>
      <w:numFmt w:val="decimal"/>
      <w:lvlText w:val="%1.%2."/>
      <w:lvlJc w:val="left"/>
      <w:pPr>
        <w:ind w:left="1341" w:hanging="362"/>
        <w:jc w:val="right"/>
      </w:pPr>
      <w:rPr>
        <w:rFonts w:hint="default" w:ascii="Times New Roman" w:hAnsi="Times New Roman" w:eastAsia="Times New Roman" w:cs="Times New Roman"/>
        <w:b/>
        <w:bCs/>
        <w:i/>
        <w:w w:val="100"/>
        <w:sz w:val="22"/>
        <w:szCs w:val="22"/>
      </w:rPr>
    </w:lvl>
    <w:lvl w:ilvl="2">
      <w:start w:val="1"/>
      <w:numFmt w:val="decimal"/>
      <w:lvlText w:val="%3."/>
      <w:lvlJc w:val="left"/>
      <w:pPr>
        <w:ind w:left="1700" w:hanging="360"/>
        <w:jc w:val="left"/>
      </w:pPr>
      <w:rPr>
        <w:rFonts w:hint="default" w:ascii="Times New Roman" w:hAnsi="Times New Roman" w:eastAsia="Times New Roman" w:cs="Times New Roman"/>
        <w:spacing w:val="-4"/>
        <w:w w:val="100"/>
        <w:sz w:val="24"/>
        <w:szCs w:val="24"/>
      </w:rPr>
    </w:lvl>
    <w:lvl w:ilvl="3">
      <w:start w:val="0"/>
      <w:numFmt w:val="bullet"/>
      <w:lvlText w:val="•"/>
      <w:lvlJc w:val="left"/>
      <w:pPr>
        <w:ind w:left="3474" w:hanging="360"/>
      </w:pPr>
      <w:rPr>
        <w:rFonts w:hint="default"/>
      </w:rPr>
    </w:lvl>
    <w:lvl w:ilvl="4">
      <w:start w:val="0"/>
      <w:numFmt w:val="bullet"/>
      <w:lvlText w:val="•"/>
      <w:lvlJc w:val="left"/>
      <w:pPr>
        <w:ind w:left="4362" w:hanging="360"/>
      </w:pPr>
      <w:rPr>
        <w:rFonts w:hint="default"/>
      </w:rPr>
    </w:lvl>
    <w:lvl w:ilvl="5">
      <w:start w:val="0"/>
      <w:numFmt w:val="bullet"/>
      <w:lvlText w:val="•"/>
      <w:lvlJc w:val="left"/>
      <w:pPr>
        <w:ind w:left="5249" w:hanging="360"/>
      </w:pPr>
      <w:rPr>
        <w:rFonts w:hint="default"/>
      </w:rPr>
    </w:lvl>
    <w:lvl w:ilvl="6">
      <w:start w:val="0"/>
      <w:numFmt w:val="bullet"/>
      <w:lvlText w:val="•"/>
      <w:lvlJc w:val="left"/>
      <w:pPr>
        <w:ind w:left="6136" w:hanging="360"/>
      </w:pPr>
      <w:rPr>
        <w:rFonts w:hint="default"/>
      </w:rPr>
    </w:lvl>
    <w:lvl w:ilvl="7">
      <w:start w:val="0"/>
      <w:numFmt w:val="bullet"/>
      <w:lvlText w:val="•"/>
      <w:lvlJc w:val="left"/>
      <w:pPr>
        <w:ind w:left="7024" w:hanging="360"/>
      </w:pPr>
      <w:rPr>
        <w:rFonts w:hint="default"/>
      </w:rPr>
    </w:lvl>
    <w:lvl w:ilvl="8">
      <w:start w:val="0"/>
      <w:numFmt w:val="bullet"/>
      <w:lvlText w:val="•"/>
      <w:lvlJc w:val="left"/>
      <w:pPr>
        <w:ind w:left="7911" w:hanging="360"/>
      </w:pPr>
      <w:rPr>
        <w:rFonts w:hint="default"/>
      </w:rPr>
    </w:lvl>
  </w:abstractNum>
  <w:abstractNum w:abstractNumId="52">
    <w:multiLevelType w:val="hybridMultilevel"/>
    <w:lvl w:ilvl="0">
      <w:start w:val="1"/>
      <w:numFmt w:val="decimal"/>
      <w:lvlText w:val="%1)"/>
      <w:lvlJc w:val="left"/>
      <w:pPr>
        <w:ind w:left="1047"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1904" w:hanging="360"/>
      </w:pPr>
      <w:rPr>
        <w:rFonts w:hint="default"/>
      </w:rPr>
    </w:lvl>
    <w:lvl w:ilvl="2">
      <w:start w:val="0"/>
      <w:numFmt w:val="bullet"/>
      <w:lvlText w:val="•"/>
      <w:lvlJc w:val="left"/>
      <w:pPr>
        <w:ind w:left="2769" w:hanging="360"/>
      </w:pPr>
      <w:rPr>
        <w:rFonts w:hint="default"/>
      </w:rPr>
    </w:lvl>
    <w:lvl w:ilvl="3">
      <w:start w:val="0"/>
      <w:numFmt w:val="bullet"/>
      <w:lvlText w:val="•"/>
      <w:lvlJc w:val="left"/>
      <w:pPr>
        <w:ind w:left="3633" w:hanging="360"/>
      </w:pPr>
      <w:rPr>
        <w:rFonts w:hint="default"/>
      </w:rPr>
    </w:lvl>
    <w:lvl w:ilvl="4">
      <w:start w:val="0"/>
      <w:numFmt w:val="bullet"/>
      <w:lvlText w:val="•"/>
      <w:lvlJc w:val="left"/>
      <w:pPr>
        <w:ind w:left="4498" w:hanging="360"/>
      </w:pPr>
      <w:rPr>
        <w:rFonts w:hint="default"/>
      </w:rPr>
    </w:lvl>
    <w:lvl w:ilvl="5">
      <w:start w:val="0"/>
      <w:numFmt w:val="bullet"/>
      <w:lvlText w:val="•"/>
      <w:lvlJc w:val="left"/>
      <w:pPr>
        <w:ind w:left="5363" w:hanging="360"/>
      </w:pPr>
      <w:rPr>
        <w:rFonts w:hint="default"/>
      </w:rPr>
    </w:lvl>
    <w:lvl w:ilvl="6">
      <w:start w:val="0"/>
      <w:numFmt w:val="bullet"/>
      <w:lvlText w:val="•"/>
      <w:lvlJc w:val="left"/>
      <w:pPr>
        <w:ind w:left="6227" w:hanging="360"/>
      </w:pPr>
      <w:rPr>
        <w:rFonts w:hint="default"/>
      </w:rPr>
    </w:lvl>
    <w:lvl w:ilvl="7">
      <w:start w:val="0"/>
      <w:numFmt w:val="bullet"/>
      <w:lvlText w:val="•"/>
      <w:lvlJc w:val="left"/>
      <w:pPr>
        <w:ind w:left="7092" w:hanging="360"/>
      </w:pPr>
      <w:rPr>
        <w:rFonts w:hint="default"/>
      </w:rPr>
    </w:lvl>
    <w:lvl w:ilvl="8">
      <w:start w:val="0"/>
      <w:numFmt w:val="bullet"/>
      <w:lvlText w:val="•"/>
      <w:lvlJc w:val="left"/>
      <w:pPr>
        <w:ind w:left="7957" w:hanging="360"/>
      </w:pPr>
      <w:rPr>
        <w:rFonts w:hint="default"/>
      </w:rPr>
    </w:lvl>
  </w:abstractNum>
  <w:abstractNum w:abstractNumId="51">
    <w:multiLevelType w:val="hybridMultilevel"/>
    <w:lvl w:ilvl="0">
      <w:start w:val="1"/>
      <w:numFmt w:val="decimal"/>
      <w:lvlText w:val="%1)"/>
      <w:lvlJc w:val="left"/>
      <w:pPr>
        <w:ind w:left="1253" w:hanging="569"/>
        <w:jc w:val="right"/>
      </w:pPr>
      <w:rPr>
        <w:rFonts w:hint="default" w:ascii="Times New Roman" w:hAnsi="Times New Roman" w:eastAsia="Times New Roman" w:cs="Times New Roman"/>
        <w:spacing w:val="-7"/>
        <w:w w:val="100"/>
        <w:sz w:val="24"/>
        <w:szCs w:val="24"/>
      </w:rPr>
    </w:lvl>
    <w:lvl w:ilvl="1">
      <w:start w:val="0"/>
      <w:numFmt w:val="bullet"/>
      <w:lvlText w:val="•"/>
      <w:lvlJc w:val="left"/>
      <w:pPr>
        <w:ind w:left="2102" w:hanging="569"/>
      </w:pPr>
      <w:rPr>
        <w:rFonts w:hint="default"/>
      </w:rPr>
    </w:lvl>
    <w:lvl w:ilvl="2">
      <w:start w:val="0"/>
      <w:numFmt w:val="bullet"/>
      <w:lvlText w:val="•"/>
      <w:lvlJc w:val="left"/>
      <w:pPr>
        <w:ind w:left="2945" w:hanging="569"/>
      </w:pPr>
      <w:rPr>
        <w:rFonts w:hint="default"/>
      </w:rPr>
    </w:lvl>
    <w:lvl w:ilvl="3">
      <w:start w:val="0"/>
      <w:numFmt w:val="bullet"/>
      <w:lvlText w:val="•"/>
      <w:lvlJc w:val="left"/>
      <w:pPr>
        <w:ind w:left="3787" w:hanging="569"/>
      </w:pPr>
      <w:rPr>
        <w:rFonts w:hint="default"/>
      </w:rPr>
    </w:lvl>
    <w:lvl w:ilvl="4">
      <w:start w:val="0"/>
      <w:numFmt w:val="bullet"/>
      <w:lvlText w:val="•"/>
      <w:lvlJc w:val="left"/>
      <w:pPr>
        <w:ind w:left="4630" w:hanging="569"/>
      </w:pPr>
      <w:rPr>
        <w:rFonts w:hint="default"/>
      </w:rPr>
    </w:lvl>
    <w:lvl w:ilvl="5">
      <w:start w:val="0"/>
      <w:numFmt w:val="bullet"/>
      <w:lvlText w:val="•"/>
      <w:lvlJc w:val="left"/>
      <w:pPr>
        <w:ind w:left="5473" w:hanging="569"/>
      </w:pPr>
      <w:rPr>
        <w:rFonts w:hint="default"/>
      </w:rPr>
    </w:lvl>
    <w:lvl w:ilvl="6">
      <w:start w:val="0"/>
      <w:numFmt w:val="bullet"/>
      <w:lvlText w:val="•"/>
      <w:lvlJc w:val="left"/>
      <w:pPr>
        <w:ind w:left="6315" w:hanging="569"/>
      </w:pPr>
      <w:rPr>
        <w:rFonts w:hint="default"/>
      </w:rPr>
    </w:lvl>
    <w:lvl w:ilvl="7">
      <w:start w:val="0"/>
      <w:numFmt w:val="bullet"/>
      <w:lvlText w:val="•"/>
      <w:lvlJc w:val="left"/>
      <w:pPr>
        <w:ind w:left="7158" w:hanging="569"/>
      </w:pPr>
      <w:rPr>
        <w:rFonts w:hint="default"/>
      </w:rPr>
    </w:lvl>
    <w:lvl w:ilvl="8">
      <w:start w:val="0"/>
      <w:numFmt w:val="bullet"/>
      <w:lvlText w:val="•"/>
      <w:lvlJc w:val="left"/>
      <w:pPr>
        <w:ind w:left="8001" w:hanging="569"/>
      </w:pPr>
      <w:rPr>
        <w:rFonts w:hint="default"/>
      </w:rPr>
    </w:lvl>
  </w:abstractNum>
  <w:abstractNum w:abstractNumId="50">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9"/>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49">
    <w:multiLevelType w:val="hybridMultilevel"/>
    <w:lvl w:ilvl="0">
      <w:start w:val="1"/>
      <w:numFmt w:val="decimal"/>
      <w:lvlText w:val="%1."/>
      <w:lvlJc w:val="left"/>
      <w:pPr>
        <w:ind w:left="260" w:hanging="240"/>
        <w:jc w:val="left"/>
      </w:pPr>
      <w:rPr>
        <w:rFonts w:hint="default" w:ascii="Times New Roman" w:hAnsi="Times New Roman" w:eastAsia="Times New Roman" w:cs="Times New Roman"/>
        <w:spacing w:val="-12"/>
        <w:w w:val="100"/>
        <w:sz w:val="24"/>
        <w:szCs w:val="24"/>
      </w:rPr>
    </w:lvl>
    <w:lvl w:ilvl="1">
      <w:start w:val="1"/>
      <w:numFmt w:val="decimal"/>
      <w:lvlText w:val="%2."/>
      <w:lvlJc w:val="left"/>
      <w:pPr>
        <w:ind w:left="980" w:hanging="360"/>
        <w:jc w:val="right"/>
      </w:pPr>
      <w:rPr>
        <w:rFonts w:hint="default" w:ascii="Times New Roman" w:hAnsi="Times New Roman" w:eastAsia="Times New Roman" w:cs="Times New Roman"/>
        <w:spacing w:val="-29"/>
        <w:w w:val="100"/>
        <w:sz w:val="24"/>
        <w:szCs w:val="24"/>
      </w:rPr>
    </w:lvl>
    <w:lvl w:ilvl="2">
      <w:start w:val="0"/>
      <w:numFmt w:val="bullet"/>
      <w:lvlText w:val="•"/>
      <w:lvlJc w:val="left"/>
      <w:pPr>
        <w:ind w:left="1340" w:hanging="360"/>
      </w:pPr>
      <w:rPr>
        <w:rFonts w:hint="default"/>
      </w:rPr>
    </w:lvl>
    <w:lvl w:ilvl="3">
      <w:start w:val="0"/>
      <w:numFmt w:val="bullet"/>
      <w:lvlText w:val="•"/>
      <w:lvlJc w:val="left"/>
      <w:pPr>
        <w:ind w:left="1980" w:hanging="360"/>
      </w:pPr>
      <w:rPr>
        <w:rFonts w:hint="default"/>
      </w:rPr>
    </w:lvl>
    <w:lvl w:ilvl="4">
      <w:start w:val="0"/>
      <w:numFmt w:val="bullet"/>
      <w:lvlText w:val="•"/>
      <w:lvlJc w:val="left"/>
      <w:pPr>
        <w:ind w:left="3080" w:hanging="360"/>
      </w:pPr>
      <w:rPr>
        <w:rFonts w:hint="default"/>
      </w:rPr>
    </w:lvl>
    <w:lvl w:ilvl="5">
      <w:start w:val="0"/>
      <w:numFmt w:val="bullet"/>
      <w:lvlText w:val="•"/>
      <w:lvlJc w:val="left"/>
      <w:pPr>
        <w:ind w:left="4181" w:hanging="360"/>
      </w:pPr>
      <w:rPr>
        <w:rFonts w:hint="default"/>
      </w:rPr>
    </w:lvl>
    <w:lvl w:ilvl="6">
      <w:start w:val="0"/>
      <w:numFmt w:val="bullet"/>
      <w:lvlText w:val="•"/>
      <w:lvlJc w:val="left"/>
      <w:pPr>
        <w:ind w:left="5282" w:hanging="360"/>
      </w:pPr>
      <w:rPr>
        <w:rFonts w:hint="default"/>
      </w:rPr>
    </w:lvl>
    <w:lvl w:ilvl="7">
      <w:start w:val="0"/>
      <w:numFmt w:val="bullet"/>
      <w:lvlText w:val="•"/>
      <w:lvlJc w:val="left"/>
      <w:pPr>
        <w:ind w:left="6383" w:hanging="360"/>
      </w:pPr>
      <w:rPr>
        <w:rFonts w:hint="default"/>
      </w:rPr>
    </w:lvl>
    <w:lvl w:ilvl="8">
      <w:start w:val="0"/>
      <w:numFmt w:val="bullet"/>
      <w:lvlText w:val="•"/>
      <w:lvlJc w:val="left"/>
      <w:pPr>
        <w:ind w:left="7484" w:hanging="360"/>
      </w:pPr>
      <w:rPr>
        <w:rFonts w:hint="default"/>
      </w:rPr>
    </w:lvl>
  </w:abstractNum>
  <w:abstractNum w:abstractNumId="48">
    <w:multiLevelType w:val="hybridMultilevel"/>
    <w:lvl w:ilvl="0">
      <w:start w:val="1"/>
      <w:numFmt w:val="upperLetter"/>
      <w:lvlText w:val="%1."/>
      <w:lvlJc w:val="left"/>
      <w:pPr>
        <w:ind w:left="1112" w:hanging="425"/>
        <w:jc w:val="right"/>
      </w:pPr>
      <w:rPr>
        <w:rFonts w:hint="default" w:ascii="Times New Roman" w:hAnsi="Times New Roman" w:eastAsia="Times New Roman" w:cs="Times New Roman"/>
        <w:b/>
        <w:bCs/>
        <w:i/>
        <w:spacing w:val="-12"/>
        <w:w w:val="100"/>
        <w:sz w:val="24"/>
        <w:szCs w:val="24"/>
      </w:rPr>
    </w:lvl>
    <w:lvl w:ilvl="1">
      <w:start w:val="0"/>
      <w:numFmt w:val="bullet"/>
      <w:lvlText w:val="•"/>
      <w:lvlJc w:val="left"/>
      <w:pPr>
        <w:ind w:left="1976" w:hanging="425"/>
      </w:pPr>
      <w:rPr>
        <w:rFonts w:hint="default"/>
      </w:rPr>
    </w:lvl>
    <w:lvl w:ilvl="2">
      <w:start w:val="0"/>
      <w:numFmt w:val="bullet"/>
      <w:lvlText w:val="•"/>
      <w:lvlJc w:val="left"/>
      <w:pPr>
        <w:ind w:left="2833" w:hanging="425"/>
      </w:pPr>
      <w:rPr>
        <w:rFonts w:hint="default"/>
      </w:rPr>
    </w:lvl>
    <w:lvl w:ilvl="3">
      <w:start w:val="0"/>
      <w:numFmt w:val="bullet"/>
      <w:lvlText w:val="•"/>
      <w:lvlJc w:val="left"/>
      <w:pPr>
        <w:ind w:left="3689" w:hanging="425"/>
      </w:pPr>
      <w:rPr>
        <w:rFonts w:hint="default"/>
      </w:rPr>
    </w:lvl>
    <w:lvl w:ilvl="4">
      <w:start w:val="0"/>
      <w:numFmt w:val="bullet"/>
      <w:lvlText w:val="•"/>
      <w:lvlJc w:val="left"/>
      <w:pPr>
        <w:ind w:left="4546" w:hanging="425"/>
      </w:pPr>
      <w:rPr>
        <w:rFonts w:hint="default"/>
      </w:rPr>
    </w:lvl>
    <w:lvl w:ilvl="5">
      <w:start w:val="0"/>
      <w:numFmt w:val="bullet"/>
      <w:lvlText w:val="•"/>
      <w:lvlJc w:val="left"/>
      <w:pPr>
        <w:ind w:left="5403" w:hanging="425"/>
      </w:pPr>
      <w:rPr>
        <w:rFonts w:hint="default"/>
      </w:rPr>
    </w:lvl>
    <w:lvl w:ilvl="6">
      <w:start w:val="0"/>
      <w:numFmt w:val="bullet"/>
      <w:lvlText w:val="•"/>
      <w:lvlJc w:val="left"/>
      <w:pPr>
        <w:ind w:left="6259" w:hanging="425"/>
      </w:pPr>
      <w:rPr>
        <w:rFonts w:hint="default"/>
      </w:rPr>
    </w:lvl>
    <w:lvl w:ilvl="7">
      <w:start w:val="0"/>
      <w:numFmt w:val="bullet"/>
      <w:lvlText w:val="•"/>
      <w:lvlJc w:val="left"/>
      <w:pPr>
        <w:ind w:left="7116" w:hanging="425"/>
      </w:pPr>
      <w:rPr>
        <w:rFonts w:hint="default"/>
      </w:rPr>
    </w:lvl>
    <w:lvl w:ilvl="8">
      <w:start w:val="0"/>
      <w:numFmt w:val="bullet"/>
      <w:lvlText w:val="•"/>
      <w:lvlJc w:val="left"/>
      <w:pPr>
        <w:ind w:left="7973" w:hanging="425"/>
      </w:pPr>
      <w:rPr>
        <w:rFonts w:hint="default"/>
      </w:rPr>
    </w:lvl>
  </w:abstractNum>
  <w:abstractNum w:abstractNumId="47">
    <w:multiLevelType w:val="hybridMultilevel"/>
    <w:lvl w:ilvl="0">
      <w:start w:val="2"/>
      <w:numFmt w:val="decimal"/>
      <w:lvlText w:val="%1"/>
      <w:lvlJc w:val="left"/>
      <w:pPr>
        <w:ind w:left="980" w:hanging="362"/>
        <w:jc w:val="left"/>
      </w:pPr>
      <w:rPr>
        <w:rFonts w:hint="default"/>
      </w:rPr>
    </w:lvl>
    <w:lvl w:ilvl="1">
      <w:start w:val="1"/>
      <w:numFmt w:val="decimal"/>
      <w:lvlText w:val="%1.%2."/>
      <w:lvlJc w:val="left"/>
      <w:pPr>
        <w:ind w:left="980" w:hanging="362"/>
        <w:jc w:val="right"/>
      </w:pPr>
      <w:rPr>
        <w:rFonts w:hint="default" w:ascii="Times New Roman" w:hAnsi="Times New Roman" w:eastAsia="Times New Roman" w:cs="Times New Roman"/>
        <w:b/>
        <w:bCs/>
        <w:i/>
        <w:spacing w:val="-9"/>
        <w:w w:val="100"/>
        <w:sz w:val="22"/>
        <w:szCs w:val="22"/>
      </w:rPr>
    </w:lvl>
    <w:lvl w:ilvl="2">
      <w:start w:val="0"/>
      <w:numFmt w:val="bullet"/>
      <w:lvlText w:val="•"/>
      <w:lvlJc w:val="left"/>
      <w:pPr>
        <w:ind w:left="2721" w:hanging="362"/>
      </w:pPr>
      <w:rPr>
        <w:rFonts w:hint="default"/>
      </w:rPr>
    </w:lvl>
    <w:lvl w:ilvl="3">
      <w:start w:val="0"/>
      <w:numFmt w:val="bullet"/>
      <w:lvlText w:val="•"/>
      <w:lvlJc w:val="left"/>
      <w:pPr>
        <w:ind w:left="3591" w:hanging="362"/>
      </w:pPr>
      <w:rPr>
        <w:rFonts w:hint="default"/>
      </w:rPr>
    </w:lvl>
    <w:lvl w:ilvl="4">
      <w:start w:val="0"/>
      <w:numFmt w:val="bullet"/>
      <w:lvlText w:val="•"/>
      <w:lvlJc w:val="left"/>
      <w:pPr>
        <w:ind w:left="4462" w:hanging="362"/>
      </w:pPr>
      <w:rPr>
        <w:rFonts w:hint="default"/>
      </w:rPr>
    </w:lvl>
    <w:lvl w:ilvl="5">
      <w:start w:val="0"/>
      <w:numFmt w:val="bullet"/>
      <w:lvlText w:val="•"/>
      <w:lvlJc w:val="left"/>
      <w:pPr>
        <w:ind w:left="5333" w:hanging="362"/>
      </w:pPr>
      <w:rPr>
        <w:rFonts w:hint="default"/>
      </w:rPr>
    </w:lvl>
    <w:lvl w:ilvl="6">
      <w:start w:val="0"/>
      <w:numFmt w:val="bullet"/>
      <w:lvlText w:val="•"/>
      <w:lvlJc w:val="left"/>
      <w:pPr>
        <w:ind w:left="6203" w:hanging="362"/>
      </w:pPr>
      <w:rPr>
        <w:rFonts w:hint="default"/>
      </w:rPr>
    </w:lvl>
    <w:lvl w:ilvl="7">
      <w:start w:val="0"/>
      <w:numFmt w:val="bullet"/>
      <w:lvlText w:val="•"/>
      <w:lvlJc w:val="left"/>
      <w:pPr>
        <w:ind w:left="7074" w:hanging="362"/>
      </w:pPr>
      <w:rPr>
        <w:rFonts w:hint="default"/>
      </w:rPr>
    </w:lvl>
    <w:lvl w:ilvl="8">
      <w:start w:val="0"/>
      <w:numFmt w:val="bullet"/>
      <w:lvlText w:val="•"/>
      <w:lvlJc w:val="left"/>
      <w:pPr>
        <w:ind w:left="7945" w:hanging="362"/>
      </w:pPr>
      <w:rPr>
        <w:rFonts w:hint="default"/>
      </w:rPr>
    </w:lvl>
  </w:abstractNum>
  <w:abstractNum w:abstractNumId="46">
    <w:multiLevelType w:val="hybridMultilevel"/>
    <w:lvl w:ilvl="0">
      <w:start w:val="1"/>
      <w:numFmt w:val="decimal"/>
      <w:lvlText w:val="%1."/>
      <w:lvlJc w:val="left"/>
      <w:pPr>
        <w:ind w:left="260" w:hanging="240"/>
        <w:jc w:val="right"/>
      </w:pPr>
      <w:rPr>
        <w:rFonts w:hint="default"/>
        <w:spacing w:val="-20"/>
        <w:w w:val="100"/>
      </w:rPr>
    </w:lvl>
    <w:lvl w:ilvl="1">
      <w:start w:val="0"/>
      <w:numFmt w:val="bullet"/>
      <w:lvlText w:val="•"/>
      <w:lvlJc w:val="left"/>
      <w:pPr>
        <w:ind w:left="1202" w:hanging="240"/>
      </w:pPr>
      <w:rPr>
        <w:rFonts w:hint="default"/>
      </w:rPr>
    </w:lvl>
    <w:lvl w:ilvl="2">
      <w:start w:val="0"/>
      <w:numFmt w:val="bullet"/>
      <w:lvlText w:val="•"/>
      <w:lvlJc w:val="left"/>
      <w:pPr>
        <w:ind w:left="2145" w:hanging="240"/>
      </w:pPr>
      <w:rPr>
        <w:rFonts w:hint="default"/>
      </w:rPr>
    </w:lvl>
    <w:lvl w:ilvl="3">
      <w:start w:val="0"/>
      <w:numFmt w:val="bullet"/>
      <w:lvlText w:val="•"/>
      <w:lvlJc w:val="left"/>
      <w:pPr>
        <w:ind w:left="3087" w:hanging="240"/>
      </w:pPr>
      <w:rPr>
        <w:rFonts w:hint="default"/>
      </w:rPr>
    </w:lvl>
    <w:lvl w:ilvl="4">
      <w:start w:val="0"/>
      <w:numFmt w:val="bullet"/>
      <w:lvlText w:val="•"/>
      <w:lvlJc w:val="left"/>
      <w:pPr>
        <w:ind w:left="4030" w:hanging="240"/>
      </w:pPr>
      <w:rPr>
        <w:rFonts w:hint="default"/>
      </w:rPr>
    </w:lvl>
    <w:lvl w:ilvl="5">
      <w:start w:val="0"/>
      <w:numFmt w:val="bullet"/>
      <w:lvlText w:val="•"/>
      <w:lvlJc w:val="left"/>
      <w:pPr>
        <w:ind w:left="4973" w:hanging="240"/>
      </w:pPr>
      <w:rPr>
        <w:rFonts w:hint="default"/>
      </w:rPr>
    </w:lvl>
    <w:lvl w:ilvl="6">
      <w:start w:val="0"/>
      <w:numFmt w:val="bullet"/>
      <w:lvlText w:val="•"/>
      <w:lvlJc w:val="left"/>
      <w:pPr>
        <w:ind w:left="5915" w:hanging="240"/>
      </w:pPr>
      <w:rPr>
        <w:rFonts w:hint="default"/>
      </w:rPr>
    </w:lvl>
    <w:lvl w:ilvl="7">
      <w:start w:val="0"/>
      <w:numFmt w:val="bullet"/>
      <w:lvlText w:val="•"/>
      <w:lvlJc w:val="left"/>
      <w:pPr>
        <w:ind w:left="6858" w:hanging="240"/>
      </w:pPr>
      <w:rPr>
        <w:rFonts w:hint="default"/>
      </w:rPr>
    </w:lvl>
    <w:lvl w:ilvl="8">
      <w:start w:val="0"/>
      <w:numFmt w:val="bullet"/>
      <w:lvlText w:val="•"/>
      <w:lvlJc w:val="left"/>
      <w:pPr>
        <w:ind w:left="7801" w:hanging="240"/>
      </w:pPr>
      <w:rPr>
        <w:rFonts w:hint="default"/>
      </w:rPr>
    </w:lvl>
  </w:abstractNum>
  <w:abstractNum w:abstractNumId="45">
    <w:multiLevelType w:val="hybridMultilevel"/>
    <w:lvl w:ilvl="0">
      <w:start w:val="1"/>
      <w:numFmt w:val="upperLetter"/>
      <w:lvlText w:val="%1."/>
      <w:lvlJc w:val="left"/>
      <w:pPr>
        <w:ind w:left="980" w:hanging="360"/>
        <w:jc w:val="right"/>
      </w:pPr>
      <w:rPr>
        <w:rFonts w:hint="default" w:ascii="Times New Roman" w:hAnsi="Times New Roman" w:eastAsia="Times New Roman" w:cs="Times New Roman"/>
        <w:b/>
        <w:bCs/>
        <w:i/>
        <w:spacing w:val="-29"/>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44">
    <w:multiLevelType w:val="hybridMultilevel"/>
    <w:lvl w:ilvl="0">
      <w:start w:val="1"/>
      <w:numFmt w:val="decimal"/>
      <w:lvlText w:val="%1"/>
      <w:lvlJc w:val="left"/>
      <w:pPr>
        <w:ind w:left="980" w:hanging="362"/>
        <w:jc w:val="left"/>
      </w:pPr>
      <w:rPr>
        <w:rFonts w:hint="default"/>
      </w:rPr>
    </w:lvl>
    <w:lvl w:ilvl="1">
      <w:start w:val="1"/>
      <w:numFmt w:val="decimal"/>
      <w:lvlText w:val="%1.%2."/>
      <w:lvlJc w:val="left"/>
      <w:pPr>
        <w:ind w:left="980" w:hanging="362"/>
        <w:jc w:val="right"/>
      </w:pPr>
      <w:rPr>
        <w:rFonts w:hint="default" w:ascii="Times New Roman" w:hAnsi="Times New Roman" w:eastAsia="Times New Roman" w:cs="Times New Roman"/>
        <w:b/>
        <w:bCs/>
        <w:i/>
        <w:spacing w:val="-9"/>
        <w:w w:val="100"/>
        <w:sz w:val="22"/>
        <w:szCs w:val="22"/>
      </w:rPr>
    </w:lvl>
    <w:lvl w:ilvl="2">
      <w:start w:val="0"/>
      <w:numFmt w:val="bullet"/>
      <w:lvlText w:val="•"/>
      <w:lvlJc w:val="left"/>
      <w:pPr>
        <w:ind w:left="2721" w:hanging="362"/>
      </w:pPr>
      <w:rPr>
        <w:rFonts w:hint="default"/>
      </w:rPr>
    </w:lvl>
    <w:lvl w:ilvl="3">
      <w:start w:val="0"/>
      <w:numFmt w:val="bullet"/>
      <w:lvlText w:val="•"/>
      <w:lvlJc w:val="left"/>
      <w:pPr>
        <w:ind w:left="3591" w:hanging="362"/>
      </w:pPr>
      <w:rPr>
        <w:rFonts w:hint="default"/>
      </w:rPr>
    </w:lvl>
    <w:lvl w:ilvl="4">
      <w:start w:val="0"/>
      <w:numFmt w:val="bullet"/>
      <w:lvlText w:val="•"/>
      <w:lvlJc w:val="left"/>
      <w:pPr>
        <w:ind w:left="4462" w:hanging="362"/>
      </w:pPr>
      <w:rPr>
        <w:rFonts w:hint="default"/>
      </w:rPr>
    </w:lvl>
    <w:lvl w:ilvl="5">
      <w:start w:val="0"/>
      <w:numFmt w:val="bullet"/>
      <w:lvlText w:val="•"/>
      <w:lvlJc w:val="left"/>
      <w:pPr>
        <w:ind w:left="5333" w:hanging="362"/>
      </w:pPr>
      <w:rPr>
        <w:rFonts w:hint="default"/>
      </w:rPr>
    </w:lvl>
    <w:lvl w:ilvl="6">
      <w:start w:val="0"/>
      <w:numFmt w:val="bullet"/>
      <w:lvlText w:val="•"/>
      <w:lvlJc w:val="left"/>
      <w:pPr>
        <w:ind w:left="6203" w:hanging="362"/>
      </w:pPr>
      <w:rPr>
        <w:rFonts w:hint="default"/>
      </w:rPr>
    </w:lvl>
    <w:lvl w:ilvl="7">
      <w:start w:val="0"/>
      <w:numFmt w:val="bullet"/>
      <w:lvlText w:val="•"/>
      <w:lvlJc w:val="left"/>
      <w:pPr>
        <w:ind w:left="7074" w:hanging="362"/>
      </w:pPr>
      <w:rPr>
        <w:rFonts w:hint="default"/>
      </w:rPr>
    </w:lvl>
    <w:lvl w:ilvl="8">
      <w:start w:val="0"/>
      <w:numFmt w:val="bullet"/>
      <w:lvlText w:val="•"/>
      <w:lvlJc w:val="left"/>
      <w:pPr>
        <w:ind w:left="7945" w:hanging="362"/>
      </w:pPr>
      <w:rPr>
        <w:rFonts w:hint="default"/>
      </w:rPr>
    </w:lvl>
  </w:abstractNum>
  <w:abstractNum w:abstractNumId="43">
    <w:multiLevelType w:val="hybridMultilevel"/>
    <w:lvl w:ilvl="0">
      <w:start w:val="224"/>
      <w:numFmt w:val="decimal"/>
      <w:lvlText w:val="%1"/>
      <w:lvlJc w:val="left"/>
      <w:pPr>
        <w:ind w:left="260" w:hanging="305"/>
        <w:jc w:val="left"/>
      </w:pPr>
      <w:rPr>
        <w:rFonts w:hint="default" w:ascii="Times New Roman" w:hAnsi="Times New Roman" w:eastAsia="Times New Roman" w:cs="Times New Roman"/>
        <w:spacing w:val="0"/>
        <w:w w:val="100"/>
        <w:position w:val="9"/>
        <w:sz w:val="16"/>
        <w:szCs w:val="16"/>
      </w:rPr>
    </w:lvl>
    <w:lvl w:ilvl="1">
      <w:start w:val="1"/>
      <w:numFmt w:val="decimal"/>
      <w:lvlText w:val="%2."/>
      <w:lvlJc w:val="left"/>
      <w:pPr>
        <w:ind w:left="1702" w:hanging="360"/>
        <w:jc w:val="left"/>
      </w:pPr>
      <w:rPr>
        <w:rFonts w:hint="default" w:ascii="Times New Roman" w:hAnsi="Times New Roman" w:eastAsia="Times New Roman" w:cs="Times New Roman"/>
        <w:b/>
        <w:bCs/>
        <w:w w:val="100"/>
        <w:sz w:val="28"/>
        <w:szCs w:val="28"/>
      </w:rPr>
    </w:lvl>
    <w:lvl w:ilvl="2">
      <w:start w:val="0"/>
      <w:numFmt w:val="bullet"/>
      <w:lvlText w:val="•"/>
      <w:lvlJc w:val="left"/>
      <w:pPr>
        <w:ind w:left="2587" w:hanging="360"/>
      </w:pPr>
      <w:rPr>
        <w:rFonts w:hint="default"/>
      </w:rPr>
    </w:lvl>
    <w:lvl w:ilvl="3">
      <w:start w:val="0"/>
      <w:numFmt w:val="bullet"/>
      <w:lvlText w:val="•"/>
      <w:lvlJc w:val="left"/>
      <w:pPr>
        <w:ind w:left="3474" w:hanging="360"/>
      </w:pPr>
      <w:rPr>
        <w:rFonts w:hint="default"/>
      </w:rPr>
    </w:lvl>
    <w:lvl w:ilvl="4">
      <w:start w:val="0"/>
      <w:numFmt w:val="bullet"/>
      <w:lvlText w:val="•"/>
      <w:lvlJc w:val="left"/>
      <w:pPr>
        <w:ind w:left="4362" w:hanging="360"/>
      </w:pPr>
      <w:rPr>
        <w:rFonts w:hint="default"/>
      </w:rPr>
    </w:lvl>
    <w:lvl w:ilvl="5">
      <w:start w:val="0"/>
      <w:numFmt w:val="bullet"/>
      <w:lvlText w:val="•"/>
      <w:lvlJc w:val="left"/>
      <w:pPr>
        <w:ind w:left="5249" w:hanging="360"/>
      </w:pPr>
      <w:rPr>
        <w:rFonts w:hint="default"/>
      </w:rPr>
    </w:lvl>
    <w:lvl w:ilvl="6">
      <w:start w:val="0"/>
      <w:numFmt w:val="bullet"/>
      <w:lvlText w:val="•"/>
      <w:lvlJc w:val="left"/>
      <w:pPr>
        <w:ind w:left="6136" w:hanging="360"/>
      </w:pPr>
      <w:rPr>
        <w:rFonts w:hint="default"/>
      </w:rPr>
    </w:lvl>
    <w:lvl w:ilvl="7">
      <w:start w:val="0"/>
      <w:numFmt w:val="bullet"/>
      <w:lvlText w:val="•"/>
      <w:lvlJc w:val="left"/>
      <w:pPr>
        <w:ind w:left="7024" w:hanging="360"/>
      </w:pPr>
      <w:rPr>
        <w:rFonts w:hint="default"/>
      </w:rPr>
    </w:lvl>
    <w:lvl w:ilvl="8">
      <w:start w:val="0"/>
      <w:numFmt w:val="bullet"/>
      <w:lvlText w:val="•"/>
      <w:lvlJc w:val="left"/>
      <w:pPr>
        <w:ind w:left="7911" w:hanging="360"/>
      </w:pPr>
      <w:rPr>
        <w:rFonts w:hint="default"/>
      </w:rPr>
    </w:lvl>
  </w:abstractNum>
  <w:abstractNum w:abstractNumId="42">
    <w:multiLevelType w:val="hybridMultilevel"/>
    <w:lvl w:ilvl="0">
      <w:start w:val="1"/>
      <w:numFmt w:val="decimal"/>
      <w:lvlText w:val="%1)"/>
      <w:lvlJc w:val="left"/>
      <w:pPr>
        <w:ind w:left="1040" w:hanging="360"/>
        <w:jc w:val="right"/>
      </w:pPr>
      <w:rPr>
        <w:rFonts w:hint="default" w:ascii="Times New Roman" w:hAnsi="Times New Roman" w:eastAsia="Times New Roman" w:cs="Times New Roman"/>
        <w:b/>
        <w:bCs/>
        <w:spacing w:val="-20"/>
        <w:w w:val="100"/>
        <w:sz w:val="24"/>
        <w:szCs w:val="24"/>
      </w:rPr>
    </w:lvl>
    <w:lvl w:ilvl="1">
      <w:start w:val="0"/>
      <w:numFmt w:val="bullet"/>
      <w:lvlText w:val="•"/>
      <w:lvlJc w:val="left"/>
      <w:pPr>
        <w:ind w:left="1904" w:hanging="360"/>
      </w:pPr>
      <w:rPr>
        <w:rFonts w:hint="default"/>
      </w:rPr>
    </w:lvl>
    <w:lvl w:ilvl="2">
      <w:start w:val="0"/>
      <w:numFmt w:val="bullet"/>
      <w:lvlText w:val="•"/>
      <w:lvlJc w:val="left"/>
      <w:pPr>
        <w:ind w:left="2769" w:hanging="360"/>
      </w:pPr>
      <w:rPr>
        <w:rFonts w:hint="default"/>
      </w:rPr>
    </w:lvl>
    <w:lvl w:ilvl="3">
      <w:start w:val="0"/>
      <w:numFmt w:val="bullet"/>
      <w:lvlText w:val="•"/>
      <w:lvlJc w:val="left"/>
      <w:pPr>
        <w:ind w:left="3633" w:hanging="360"/>
      </w:pPr>
      <w:rPr>
        <w:rFonts w:hint="default"/>
      </w:rPr>
    </w:lvl>
    <w:lvl w:ilvl="4">
      <w:start w:val="0"/>
      <w:numFmt w:val="bullet"/>
      <w:lvlText w:val="•"/>
      <w:lvlJc w:val="left"/>
      <w:pPr>
        <w:ind w:left="4498" w:hanging="360"/>
      </w:pPr>
      <w:rPr>
        <w:rFonts w:hint="default"/>
      </w:rPr>
    </w:lvl>
    <w:lvl w:ilvl="5">
      <w:start w:val="0"/>
      <w:numFmt w:val="bullet"/>
      <w:lvlText w:val="•"/>
      <w:lvlJc w:val="left"/>
      <w:pPr>
        <w:ind w:left="5363" w:hanging="360"/>
      </w:pPr>
      <w:rPr>
        <w:rFonts w:hint="default"/>
      </w:rPr>
    </w:lvl>
    <w:lvl w:ilvl="6">
      <w:start w:val="0"/>
      <w:numFmt w:val="bullet"/>
      <w:lvlText w:val="•"/>
      <w:lvlJc w:val="left"/>
      <w:pPr>
        <w:ind w:left="6227" w:hanging="360"/>
      </w:pPr>
      <w:rPr>
        <w:rFonts w:hint="default"/>
      </w:rPr>
    </w:lvl>
    <w:lvl w:ilvl="7">
      <w:start w:val="0"/>
      <w:numFmt w:val="bullet"/>
      <w:lvlText w:val="•"/>
      <w:lvlJc w:val="left"/>
      <w:pPr>
        <w:ind w:left="7092" w:hanging="360"/>
      </w:pPr>
      <w:rPr>
        <w:rFonts w:hint="default"/>
      </w:rPr>
    </w:lvl>
    <w:lvl w:ilvl="8">
      <w:start w:val="0"/>
      <w:numFmt w:val="bullet"/>
      <w:lvlText w:val="•"/>
      <w:lvlJc w:val="left"/>
      <w:pPr>
        <w:ind w:left="7957" w:hanging="360"/>
      </w:pPr>
      <w:rPr>
        <w:rFonts w:hint="default"/>
      </w:rPr>
    </w:lvl>
  </w:abstractNum>
  <w:abstractNum w:abstractNumId="41">
    <w:multiLevelType w:val="hybridMultilevel"/>
    <w:lvl w:ilvl="0">
      <w:start w:val="5"/>
      <w:numFmt w:val="decimal"/>
      <w:lvlText w:val="%1"/>
      <w:lvlJc w:val="left"/>
      <w:pPr>
        <w:ind w:left="620" w:hanging="471"/>
        <w:jc w:val="left"/>
      </w:pPr>
      <w:rPr>
        <w:rFonts w:hint="default"/>
      </w:rPr>
    </w:lvl>
    <w:lvl w:ilvl="1">
      <w:start w:val="1"/>
      <w:numFmt w:val="decimal"/>
      <w:lvlText w:val="%1.%2."/>
      <w:lvlJc w:val="left"/>
      <w:pPr>
        <w:ind w:left="620" w:hanging="471"/>
        <w:jc w:val="right"/>
      </w:pPr>
      <w:rPr>
        <w:rFonts w:hint="default" w:ascii="Times New Roman" w:hAnsi="Times New Roman" w:eastAsia="Times New Roman" w:cs="Times New Roman"/>
        <w:b/>
        <w:bCs/>
        <w:i/>
        <w:spacing w:val="-12"/>
        <w:w w:val="100"/>
        <w:sz w:val="24"/>
        <w:szCs w:val="24"/>
      </w:rPr>
    </w:lvl>
    <w:lvl w:ilvl="2">
      <w:start w:val="1"/>
      <w:numFmt w:val="decimal"/>
      <w:lvlText w:val="%3)"/>
      <w:lvlJc w:val="left"/>
      <w:pPr>
        <w:ind w:left="980" w:hanging="360"/>
        <w:jc w:val="left"/>
      </w:pPr>
      <w:rPr>
        <w:rFonts w:hint="default" w:ascii="Times New Roman" w:hAnsi="Times New Roman" w:eastAsia="Times New Roman" w:cs="Times New Roman"/>
        <w:b/>
        <w:bCs/>
        <w:spacing w:val="-30"/>
        <w:w w:val="100"/>
        <w:sz w:val="24"/>
        <w:szCs w:val="24"/>
      </w:rPr>
    </w:lvl>
    <w:lvl w:ilvl="3">
      <w:start w:val="1"/>
      <w:numFmt w:val="lowerLetter"/>
      <w:lvlText w:val="%4)"/>
      <w:lvlJc w:val="left"/>
      <w:pPr>
        <w:ind w:left="1340" w:hanging="360"/>
        <w:jc w:val="right"/>
      </w:pPr>
      <w:rPr>
        <w:rFonts w:hint="default" w:ascii="Times New Roman" w:hAnsi="Times New Roman" w:eastAsia="Times New Roman" w:cs="Times New Roman"/>
        <w:b/>
        <w:bCs/>
        <w:i/>
        <w:spacing w:val="-29"/>
        <w:w w:val="100"/>
        <w:sz w:val="24"/>
        <w:szCs w:val="24"/>
      </w:rPr>
    </w:lvl>
    <w:lvl w:ilvl="4">
      <w:start w:val="0"/>
      <w:numFmt w:val="bullet"/>
      <w:lvlText w:val="•"/>
      <w:lvlJc w:val="left"/>
      <w:pPr>
        <w:ind w:left="2840" w:hanging="360"/>
      </w:pPr>
      <w:rPr>
        <w:rFonts w:hint="default"/>
      </w:rPr>
    </w:lvl>
    <w:lvl w:ilvl="5">
      <w:start w:val="0"/>
      <w:numFmt w:val="bullet"/>
      <w:lvlText w:val="•"/>
      <w:lvlJc w:val="left"/>
      <w:pPr>
        <w:ind w:left="3981" w:hanging="360"/>
      </w:pPr>
      <w:rPr>
        <w:rFonts w:hint="default"/>
      </w:rPr>
    </w:lvl>
    <w:lvl w:ilvl="6">
      <w:start w:val="0"/>
      <w:numFmt w:val="bullet"/>
      <w:lvlText w:val="•"/>
      <w:lvlJc w:val="left"/>
      <w:pPr>
        <w:ind w:left="5122" w:hanging="360"/>
      </w:pPr>
      <w:rPr>
        <w:rFonts w:hint="default"/>
      </w:rPr>
    </w:lvl>
    <w:lvl w:ilvl="7">
      <w:start w:val="0"/>
      <w:numFmt w:val="bullet"/>
      <w:lvlText w:val="•"/>
      <w:lvlJc w:val="left"/>
      <w:pPr>
        <w:ind w:left="6263" w:hanging="360"/>
      </w:pPr>
      <w:rPr>
        <w:rFonts w:hint="default"/>
      </w:rPr>
    </w:lvl>
    <w:lvl w:ilvl="8">
      <w:start w:val="0"/>
      <w:numFmt w:val="bullet"/>
      <w:lvlText w:val="•"/>
      <w:lvlJc w:val="left"/>
      <w:pPr>
        <w:ind w:left="7404" w:hanging="360"/>
      </w:pPr>
      <w:rPr>
        <w:rFonts w:hint="default"/>
      </w:rPr>
    </w:lvl>
  </w:abstractNum>
  <w:abstractNum w:abstractNumId="40">
    <w:multiLevelType w:val="hybridMultilevel"/>
    <w:lvl w:ilvl="0">
      <w:start w:val="1"/>
      <w:numFmt w:val="decimal"/>
      <w:lvlText w:val="%1)"/>
      <w:lvlJc w:val="left"/>
      <w:pPr>
        <w:ind w:left="170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498" w:hanging="360"/>
      </w:pPr>
      <w:rPr>
        <w:rFonts w:hint="default"/>
      </w:rPr>
    </w:lvl>
    <w:lvl w:ilvl="2">
      <w:start w:val="0"/>
      <w:numFmt w:val="bullet"/>
      <w:lvlText w:val="•"/>
      <w:lvlJc w:val="left"/>
      <w:pPr>
        <w:ind w:left="3297" w:hanging="360"/>
      </w:pPr>
      <w:rPr>
        <w:rFonts w:hint="default"/>
      </w:rPr>
    </w:lvl>
    <w:lvl w:ilvl="3">
      <w:start w:val="0"/>
      <w:numFmt w:val="bullet"/>
      <w:lvlText w:val="•"/>
      <w:lvlJc w:val="left"/>
      <w:pPr>
        <w:ind w:left="4095" w:hanging="360"/>
      </w:pPr>
      <w:rPr>
        <w:rFonts w:hint="default"/>
      </w:rPr>
    </w:lvl>
    <w:lvl w:ilvl="4">
      <w:start w:val="0"/>
      <w:numFmt w:val="bullet"/>
      <w:lvlText w:val="•"/>
      <w:lvlJc w:val="left"/>
      <w:pPr>
        <w:ind w:left="4894" w:hanging="360"/>
      </w:pPr>
      <w:rPr>
        <w:rFonts w:hint="default"/>
      </w:rPr>
    </w:lvl>
    <w:lvl w:ilvl="5">
      <w:start w:val="0"/>
      <w:numFmt w:val="bullet"/>
      <w:lvlText w:val="•"/>
      <w:lvlJc w:val="left"/>
      <w:pPr>
        <w:ind w:left="5693" w:hanging="360"/>
      </w:pPr>
      <w:rPr>
        <w:rFonts w:hint="default"/>
      </w:rPr>
    </w:lvl>
    <w:lvl w:ilvl="6">
      <w:start w:val="0"/>
      <w:numFmt w:val="bullet"/>
      <w:lvlText w:val="•"/>
      <w:lvlJc w:val="left"/>
      <w:pPr>
        <w:ind w:left="6491" w:hanging="360"/>
      </w:pPr>
      <w:rPr>
        <w:rFonts w:hint="default"/>
      </w:rPr>
    </w:lvl>
    <w:lvl w:ilvl="7">
      <w:start w:val="0"/>
      <w:numFmt w:val="bullet"/>
      <w:lvlText w:val="•"/>
      <w:lvlJc w:val="left"/>
      <w:pPr>
        <w:ind w:left="7290" w:hanging="360"/>
      </w:pPr>
      <w:rPr>
        <w:rFonts w:hint="default"/>
      </w:rPr>
    </w:lvl>
    <w:lvl w:ilvl="8">
      <w:start w:val="0"/>
      <w:numFmt w:val="bullet"/>
      <w:lvlText w:val="•"/>
      <w:lvlJc w:val="left"/>
      <w:pPr>
        <w:ind w:left="8089" w:hanging="360"/>
      </w:pPr>
      <w:rPr>
        <w:rFonts w:hint="default"/>
      </w:rPr>
    </w:lvl>
  </w:abstractNum>
  <w:abstractNum w:abstractNumId="39">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spacing w:val="-22"/>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38">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spacing w:val="-20"/>
        <w:w w:val="100"/>
        <w:sz w:val="24"/>
        <w:szCs w:val="24"/>
      </w:rPr>
    </w:lvl>
    <w:lvl w:ilvl="1">
      <w:start w:val="1"/>
      <w:numFmt w:val="lowerLetter"/>
      <w:lvlText w:val="%2)"/>
      <w:lvlJc w:val="left"/>
      <w:pPr>
        <w:ind w:left="1700" w:hanging="360"/>
        <w:jc w:val="right"/>
      </w:pPr>
      <w:rPr>
        <w:rFonts w:hint="default" w:ascii="Times New Roman" w:hAnsi="Times New Roman" w:eastAsia="Times New Roman" w:cs="Times New Roman"/>
        <w:spacing w:val="-24"/>
        <w:w w:val="100"/>
        <w:sz w:val="24"/>
        <w:szCs w:val="24"/>
      </w:rPr>
    </w:lvl>
    <w:lvl w:ilvl="2">
      <w:start w:val="0"/>
      <w:numFmt w:val="bullet"/>
      <w:lvlText w:val="•"/>
      <w:lvlJc w:val="left"/>
      <w:pPr>
        <w:ind w:left="1760" w:hanging="360"/>
      </w:pPr>
      <w:rPr>
        <w:rFonts w:hint="default"/>
      </w:rPr>
    </w:lvl>
    <w:lvl w:ilvl="3">
      <w:start w:val="0"/>
      <w:numFmt w:val="bullet"/>
      <w:lvlText w:val="•"/>
      <w:lvlJc w:val="left"/>
      <w:pPr>
        <w:ind w:left="2750" w:hanging="360"/>
      </w:pPr>
      <w:rPr>
        <w:rFonts w:hint="default"/>
      </w:rPr>
    </w:lvl>
    <w:lvl w:ilvl="4">
      <w:start w:val="0"/>
      <w:numFmt w:val="bullet"/>
      <w:lvlText w:val="•"/>
      <w:lvlJc w:val="left"/>
      <w:pPr>
        <w:ind w:left="3741" w:hanging="360"/>
      </w:pPr>
      <w:rPr>
        <w:rFonts w:hint="default"/>
      </w:rPr>
    </w:lvl>
    <w:lvl w:ilvl="5">
      <w:start w:val="0"/>
      <w:numFmt w:val="bullet"/>
      <w:lvlText w:val="•"/>
      <w:lvlJc w:val="left"/>
      <w:pPr>
        <w:ind w:left="4732" w:hanging="360"/>
      </w:pPr>
      <w:rPr>
        <w:rFonts w:hint="default"/>
      </w:rPr>
    </w:lvl>
    <w:lvl w:ilvl="6">
      <w:start w:val="0"/>
      <w:numFmt w:val="bullet"/>
      <w:lvlText w:val="•"/>
      <w:lvlJc w:val="left"/>
      <w:pPr>
        <w:ind w:left="5723" w:hanging="360"/>
      </w:pPr>
      <w:rPr>
        <w:rFonts w:hint="default"/>
      </w:rPr>
    </w:lvl>
    <w:lvl w:ilvl="7">
      <w:start w:val="0"/>
      <w:numFmt w:val="bullet"/>
      <w:lvlText w:val="•"/>
      <w:lvlJc w:val="left"/>
      <w:pPr>
        <w:ind w:left="6714" w:hanging="360"/>
      </w:pPr>
      <w:rPr>
        <w:rFonts w:hint="default"/>
      </w:rPr>
    </w:lvl>
    <w:lvl w:ilvl="8">
      <w:start w:val="0"/>
      <w:numFmt w:val="bullet"/>
      <w:lvlText w:val="•"/>
      <w:lvlJc w:val="left"/>
      <w:pPr>
        <w:ind w:left="7704" w:hanging="360"/>
      </w:pPr>
      <w:rPr>
        <w:rFonts w:hint="default"/>
      </w:rPr>
    </w:lvl>
  </w:abstractNum>
  <w:abstractNum w:abstractNumId="37">
    <w:multiLevelType w:val="hybridMultilevel"/>
    <w:lvl w:ilvl="0">
      <w:start w:val="1"/>
      <w:numFmt w:val="decimal"/>
      <w:lvlText w:val="%1)"/>
      <w:lvlJc w:val="left"/>
      <w:pPr>
        <w:ind w:left="1328" w:hanging="256"/>
        <w:jc w:val="right"/>
      </w:pPr>
      <w:rPr>
        <w:rFonts w:hint="default" w:ascii="Times New Roman" w:hAnsi="Times New Roman" w:eastAsia="Times New Roman" w:cs="Times New Roman"/>
        <w:w w:val="100"/>
        <w:sz w:val="24"/>
        <w:szCs w:val="24"/>
      </w:rPr>
    </w:lvl>
    <w:lvl w:ilvl="1">
      <w:start w:val="1"/>
      <w:numFmt w:val="lowerLetter"/>
      <w:lvlText w:val="%2)"/>
      <w:lvlJc w:val="left"/>
      <w:pPr>
        <w:ind w:left="1752" w:hanging="425"/>
        <w:jc w:val="left"/>
      </w:pPr>
      <w:rPr>
        <w:rFonts w:hint="default" w:ascii="Times New Roman" w:hAnsi="Times New Roman" w:eastAsia="Times New Roman" w:cs="Times New Roman"/>
        <w:spacing w:val="-15"/>
        <w:w w:val="100"/>
        <w:sz w:val="24"/>
        <w:szCs w:val="24"/>
      </w:rPr>
    </w:lvl>
    <w:lvl w:ilvl="2">
      <w:start w:val="0"/>
      <w:numFmt w:val="bullet"/>
      <w:lvlText w:val="•"/>
      <w:lvlJc w:val="left"/>
      <w:pPr>
        <w:ind w:left="2640" w:hanging="425"/>
      </w:pPr>
      <w:rPr>
        <w:rFonts w:hint="default"/>
      </w:rPr>
    </w:lvl>
    <w:lvl w:ilvl="3">
      <w:start w:val="0"/>
      <w:numFmt w:val="bullet"/>
      <w:lvlText w:val="•"/>
      <w:lvlJc w:val="left"/>
      <w:pPr>
        <w:ind w:left="3521" w:hanging="425"/>
      </w:pPr>
      <w:rPr>
        <w:rFonts w:hint="default"/>
      </w:rPr>
    </w:lvl>
    <w:lvl w:ilvl="4">
      <w:start w:val="0"/>
      <w:numFmt w:val="bullet"/>
      <w:lvlText w:val="•"/>
      <w:lvlJc w:val="left"/>
      <w:pPr>
        <w:ind w:left="4402" w:hanging="425"/>
      </w:pPr>
      <w:rPr>
        <w:rFonts w:hint="default"/>
      </w:rPr>
    </w:lvl>
    <w:lvl w:ilvl="5">
      <w:start w:val="0"/>
      <w:numFmt w:val="bullet"/>
      <w:lvlText w:val="•"/>
      <w:lvlJc w:val="left"/>
      <w:pPr>
        <w:ind w:left="5282" w:hanging="425"/>
      </w:pPr>
      <w:rPr>
        <w:rFonts w:hint="default"/>
      </w:rPr>
    </w:lvl>
    <w:lvl w:ilvl="6">
      <w:start w:val="0"/>
      <w:numFmt w:val="bullet"/>
      <w:lvlText w:val="•"/>
      <w:lvlJc w:val="left"/>
      <w:pPr>
        <w:ind w:left="6163" w:hanging="425"/>
      </w:pPr>
      <w:rPr>
        <w:rFonts w:hint="default"/>
      </w:rPr>
    </w:lvl>
    <w:lvl w:ilvl="7">
      <w:start w:val="0"/>
      <w:numFmt w:val="bullet"/>
      <w:lvlText w:val="•"/>
      <w:lvlJc w:val="left"/>
      <w:pPr>
        <w:ind w:left="7044" w:hanging="425"/>
      </w:pPr>
      <w:rPr>
        <w:rFonts w:hint="default"/>
      </w:rPr>
    </w:lvl>
    <w:lvl w:ilvl="8">
      <w:start w:val="0"/>
      <w:numFmt w:val="bullet"/>
      <w:lvlText w:val="•"/>
      <w:lvlJc w:val="left"/>
      <w:pPr>
        <w:ind w:left="7924" w:hanging="425"/>
      </w:pPr>
      <w:rPr>
        <w:rFonts w:hint="default"/>
      </w:rPr>
    </w:lvl>
  </w:abstractNum>
  <w:abstractNum w:abstractNumId="36">
    <w:multiLevelType w:val="hybridMultilevel"/>
    <w:lvl w:ilvl="0">
      <w:start w:val="1"/>
      <w:numFmt w:val="decimal"/>
      <w:lvlText w:val="%1)"/>
      <w:lvlJc w:val="left"/>
      <w:pPr>
        <w:ind w:left="935" w:hanging="248"/>
        <w:jc w:val="left"/>
      </w:pPr>
      <w:rPr>
        <w:rFonts w:hint="default" w:ascii="Times New Roman" w:hAnsi="Times New Roman" w:eastAsia="Times New Roman" w:cs="Times New Roman"/>
        <w:w w:val="100"/>
        <w:sz w:val="24"/>
        <w:szCs w:val="24"/>
      </w:rPr>
    </w:lvl>
    <w:lvl w:ilvl="1">
      <w:start w:val="0"/>
      <w:numFmt w:val="bullet"/>
      <w:lvlText w:val="•"/>
      <w:lvlJc w:val="left"/>
      <w:pPr>
        <w:ind w:left="1814" w:hanging="248"/>
      </w:pPr>
      <w:rPr>
        <w:rFonts w:hint="default"/>
      </w:rPr>
    </w:lvl>
    <w:lvl w:ilvl="2">
      <w:start w:val="0"/>
      <w:numFmt w:val="bullet"/>
      <w:lvlText w:val="•"/>
      <w:lvlJc w:val="left"/>
      <w:pPr>
        <w:ind w:left="2689" w:hanging="248"/>
      </w:pPr>
      <w:rPr>
        <w:rFonts w:hint="default"/>
      </w:rPr>
    </w:lvl>
    <w:lvl w:ilvl="3">
      <w:start w:val="0"/>
      <w:numFmt w:val="bullet"/>
      <w:lvlText w:val="•"/>
      <w:lvlJc w:val="left"/>
      <w:pPr>
        <w:ind w:left="3563" w:hanging="248"/>
      </w:pPr>
      <w:rPr>
        <w:rFonts w:hint="default"/>
      </w:rPr>
    </w:lvl>
    <w:lvl w:ilvl="4">
      <w:start w:val="0"/>
      <w:numFmt w:val="bullet"/>
      <w:lvlText w:val="•"/>
      <w:lvlJc w:val="left"/>
      <w:pPr>
        <w:ind w:left="4438" w:hanging="248"/>
      </w:pPr>
      <w:rPr>
        <w:rFonts w:hint="default"/>
      </w:rPr>
    </w:lvl>
    <w:lvl w:ilvl="5">
      <w:start w:val="0"/>
      <w:numFmt w:val="bullet"/>
      <w:lvlText w:val="•"/>
      <w:lvlJc w:val="left"/>
      <w:pPr>
        <w:ind w:left="5313" w:hanging="248"/>
      </w:pPr>
      <w:rPr>
        <w:rFonts w:hint="default"/>
      </w:rPr>
    </w:lvl>
    <w:lvl w:ilvl="6">
      <w:start w:val="0"/>
      <w:numFmt w:val="bullet"/>
      <w:lvlText w:val="•"/>
      <w:lvlJc w:val="left"/>
      <w:pPr>
        <w:ind w:left="6187" w:hanging="248"/>
      </w:pPr>
      <w:rPr>
        <w:rFonts w:hint="default"/>
      </w:rPr>
    </w:lvl>
    <w:lvl w:ilvl="7">
      <w:start w:val="0"/>
      <w:numFmt w:val="bullet"/>
      <w:lvlText w:val="•"/>
      <w:lvlJc w:val="left"/>
      <w:pPr>
        <w:ind w:left="7062" w:hanging="248"/>
      </w:pPr>
      <w:rPr>
        <w:rFonts w:hint="default"/>
      </w:rPr>
    </w:lvl>
    <w:lvl w:ilvl="8">
      <w:start w:val="0"/>
      <w:numFmt w:val="bullet"/>
      <w:lvlText w:val="•"/>
      <w:lvlJc w:val="left"/>
      <w:pPr>
        <w:ind w:left="7937" w:hanging="248"/>
      </w:pPr>
      <w:rPr>
        <w:rFonts w:hint="default"/>
      </w:rPr>
    </w:lvl>
  </w:abstractNum>
  <w:abstractNum w:abstractNumId="35">
    <w:multiLevelType w:val="hybridMultilevel"/>
    <w:lvl w:ilvl="0">
      <w:start w:val="1"/>
      <w:numFmt w:val="decimal"/>
      <w:lvlText w:val="%1)"/>
      <w:lvlJc w:val="left"/>
      <w:pPr>
        <w:ind w:left="980" w:hanging="360"/>
        <w:jc w:val="left"/>
      </w:pPr>
      <w:rPr>
        <w:rFonts w:hint="default" w:ascii="Times New Roman" w:hAnsi="Times New Roman" w:eastAsia="Times New Roman" w:cs="Times New Roman"/>
        <w:spacing w:val="-22"/>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34">
    <w:multiLevelType w:val="hybridMultilevel"/>
    <w:lvl w:ilvl="0">
      <w:start w:val="1"/>
      <w:numFmt w:val="decimal"/>
      <w:lvlText w:val="%1)"/>
      <w:lvlJc w:val="left"/>
      <w:pPr>
        <w:ind w:left="968" w:hanging="256"/>
        <w:jc w:val="right"/>
      </w:pPr>
      <w:rPr>
        <w:rFonts w:hint="default" w:ascii="Times New Roman" w:hAnsi="Times New Roman" w:eastAsia="Times New Roman" w:cs="Times New Roman"/>
        <w:w w:val="100"/>
        <w:sz w:val="24"/>
        <w:szCs w:val="24"/>
      </w:rPr>
    </w:lvl>
    <w:lvl w:ilvl="1">
      <w:start w:val="1"/>
      <w:numFmt w:val="lowerLetter"/>
      <w:lvlText w:val="%2)"/>
      <w:lvlJc w:val="left"/>
      <w:pPr>
        <w:ind w:left="1392" w:hanging="425"/>
        <w:jc w:val="left"/>
      </w:pPr>
      <w:rPr>
        <w:rFonts w:hint="default" w:ascii="Times New Roman" w:hAnsi="Times New Roman" w:eastAsia="Times New Roman" w:cs="Times New Roman"/>
        <w:spacing w:val="-17"/>
        <w:w w:val="100"/>
        <w:sz w:val="24"/>
        <w:szCs w:val="24"/>
      </w:rPr>
    </w:lvl>
    <w:lvl w:ilvl="2">
      <w:start w:val="0"/>
      <w:numFmt w:val="bullet"/>
      <w:lvlText w:val="•"/>
      <w:lvlJc w:val="left"/>
      <w:pPr>
        <w:ind w:left="1700" w:hanging="425"/>
      </w:pPr>
      <w:rPr>
        <w:rFonts w:hint="default"/>
      </w:rPr>
    </w:lvl>
    <w:lvl w:ilvl="3">
      <w:start w:val="0"/>
      <w:numFmt w:val="bullet"/>
      <w:lvlText w:val="•"/>
      <w:lvlJc w:val="left"/>
      <w:pPr>
        <w:ind w:left="2698" w:hanging="425"/>
      </w:pPr>
      <w:rPr>
        <w:rFonts w:hint="default"/>
      </w:rPr>
    </w:lvl>
    <w:lvl w:ilvl="4">
      <w:start w:val="0"/>
      <w:numFmt w:val="bullet"/>
      <w:lvlText w:val="•"/>
      <w:lvlJc w:val="left"/>
      <w:pPr>
        <w:ind w:left="3696" w:hanging="425"/>
      </w:pPr>
      <w:rPr>
        <w:rFonts w:hint="default"/>
      </w:rPr>
    </w:lvl>
    <w:lvl w:ilvl="5">
      <w:start w:val="0"/>
      <w:numFmt w:val="bullet"/>
      <w:lvlText w:val="•"/>
      <w:lvlJc w:val="left"/>
      <w:pPr>
        <w:ind w:left="4694" w:hanging="425"/>
      </w:pPr>
      <w:rPr>
        <w:rFonts w:hint="default"/>
      </w:rPr>
    </w:lvl>
    <w:lvl w:ilvl="6">
      <w:start w:val="0"/>
      <w:numFmt w:val="bullet"/>
      <w:lvlText w:val="•"/>
      <w:lvlJc w:val="left"/>
      <w:pPr>
        <w:ind w:left="5693" w:hanging="425"/>
      </w:pPr>
      <w:rPr>
        <w:rFonts w:hint="default"/>
      </w:rPr>
    </w:lvl>
    <w:lvl w:ilvl="7">
      <w:start w:val="0"/>
      <w:numFmt w:val="bullet"/>
      <w:lvlText w:val="•"/>
      <w:lvlJc w:val="left"/>
      <w:pPr>
        <w:ind w:left="6691" w:hanging="425"/>
      </w:pPr>
      <w:rPr>
        <w:rFonts w:hint="default"/>
      </w:rPr>
    </w:lvl>
    <w:lvl w:ilvl="8">
      <w:start w:val="0"/>
      <w:numFmt w:val="bullet"/>
      <w:lvlText w:val="•"/>
      <w:lvlJc w:val="left"/>
      <w:pPr>
        <w:ind w:left="7689" w:hanging="425"/>
      </w:pPr>
      <w:rPr>
        <w:rFonts w:hint="default"/>
      </w:rPr>
    </w:lvl>
  </w:abstractNum>
  <w:abstractNum w:abstractNumId="33">
    <w:multiLevelType w:val="hybridMultilevel"/>
    <w:lvl w:ilvl="0">
      <w:start w:val="1"/>
      <w:numFmt w:val="decimal"/>
      <w:lvlText w:val="%1)"/>
      <w:lvlJc w:val="left"/>
      <w:pPr>
        <w:ind w:left="1328" w:hanging="256"/>
        <w:jc w:val="right"/>
      </w:pPr>
      <w:rPr>
        <w:rFonts w:hint="default" w:ascii="Times New Roman" w:hAnsi="Times New Roman" w:eastAsia="Times New Roman" w:cs="Times New Roman"/>
        <w:w w:val="100"/>
        <w:sz w:val="24"/>
        <w:szCs w:val="24"/>
      </w:rPr>
    </w:lvl>
    <w:lvl w:ilvl="1">
      <w:start w:val="1"/>
      <w:numFmt w:val="lowerLetter"/>
      <w:lvlText w:val="%2)"/>
      <w:lvlJc w:val="left"/>
      <w:pPr>
        <w:ind w:left="1752" w:hanging="425"/>
        <w:jc w:val="right"/>
      </w:pPr>
      <w:rPr>
        <w:rFonts w:hint="default" w:ascii="Times New Roman" w:hAnsi="Times New Roman" w:eastAsia="Times New Roman" w:cs="Times New Roman"/>
        <w:spacing w:val="-4"/>
        <w:w w:val="100"/>
        <w:sz w:val="24"/>
        <w:szCs w:val="24"/>
      </w:rPr>
    </w:lvl>
    <w:lvl w:ilvl="2">
      <w:start w:val="0"/>
      <w:numFmt w:val="bullet"/>
      <w:lvlText w:val="•"/>
      <w:lvlJc w:val="left"/>
      <w:pPr>
        <w:ind w:left="1760" w:hanging="425"/>
      </w:pPr>
      <w:rPr>
        <w:rFonts w:hint="default"/>
      </w:rPr>
    </w:lvl>
    <w:lvl w:ilvl="3">
      <w:start w:val="0"/>
      <w:numFmt w:val="bullet"/>
      <w:lvlText w:val="•"/>
      <w:lvlJc w:val="left"/>
      <w:pPr>
        <w:ind w:left="2750" w:hanging="425"/>
      </w:pPr>
      <w:rPr>
        <w:rFonts w:hint="default"/>
      </w:rPr>
    </w:lvl>
    <w:lvl w:ilvl="4">
      <w:start w:val="0"/>
      <w:numFmt w:val="bullet"/>
      <w:lvlText w:val="•"/>
      <w:lvlJc w:val="left"/>
      <w:pPr>
        <w:ind w:left="3741" w:hanging="425"/>
      </w:pPr>
      <w:rPr>
        <w:rFonts w:hint="default"/>
      </w:rPr>
    </w:lvl>
    <w:lvl w:ilvl="5">
      <w:start w:val="0"/>
      <w:numFmt w:val="bullet"/>
      <w:lvlText w:val="•"/>
      <w:lvlJc w:val="left"/>
      <w:pPr>
        <w:ind w:left="4732" w:hanging="425"/>
      </w:pPr>
      <w:rPr>
        <w:rFonts w:hint="default"/>
      </w:rPr>
    </w:lvl>
    <w:lvl w:ilvl="6">
      <w:start w:val="0"/>
      <w:numFmt w:val="bullet"/>
      <w:lvlText w:val="•"/>
      <w:lvlJc w:val="left"/>
      <w:pPr>
        <w:ind w:left="5723" w:hanging="425"/>
      </w:pPr>
      <w:rPr>
        <w:rFonts w:hint="default"/>
      </w:rPr>
    </w:lvl>
    <w:lvl w:ilvl="7">
      <w:start w:val="0"/>
      <w:numFmt w:val="bullet"/>
      <w:lvlText w:val="•"/>
      <w:lvlJc w:val="left"/>
      <w:pPr>
        <w:ind w:left="6714" w:hanging="425"/>
      </w:pPr>
      <w:rPr>
        <w:rFonts w:hint="default"/>
      </w:rPr>
    </w:lvl>
    <w:lvl w:ilvl="8">
      <w:start w:val="0"/>
      <w:numFmt w:val="bullet"/>
      <w:lvlText w:val="•"/>
      <w:lvlJc w:val="left"/>
      <w:pPr>
        <w:ind w:left="7704" w:hanging="425"/>
      </w:pPr>
      <w:rPr>
        <w:rFonts w:hint="default"/>
      </w:rPr>
    </w:lvl>
  </w:abstractNum>
  <w:abstractNum w:abstractNumId="32">
    <w:multiLevelType w:val="hybridMultilevel"/>
    <w:lvl w:ilvl="0">
      <w:start w:val="1"/>
      <w:numFmt w:val="decimal"/>
      <w:lvlText w:val="%1)"/>
      <w:lvlJc w:val="left"/>
      <w:pPr>
        <w:ind w:left="1472" w:hanging="426"/>
        <w:jc w:val="left"/>
      </w:pPr>
      <w:rPr>
        <w:rFonts w:hint="default" w:ascii="Times New Roman" w:hAnsi="Times New Roman" w:eastAsia="Times New Roman" w:cs="Times New Roman"/>
        <w:spacing w:val="-15"/>
        <w:w w:val="100"/>
        <w:sz w:val="24"/>
        <w:szCs w:val="24"/>
      </w:rPr>
    </w:lvl>
    <w:lvl w:ilvl="1">
      <w:start w:val="1"/>
      <w:numFmt w:val="lowerLetter"/>
      <w:lvlText w:val="%2)"/>
      <w:lvlJc w:val="left"/>
      <w:pPr>
        <w:ind w:left="1896" w:hanging="425"/>
        <w:jc w:val="left"/>
      </w:pPr>
      <w:rPr>
        <w:rFonts w:hint="default" w:ascii="Times New Roman" w:hAnsi="Times New Roman" w:eastAsia="Times New Roman" w:cs="Times New Roman"/>
        <w:spacing w:val="-29"/>
        <w:w w:val="100"/>
        <w:sz w:val="24"/>
        <w:szCs w:val="24"/>
      </w:rPr>
    </w:lvl>
    <w:lvl w:ilvl="2">
      <w:start w:val="0"/>
      <w:numFmt w:val="bullet"/>
      <w:lvlText w:val="•"/>
      <w:lvlJc w:val="left"/>
      <w:pPr>
        <w:ind w:left="2765" w:hanging="425"/>
      </w:pPr>
      <w:rPr>
        <w:rFonts w:hint="default"/>
      </w:rPr>
    </w:lvl>
    <w:lvl w:ilvl="3">
      <w:start w:val="0"/>
      <w:numFmt w:val="bullet"/>
      <w:lvlText w:val="•"/>
      <w:lvlJc w:val="left"/>
      <w:pPr>
        <w:ind w:left="3630" w:hanging="425"/>
      </w:pPr>
      <w:rPr>
        <w:rFonts w:hint="default"/>
      </w:rPr>
    </w:lvl>
    <w:lvl w:ilvl="4">
      <w:start w:val="0"/>
      <w:numFmt w:val="bullet"/>
      <w:lvlText w:val="•"/>
      <w:lvlJc w:val="left"/>
      <w:pPr>
        <w:ind w:left="4495" w:hanging="425"/>
      </w:pPr>
      <w:rPr>
        <w:rFonts w:hint="default"/>
      </w:rPr>
    </w:lvl>
    <w:lvl w:ilvl="5">
      <w:start w:val="0"/>
      <w:numFmt w:val="bullet"/>
      <w:lvlText w:val="•"/>
      <w:lvlJc w:val="left"/>
      <w:pPr>
        <w:ind w:left="5360" w:hanging="425"/>
      </w:pPr>
      <w:rPr>
        <w:rFonts w:hint="default"/>
      </w:rPr>
    </w:lvl>
    <w:lvl w:ilvl="6">
      <w:start w:val="0"/>
      <w:numFmt w:val="bullet"/>
      <w:lvlText w:val="•"/>
      <w:lvlJc w:val="left"/>
      <w:pPr>
        <w:ind w:left="6225" w:hanging="425"/>
      </w:pPr>
      <w:rPr>
        <w:rFonts w:hint="default"/>
      </w:rPr>
    </w:lvl>
    <w:lvl w:ilvl="7">
      <w:start w:val="0"/>
      <w:numFmt w:val="bullet"/>
      <w:lvlText w:val="•"/>
      <w:lvlJc w:val="left"/>
      <w:pPr>
        <w:ind w:left="7090" w:hanging="425"/>
      </w:pPr>
      <w:rPr>
        <w:rFonts w:hint="default"/>
      </w:rPr>
    </w:lvl>
    <w:lvl w:ilvl="8">
      <w:start w:val="0"/>
      <w:numFmt w:val="bullet"/>
      <w:lvlText w:val="•"/>
      <w:lvlJc w:val="left"/>
      <w:pPr>
        <w:ind w:left="7956" w:hanging="425"/>
      </w:pPr>
      <w:rPr>
        <w:rFonts w:hint="default"/>
      </w:rPr>
    </w:lvl>
  </w:abstractNum>
  <w:abstractNum w:abstractNumId="31">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spacing w:val="-20"/>
        <w:w w:val="100"/>
        <w:sz w:val="24"/>
        <w:szCs w:val="24"/>
      </w:rPr>
    </w:lvl>
    <w:lvl w:ilvl="1">
      <w:start w:val="1"/>
      <w:numFmt w:val="lowerLetter"/>
      <w:lvlText w:val="%2)"/>
      <w:lvlJc w:val="left"/>
      <w:pPr>
        <w:ind w:left="1752" w:hanging="425"/>
        <w:jc w:val="left"/>
      </w:pPr>
      <w:rPr>
        <w:rFonts w:hint="default" w:ascii="Times New Roman" w:hAnsi="Times New Roman" w:eastAsia="Times New Roman" w:cs="Times New Roman"/>
        <w:spacing w:val="-4"/>
        <w:w w:val="100"/>
        <w:sz w:val="24"/>
        <w:szCs w:val="24"/>
      </w:rPr>
    </w:lvl>
    <w:lvl w:ilvl="2">
      <w:start w:val="0"/>
      <w:numFmt w:val="bullet"/>
      <w:lvlText w:val="•"/>
      <w:lvlJc w:val="left"/>
      <w:pPr>
        <w:ind w:left="1760" w:hanging="425"/>
      </w:pPr>
      <w:rPr>
        <w:rFonts w:hint="default"/>
      </w:rPr>
    </w:lvl>
    <w:lvl w:ilvl="3">
      <w:start w:val="0"/>
      <w:numFmt w:val="bullet"/>
      <w:lvlText w:val="•"/>
      <w:lvlJc w:val="left"/>
      <w:pPr>
        <w:ind w:left="2750" w:hanging="425"/>
      </w:pPr>
      <w:rPr>
        <w:rFonts w:hint="default"/>
      </w:rPr>
    </w:lvl>
    <w:lvl w:ilvl="4">
      <w:start w:val="0"/>
      <w:numFmt w:val="bullet"/>
      <w:lvlText w:val="•"/>
      <w:lvlJc w:val="left"/>
      <w:pPr>
        <w:ind w:left="3741" w:hanging="425"/>
      </w:pPr>
      <w:rPr>
        <w:rFonts w:hint="default"/>
      </w:rPr>
    </w:lvl>
    <w:lvl w:ilvl="5">
      <w:start w:val="0"/>
      <w:numFmt w:val="bullet"/>
      <w:lvlText w:val="•"/>
      <w:lvlJc w:val="left"/>
      <w:pPr>
        <w:ind w:left="4732" w:hanging="425"/>
      </w:pPr>
      <w:rPr>
        <w:rFonts w:hint="default"/>
      </w:rPr>
    </w:lvl>
    <w:lvl w:ilvl="6">
      <w:start w:val="0"/>
      <w:numFmt w:val="bullet"/>
      <w:lvlText w:val="•"/>
      <w:lvlJc w:val="left"/>
      <w:pPr>
        <w:ind w:left="5723" w:hanging="425"/>
      </w:pPr>
      <w:rPr>
        <w:rFonts w:hint="default"/>
      </w:rPr>
    </w:lvl>
    <w:lvl w:ilvl="7">
      <w:start w:val="0"/>
      <w:numFmt w:val="bullet"/>
      <w:lvlText w:val="•"/>
      <w:lvlJc w:val="left"/>
      <w:pPr>
        <w:ind w:left="6714" w:hanging="425"/>
      </w:pPr>
      <w:rPr>
        <w:rFonts w:hint="default"/>
      </w:rPr>
    </w:lvl>
    <w:lvl w:ilvl="8">
      <w:start w:val="0"/>
      <w:numFmt w:val="bullet"/>
      <w:lvlText w:val="•"/>
      <w:lvlJc w:val="left"/>
      <w:pPr>
        <w:ind w:left="7704" w:hanging="425"/>
      </w:pPr>
      <w:rPr>
        <w:rFonts w:hint="default"/>
      </w:rPr>
    </w:lvl>
  </w:abstractNum>
  <w:abstractNum w:abstractNumId="30">
    <w:multiLevelType w:val="hybridMultilevel"/>
    <w:lvl w:ilvl="0">
      <w:start w:val="4"/>
      <w:numFmt w:val="decimal"/>
      <w:lvlText w:val="%1"/>
      <w:lvlJc w:val="left"/>
      <w:pPr>
        <w:ind w:left="1341" w:hanging="362"/>
        <w:jc w:val="left"/>
      </w:pPr>
      <w:rPr>
        <w:rFonts w:hint="default"/>
      </w:rPr>
    </w:lvl>
    <w:lvl w:ilvl="1">
      <w:start w:val="1"/>
      <w:numFmt w:val="decimal"/>
      <w:lvlText w:val="%1.%2."/>
      <w:lvlJc w:val="left"/>
      <w:pPr>
        <w:ind w:left="1341" w:hanging="362"/>
        <w:jc w:val="right"/>
      </w:pPr>
      <w:rPr>
        <w:rFonts w:hint="default" w:ascii="Times New Roman" w:hAnsi="Times New Roman" w:eastAsia="Times New Roman" w:cs="Times New Roman"/>
        <w:b/>
        <w:bCs/>
        <w:i/>
        <w:spacing w:val="-4"/>
        <w:w w:val="100"/>
        <w:sz w:val="22"/>
        <w:szCs w:val="22"/>
      </w:rPr>
    </w:lvl>
    <w:lvl w:ilvl="2">
      <w:start w:val="1"/>
      <w:numFmt w:val="upperLetter"/>
      <w:lvlText w:val="%3."/>
      <w:lvlJc w:val="left"/>
      <w:pPr>
        <w:ind w:left="620" w:hanging="312"/>
        <w:jc w:val="right"/>
      </w:pPr>
      <w:rPr>
        <w:rFonts w:hint="default" w:ascii="Times New Roman" w:hAnsi="Times New Roman" w:eastAsia="Times New Roman" w:cs="Times New Roman"/>
        <w:b/>
        <w:bCs/>
        <w:i/>
        <w:spacing w:val="-30"/>
        <w:w w:val="100"/>
        <w:sz w:val="24"/>
        <w:szCs w:val="24"/>
      </w:rPr>
    </w:lvl>
    <w:lvl w:ilvl="3">
      <w:start w:val="1"/>
      <w:numFmt w:val="decimal"/>
      <w:lvlText w:val="%4)"/>
      <w:lvlJc w:val="left"/>
      <w:pPr>
        <w:ind w:left="1752" w:hanging="414"/>
        <w:jc w:val="left"/>
      </w:pPr>
      <w:rPr>
        <w:rFonts w:hint="default" w:ascii="Times New Roman" w:hAnsi="Times New Roman" w:eastAsia="Times New Roman" w:cs="Times New Roman"/>
        <w:spacing w:val="-27"/>
        <w:w w:val="100"/>
        <w:sz w:val="24"/>
        <w:szCs w:val="24"/>
      </w:rPr>
    </w:lvl>
    <w:lvl w:ilvl="4">
      <w:start w:val="0"/>
      <w:numFmt w:val="bullet"/>
      <w:lvlText w:val="•"/>
      <w:lvlJc w:val="left"/>
      <w:pPr>
        <w:ind w:left="3741" w:hanging="414"/>
      </w:pPr>
      <w:rPr>
        <w:rFonts w:hint="default"/>
      </w:rPr>
    </w:lvl>
    <w:lvl w:ilvl="5">
      <w:start w:val="0"/>
      <w:numFmt w:val="bullet"/>
      <w:lvlText w:val="•"/>
      <w:lvlJc w:val="left"/>
      <w:pPr>
        <w:ind w:left="4732" w:hanging="414"/>
      </w:pPr>
      <w:rPr>
        <w:rFonts w:hint="default"/>
      </w:rPr>
    </w:lvl>
    <w:lvl w:ilvl="6">
      <w:start w:val="0"/>
      <w:numFmt w:val="bullet"/>
      <w:lvlText w:val="•"/>
      <w:lvlJc w:val="left"/>
      <w:pPr>
        <w:ind w:left="5723" w:hanging="414"/>
      </w:pPr>
      <w:rPr>
        <w:rFonts w:hint="default"/>
      </w:rPr>
    </w:lvl>
    <w:lvl w:ilvl="7">
      <w:start w:val="0"/>
      <w:numFmt w:val="bullet"/>
      <w:lvlText w:val="•"/>
      <w:lvlJc w:val="left"/>
      <w:pPr>
        <w:ind w:left="6714" w:hanging="414"/>
      </w:pPr>
      <w:rPr>
        <w:rFonts w:hint="default"/>
      </w:rPr>
    </w:lvl>
    <w:lvl w:ilvl="8">
      <w:start w:val="0"/>
      <w:numFmt w:val="bullet"/>
      <w:lvlText w:val="•"/>
      <w:lvlJc w:val="left"/>
      <w:pPr>
        <w:ind w:left="7704" w:hanging="414"/>
      </w:pPr>
      <w:rPr>
        <w:rFonts w:hint="default"/>
      </w:rPr>
    </w:lvl>
  </w:abstractNum>
  <w:abstractNum w:abstractNumId="29">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b/>
        <w:bCs/>
        <w:spacing w:val="-29"/>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28">
    <w:multiLevelType w:val="hybridMultilevel"/>
    <w:lvl w:ilvl="0">
      <w:start w:val="1"/>
      <w:numFmt w:val="decimal"/>
      <w:lvlText w:val="%1)"/>
      <w:lvlJc w:val="left"/>
      <w:pPr>
        <w:ind w:left="1407" w:hanging="360"/>
        <w:jc w:val="right"/>
      </w:pPr>
      <w:rPr>
        <w:rFonts w:hint="default" w:ascii="Times New Roman" w:hAnsi="Times New Roman" w:eastAsia="Times New Roman" w:cs="Times New Roman"/>
        <w:spacing w:val="-30"/>
        <w:w w:val="100"/>
        <w:sz w:val="24"/>
        <w:szCs w:val="24"/>
      </w:rPr>
    </w:lvl>
    <w:lvl w:ilvl="1">
      <w:start w:val="0"/>
      <w:numFmt w:val="bullet"/>
      <w:lvlText w:val="•"/>
      <w:lvlJc w:val="left"/>
      <w:pPr>
        <w:ind w:left="2228" w:hanging="360"/>
      </w:pPr>
      <w:rPr>
        <w:rFonts w:hint="default"/>
      </w:rPr>
    </w:lvl>
    <w:lvl w:ilvl="2">
      <w:start w:val="0"/>
      <w:numFmt w:val="bullet"/>
      <w:lvlText w:val="•"/>
      <w:lvlJc w:val="left"/>
      <w:pPr>
        <w:ind w:left="3057" w:hanging="360"/>
      </w:pPr>
      <w:rPr>
        <w:rFonts w:hint="default"/>
      </w:rPr>
    </w:lvl>
    <w:lvl w:ilvl="3">
      <w:start w:val="0"/>
      <w:numFmt w:val="bullet"/>
      <w:lvlText w:val="•"/>
      <w:lvlJc w:val="left"/>
      <w:pPr>
        <w:ind w:left="3885" w:hanging="360"/>
      </w:pPr>
      <w:rPr>
        <w:rFonts w:hint="default"/>
      </w:rPr>
    </w:lvl>
    <w:lvl w:ilvl="4">
      <w:start w:val="0"/>
      <w:numFmt w:val="bullet"/>
      <w:lvlText w:val="•"/>
      <w:lvlJc w:val="left"/>
      <w:pPr>
        <w:ind w:left="4714" w:hanging="360"/>
      </w:pPr>
      <w:rPr>
        <w:rFonts w:hint="default"/>
      </w:rPr>
    </w:lvl>
    <w:lvl w:ilvl="5">
      <w:start w:val="0"/>
      <w:numFmt w:val="bullet"/>
      <w:lvlText w:val="•"/>
      <w:lvlJc w:val="left"/>
      <w:pPr>
        <w:ind w:left="5543"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0" w:hanging="360"/>
      </w:pPr>
      <w:rPr>
        <w:rFonts w:hint="default"/>
      </w:rPr>
    </w:lvl>
    <w:lvl w:ilvl="8">
      <w:start w:val="0"/>
      <w:numFmt w:val="bullet"/>
      <w:lvlText w:val="•"/>
      <w:lvlJc w:val="left"/>
      <w:pPr>
        <w:ind w:left="8029" w:hanging="360"/>
      </w:pPr>
      <w:rPr>
        <w:rFonts w:hint="default"/>
      </w:rPr>
    </w:lvl>
  </w:abstractNum>
  <w:abstractNum w:abstractNumId="27">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spacing w:val="-29"/>
        <w:w w:val="100"/>
        <w:sz w:val="24"/>
        <w:szCs w:val="24"/>
      </w:rPr>
    </w:lvl>
    <w:lvl w:ilvl="1">
      <w:start w:val="1"/>
      <w:numFmt w:val="lowerLetter"/>
      <w:lvlText w:val="%2)"/>
      <w:lvlJc w:val="left"/>
      <w:pPr>
        <w:ind w:left="1392" w:hanging="425"/>
        <w:jc w:val="left"/>
      </w:pPr>
      <w:rPr>
        <w:rFonts w:hint="default" w:ascii="Times New Roman" w:hAnsi="Times New Roman" w:eastAsia="Times New Roman" w:cs="Times New Roman"/>
        <w:spacing w:val="-12"/>
        <w:w w:val="100"/>
        <w:sz w:val="24"/>
        <w:szCs w:val="24"/>
      </w:rPr>
    </w:lvl>
    <w:lvl w:ilvl="2">
      <w:start w:val="0"/>
      <w:numFmt w:val="bullet"/>
      <w:lvlText w:val="•"/>
      <w:lvlJc w:val="left"/>
      <w:pPr>
        <w:ind w:left="1700" w:hanging="425"/>
      </w:pPr>
      <w:rPr>
        <w:rFonts w:hint="default"/>
      </w:rPr>
    </w:lvl>
    <w:lvl w:ilvl="3">
      <w:start w:val="0"/>
      <w:numFmt w:val="bullet"/>
      <w:lvlText w:val="•"/>
      <w:lvlJc w:val="left"/>
      <w:pPr>
        <w:ind w:left="2698" w:hanging="425"/>
      </w:pPr>
      <w:rPr>
        <w:rFonts w:hint="default"/>
      </w:rPr>
    </w:lvl>
    <w:lvl w:ilvl="4">
      <w:start w:val="0"/>
      <w:numFmt w:val="bullet"/>
      <w:lvlText w:val="•"/>
      <w:lvlJc w:val="left"/>
      <w:pPr>
        <w:ind w:left="3696" w:hanging="425"/>
      </w:pPr>
      <w:rPr>
        <w:rFonts w:hint="default"/>
      </w:rPr>
    </w:lvl>
    <w:lvl w:ilvl="5">
      <w:start w:val="0"/>
      <w:numFmt w:val="bullet"/>
      <w:lvlText w:val="•"/>
      <w:lvlJc w:val="left"/>
      <w:pPr>
        <w:ind w:left="4694" w:hanging="425"/>
      </w:pPr>
      <w:rPr>
        <w:rFonts w:hint="default"/>
      </w:rPr>
    </w:lvl>
    <w:lvl w:ilvl="6">
      <w:start w:val="0"/>
      <w:numFmt w:val="bullet"/>
      <w:lvlText w:val="•"/>
      <w:lvlJc w:val="left"/>
      <w:pPr>
        <w:ind w:left="5693" w:hanging="425"/>
      </w:pPr>
      <w:rPr>
        <w:rFonts w:hint="default"/>
      </w:rPr>
    </w:lvl>
    <w:lvl w:ilvl="7">
      <w:start w:val="0"/>
      <w:numFmt w:val="bullet"/>
      <w:lvlText w:val="•"/>
      <w:lvlJc w:val="left"/>
      <w:pPr>
        <w:ind w:left="6691" w:hanging="425"/>
      </w:pPr>
      <w:rPr>
        <w:rFonts w:hint="default"/>
      </w:rPr>
    </w:lvl>
    <w:lvl w:ilvl="8">
      <w:start w:val="0"/>
      <w:numFmt w:val="bullet"/>
      <w:lvlText w:val="•"/>
      <w:lvlJc w:val="left"/>
      <w:pPr>
        <w:ind w:left="7689" w:hanging="425"/>
      </w:pPr>
      <w:rPr>
        <w:rFonts w:hint="default"/>
      </w:rPr>
    </w:lvl>
  </w:abstractNum>
  <w:abstractNum w:abstractNumId="26">
    <w:multiLevelType w:val="hybridMultilevel"/>
    <w:lvl w:ilvl="0">
      <w:start w:val="1"/>
      <w:numFmt w:val="decimal"/>
      <w:lvlText w:val="%1)"/>
      <w:lvlJc w:val="left"/>
      <w:pPr>
        <w:ind w:left="1263"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02" w:hanging="360"/>
      </w:pPr>
      <w:rPr>
        <w:rFonts w:hint="default"/>
      </w:rPr>
    </w:lvl>
    <w:lvl w:ilvl="2">
      <w:start w:val="0"/>
      <w:numFmt w:val="bullet"/>
      <w:lvlText w:val="•"/>
      <w:lvlJc w:val="left"/>
      <w:pPr>
        <w:ind w:left="2945" w:hanging="360"/>
      </w:pPr>
      <w:rPr>
        <w:rFonts w:hint="default"/>
      </w:rPr>
    </w:lvl>
    <w:lvl w:ilvl="3">
      <w:start w:val="0"/>
      <w:numFmt w:val="bullet"/>
      <w:lvlText w:val="•"/>
      <w:lvlJc w:val="left"/>
      <w:pPr>
        <w:ind w:left="3787" w:hanging="360"/>
      </w:pPr>
      <w:rPr>
        <w:rFonts w:hint="default"/>
      </w:rPr>
    </w:lvl>
    <w:lvl w:ilvl="4">
      <w:start w:val="0"/>
      <w:numFmt w:val="bullet"/>
      <w:lvlText w:val="•"/>
      <w:lvlJc w:val="left"/>
      <w:pPr>
        <w:ind w:left="4630" w:hanging="360"/>
      </w:pPr>
      <w:rPr>
        <w:rFonts w:hint="default"/>
      </w:rPr>
    </w:lvl>
    <w:lvl w:ilvl="5">
      <w:start w:val="0"/>
      <w:numFmt w:val="bullet"/>
      <w:lvlText w:val="•"/>
      <w:lvlJc w:val="left"/>
      <w:pPr>
        <w:ind w:left="5473" w:hanging="360"/>
      </w:pPr>
      <w:rPr>
        <w:rFonts w:hint="default"/>
      </w:rPr>
    </w:lvl>
    <w:lvl w:ilvl="6">
      <w:start w:val="0"/>
      <w:numFmt w:val="bullet"/>
      <w:lvlText w:val="•"/>
      <w:lvlJc w:val="left"/>
      <w:pPr>
        <w:ind w:left="6315" w:hanging="360"/>
      </w:pPr>
      <w:rPr>
        <w:rFonts w:hint="default"/>
      </w:rPr>
    </w:lvl>
    <w:lvl w:ilvl="7">
      <w:start w:val="0"/>
      <w:numFmt w:val="bullet"/>
      <w:lvlText w:val="•"/>
      <w:lvlJc w:val="left"/>
      <w:pPr>
        <w:ind w:left="7158" w:hanging="360"/>
      </w:pPr>
      <w:rPr>
        <w:rFonts w:hint="default"/>
      </w:rPr>
    </w:lvl>
    <w:lvl w:ilvl="8">
      <w:start w:val="0"/>
      <w:numFmt w:val="bullet"/>
      <w:lvlText w:val="•"/>
      <w:lvlJc w:val="left"/>
      <w:pPr>
        <w:ind w:left="8001" w:hanging="360"/>
      </w:pPr>
      <w:rPr>
        <w:rFonts w:hint="default"/>
      </w:rPr>
    </w:lvl>
  </w:abstractNum>
  <w:abstractNum w:abstractNumId="25">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0"/>
        <w:w w:val="100"/>
        <w:sz w:val="24"/>
        <w:szCs w:val="24"/>
      </w:rPr>
    </w:lvl>
    <w:lvl w:ilvl="1">
      <w:start w:val="1"/>
      <w:numFmt w:val="lowerLetter"/>
      <w:lvlText w:val="%2)"/>
      <w:lvlJc w:val="left"/>
      <w:pPr>
        <w:ind w:left="1392" w:hanging="425"/>
        <w:jc w:val="left"/>
      </w:pPr>
      <w:rPr>
        <w:rFonts w:hint="default" w:ascii="Times New Roman" w:hAnsi="Times New Roman" w:eastAsia="Times New Roman" w:cs="Times New Roman"/>
        <w:spacing w:val="-17"/>
        <w:w w:val="100"/>
        <w:sz w:val="24"/>
        <w:szCs w:val="24"/>
      </w:rPr>
    </w:lvl>
    <w:lvl w:ilvl="2">
      <w:start w:val="0"/>
      <w:numFmt w:val="bullet"/>
      <w:lvlText w:val="•"/>
      <w:lvlJc w:val="left"/>
      <w:pPr>
        <w:ind w:left="1700" w:hanging="425"/>
      </w:pPr>
      <w:rPr>
        <w:rFonts w:hint="default"/>
      </w:rPr>
    </w:lvl>
    <w:lvl w:ilvl="3">
      <w:start w:val="0"/>
      <w:numFmt w:val="bullet"/>
      <w:lvlText w:val="•"/>
      <w:lvlJc w:val="left"/>
      <w:pPr>
        <w:ind w:left="2698" w:hanging="425"/>
      </w:pPr>
      <w:rPr>
        <w:rFonts w:hint="default"/>
      </w:rPr>
    </w:lvl>
    <w:lvl w:ilvl="4">
      <w:start w:val="0"/>
      <w:numFmt w:val="bullet"/>
      <w:lvlText w:val="•"/>
      <w:lvlJc w:val="left"/>
      <w:pPr>
        <w:ind w:left="3696" w:hanging="425"/>
      </w:pPr>
      <w:rPr>
        <w:rFonts w:hint="default"/>
      </w:rPr>
    </w:lvl>
    <w:lvl w:ilvl="5">
      <w:start w:val="0"/>
      <w:numFmt w:val="bullet"/>
      <w:lvlText w:val="•"/>
      <w:lvlJc w:val="left"/>
      <w:pPr>
        <w:ind w:left="4694" w:hanging="425"/>
      </w:pPr>
      <w:rPr>
        <w:rFonts w:hint="default"/>
      </w:rPr>
    </w:lvl>
    <w:lvl w:ilvl="6">
      <w:start w:val="0"/>
      <w:numFmt w:val="bullet"/>
      <w:lvlText w:val="•"/>
      <w:lvlJc w:val="left"/>
      <w:pPr>
        <w:ind w:left="5693" w:hanging="425"/>
      </w:pPr>
      <w:rPr>
        <w:rFonts w:hint="default"/>
      </w:rPr>
    </w:lvl>
    <w:lvl w:ilvl="7">
      <w:start w:val="0"/>
      <w:numFmt w:val="bullet"/>
      <w:lvlText w:val="•"/>
      <w:lvlJc w:val="left"/>
      <w:pPr>
        <w:ind w:left="6691" w:hanging="425"/>
      </w:pPr>
      <w:rPr>
        <w:rFonts w:hint="default"/>
      </w:rPr>
    </w:lvl>
    <w:lvl w:ilvl="8">
      <w:start w:val="0"/>
      <w:numFmt w:val="bullet"/>
      <w:lvlText w:val="•"/>
      <w:lvlJc w:val="left"/>
      <w:pPr>
        <w:ind w:left="7689" w:hanging="425"/>
      </w:pPr>
      <w:rPr>
        <w:rFonts w:hint="default"/>
      </w:rPr>
    </w:lvl>
  </w:abstractNum>
  <w:abstractNum w:abstractNumId="24">
    <w:multiLevelType w:val="hybridMultilevel"/>
    <w:lvl w:ilvl="0">
      <w:start w:val="1"/>
      <w:numFmt w:val="decimal"/>
      <w:lvlText w:val="%1)"/>
      <w:lvlJc w:val="left"/>
      <w:pPr>
        <w:ind w:left="98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23">
    <w:multiLevelType w:val="hybridMultilevel"/>
    <w:lvl w:ilvl="0">
      <w:start w:val="3"/>
      <w:numFmt w:val="decimal"/>
      <w:lvlText w:val="%1"/>
      <w:lvlJc w:val="left"/>
      <w:pPr>
        <w:ind w:left="981" w:hanging="362"/>
        <w:jc w:val="left"/>
      </w:pPr>
      <w:rPr>
        <w:rFonts w:hint="default"/>
      </w:rPr>
    </w:lvl>
    <w:lvl w:ilvl="1">
      <w:start w:val="1"/>
      <w:numFmt w:val="decimal"/>
      <w:lvlText w:val="%1.%2."/>
      <w:lvlJc w:val="left"/>
      <w:pPr>
        <w:ind w:left="981" w:hanging="362"/>
        <w:jc w:val="right"/>
      </w:pPr>
      <w:rPr>
        <w:rFonts w:hint="default" w:ascii="Times New Roman" w:hAnsi="Times New Roman" w:eastAsia="Times New Roman" w:cs="Times New Roman"/>
        <w:b/>
        <w:bCs/>
        <w:i/>
        <w:spacing w:val="-4"/>
        <w:w w:val="100"/>
        <w:sz w:val="22"/>
        <w:szCs w:val="22"/>
      </w:rPr>
    </w:lvl>
    <w:lvl w:ilvl="2">
      <w:start w:val="0"/>
      <w:numFmt w:val="bullet"/>
      <w:lvlText w:val="•"/>
      <w:lvlJc w:val="left"/>
      <w:pPr>
        <w:ind w:left="2721" w:hanging="362"/>
      </w:pPr>
      <w:rPr>
        <w:rFonts w:hint="default"/>
      </w:rPr>
    </w:lvl>
    <w:lvl w:ilvl="3">
      <w:start w:val="0"/>
      <w:numFmt w:val="bullet"/>
      <w:lvlText w:val="•"/>
      <w:lvlJc w:val="left"/>
      <w:pPr>
        <w:ind w:left="3591" w:hanging="362"/>
      </w:pPr>
      <w:rPr>
        <w:rFonts w:hint="default"/>
      </w:rPr>
    </w:lvl>
    <w:lvl w:ilvl="4">
      <w:start w:val="0"/>
      <w:numFmt w:val="bullet"/>
      <w:lvlText w:val="•"/>
      <w:lvlJc w:val="left"/>
      <w:pPr>
        <w:ind w:left="4462" w:hanging="362"/>
      </w:pPr>
      <w:rPr>
        <w:rFonts w:hint="default"/>
      </w:rPr>
    </w:lvl>
    <w:lvl w:ilvl="5">
      <w:start w:val="0"/>
      <w:numFmt w:val="bullet"/>
      <w:lvlText w:val="•"/>
      <w:lvlJc w:val="left"/>
      <w:pPr>
        <w:ind w:left="5333" w:hanging="362"/>
      </w:pPr>
      <w:rPr>
        <w:rFonts w:hint="default"/>
      </w:rPr>
    </w:lvl>
    <w:lvl w:ilvl="6">
      <w:start w:val="0"/>
      <w:numFmt w:val="bullet"/>
      <w:lvlText w:val="•"/>
      <w:lvlJc w:val="left"/>
      <w:pPr>
        <w:ind w:left="6203" w:hanging="362"/>
      </w:pPr>
      <w:rPr>
        <w:rFonts w:hint="default"/>
      </w:rPr>
    </w:lvl>
    <w:lvl w:ilvl="7">
      <w:start w:val="0"/>
      <w:numFmt w:val="bullet"/>
      <w:lvlText w:val="•"/>
      <w:lvlJc w:val="left"/>
      <w:pPr>
        <w:ind w:left="7074" w:hanging="362"/>
      </w:pPr>
      <w:rPr>
        <w:rFonts w:hint="default"/>
      </w:rPr>
    </w:lvl>
    <w:lvl w:ilvl="8">
      <w:start w:val="0"/>
      <w:numFmt w:val="bullet"/>
      <w:lvlText w:val="•"/>
      <w:lvlJc w:val="left"/>
      <w:pPr>
        <w:ind w:left="7945" w:hanging="362"/>
      </w:pPr>
      <w:rPr>
        <w:rFonts w:hint="default"/>
      </w:rPr>
    </w:lvl>
  </w:abstractNum>
  <w:abstractNum w:abstractNumId="22">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0"/>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21">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9"/>
        <w:w w:val="100"/>
        <w:sz w:val="24"/>
        <w:szCs w:val="24"/>
      </w:rPr>
    </w:lvl>
    <w:lvl w:ilvl="1">
      <w:start w:val="1"/>
      <w:numFmt w:val="lowerLetter"/>
      <w:lvlText w:val="%2)"/>
      <w:lvlJc w:val="left"/>
      <w:pPr>
        <w:ind w:left="1613" w:hanging="242"/>
        <w:jc w:val="left"/>
      </w:pPr>
      <w:rPr>
        <w:rFonts w:hint="default" w:ascii="Times New Roman" w:hAnsi="Times New Roman" w:eastAsia="Times New Roman" w:cs="Times New Roman"/>
        <w:w w:val="100"/>
        <w:sz w:val="24"/>
        <w:szCs w:val="24"/>
      </w:rPr>
    </w:lvl>
    <w:lvl w:ilvl="2">
      <w:start w:val="0"/>
      <w:numFmt w:val="bullet"/>
      <w:lvlText w:val="•"/>
      <w:lvlJc w:val="left"/>
      <w:pPr>
        <w:ind w:left="2516" w:hanging="242"/>
      </w:pPr>
      <w:rPr>
        <w:rFonts w:hint="default"/>
      </w:rPr>
    </w:lvl>
    <w:lvl w:ilvl="3">
      <w:start w:val="0"/>
      <w:numFmt w:val="bullet"/>
      <w:lvlText w:val="•"/>
      <w:lvlJc w:val="left"/>
      <w:pPr>
        <w:ind w:left="3412" w:hanging="242"/>
      </w:pPr>
      <w:rPr>
        <w:rFonts w:hint="default"/>
      </w:rPr>
    </w:lvl>
    <w:lvl w:ilvl="4">
      <w:start w:val="0"/>
      <w:numFmt w:val="bullet"/>
      <w:lvlText w:val="•"/>
      <w:lvlJc w:val="left"/>
      <w:pPr>
        <w:ind w:left="4308" w:hanging="242"/>
      </w:pPr>
      <w:rPr>
        <w:rFonts w:hint="default"/>
      </w:rPr>
    </w:lvl>
    <w:lvl w:ilvl="5">
      <w:start w:val="0"/>
      <w:numFmt w:val="bullet"/>
      <w:lvlText w:val="•"/>
      <w:lvlJc w:val="left"/>
      <w:pPr>
        <w:ind w:left="5205" w:hanging="242"/>
      </w:pPr>
      <w:rPr>
        <w:rFonts w:hint="default"/>
      </w:rPr>
    </w:lvl>
    <w:lvl w:ilvl="6">
      <w:start w:val="0"/>
      <w:numFmt w:val="bullet"/>
      <w:lvlText w:val="•"/>
      <w:lvlJc w:val="left"/>
      <w:pPr>
        <w:ind w:left="6101" w:hanging="242"/>
      </w:pPr>
      <w:rPr>
        <w:rFonts w:hint="default"/>
      </w:rPr>
    </w:lvl>
    <w:lvl w:ilvl="7">
      <w:start w:val="0"/>
      <w:numFmt w:val="bullet"/>
      <w:lvlText w:val="•"/>
      <w:lvlJc w:val="left"/>
      <w:pPr>
        <w:ind w:left="6997" w:hanging="242"/>
      </w:pPr>
      <w:rPr>
        <w:rFonts w:hint="default"/>
      </w:rPr>
    </w:lvl>
    <w:lvl w:ilvl="8">
      <w:start w:val="0"/>
      <w:numFmt w:val="bullet"/>
      <w:lvlText w:val="•"/>
      <w:lvlJc w:val="left"/>
      <w:pPr>
        <w:ind w:left="7893" w:hanging="242"/>
      </w:pPr>
      <w:rPr>
        <w:rFonts w:hint="default"/>
      </w:rPr>
    </w:lvl>
  </w:abstractNum>
  <w:abstractNum w:abstractNumId="20">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b/>
        <w:bCs/>
        <w:spacing w:val="-29"/>
        <w:w w:val="100"/>
        <w:sz w:val="24"/>
        <w:szCs w:val="24"/>
      </w:rPr>
    </w:lvl>
    <w:lvl w:ilvl="1">
      <w:start w:val="1"/>
      <w:numFmt w:val="lowerLetter"/>
      <w:lvlText w:val="%2)"/>
      <w:lvlJc w:val="left"/>
      <w:pPr>
        <w:ind w:left="1700" w:hanging="360"/>
        <w:jc w:val="left"/>
      </w:pPr>
      <w:rPr>
        <w:rFonts w:hint="default" w:ascii="Times New Roman" w:hAnsi="Times New Roman" w:eastAsia="Times New Roman" w:cs="Times New Roman"/>
        <w:spacing w:val="-29"/>
        <w:w w:val="100"/>
        <w:sz w:val="24"/>
        <w:szCs w:val="24"/>
      </w:rPr>
    </w:lvl>
    <w:lvl w:ilvl="2">
      <w:start w:val="0"/>
      <w:numFmt w:val="bullet"/>
      <w:lvlText w:val="•"/>
      <w:lvlJc w:val="left"/>
      <w:pPr>
        <w:ind w:left="1700" w:hanging="360"/>
      </w:pPr>
      <w:rPr>
        <w:rFonts w:hint="default"/>
      </w:rPr>
    </w:lvl>
    <w:lvl w:ilvl="3">
      <w:start w:val="0"/>
      <w:numFmt w:val="bullet"/>
      <w:lvlText w:val="•"/>
      <w:lvlJc w:val="left"/>
      <w:pPr>
        <w:ind w:left="1760" w:hanging="360"/>
      </w:pPr>
      <w:rPr>
        <w:rFonts w:hint="default"/>
      </w:rPr>
    </w:lvl>
    <w:lvl w:ilvl="4">
      <w:start w:val="0"/>
      <w:numFmt w:val="bullet"/>
      <w:lvlText w:val="•"/>
      <w:lvlJc w:val="left"/>
      <w:pPr>
        <w:ind w:left="2320" w:hanging="360"/>
      </w:pPr>
      <w:rPr>
        <w:rFonts w:hint="default"/>
      </w:rPr>
    </w:lvl>
    <w:lvl w:ilvl="5">
      <w:start w:val="0"/>
      <w:numFmt w:val="bullet"/>
      <w:lvlText w:val="•"/>
      <w:lvlJc w:val="left"/>
      <w:pPr>
        <w:ind w:left="3547" w:hanging="360"/>
      </w:pPr>
      <w:rPr>
        <w:rFonts w:hint="default"/>
      </w:rPr>
    </w:lvl>
    <w:lvl w:ilvl="6">
      <w:start w:val="0"/>
      <w:numFmt w:val="bullet"/>
      <w:lvlText w:val="•"/>
      <w:lvlJc w:val="left"/>
      <w:pPr>
        <w:ind w:left="4775" w:hanging="360"/>
      </w:pPr>
      <w:rPr>
        <w:rFonts w:hint="default"/>
      </w:rPr>
    </w:lvl>
    <w:lvl w:ilvl="7">
      <w:start w:val="0"/>
      <w:numFmt w:val="bullet"/>
      <w:lvlText w:val="•"/>
      <w:lvlJc w:val="left"/>
      <w:pPr>
        <w:ind w:left="6003" w:hanging="360"/>
      </w:pPr>
      <w:rPr>
        <w:rFonts w:hint="default"/>
      </w:rPr>
    </w:lvl>
    <w:lvl w:ilvl="8">
      <w:start w:val="0"/>
      <w:numFmt w:val="bullet"/>
      <w:lvlText w:val="•"/>
      <w:lvlJc w:val="left"/>
      <w:pPr>
        <w:ind w:left="7230" w:hanging="360"/>
      </w:pPr>
      <w:rPr>
        <w:rFonts w:hint="default"/>
      </w:rPr>
    </w:lvl>
  </w:abstractNum>
  <w:abstractNum w:abstractNumId="19">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8">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7">
    <w:multiLevelType w:val="hybridMultilevel"/>
    <w:lvl w:ilvl="0">
      <w:start w:val="1"/>
      <w:numFmt w:val="decimal"/>
      <w:lvlText w:val="%1)"/>
      <w:lvlJc w:val="left"/>
      <w:pPr>
        <w:ind w:left="980" w:hanging="360"/>
        <w:jc w:val="right"/>
      </w:pPr>
      <w:rPr>
        <w:rFonts w:hint="default" w:ascii="Times New Roman" w:hAnsi="Times New Roman" w:eastAsia="Times New Roman" w:cs="Times New Roman"/>
        <w:b/>
        <w:bCs/>
        <w:spacing w:val="-29"/>
        <w:w w:val="100"/>
        <w:sz w:val="24"/>
        <w:szCs w:val="24"/>
      </w:rPr>
    </w:lvl>
    <w:lvl w:ilvl="1">
      <w:start w:val="1"/>
      <w:numFmt w:val="lowerLetter"/>
      <w:lvlText w:val="%2)"/>
      <w:lvlJc w:val="left"/>
      <w:pPr>
        <w:ind w:left="1392" w:hanging="425"/>
        <w:jc w:val="right"/>
      </w:pPr>
      <w:rPr>
        <w:rFonts w:hint="default" w:ascii="Times New Roman" w:hAnsi="Times New Roman" w:eastAsia="Times New Roman" w:cs="Times New Roman"/>
        <w:spacing w:val="-29"/>
        <w:w w:val="100"/>
        <w:sz w:val="24"/>
        <w:szCs w:val="24"/>
      </w:rPr>
    </w:lvl>
    <w:lvl w:ilvl="2">
      <w:start w:val="0"/>
      <w:numFmt w:val="bullet"/>
      <w:lvlText w:val="•"/>
      <w:lvlJc w:val="left"/>
      <w:pPr>
        <w:ind w:left="1400" w:hanging="425"/>
      </w:pPr>
      <w:rPr>
        <w:rFonts w:hint="default"/>
      </w:rPr>
    </w:lvl>
    <w:lvl w:ilvl="3">
      <w:start w:val="0"/>
      <w:numFmt w:val="bullet"/>
      <w:lvlText w:val="•"/>
      <w:lvlJc w:val="left"/>
      <w:pPr>
        <w:ind w:left="1700" w:hanging="425"/>
      </w:pPr>
      <w:rPr>
        <w:rFonts w:hint="default"/>
      </w:rPr>
    </w:lvl>
    <w:lvl w:ilvl="4">
      <w:start w:val="0"/>
      <w:numFmt w:val="bullet"/>
      <w:lvlText w:val="•"/>
      <w:lvlJc w:val="left"/>
      <w:pPr>
        <w:ind w:left="2840" w:hanging="425"/>
      </w:pPr>
      <w:rPr>
        <w:rFonts w:hint="default"/>
      </w:rPr>
    </w:lvl>
    <w:lvl w:ilvl="5">
      <w:start w:val="0"/>
      <w:numFmt w:val="bullet"/>
      <w:lvlText w:val="•"/>
      <w:lvlJc w:val="left"/>
      <w:pPr>
        <w:ind w:left="3981" w:hanging="425"/>
      </w:pPr>
      <w:rPr>
        <w:rFonts w:hint="default"/>
      </w:rPr>
    </w:lvl>
    <w:lvl w:ilvl="6">
      <w:start w:val="0"/>
      <w:numFmt w:val="bullet"/>
      <w:lvlText w:val="•"/>
      <w:lvlJc w:val="left"/>
      <w:pPr>
        <w:ind w:left="5122" w:hanging="425"/>
      </w:pPr>
      <w:rPr>
        <w:rFonts w:hint="default"/>
      </w:rPr>
    </w:lvl>
    <w:lvl w:ilvl="7">
      <w:start w:val="0"/>
      <w:numFmt w:val="bullet"/>
      <w:lvlText w:val="•"/>
      <w:lvlJc w:val="left"/>
      <w:pPr>
        <w:ind w:left="6263" w:hanging="425"/>
      </w:pPr>
      <w:rPr>
        <w:rFonts w:hint="default"/>
      </w:rPr>
    </w:lvl>
    <w:lvl w:ilvl="8">
      <w:start w:val="0"/>
      <w:numFmt w:val="bullet"/>
      <w:lvlText w:val="•"/>
      <w:lvlJc w:val="left"/>
      <w:pPr>
        <w:ind w:left="7404" w:hanging="425"/>
      </w:pPr>
      <w:rPr>
        <w:rFonts w:hint="default"/>
      </w:rPr>
    </w:lvl>
  </w:abstractNum>
  <w:abstractNum w:abstractNumId="16">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5">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4">
    <w:multiLevelType w:val="hybridMultilevel"/>
    <w:lvl w:ilvl="0">
      <w:start w:val="2"/>
      <w:numFmt w:val="decimal"/>
      <w:lvlText w:val="%1"/>
      <w:lvlJc w:val="left"/>
      <w:pPr>
        <w:ind w:left="1341" w:hanging="362"/>
        <w:jc w:val="left"/>
      </w:pPr>
      <w:rPr>
        <w:rFonts w:hint="default"/>
      </w:rPr>
    </w:lvl>
    <w:lvl w:ilvl="1">
      <w:start w:val="1"/>
      <w:numFmt w:val="decimal"/>
      <w:lvlText w:val="%1.%2."/>
      <w:lvlJc w:val="left"/>
      <w:pPr>
        <w:ind w:left="1341" w:hanging="362"/>
        <w:jc w:val="right"/>
      </w:pPr>
      <w:rPr>
        <w:rFonts w:hint="default" w:ascii="Times New Roman" w:hAnsi="Times New Roman" w:eastAsia="Times New Roman" w:cs="Times New Roman"/>
        <w:b/>
        <w:bCs/>
        <w:i/>
        <w:spacing w:val="-4"/>
        <w:w w:val="100"/>
        <w:sz w:val="22"/>
        <w:szCs w:val="22"/>
      </w:rPr>
    </w:lvl>
    <w:lvl w:ilvl="2">
      <w:start w:val="0"/>
      <w:numFmt w:val="bullet"/>
      <w:lvlText w:val="•"/>
      <w:lvlJc w:val="left"/>
      <w:pPr>
        <w:ind w:left="3009" w:hanging="362"/>
      </w:pPr>
      <w:rPr>
        <w:rFonts w:hint="default"/>
      </w:rPr>
    </w:lvl>
    <w:lvl w:ilvl="3">
      <w:start w:val="0"/>
      <w:numFmt w:val="bullet"/>
      <w:lvlText w:val="•"/>
      <w:lvlJc w:val="left"/>
      <w:pPr>
        <w:ind w:left="3843" w:hanging="362"/>
      </w:pPr>
      <w:rPr>
        <w:rFonts w:hint="default"/>
      </w:rPr>
    </w:lvl>
    <w:lvl w:ilvl="4">
      <w:start w:val="0"/>
      <w:numFmt w:val="bullet"/>
      <w:lvlText w:val="•"/>
      <w:lvlJc w:val="left"/>
      <w:pPr>
        <w:ind w:left="4678" w:hanging="362"/>
      </w:pPr>
      <w:rPr>
        <w:rFonts w:hint="default"/>
      </w:rPr>
    </w:lvl>
    <w:lvl w:ilvl="5">
      <w:start w:val="0"/>
      <w:numFmt w:val="bullet"/>
      <w:lvlText w:val="•"/>
      <w:lvlJc w:val="left"/>
      <w:pPr>
        <w:ind w:left="5513" w:hanging="362"/>
      </w:pPr>
      <w:rPr>
        <w:rFonts w:hint="default"/>
      </w:rPr>
    </w:lvl>
    <w:lvl w:ilvl="6">
      <w:start w:val="0"/>
      <w:numFmt w:val="bullet"/>
      <w:lvlText w:val="•"/>
      <w:lvlJc w:val="left"/>
      <w:pPr>
        <w:ind w:left="6347" w:hanging="362"/>
      </w:pPr>
      <w:rPr>
        <w:rFonts w:hint="default"/>
      </w:rPr>
    </w:lvl>
    <w:lvl w:ilvl="7">
      <w:start w:val="0"/>
      <w:numFmt w:val="bullet"/>
      <w:lvlText w:val="•"/>
      <w:lvlJc w:val="left"/>
      <w:pPr>
        <w:ind w:left="7182" w:hanging="362"/>
      </w:pPr>
      <w:rPr>
        <w:rFonts w:hint="default"/>
      </w:rPr>
    </w:lvl>
    <w:lvl w:ilvl="8">
      <w:start w:val="0"/>
      <w:numFmt w:val="bullet"/>
      <w:lvlText w:val="•"/>
      <w:lvlJc w:val="left"/>
      <w:pPr>
        <w:ind w:left="8017" w:hanging="362"/>
      </w:pPr>
      <w:rPr>
        <w:rFonts w:hint="default"/>
      </w:rPr>
    </w:lvl>
  </w:abstractNum>
  <w:abstractNum w:abstractNumId="13">
    <w:multiLevelType w:val="hybridMultilevel"/>
    <w:lvl w:ilvl="0">
      <w:start w:val="1"/>
      <w:numFmt w:val="decimal"/>
      <w:lvlText w:val="%1)"/>
      <w:lvlJc w:val="left"/>
      <w:pPr>
        <w:ind w:left="1340" w:hanging="360"/>
        <w:jc w:val="right"/>
      </w:pPr>
      <w:rPr>
        <w:rFonts w:hint="default" w:ascii="Times New Roman" w:hAnsi="Times New Roman" w:eastAsia="Times New Roman" w:cs="Times New Roman"/>
        <w:spacing w:val="-29"/>
        <w:w w:val="100"/>
        <w:sz w:val="24"/>
        <w:szCs w:val="24"/>
      </w:rPr>
    </w:lvl>
    <w:lvl w:ilvl="1">
      <w:start w:val="0"/>
      <w:numFmt w:val="bullet"/>
      <w:lvlText w:val="•"/>
      <w:lvlJc w:val="left"/>
      <w:pPr>
        <w:ind w:left="2174" w:hanging="360"/>
      </w:pPr>
      <w:rPr>
        <w:rFonts w:hint="default"/>
      </w:rPr>
    </w:lvl>
    <w:lvl w:ilvl="2">
      <w:start w:val="0"/>
      <w:numFmt w:val="bullet"/>
      <w:lvlText w:val="•"/>
      <w:lvlJc w:val="left"/>
      <w:pPr>
        <w:ind w:left="3009" w:hanging="360"/>
      </w:pPr>
      <w:rPr>
        <w:rFonts w:hint="default"/>
      </w:rPr>
    </w:lvl>
    <w:lvl w:ilvl="3">
      <w:start w:val="0"/>
      <w:numFmt w:val="bullet"/>
      <w:lvlText w:val="•"/>
      <w:lvlJc w:val="left"/>
      <w:pPr>
        <w:ind w:left="3843" w:hanging="360"/>
      </w:pPr>
      <w:rPr>
        <w:rFonts w:hint="default"/>
      </w:rPr>
    </w:lvl>
    <w:lvl w:ilvl="4">
      <w:start w:val="0"/>
      <w:numFmt w:val="bullet"/>
      <w:lvlText w:val="•"/>
      <w:lvlJc w:val="left"/>
      <w:pPr>
        <w:ind w:left="4678" w:hanging="360"/>
      </w:pPr>
      <w:rPr>
        <w:rFonts w:hint="default"/>
      </w:rPr>
    </w:lvl>
    <w:lvl w:ilvl="5">
      <w:start w:val="0"/>
      <w:numFmt w:val="bullet"/>
      <w:lvlText w:val="•"/>
      <w:lvlJc w:val="left"/>
      <w:pPr>
        <w:ind w:left="5513" w:hanging="360"/>
      </w:pPr>
      <w:rPr>
        <w:rFonts w:hint="default"/>
      </w:rPr>
    </w:lvl>
    <w:lvl w:ilvl="6">
      <w:start w:val="0"/>
      <w:numFmt w:val="bullet"/>
      <w:lvlText w:val="•"/>
      <w:lvlJc w:val="left"/>
      <w:pPr>
        <w:ind w:left="6347" w:hanging="360"/>
      </w:pPr>
      <w:rPr>
        <w:rFonts w:hint="default"/>
      </w:rPr>
    </w:lvl>
    <w:lvl w:ilvl="7">
      <w:start w:val="0"/>
      <w:numFmt w:val="bullet"/>
      <w:lvlText w:val="•"/>
      <w:lvlJc w:val="left"/>
      <w:pPr>
        <w:ind w:left="7182" w:hanging="360"/>
      </w:pPr>
      <w:rPr>
        <w:rFonts w:hint="default"/>
      </w:rPr>
    </w:lvl>
    <w:lvl w:ilvl="8">
      <w:start w:val="0"/>
      <w:numFmt w:val="bullet"/>
      <w:lvlText w:val="•"/>
      <w:lvlJc w:val="left"/>
      <w:pPr>
        <w:ind w:left="8017" w:hanging="360"/>
      </w:pPr>
      <w:rPr>
        <w:rFonts w:hint="default"/>
      </w:rPr>
    </w:lvl>
  </w:abstractNum>
  <w:abstractNum w:abstractNumId="12">
    <w:multiLevelType w:val="hybridMultilevel"/>
    <w:lvl w:ilvl="0">
      <w:start w:val="6"/>
      <w:numFmt w:val="decimal"/>
      <w:lvlText w:val="%1)"/>
      <w:lvlJc w:val="left"/>
      <w:pPr>
        <w:ind w:left="968" w:hanging="348"/>
        <w:jc w:val="left"/>
      </w:pPr>
      <w:rPr>
        <w:rFonts w:hint="default" w:ascii="Times New Roman" w:hAnsi="Times New Roman" w:eastAsia="Times New Roman" w:cs="Times New Roman"/>
        <w:b/>
        <w:bCs/>
        <w:spacing w:val="-227"/>
        <w:w w:val="100"/>
        <w:sz w:val="24"/>
        <w:szCs w:val="24"/>
        <w:u w:val="thick" w:color="000000"/>
      </w:rPr>
    </w:lvl>
    <w:lvl w:ilvl="1">
      <w:start w:val="0"/>
      <w:numFmt w:val="bullet"/>
      <w:lvlText w:val="•"/>
      <w:lvlJc w:val="left"/>
      <w:pPr>
        <w:ind w:left="1832" w:hanging="348"/>
      </w:pPr>
      <w:rPr>
        <w:rFonts w:hint="default"/>
      </w:rPr>
    </w:lvl>
    <w:lvl w:ilvl="2">
      <w:start w:val="0"/>
      <w:numFmt w:val="bullet"/>
      <w:lvlText w:val="•"/>
      <w:lvlJc w:val="left"/>
      <w:pPr>
        <w:ind w:left="2705" w:hanging="348"/>
      </w:pPr>
      <w:rPr>
        <w:rFonts w:hint="default"/>
      </w:rPr>
    </w:lvl>
    <w:lvl w:ilvl="3">
      <w:start w:val="0"/>
      <w:numFmt w:val="bullet"/>
      <w:lvlText w:val="•"/>
      <w:lvlJc w:val="left"/>
      <w:pPr>
        <w:ind w:left="3577" w:hanging="348"/>
      </w:pPr>
      <w:rPr>
        <w:rFonts w:hint="default"/>
      </w:rPr>
    </w:lvl>
    <w:lvl w:ilvl="4">
      <w:start w:val="0"/>
      <w:numFmt w:val="bullet"/>
      <w:lvlText w:val="•"/>
      <w:lvlJc w:val="left"/>
      <w:pPr>
        <w:ind w:left="4450" w:hanging="348"/>
      </w:pPr>
      <w:rPr>
        <w:rFonts w:hint="default"/>
      </w:rPr>
    </w:lvl>
    <w:lvl w:ilvl="5">
      <w:start w:val="0"/>
      <w:numFmt w:val="bullet"/>
      <w:lvlText w:val="•"/>
      <w:lvlJc w:val="left"/>
      <w:pPr>
        <w:ind w:left="5323" w:hanging="348"/>
      </w:pPr>
      <w:rPr>
        <w:rFonts w:hint="default"/>
      </w:rPr>
    </w:lvl>
    <w:lvl w:ilvl="6">
      <w:start w:val="0"/>
      <w:numFmt w:val="bullet"/>
      <w:lvlText w:val="•"/>
      <w:lvlJc w:val="left"/>
      <w:pPr>
        <w:ind w:left="6195" w:hanging="348"/>
      </w:pPr>
      <w:rPr>
        <w:rFonts w:hint="default"/>
      </w:rPr>
    </w:lvl>
    <w:lvl w:ilvl="7">
      <w:start w:val="0"/>
      <w:numFmt w:val="bullet"/>
      <w:lvlText w:val="•"/>
      <w:lvlJc w:val="left"/>
      <w:pPr>
        <w:ind w:left="7068" w:hanging="348"/>
      </w:pPr>
      <w:rPr>
        <w:rFonts w:hint="default"/>
      </w:rPr>
    </w:lvl>
    <w:lvl w:ilvl="8">
      <w:start w:val="0"/>
      <w:numFmt w:val="bullet"/>
      <w:lvlText w:val="•"/>
      <w:lvlJc w:val="left"/>
      <w:pPr>
        <w:ind w:left="7941" w:hanging="348"/>
      </w:pPr>
      <w:rPr>
        <w:rFonts w:hint="default"/>
      </w:rPr>
    </w:lvl>
  </w:abstractNum>
  <w:abstractNum w:abstractNumId="11">
    <w:multiLevelType w:val="hybridMultilevel"/>
    <w:lvl w:ilvl="0">
      <w:start w:val="1"/>
      <w:numFmt w:val="decimal"/>
      <w:lvlText w:val="%1)"/>
      <w:lvlJc w:val="left"/>
      <w:pPr>
        <w:ind w:left="980" w:hanging="360"/>
        <w:jc w:val="right"/>
      </w:pPr>
      <w:rPr>
        <w:rFonts w:hint="default" w:ascii="Times New Roman" w:hAnsi="Times New Roman" w:eastAsia="Times New Roman" w:cs="Times New Roman"/>
        <w:b/>
        <w:bCs/>
        <w:spacing w:val="-174"/>
        <w:w w:val="100"/>
        <w:sz w:val="24"/>
        <w:szCs w:val="24"/>
        <w:u w:val="thick" w:color="000000"/>
      </w:rPr>
    </w:lvl>
    <w:lvl w:ilvl="1">
      <w:start w:val="0"/>
      <w:numFmt w:val="bullet"/>
      <w:lvlText w:val="•"/>
      <w:lvlJc w:val="left"/>
      <w:pPr>
        <w:ind w:left="1850" w:hanging="360"/>
      </w:pPr>
      <w:rPr>
        <w:rFonts w:hint="default"/>
      </w:rPr>
    </w:lvl>
    <w:lvl w:ilvl="2">
      <w:start w:val="0"/>
      <w:numFmt w:val="bullet"/>
      <w:lvlText w:val="•"/>
      <w:lvlJc w:val="left"/>
      <w:pPr>
        <w:ind w:left="2721" w:hanging="360"/>
      </w:pPr>
      <w:rPr>
        <w:rFonts w:hint="default"/>
      </w:rPr>
    </w:lvl>
    <w:lvl w:ilvl="3">
      <w:start w:val="0"/>
      <w:numFmt w:val="bullet"/>
      <w:lvlText w:val="•"/>
      <w:lvlJc w:val="left"/>
      <w:pPr>
        <w:ind w:left="3591" w:hanging="360"/>
      </w:pPr>
      <w:rPr>
        <w:rFonts w:hint="default"/>
      </w:rPr>
    </w:lvl>
    <w:lvl w:ilvl="4">
      <w:start w:val="0"/>
      <w:numFmt w:val="bullet"/>
      <w:lvlText w:val="•"/>
      <w:lvlJc w:val="left"/>
      <w:pPr>
        <w:ind w:left="4462" w:hanging="360"/>
      </w:pPr>
      <w:rPr>
        <w:rFonts w:hint="default"/>
      </w:rPr>
    </w:lvl>
    <w:lvl w:ilvl="5">
      <w:start w:val="0"/>
      <w:numFmt w:val="bullet"/>
      <w:lvlText w:val="•"/>
      <w:lvlJc w:val="left"/>
      <w:pPr>
        <w:ind w:left="5333" w:hanging="360"/>
      </w:pPr>
      <w:rPr>
        <w:rFonts w:hint="default"/>
      </w:rPr>
    </w:lvl>
    <w:lvl w:ilvl="6">
      <w:start w:val="0"/>
      <w:numFmt w:val="bullet"/>
      <w:lvlText w:val="•"/>
      <w:lvlJc w:val="left"/>
      <w:pPr>
        <w:ind w:left="6203" w:hanging="360"/>
      </w:pPr>
      <w:rPr>
        <w:rFonts w:hint="default"/>
      </w:rPr>
    </w:lvl>
    <w:lvl w:ilvl="7">
      <w:start w:val="0"/>
      <w:numFmt w:val="bullet"/>
      <w:lvlText w:val="•"/>
      <w:lvlJc w:val="left"/>
      <w:pPr>
        <w:ind w:left="7074" w:hanging="360"/>
      </w:pPr>
      <w:rPr>
        <w:rFonts w:hint="default"/>
      </w:rPr>
    </w:lvl>
    <w:lvl w:ilvl="8">
      <w:start w:val="0"/>
      <w:numFmt w:val="bullet"/>
      <w:lvlText w:val="•"/>
      <w:lvlJc w:val="left"/>
      <w:pPr>
        <w:ind w:left="7945" w:hanging="360"/>
      </w:pPr>
      <w:rPr>
        <w:rFonts w:hint="default"/>
      </w:rPr>
    </w:lvl>
  </w:abstractNum>
  <w:abstractNum w:abstractNumId="10">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0"/>
        <w:w w:val="100"/>
        <w:sz w:val="24"/>
        <w:szCs w:val="24"/>
      </w:rPr>
    </w:lvl>
    <w:lvl w:ilvl="1">
      <w:start w:val="1"/>
      <w:numFmt w:val="lowerLetter"/>
      <w:lvlText w:val="%2)"/>
      <w:lvlJc w:val="left"/>
      <w:pPr>
        <w:ind w:left="1752" w:hanging="425"/>
        <w:jc w:val="left"/>
      </w:pPr>
      <w:rPr>
        <w:rFonts w:hint="default" w:ascii="Times New Roman" w:hAnsi="Times New Roman" w:eastAsia="Times New Roman" w:cs="Times New Roman"/>
        <w:spacing w:val="-4"/>
        <w:w w:val="100"/>
        <w:sz w:val="24"/>
        <w:szCs w:val="24"/>
      </w:rPr>
    </w:lvl>
    <w:lvl w:ilvl="2">
      <w:start w:val="0"/>
      <w:numFmt w:val="bullet"/>
      <w:lvlText w:val="•"/>
      <w:lvlJc w:val="left"/>
      <w:pPr>
        <w:ind w:left="1760" w:hanging="425"/>
      </w:pPr>
      <w:rPr>
        <w:rFonts w:hint="default"/>
      </w:rPr>
    </w:lvl>
    <w:lvl w:ilvl="3">
      <w:start w:val="0"/>
      <w:numFmt w:val="bullet"/>
      <w:lvlText w:val="•"/>
      <w:lvlJc w:val="left"/>
      <w:pPr>
        <w:ind w:left="2750" w:hanging="425"/>
      </w:pPr>
      <w:rPr>
        <w:rFonts w:hint="default"/>
      </w:rPr>
    </w:lvl>
    <w:lvl w:ilvl="4">
      <w:start w:val="0"/>
      <w:numFmt w:val="bullet"/>
      <w:lvlText w:val="•"/>
      <w:lvlJc w:val="left"/>
      <w:pPr>
        <w:ind w:left="3741" w:hanging="425"/>
      </w:pPr>
      <w:rPr>
        <w:rFonts w:hint="default"/>
      </w:rPr>
    </w:lvl>
    <w:lvl w:ilvl="5">
      <w:start w:val="0"/>
      <w:numFmt w:val="bullet"/>
      <w:lvlText w:val="•"/>
      <w:lvlJc w:val="left"/>
      <w:pPr>
        <w:ind w:left="4732" w:hanging="425"/>
      </w:pPr>
      <w:rPr>
        <w:rFonts w:hint="default"/>
      </w:rPr>
    </w:lvl>
    <w:lvl w:ilvl="6">
      <w:start w:val="0"/>
      <w:numFmt w:val="bullet"/>
      <w:lvlText w:val="•"/>
      <w:lvlJc w:val="left"/>
      <w:pPr>
        <w:ind w:left="5723" w:hanging="425"/>
      </w:pPr>
      <w:rPr>
        <w:rFonts w:hint="default"/>
      </w:rPr>
    </w:lvl>
    <w:lvl w:ilvl="7">
      <w:start w:val="0"/>
      <w:numFmt w:val="bullet"/>
      <w:lvlText w:val="•"/>
      <w:lvlJc w:val="left"/>
      <w:pPr>
        <w:ind w:left="6714" w:hanging="425"/>
      </w:pPr>
      <w:rPr>
        <w:rFonts w:hint="default"/>
      </w:rPr>
    </w:lvl>
    <w:lvl w:ilvl="8">
      <w:start w:val="0"/>
      <w:numFmt w:val="bullet"/>
      <w:lvlText w:val="•"/>
      <w:lvlJc w:val="left"/>
      <w:pPr>
        <w:ind w:left="7704" w:hanging="425"/>
      </w:pPr>
      <w:rPr>
        <w:rFonts w:hint="default"/>
      </w:rPr>
    </w:lvl>
  </w:abstractNum>
  <w:abstractNum w:abstractNumId="8">
    <w:multiLevelType w:val="hybridMultilevel"/>
    <w:lvl w:ilvl="0">
      <w:start w:val="1"/>
      <w:numFmt w:val="decimal"/>
      <w:lvlText w:val="%1)"/>
      <w:lvlJc w:val="left"/>
      <w:pPr>
        <w:ind w:left="980" w:hanging="360"/>
        <w:jc w:val="right"/>
      </w:pPr>
      <w:rPr>
        <w:rFonts w:hint="default" w:ascii="Times New Roman" w:hAnsi="Times New Roman" w:eastAsia="Times New Roman" w:cs="Times New Roman"/>
        <w:spacing w:val="-29"/>
        <w:w w:val="100"/>
        <w:sz w:val="24"/>
        <w:szCs w:val="24"/>
      </w:rPr>
    </w:lvl>
    <w:lvl w:ilvl="1">
      <w:start w:val="1"/>
      <w:numFmt w:val="lowerLetter"/>
      <w:lvlText w:val="%2)"/>
      <w:lvlJc w:val="left"/>
      <w:pPr>
        <w:ind w:left="1340" w:hanging="360"/>
        <w:jc w:val="right"/>
      </w:pPr>
      <w:rPr>
        <w:rFonts w:hint="default" w:ascii="Times New Roman" w:hAnsi="Times New Roman" w:eastAsia="Times New Roman" w:cs="Times New Roman"/>
        <w:spacing w:val="-22"/>
        <w:w w:val="100"/>
        <w:sz w:val="24"/>
        <w:szCs w:val="24"/>
      </w:rPr>
    </w:lvl>
    <w:lvl w:ilvl="2">
      <w:start w:val="0"/>
      <w:numFmt w:val="bullet"/>
      <w:lvlText w:val="•"/>
      <w:lvlJc w:val="left"/>
      <w:pPr>
        <w:ind w:left="1760" w:hanging="360"/>
      </w:pPr>
      <w:rPr>
        <w:rFonts w:hint="default"/>
      </w:rPr>
    </w:lvl>
    <w:lvl w:ilvl="3">
      <w:start w:val="0"/>
      <w:numFmt w:val="bullet"/>
      <w:lvlText w:val="•"/>
      <w:lvlJc w:val="left"/>
      <w:pPr>
        <w:ind w:left="2750" w:hanging="360"/>
      </w:pPr>
      <w:rPr>
        <w:rFonts w:hint="default"/>
      </w:rPr>
    </w:lvl>
    <w:lvl w:ilvl="4">
      <w:start w:val="0"/>
      <w:numFmt w:val="bullet"/>
      <w:lvlText w:val="•"/>
      <w:lvlJc w:val="left"/>
      <w:pPr>
        <w:ind w:left="3741" w:hanging="360"/>
      </w:pPr>
      <w:rPr>
        <w:rFonts w:hint="default"/>
      </w:rPr>
    </w:lvl>
    <w:lvl w:ilvl="5">
      <w:start w:val="0"/>
      <w:numFmt w:val="bullet"/>
      <w:lvlText w:val="•"/>
      <w:lvlJc w:val="left"/>
      <w:pPr>
        <w:ind w:left="4732" w:hanging="360"/>
      </w:pPr>
      <w:rPr>
        <w:rFonts w:hint="default"/>
      </w:rPr>
    </w:lvl>
    <w:lvl w:ilvl="6">
      <w:start w:val="0"/>
      <w:numFmt w:val="bullet"/>
      <w:lvlText w:val="•"/>
      <w:lvlJc w:val="left"/>
      <w:pPr>
        <w:ind w:left="5723" w:hanging="360"/>
      </w:pPr>
      <w:rPr>
        <w:rFonts w:hint="default"/>
      </w:rPr>
    </w:lvl>
    <w:lvl w:ilvl="7">
      <w:start w:val="0"/>
      <w:numFmt w:val="bullet"/>
      <w:lvlText w:val="•"/>
      <w:lvlJc w:val="left"/>
      <w:pPr>
        <w:ind w:left="6714" w:hanging="360"/>
      </w:pPr>
      <w:rPr>
        <w:rFonts w:hint="default"/>
      </w:rPr>
    </w:lvl>
    <w:lvl w:ilvl="8">
      <w:start w:val="0"/>
      <w:numFmt w:val="bullet"/>
      <w:lvlText w:val="•"/>
      <w:lvlJc w:val="left"/>
      <w:pPr>
        <w:ind w:left="7704" w:hanging="360"/>
      </w:pPr>
      <w:rPr>
        <w:rFonts w:hint="default"/>
      </w:rPr>
    </w:lvl>
  </w:abstractNum>
  <w:abstractNum w:abstractNumId="7">
    <w:multiLevelType w:val="hybridMultilevel"/>
    <w:lvl w:ilvl="0">
      <w:start w:val="1"/>
      <w:numFmt w:val="decimal"/>
      <w:lvlText w:val="%1"/>
      <w:lvlJc w:val="left"/>
      <w:pPr>
        <w:ind w:left="1040" w:hanging="421"/>
        <w:jc w:val="left"/>
      </w:pPr>
      <w:rPr>
        <w:rFonts w:hint="default"/>
      </w:rPr>
    </w:lvl>
    <w:lvl w:ilvl="1">
      <w:start w:val="1"/>
      <w:numFmt w:val="decimal"/>
      <w:lvlText w:val="%1.%2."/>
      <w:lvlJc w:val="left"/>
      <w:pPr>
        <w:ind w:left="1040" w:hanging="421"/>
        <w:jc w:val="right"/>
      </w:pPr>
      <w:rPr>
        <w:rFonts w:hint="default" w:ascii="Times New Roman" w:hAnsi="Times New Roman" w:eastAsia="Times New Roman" w:cs="Times New Roman"/>
        <w:b/>
        <w:bCs/>
        <w:i/>
        <w:spacing w:val="-4"/>
        <w:w w:val="100"/>
        <w:sz w:val="24"/>
        <w:szCs w:val="24"/>
      </w:rPr>
    </w:lvl>
    <w:lvl w:ilvl="2">
      <w:start w:val="0"/>
      <w:numFmt w:val="bullet"/>
      <w:lvlText w:val="•"/>
      <w:lvlJc w:val="left"/>
      <w:pPr>
        <w:ind w:left="2769" w:hanging="421"/>
      </w:pPr>
      <w:rPr>
        <w:rFonts w:hint="default"/>
      </w:rPr>
    </w:lvl>
    <w:lvl w:ilvl="3">
      <w:start w:val="0"/>
      <w:numFmt w:val="bullet"/>
      <w:lvlText w:val="•"/>
      <w:lvlJc w:val="left"/>
      <w:pPr>
        <w:ind w:left="3633" w:hanging="421"/>
      </w:pPr>
      <w:rPr>
        <w:rFonts w:hint="default"/>
      </w:rPr>
    </w:lvl>
    <w:lvl w:ilvl="4">
      <w:start w:val="0"/>
      <w:numFmt w:val="bullet"/>
      <w:lvlText w:val="•"/>
      <w:lvlJc w:val="left"/>
      <w:pPr>
        <w:ind w:left="4498" w:hanging="421"/>
      </w:pPr>
      <w:rPr>
        <w:rFonts w:hint="default"/>
      </w:rPr>
    </w:lvl>
    <w:lvl w:ilvl="5">
      <w:start w:val="0"/>
      <w:numFmt w:val="bullet"/>
      <w:lvlText w:val="•"/>
      <w:lvlJc w:val="left"/>
      <w:pPr>
        <w:ind w:left="5363" w:hanging="421"/>
      </w:pPr>
      <w:rPr>
        <w:rFonts w:hint="default"/>
      </w:rPr>
    </w:lvl>
    <w:lvl w:ilvl="6">
      <w:start w:val="0"/>
      <w:numFmt w:val="bullet"/>
      <w:lvlText w:val="•"/>
      <w:lvlJc w:val="left"/>
      <w:pPr>
        <w:ind w:left="6227" w:hanging="421"/>
      </w:pPr>
      <w:rPr>
        <w:rFonts w:hint="default"/>
      </w:rPr>
    </w:lvl>
    <w:lvl w:ilvl="7">
      <w:start w:val="0"/>
      <w:numFmt w:val="bullet"/>
      <w:lvlText w:val="•"/>
      <w:lvlJc w:val="left"/>
      <w:pPr>
        <w:ind w:left="7092" w:hanging="421"/>
      </w:pPr>
      <w:rPr>
        <w:rFonts w:hint="default"/>
      </w:rPr>
    </w:lvl>
    <w:lvl w:ilvl="8">
      <w:start w:val="0"/>
      <w:numFmt w:val="bullet"/>
      <w:lvlText w:val="•"/>
      <w:lvlJc w:val="left"/>
      <w:pPr>
        <w:ind w:left="7957" w:hanging="421"/>
      </w:pPr>
      <w:rPr>
        <w:rFonts w:hint="default"/>
      </w:rPr>
    </w:lvl>
  </w:abstractNum>
  <w:abstractNum w:abstractNumId="6">
    <w:multiLevelType w:val="hybridMultilevel"/>
    <w:lvl w:ilvl="0">
      <w:start w:val="1"/>
      <w:numFmt w:val="decimal"/>
      <w:lvlText w:val="%1."/>
      <w:lvlJc w:val="left"/>
      <w:pPr>
        <w:ind w:left="2825" w:hanging="360"/>
        <w:jc w:val="right"/>
      </w:pPr>
      <w:rPr>
        <w:rFonts w:hint="default" w:ascii="Times New Roman" w:hAnsi="Times New Roman" w:eastAsia="Times New Roman" w:cs="Times New Roman"/>
        <w:b/>
        <w:bCs/>
        <w:w w:val="100"/>
        <w:sz w:val="28"/>
        <w:szCs w:val="28"/>
      </w:rPr>
    </w:lvl>
    <w:lvl w:ilvl="1">
      <w:start w:val="0"/>
      <w:numFmt w:val="bullet"/>
      <w:lvlText w:val="•"/>
      <w:lvlJc w:val="left"/>
      <w:pPr>
        <w:ind w:left="3506" w:hanging="360"/>
      </w:pPr>
      <w:rPr>
        <w:rFonts w:hint="default"/>
      </w:rPr>
    </w:lvl>
    <w:lvl w:ilvl="2">
      <w:start w:val="0"/>
      <w:numFmt w:val="bullet"/>
      <w:lvlText w:val="•"/>
      <w:lvlJc w:val="left"/>
      <w:pPr>
        <w:ind w:left="4193" w:hanging="360"/>
      </w:pPr>
      <w:rPr>
        <w:rFonts w:hint="default"/>
      </w:rPr>
    </w:lvl>
    <w:lvl w:ilvl="3">
      <w:start w:val="0"/>
      <w:numFmt w:val="bullet"/>
      <w:lvlText w:val="•"/>
      <w:lvlJc w:val="left"/>
      <w:pPr>
        <w:ind w:left="4879" w:hanging="360"/>
      </w:pPr>
      <w:rPr>
        <w:rFonts w:hint="default"/>
      </w:rPr>
    </w:lvl>
    <w:lvl w:ilvl="4">
      <w:start w:val="0"/>
      <w:numFmt w:val="bullet"/>
      <w:lvlText w:val="•"/>
      <w:lvlJc w:val="left"/>
      <w:pPr>
        <w:ind w:left="5566" w:hanging="360"/>
      </w:pPr>
      <w:rPr>
        <w:rFonts w:hint="default"/>
      </w:rPr>
    </w:lvl>
    <w:lvl w:ilvl="5">
      <w:start w:val="0"/>
      <w:numFmt w:val="bullet"/>
      <w:lvlText w:val="•"/>
      <w:lvlJc w:val="left"/>
      <w:pPr>
        <w:ind w:left="6253" w:hanging="360"/>
      </w:pPr>
      <w:rPr>
        <w:rFonts w:hint="default"/>
      </w:rPr>
    </w:lvl>
    <w:lvl w:ilvl="6">
      <w:start w:val="0"/>
      <w:numFmt w:val="bullet"/>
      <w:lvlText w:val="•"/>
      <w:lvlJc w:val="left"/>
      <w:pPr>
        <w:ind w:left="6939" w:hanging="360"/>
      </w:pPr>
      <w:rPr>
        <w:rFonts w:hint="default"/>
      </w:rPr>
    </w:lvl>
    <w:lvl w:ilvl="7">
      <w:start w:val="0"/>
      <w:numFmt w:val="bullet"/>
      <w:lvlText w:val="•"/>
      <w:lvlJc w:val="left"/>
      <w:pPr>
        <w:ind w:left="7626" w:hanging="360"/>
      </w:pPr>
      <w:rPr>
        <w:rFonts w:hint="default"/>
      </w:rPr>
    </w:lvl>
    <w:lvl w:ilvl="8">
      <w:start w:val="0"/>
      <w:numFmt w:val="bullet"/>
      <w:lvlText w:val="•"/>
      <w:lvlJc w:val="left"/>
      <w:pPr>
        <w:ind w:left="8313" w:hanging="360"/>
      </w:pPr>
      <w:rPr>
        <w:rFonts w:hint="default"/>
      </w:rPr>
    </w:lvl>
  </w:abstractNum>
  <w:abstractNum w:abstractNumId="5">
    <w:multiLevelType w:val="hybridMultilevel"/>
    <w:lvl w:ilvl="0">
      <w:start w:val="1"/>
      <w:numFmt w:val="decimal"/>
      <w:lvlText w:val="%1)"/>
      <w:lvlJc w:val="left"/>
      <w:pPr>
        <w:ind w:left="1340" w:hanging="360"/>
        <w:jc w:val="left"/>
      </w:pPr>
      <w:rPr>
        <w:rFonts w:hint="default" w:ascii="Times New Roman" w:hAnsi="Times New Roman" w:eastAsia="Times New Roman" w:cs="Times New Roman"/>
        <w:spacing w:val="-20"/>
        <w:w w:val="100"/>
        <w:sz w:val="24"/>
        <w:szCs w:val="24"/>
      </w:rPr>
    </w:lvl>
    <w:lvl w:ilvl="1">
      <w:start w:val="1"/>
      <w:numFmt w:val="upperRoman"/>
      <w:lvlText w:val="%2."/>
      <w:lvlJc w:val="left"/>
      <w:pPr>
        <w:ind w:left="4299" w:hanging="277"/>
        <w:jc w:val="right"/>
      </w:pPr>
      <w:rPr>
        <w:rFonts w:hint="default" w:ascii="Times New Roman" w:hAnsi="Times New Roman" w:eastAsia="Times New Roman" w:cs="Times New Roman"/>
        <w:b/>
        <w:bCs/>
        <w:color w:val="4472C3"/>
        <w:w w:val="100"/>
        <w:sz w:val="28"/>
        <w:szCs w:val="28"/>
      </w:rPr>
    </w:lvl>
    <w:lvl w:ilvl="2">
      <w:start w:val="0"/>
      <w:numFmt w:val="bullet"/>
      <w:lvlText w:val="•"/>
      <w:lvlJc w:val="left"/>
      <w:pPr>
        <w:ind w:left="4898" w:hanging="277"/>
      </w:pPr>
      <w:rPr>
        <w:rFonts w:hint="default"/>
      </w:rPr>
    </w:lvl>
    <w:lvl w:ilvl="3">
      <w:start w:val="0"/>
      <w:numFmt w:val="bullet"/>
      <w:lvlText w:val="•"/>
      <w:lvlJc w:val="left"/>
      <w:pPr>
        <w:ind w:left="5496" w:hanging="277"/>
      </w:pPr>
      <w:rPr>
        <w:rFonts w:hint="default"/>
      </w:rPr>
    </w:lvl>
    <w:lvl w:ilvl="4">
      <w:start w:val="0"/>
      <w:numFmt w:val="bullet"/>
      <w:lvlText w:val="•"/>
      <w:lvlJc w:val="left"/>
      <w:pPr>
        <w:ind w:left="6095" w:hanging="277"/>
      </w:pPr>
      <w:rPr>
        <w:rFonts w:hint="default"/>
      </w:rPr>
    </w:lvl>
    <w:lvl w:ilvl="5">
      <w:start w:val="0"/>
      <w:numFmt w:val="bullet"/>
      <w:lvlText w:val="•"/>
      <w:lvlJc w:val="left"/>
      <w:pPr>
        <w:ind w:left="6693" w:hanging="277"/>
      </w:pPr>
      <w:rPr>
        <w:rFonts w:hint="default"/>
      </w:rPr>
    </w:lvl>
    <w:lvl w:ilvl="6">
      <w:start w:val="0"/>
      <w:numFmt w:val="bullet"/>
      <w:lvlText w:val="•"/>
      <w:lvlJc w:val="left"/>
      <w:pPr>
        <w:ind w:left="7292" w:hanging="277"/>
      </w:pPr>
      <w:rPr>
        <w:rFonts w:hint="default"/>
      </w:rPr>
    </w:lvl>
    <w:lvl w:ilvl="7">
      <w:start w:val="0"/>
      <w:numFmt w:val="bullet"/>
      <w:lvlText w:val="•"/>
      <w:lvlJc w:val="left"/>
      <w:pPr>
        <w:ind w:left="7890" w:hanging="277"/>
      </w:pPr>
      <w:rPr>
        <w:rFonts w:hint="default"/>
      </w:rPr>
    </w:lvl>
    <w:lvl w:ilvl="8">
      <w:start w:val="0"/>
      <w:numFmt w:val="bullet"/>
      <w:lvlText w:val="•"/>
      <w:lvlJc w:val="left"/>
      <w:pPr>
        <w:ind w:left="8489" w:hanging="277"/>
      </w:pPr>
      <w:rPr>
        <w:rFonts w:hint="default"/>
      </w:rPr>
    </w:lvl>
  </w:abstractNum>
  <w:abstractNum w:abstractNumId="4">
    <w:multiLevelType w:val="hybridMultilevel"/>
    <w:lvl w:ilvl="0">
      <w:start w:val="1"/>
      <w:numFmt w:val="decimal"/>
      <w:lvlText w:val="%1)"/>
      <w:lvlJc w:val="left"/>
      <w:pPr>
        <w:ind w:left="170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498" w:hanging="360"/>
      </w:pPr>
      <w:rPr>
        <w:rFonts w:hint="default"/>
      </w:rPr>
    </w:lvl>
    <w:lvl w:ilvl="2">
      <w:start w:val="0"/>
      <w:numFmt w:val="bullet"/>
      <w:lvlText w:val="•"/>
      <w:lvlJc w:val="left"/>
      <w:pPr>
        <w:ind w:left="3297" w:hanging="360"/>
      </w:pPr>
      <w:rPr>
        <w:rFonts w:hint="default"/>
      </w:rPr>
    </w:lvl>
    <w:lvl w:ilvl="3">
      <w:start w:val="0"/>
      <w:numFmt w:val="bullet"/>
      <w:lvlText w:val="•"/>
      <w:lvlJc w:val="left"/>
      <w:pPr>
        <w:ind w:left="4095" w:hanging="360"/>
      </w:pPr>
      <w:rPr>
        <w:rFonts w:hint="default"/>
      </w:rPr>
    </w:lvl>
    <w:lvl w:ilvl="4">
      <w:start w:val="0"/>
      <w:numFmt w:val="bullet"/>
      <w:lvlText w:val="•"/>
      <w:lvlJc w:val="left"/>
      <w:pPr>
        <w:ind w:left="4894" w:hanging="360"/>
      </w:pPr>
      <w:rPr>
        <w:rFonts w:hint="default"/>
      </w:rPr>
    </w:lvl>
    <w:lvl w:ilvl="5">
      <w:start w:val="0"/>
      <w:numFmt w:val="bullet"/>
      <w:lvlText w:val="•"/>
      <w:lvlJc w:val="left"/>
      <w:pPr>
        <w:ind w:left="5693" w:hanging="360"/>
      </w:pPr>
      <w:rPr>
        <w:rFonts w:hint="default"/>
      </w:rPr>
    </w:lvl>
    <w:lvl w:ilvl="6">
      <w:start w:val="0"/>
      <w:numFmt w:val="bullet"/>
      <w:lvlText w:val="•"/>
      <w:lvlJc w:val="left"/>
      <w:pPr>
        <w:ind w:left="6491" w:hanging="360"/>
      </w:pPr>
      <w:rPr>
        <w:rFonts w:hint="default"/>
      </w:rPr>
    </w:lvl>
    <w:lvl w:ilvl="7">
      <w:start w:val="0"/>
      <w:numFmt w:val="bullet"/>
      <w:lvlText w:val="•"/>
      <w:lvlJc w:val="left"/>
      <w:pPr>
        <w:ind w:left="7290" w:hanging="360"/>
      </w:pPr>
      <w:rPr>
        <w:rFonts w:hint="default"/>
      </w:rPr>
    </w:lvl>
    <w:lvl w:ilvl="8">
      <w:start w:val="0"/>
      <w:numFmt w:val="bullet"/>
      <w:lvlText w:val="•"/>
      <w:lvlJc w:val="left"/>
      <w:pPr>
        <w:ind w:left="8089" w:hanging="360"/>
      </w:pPr>
      <w:rPr>
        <w:rFonts w:hint="default"/>
      </w:rPr>
    </w:lvl>
  </w:abstractNum>
  <w:abstractNum w:abstractNumId="3">
    <w:multiLevelType w:val="hybridMultilevel"/>
    <w:lvl w:ilvl="0">
      <w:start w:val="1"/>
      <w:numFmt w:val="decimal"/>
      <w:lvlText w:val="%1)"/>
      <w:lvlJc w:val="left"/>
      <w:pPr>
        <w:ind w:left="1392" w:hanging="425"/>
        <w:jc w:val="left"/>
      </w:pPr>
      <w:rPr>
        <w:rFonts w:hint="default" w:ascii="Times New Roman" w:hAnsi="Times New Roman" w:eastAsia="Times New Roman" w:cs="Times New Roman"/>
        <w:spacing w:val="-16"/>
        <w:w w:val="100"/>
        <w:sz w:val="24"/>
        <w:szCs w:val="24"/>
      </w:rPr>
    </w:lvl>
    <w:lvl w:ilvl="1">
      <w:start w:val="1"/>
      <w:numFmt w:val="lowerLetter"/>
      <w:lvlText w:val="%2)"/>
      <w:lvlJc w:val="left"/>
      <w:pPr>
        <w:ind w:left="1820" w:hanging="428"/>
        <w:jc w:val="left"/>
      </w:pPr>
      <w:rPr>
        <w:rFonts w:hint="default" w:ascii="Times New Roman" w:hAnsi="Times New Roman" w:eastAsia="Times New Roman" w:cs="Times New Roman"/>
        <w:spacing w:val="-4"/>
        <w:w w:val="100"/>
        <w:sz w:val="24"/>
        <w:szCs w:val="24"/>
      </w:rPr>
    </w:lvl>
    <w:lvl w:ilvl="2">
      <w:start w:val="0"/>
      <w:numFmt w:val="bullet"/>
      <w:lvlText w:val="•"/>
      <w:lvlJc w:val="left"/>
      <w:pPr>
        <w:ind w:left="2694" w:hanging="428"/>
      </w:pPr>
      <w:rPr>
        <w:rFonts w:hint="default"/>
      </w:rPr>
    </w:lvl>
    <w:lvl w:ilvl="3">
      <w:start w:val="0"/>
      <w:numFmt w:val="bullet"/>
      <w:lvlText w:val="•"/>
      <w:lvlJc w:val="left"/>
      <w:pPr>
        <w:ind w:left="3568" w:hanging="428"/>
      </w:pPr>
      <w:rPr>
        <w:rFonts w:hint="default"/>
      </w:rPr>
    </w:lvl>
    <w:lvl w:ilvl="4">
      <w:start w:val="0"/>
      <w:numFmt w:val="bullet"/>
      <w:lvlText w:val="•"/>
      <w:lvlJc w:val="left"/>
      <w:pPr>
        <w:ind w:left="4442" w:hanging="428"/>
      </w:pPr>
      <w:rPr>
        <w:rFonts w:hint="default"/>
      </w:rPr>
    </w:lvl>
    <w:lvl w:ilvl="5">
      <w:start w:val="0"/>
      <w:numFmt w:val="bullet"/>
      <w:lvlText w:val="•"/>
      <w:lvlJc w:val="left"/>
      <w:pPr>
        <w:ind w:left="5316" w:hanging="428"/>
      </w:pPr>
      <w:rPr>
        <w:rFonts w:hint="default"/>
      </w:rPr>
    </w:lvl>
    <w:lvl w:ilvl="6">
      <w:start w:val="0"/>
      <w:numFmt w:val="bullet"/>
      <w:lvlText w:val="•"/>
      <w:lvlJc w:val="left"/>
      <w:pPr>
        <w:ind w:left="6190" w:hanging="428"/>
      </w:pPr>
      <w:rPr>
        <w:rFonts w:hint="default"/>
      </w:rPr>
    </w:lvl>
    <w:lvl w:ilvl="7">
      <w:start w:val="0"/>
      <w:numFmt w:val="bullet"/>
      <w:lvlText w:val="•"/>
      <w:lvlJc w:val="left"/>
      <w:pPr>
        <w:ind w:left="7064" w:hanging="428"/>
      </w:pPr>
      <w:rPr>
        <w:rFonts w:hint="default"/>
      </w:rPr>
    </w:lvl>
    <w:lvl w:ilvl="8">
      <w:start w:val="0"/>
      <w:numFmt w:val="bullet"/>
      <w:lvlText w:val="•"/>
      <w:lvlJc w:val="left"/>
      <w:pPr>
        <w:ind w:left="7938" w:hanging="428"/>
      </w:pPr>
      <w:rPr>
        <w:rFonts w:hint="default"/>
      </w:rPr>
    </w:lvl>
  </w:abstractNum>
  <w:abstractNum w:abstractNumId="2">
    <w:multiLevelType w:val="hybridMultilevel"/>
    <w:lvl w:ilvl="0">
      <w:start w:val="1"/>
      <w:numFmt w:val="decimal"/>
      <w:lvlText w:val="%1)"/>
      <w:lvlJc w:val="left"/>
      <w:pPr>
        <w:ind w:left="170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498" w:hanging="360"/>
      </w:pPr>
      <w:rPr>
        <w:rFonts w:hint="default"/>
      </w:rPr>
    </w:lvl>
    <w:lvl w:ilvl="2">
      <w:start w:val="0"/>
      <w:numFmt w:val="bullet"/>
      <w:lvlText w:val="•"/>
      <w:lvlJc w:val="left"/>
      <w:pPr>
        <w:ind w:left="3297" w:hanging="360"/>
      </w:pPr>
      <w:rPr>
        <w:rFonts w:hint="default"/>
      </w:rPr>
    </w:lvl>
    <w:lvl w:ilvl="3">
      <w:start w:val="0"/>
      <w:numFmt w:val="bullet"/>
      <w:lvlText w:val="•"/>
      <w:lvlJc w:val="left"/>
      <w:pPr>
        <w:ind w:left="4095" w:hanging="360"/>
      </w:pPr>
      <w:rPr>
        <w:rFonts w:hint="default"/>
      </w:rPr>
    </w:lvl>
    <w:lvl w:ilvl="4">
      <w:start w:val="0"/>
      <w:numFmt w:val="bullet"/>
      <w:lvlText w:val="•"/>
      <w:lvlJc w:val="left"/>
      <w:pPr>
        <w:ind w:left="4894" w:hanging="360"/>
      </w:pPr>
      <w:rPr>
        <w:rFonts w:hint="default"/>
      </w:rPr>
    </w:lvl>
    <w:lvl w:ilvl="5">
      <w:start w:val="0"/>
      <w:numFmt w:val="bullet"/>
      <w:lvlText w:val="•"/>
      <w:lvlJc w:val="left"/>
      <w:pPr>
        <w:ind w:left="5693" w:hanging="360"/>
      </w:pPr>
      <w:rPr>
        <w:rFonts w:hint="default"/>
      </w:rPr>
    </w:lvl>
    <w:lvl w:ilvl="6">
      <w:start w:val="0"/>
      <w:numFmt w:val="bullet"/>
      <w:lvlText w:val="•"/>
      <w:lvlJc w:val="left"/>
      <w:pPr>
        <w:ind w:left="6491" w:hanging="360"/>
      </w:pPr>
      <w:rPr>
        <w:rFonts w:hint="default"/>
      </w:rPr>
    </w:lvl>
    <w:lvl w:ilvl="7">
      <w:start w:val="0"/>
      <w:numFmt w:val="bullet"/>
      <w:lvlText w:val="•"/>
      <w:lvlJc w:val="left"/>
      <w:pPr>
        <w:ind w:left="7290" w:hanging="360"/>
      </w:pPr>
      <w:rPr>
        <w:rFonts w:hint="default"/>
      </w:rPr>
    </w:lvl>
    <w:lvl w:ilvl="8">
      <w:start w:val="0"/>
      <w:numFmt w:val="bullet"/>
      <w:lvlText w:val="•"/>
      <w:lvlJc w:val="left"/>
      <w:pPr>
        <w:ind w:left="8089" w:hanging="360"/>
      </w:pPr>
      <w:rPr>
        <w:rFonts w:hint="default"/>
      </w:rPr>
    </w:lvl>
  </w:abstractNum>
  <w:abstractNum w:abstractNumId="1">
    <w:multiLevelType w:val="hybridMultilevel"/>
    <w:lvl w:ilvl="0">
      <w:start w:val="1"/>
      <w:numFmt w:val="decimal"/>
      <w:lvlText w:val="%1)"/>
      <w:lvlJc w:val="left"/>
      <w:pPr>
        <w:ind w:left="1700" w:hanging="360"/>
        <w:jc w:val="left"/>
      </w:pPr>
      <w:rPr>
        <w:rFonts w:hint="default" w:ascii="Times New Roman" w:hAnsi="Times New Roman" w:eastAsia="Times New Roman" w:cs="Times New Roman"/>
        <w:spacing w:val="-20"/>
        <w:w w:val="100"/>
        <w:sz w:val="24"/>
        <w:szCs w:val="24"/>
      </w:rPr>
    </w:lvl>
    <w:lvl w:ilvl="1">
      <w:start w:val="0"/>
      <w:numFmt w:val="bullet"/>
      <w:lvlText w:val="•"/>
      <w:lvlJc w:val="left"/>
      <w:pPr>
        <w:ind w:left="2498" w:hanging="360"/>
      </w:pPr>
      <w:rPr>
        <w:rFonts w:hint="default"/>
      </w:rPr>
    </w:lvl>
    <w:lvl w:ilvl="2">
      <w:start w:val="0"/>
      <w:numFmt w:val="bullet"/>
      <w:lvlText w:val="•"/>
      <w:lvlJc w:val="left"/>
      <w:pPr>
        <w:ind w:left="3297" w:hanging="360"/>
      </w:pPr>
      <w:rPr>
        <w:rFonts w:hint="default"/>
      </w:rPr>
    </w:lvl>
    <w:lvl w:ilvl="3">
      <w:start w:val="0"/>
      <w:numFmt w:val="bullet"/>
      <w:lvlText w:val="•"/>
      <w:lvlJc w:val="left"/>
      <w:pPr>
        <w:ind w:left="4095" w:hanging="360"/>
      </w:pPr>
      <w:rPr>
        <w:rFonts w:hint="default"/>
      </w:rPr>
    </w:lvl>
    <w:lvl w:ilvl="4">
      <w:start w:val="0"/>
      <w:numFmt w:val="bullet"/>
      <w:lvlText w:val="•"/>
      <w:lvlJc w:val="left"/>
      <w:pPr>
        <w:ind w:left="4894" w:hanging="360"/>
      </w:pPr>
      <w:rPr>
        <w:rFonts w:hint="default"/>
      </w:rPr>
    </w:lvl>
    <w:lvl w:ilvl="5">
      <w:start w:val="0"/>
      <w:numFmt w:val="bullet"/>
      <w:lvlText w:val="•"/>
      <w:lvlJc w:val="left"/>
      <w:pPr>
        <w:ind w:left="5693" w:hanging="360"/>
      </w:pPr>
      <w:rPr>
        <w:rFonts w:hint="default"/>
      </w:rPr>
    </w:lvl>
    <w:lvl w:ilvl="6">
      <w:start w:val="0"/>
      <w:numFmt w:val="bullet"/>
      <w:lvlText w:val="•"/>
      <w:lvlJc w:val="left"/>
      <w:pPr>
        <w:ind w:left="6491" w:hanging="360"/>
      </w:pPr>
      <w:rPr>
        <w:rFonts w:hint="default"/>
      </w:rPr>
    </w:lvl>
    <w:lvl w:ilvl="7">
      <w:start w:val="0"/>
      <w:numFmt w:val="bullet"/>
      <w:lvlText w:val="•"/>
      <w:lvlJc w:val="left"/>
      <w:pPr>
        <w:ind w:left="7290" w:hanging="360"/>
      </w:pPr>
      <w:rPr>
        <w:rFonts w:hint="default"/>
      </w:rPr>
    </w:lvl>
    <w:lvl w:ilvl="8">
      <w:start w:val="0"/>
      <w:numFmt w:val="bullet"/>
      <w:lvlText w:val="•"/>
      <w:lvlJc w:val="left"/>
      <w:pPr>
        <w:ind w:left="8089" w:hanging="360"/>
      </w:pPr>
      <w:rPr>
        <w:rFonts w:hint="default"/>
      </w:rPr>
    </w:lvl>
  </w:abstractNum>
  <w:abstractNum w:abstractNumId="0">
    <w:multiLevelType w:val="hybridMultilevel"/>
    <w:lvl w:ilvl="0">
      <w:start w:val="1"/>
      <w:numFmt w:val="upperRoman"/>
      <w:lvlText w:val="%1."/>
      <w:lvlJc w:val="left"/>
      <w:pPr>
        <w:ind w:left="459" w:hanging="200"/>
        <w:jc w:val="right"/>
      </w:pPr>
      <w:rPr>
        <w:rFonts w:hint="default" w:ascii="Times New Roman" w:hAnsi="Times New Roman" w:eastAsia="Times New Roman" w:cs="Times New Roman"/>
        <w:spacing w:val="-4"/>
        <w:w w:val="100"/>
        <w:sz w:val="24"/>
        <w:szCs w:val="24"/>
      </w:rPr>
    </w:lvl>
    <w:lvl w:ilvl="1">
      <w:start w:val="1"/>
      <w:numFmt w:val="decimal"/>
      <w:lvlText w:val="%2."/>
      <w:lvlJc w:val="left"/>
      <w:pPr>
        <w:ind w:left="641" w:hanging="240"/>
        <w:jc w:val="left"/>
      </w:pPr>
      <w:rPr>
        <w:rFonts w:hint="default" w:ascii="Times New Roman" w:hAnsi="Times New Roman" w:eastAsia="Times New Roman" w:cs="Times New Roman"/>
        <w:spacing w:val="-3"/>
        <w:w w:val="100"/>
        <w:sz w:val="24"/>
        <w:szCs w:val="24"/>
      </w:rPr>
    </w:lvl>
    <w:lvl w:ilvl="2">
      <w:start w:val="1"/>
      <w:numFmt w:val="decimal"/>
      <w:lvlText w:val="%2.%3."/>
      <w:lvlJc w:val="left"/>
      <w:pPr>
        <w:ind w:left="1107" w:hanging="421"/>
        <w:jc w:val="left"/>
      </w:pPr>
      <w:rPr>
        <w:rFonts w:hint="default" w:ascii="Times New Roman" w:hAnsi="Times New Roman" w:eastAsia="Times New Roman" w:cs="Times New Roman"/>
        <w:spacing w:val="-4"/>
        <w:w w:val="100"/>
        <w:sz w:val="24"/>
        <w:szCs w:val="24"/>
      </w:rPr>
    </w:lvl>
    <w:lvl w:ilvl="3">
      <w:start w:val="0"/>
      <w:numFmt w:val="bullet"/>
      <w:lvlText w:val="•"/>
      <w:lvlJc w:val="left"/>
      <w:pPr>
        <w:ind w:left="820" w:hanging="421"/>
      </w:pPr>
      <w:rPr>
        <w:rFonts w:hint="default"/>
      </w:rPr>
    </w:lvl>
    <w:lvl w:ilvl="4">
      <w:start w:val="0"/>
      <w:numFmt w:val="bullet"/>
      <w:lvlText w:val="•"/>
      <w:lvlJc w:val="left"/>
      <w:pPr>
        <w:ind w:left="1000" w:hanging="421"/>
      </w:pPr>
      <w:rPr>
        <w:rFonts w:hint="default"/>
      </w:rPr>
    </w:lvl>
    <w:lvl w:ilvl="5">
      <w:start w:val="0"/>
      <w:numFmt w:val="bullet"/>
      <w:lvlText w:val="•"/>
      <w:lvlJc w:val="left"/>
      <w:pPr>
        <w:ind w:left="1100" w:hanging="421"/>
      </w:pPr>
      <w:rPr>
        <w:rFonts w:hint="default"/>
      </w:rPr>
    </w:lvl>
    <w:lvl w:ilvl="6">
      <w:start w:val="0"/>
      <w:numFmt w:val="bullet"/>
      <w:lvlText w:val="•"/>
      <w:lvlJc w:val="left"/>
      <w:pPr>
        <w:ind w:left="1120" w:hanging="421"/>
      </w:pPr>
      <w:rPr>
        <w:rFonts w:hint="default"/>
      </w:rPr>
    </w:lvl>
    <w:lvl w:ilvl="7">
      <w:start w:val="0"/>
      <w:numFmt w:val="bullet"/>
      <w:lvlText w:val="•"/>
      <w:lvlJc w:val="left"/>
      <w:pPr>
        <w:ind w:left="1220" w:hanging="421"/>
      </w:pPr>
      <w:rPr>
        <w:rFonts w:hint="default"/>
      </w:rPr>
    </w:lvl>
    <w:lvl w:ilvl="8">
      <w:start w:val="0"/>
      <w:numFmt w:val="bullet"/>
      <w:lvlText w:val="•"/>
      <w:lvlJc w:val="left"/>
      <w:pPr>
        <w:ind w:left="1460" w:hanging="421"/>
      </w:pPr>
      <w:rPr>
        <w:rFonts w:hint="default"/>
      </w:rPr>
    </w:lvl>
  </w:abstractNum>
  <w:num w:numId="121">
    <w:abstractNumId w:val="120"/>
  </w:num>
  <w:num w:numId="116">
    <w:abstractNumId w:val="115"/>
  </w:num>
  <w:num w:numId="108">
    <w:abstractNumId w:val="107"/>
  </w:num>
  <w:num w:numId="10">
    <w:abstractNumId w:val="9"/>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0">
    <w:abstractNumId w:val="119"/>
  </w:num>
  <w:num w:numId="119">
    <w:abstractNumId w:val="118"/>
  </w:num>
  <w:num w:numId="118">
    <w:abstractNumId w:val="117"/>
  </w:num>
  <w:num w:numId="117">
    <w:abstractNumId w:val="116"/>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ind w:left="260"/>
    </w:pPr>
    <w:rPr>
      <w:rFonts w:ascii="Times New Roman" w:hAnsi="Times New Roman" w:eastAsia="Times New Roman" w:cs="Times New Roman"/>
      <w:sz w:val="24"/>
      <w:szCs w:val="24"/>
    </w:rPr>
  </w:style>
  <w:style w:styleId="TOC2" w:type="paragraph">
    <w:name w:val="TOC 2"/>
    <w:basedOn w:val="Normal"/>
    <w:uiPriority w:val="1"/>
    <w:qFormat/>
    <w:pPr>
      <w:ind w:left="800" w:hanging="360"/>
    </w:pPr>
    <w:rPr>
      <w:rFonts w:ascii="Times New Roman" w:hAnsi="Times New Roman" w:eastAsia="Times New Roman" w:cs="Times New Roman"/>
      <w:sz w:val="24"/>
      <w:szCs w:val="24"/>
    </w:rPr>
  </w:style>
  <w:style w:styleId="TOC3" w:type="paragraph">
    <w:name w:val="TOC 3"/>
    <w:basedOn w:val="Normal"/>
    <w:uiPriority w:val="1"/>
    <w:qFormat/>
    <w:pPr>
      <w:ind w:left="826" w:hanging="361"/>
    </w:pPr>
    <w:rPr>
      <w:rFonts w:ascii="Times New Roman" w:hAnsi="Times New Roman" w:eastAsia="Times New Roman" w:cs="Times New Roman"/>
      <w:sz w:val="24"/>
      <w:szCs w:val="24"/>
    </w:rPr>
  </w:style>
  <w:style w:styleId="TOC4" w:type="paragraph">
    <w:name w:val="TOC 4"/>
    <w:basedOn w:val="Normal"/>
    <w:uiPriority w:val="1"/>
    <w:qFormat/>
    <w:pPr>
      <w:ind w:left="916" w:hanging="541"/>
    </w:pPr>
    <w:rPr>
      <w:rFonts w:ascii="Times New Roman" w:hAnsi="Times New Roman" w:eastAsia="Times New Roman" w:cs="Times New Roman"/>
      <w:sz w:val="24"/>
      <w:szCs w:val="24"/>
    </w:rPr>
  </w:style>
  <w:style w:styleId="TOC5" w:type="paragraph">
    <w:name w:val="TOC 5"/>
    <w:basedOn w:val="Normal"/>
    <w:uiPriority w:val="1"/>
    <w:qFormat/>
    <w:pPr>
      <w:ind w:left="1107" w:hanging="421"/>
    </w:pPr>
    <w:rPr>
      <w:rFonts w:ascii="Times New Roman" w:hAnsi="Times New Roman" w:eastAsia="Times New Roman" w:cs="Times New Roman"/>
      <w:sz w:val="24"/>
      <w:szCs w:val="24"/>
    </w:rPr>
  </w:style>
  <w:style w:styleId="TOC6" w:type="paragraph">
    <w:name w:val="TOC 6"/>
    <w:basedOn w:val="Normal"/>
    <w:uiPriority w:val="1"/>
    <w:qFormat/>
    <w:pPr>
      <w:ind w:left="1001" w:hanging="362"/>
    </w:pPr>
    <w:rPr>
      <w:rFonts w:ascii="Times New Roman" w:hAnsi="Times New Roman" w:eastAsia="Times New Roman" w:cs="Times New Roman"/>
      <w:sz w:val="24"/>
      <w:szCs w:val="24"/>
    </w:rPr>
  </w:style>
  <w:style w:styleId="TOC7" w:type="paragraph">
    <w:name w:val="TOC 7"/>
    <w:basedOn w:val="Normal"/>
    <w:uiPriority w:val="1"/>
    <w:qFormat/>
    <w:pPr>
      <w:ind w:left="800"/>
    </w:pPr>
    <w:rPr>
      <w:rFonts w:ascii="Times New Roman" w:hAnsi="Times New Roman" w:eastAsia="Times New Roman" w:cs="Times New Roman"/>
      <w:sz w:val="24"/>
      <w:szCs w:val="24"/>
    </w:rPr>
  </w:style>
  <w:style w:styleId="TOC8" w:type="paragraph">
    <w:name w:val="TOC 8"/>
    <w:basedOn w:val="Normal"/>
    <w:uiPriority w:val="1"/>
    <w:qFormat/>
    <w:pPr>
      <w:ind w:left="980"/>
    </w:pPr>
    <w:rPr>
      <w:rFonts w:ascii="Times New Roman" w:hAnsi="Times New Roman" w:eastAsia="Times New Roman" w:cs="Times New Roman"/>
      <w:sz w:val="24"/>
      <w:szCs w:val="24"/>
    </w:rPr>
  </w:style>
  <w:style w:styleId="TOC9" w:type="paragraph">
    <w:name w:val="TOC 9"/>
    <w:basedOn w:val="Normal"/>
    <w:uiPriority w:val="1"/>
    <w:qFormat/>
    <w:pPr>
      <w:ind w:left="1481" w:hanging="421"/>
    </w:pPr>
    <w:rPr>
      <w:rFonts w:ascii="Times New Roman" w:hAnsi="Times New Roman" w:eastAsia="Times New Roman" w:cs="Times New Roman"/>
      <w:sz w:val="24"/>
      <w:szCs w:val="24"/>
    </w:rPr>
  </w:style>
  <w:style w:styleId="BodyText" w:type="paragraph">
    <w:name w:val="Body Text"/>
    <w:basedOn w:val="Normal"/>
    <w:uiPriority w:val="1"/>
    <w:qFormat/>
    <w:pPr>
      <w:jc w:val="both"/>
    </w:pPr>
    <w:rPr>
      <w:rFonts w:ascii="Times New Roman" w:hAnsi="Times New Roman" w:eastAsia="Times New Roman" w:cs="Times New Roman"/>
      <w:sz w:val="24"/>
      <w:szCs w:val="24"/>
    </w:rPr>
  </w:style>
  <w:style w:styleId="Heading1" w:type="paragraph">
    <w:name w:val="Heading 1"/>
    <w:basedOn w:val="Normal"/>
    <w:uiPriority w:val="1"/>
    <w:qFormat/>
    <w:pPr>
      <w:spacing w:before="60"/>
      <w:ind w:left="812" w:right="1124"/>
      <w:jc w:val="center"/>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spacing w:before="59"/>
      <w:ind w:left="1332"/>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ind w:left="260"/>
      <w:jc w:val="both"/>
      <w:outlineLvl w:val="3"/>
    </w:pPr>
    <w:rPr>
      <w:rFonts w:ascii="Times New Roman" w:hAnsi="Times New Roman" w:eastAsia="Times New Roman" w:cs="Times New Roman"/>
      <w:b/>
      <w:bCs/>
      <w:sz w:val="24"/>
      <w:szCs w:val="24"/>
    </w:rPr>
  </w:style>
  <w:style w:styleId="Heading4" w:type="paragraph">
    <w:name w:val="Heading 4"/>
    <w:basedOn w:val="Normal"/>
    <w:uiPriority w:val="1"/>
    <w:qFormat/>
    <w:pPr>
      <w:ind w:left="980" w:hanging="362"/>
      <w:outlineLvl w:val="4"/>
    </w:pPr>
    <w:rPr>
      <w:rFonts w:ascii="Times New Roman" w:hAnsi="Times New Roman" w:eastAsia="Times New Roman" w:cs="Times New Roman"/>
      <w:b/>
      <w:bCs/>
      <w:i/>
      <w:sz w:val="24"/>
      <w:szCs w:val="24"/>
    </w:rPr>
  </w:style>
  <w:style w:styleId="ListParagraph" w:type="paragraph">
    <w:name w:val="List Paragraph"/>
    <w:basedOn w:val="Normal"/>
    <w:uiPriority w:val="1"/>
    <w:qFormat/>
    <w:pPr>
      <w:ind w:left="1340" w:hanging="360"/>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hyperlink" Target="http://www.juristavards.lv/?menu=doc&amp;id=205764)" TargetMode="Externa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footer" Target="footer19.xml"/><Relationship Id="rId25" Type="http://schemas.openxmlformats.org/officeDocument/2006/relationships/footer" Target="footer20.xml"/><Relationship Id="rId26" Type="http://schemas.openxmlformats.org/officeDocument/2006/relationships/footer" Target="footer21.xml"/><Relationship Id="rId27" Type="http://schemas.openxmlformats.org/officeDocument/2006/relationships/footer" Target="footer22.xml"/><Relationship Id="rId28" Type="http://schemas.openxmlformats.org/officeDocument/2006/relationships/footer" Target="footer23.xml"/><Relationship Id="rId29" Type="http://schemas.openxmlformats.org/officeDocument/2006/relationships/footer" Target="footer24.xml"/><Relationship Id="rId30" Type="http://schemas.openxmlformats.org/officeDocument/2006/relationships/footer" Target="footer25.xml"/><Relationship Id="rId31" Type="http://schemas.openxmlformats.org/officeDocument/2006/relationships/footer" Target="footer26.xml"/><Relationship Id="rId32" Type="http://schemas.openxmlformats.org/officeDocument/2006/relationships/hyperlink" Target="http://www.mna.gov.lv/download/756" TargetMode="External"/><Relationship Id="rId33" Type="http://schemas.openxmlformats.org/officeDocument/2006/relationships/footer" Target="footer27.xml"/><Relationship Id="rId34" Type="http://schemas.openxmlformats.org/officeDocument/2006/relationships/footer" Target="footer28.xml"/><Relationship Id="rId35" Type="http://schemas.openxmlformats.org/officeDocument/2006/relationships/footer" Target="footer29.xml"/><Relationship Id="rId36" Type="http://schemas.openxmlformats.org/officeDocument/2006/relationships/footer" Target="footer30.xml"/><Relationship Id="rId37" Type="http://schemas.openxmlformats.org/officeDocument/2006/relationships/footer" Target="footer31.xml"/><Relationship Id="rId38" Type="http://schemas.openxmlformats.org/officeDocument/2006/relationships/footer" Target="footer32.xml"/><Relationship Id="rId39" Type="http://schemas.openxmlformats.org/officeDocument/2006/relationships/footer" Target="footer33.xml"/><Relationship Id="rId40" Type="http://schemas.openxmlformats.org/officeDocument/2006/relationships/footer" Target="footer34.xml"/><Relationship Id="rId41" Type="http://schemas.openxmlformats.org/officeDocument/2006/relationships/footer" Target="footer35.xml"/><Relationship Id="rId42" Type="http://schemas.openxmlformats.org/officeDocument/2006/relationships/footer" Target="footer36.xml"/><Relationship Id="rId43" Type="http://schemas.openxmlformats.org/officeDocument/2006/relationships/footer" Target="footer37.xml"/><Relationship Id="rId44" Type="http://schemas.openxmlformats.org/officeDocument/2006/relationships/footer" Target="footer38.xml"/><Relationship Id="rId45" Type="http://schemas.openxmlformats.org/officeDocument/2006/relationships/image" Target="media/image1.jpeg"/><Relationship Id="rId46" Type="http://schemas.openxmlformats.org/officeDocument/2006/relationships/image" Target="media/image2.jpeg"/><Relationship Id="rId47" Type="http://schemas.openxmlformats.org/officeDocument/2006/relationships/image" Target="media/image3.jpeg"/><Relationship Id="rId48" Type="http://schemas.openxmlformats.org/officeDocument/2006/relationships/image" Target="media/image4.jpeg"/><Relationship Id="rId49" Type="http://schemas.openxmlformats.org/officeDocument/2006/relationships/image" Target="media/image5.jpeg"/><Relationship Id="rId50" Type="http://schemas.openxmlformats.org/officeDocument/2006/relationships/image" Target="media/image6.jpeg"/><Relationship Id="rId51" Type="http://schemas.openxmlformats.org/officeDocument/2006/relationships/image" Target="media/image7.jpeg"/><Relationship Id="rId52" Type="http://schemas.openxmlformats.org/officeDocument/2006/relationships/image" Target="media/image8.jpeg"/><Relationship Id="rId53" Type="http://schemas.openxmlformats.org/officeDocument/2006/relationships/image" Target="media/image9.jpeg"/><Relationship Id="rId54" Type="http://schemas.openxmlformats.org/officeDocument/2006/relationships/image" Target="media/image10.jpeg"/><Relationship Id="rId55" Type="http://schemas.openxmlformats.org/officeDocument/2006/relationships/image" Target="media/image11.jpeg"/><Relationship Id="rId56" Type="http://schemas.openxmlformats.org/officeDocument/2006/relationships/image" Target="media/image12.jpeg"/><Relationship Id="rId57" Type="http://schemas.openxmlformats.org/officeDocument/2006/relationships/image" Target="media/image13.jpeg"/><Relationship Id="rId58" Type="http://schemas.openxmlformats.org/officeDocument/2006/relationships/image" Target="media/image14.jpeg"/><Relationship Id="rId59" Type="http://schemas.openxmlformats.org/officeDocument/2006/relationships/image" Target="media/image15.jpeg"/><Relationship Id="rId60" Type="http://schemas.openxmlformats.org/officeDocument/2006/relationships/image" Target="media/image16.jpeg"/><Relationship Id="rId61" Type="http://schemas.openxmlformats.org/officeDocument/2006/relationships/image" Target="media/image17.jpeg"/><Relationship Id="rId62" Type="http://schemas.openxmlformats.org/officeDocument/2006/relationships/image" Target="media/image18.jpeg"/><Relationship Id="rId63" Type="http://schemas.openxmlformats.org/officeDocument/2006/relationships/hyperlink" Target="http://www.csb.gov.lv/lv/statistika/statistikas-temas/socialie-procesi/nodarbinatiba/meklet-tema/2422-" TargetMode="External"/><Relationship Id="rId64" Type="http://schemas.openxmlformats.org/officeDocument/2006/relationships/hyperlink" Target="http://www.gov.uk/government/statistics/insolvency-statistics-january-to-march-2018" TargetMode="External"/><Relationship Id="rId65" Type="http://schemas.openxmlformats.org/officeDocument/2006/relationships/hyperlink" Target="http://www.gov.uk/" TargetMode="External"/><Relationship Id="rId66" Type="http://schemas.openxmlformats.org/officeDocument/2006/relationships/hyperlink" Target="http://www.gov.uk/pay-off-debts" TargetMode="External"/><Relationship Id="rId67" Type="http://schemas.openxmlformats.org/officeDocument/2006/relationships/hyperlink" Target="http://www.iiiglobal.org/sites/default/files/19036439v1%20-" TargetMode="External"/><Relationship Id="rId68" Type="http://schemas.openxmlformats.org/officeDocument/2006/relationships/hyperlink" Target="http://www.google.lv/url?sa=t&amp;rct=j&amp;q&amp;esrc=s&amp;source=web&amp;cd=2&amp;ved=2ahUKEwjY_I-" TargetMode="External"/><Relationship Id="rId69" Type="http://schemas.openxmlformats.org/officeDocument/2006/relationships/image" Target="media/image19.jpeg"/><Relationship Id="rId70" Type="http://schemas.openxmlformats.org/officeDocument/2006/relationships/hyperlink" Target="http://www.gov.uk/government/publications/intermediary-guidance-notes-v15-dro2-guidance-for-" TargetMode="External"/><Relationship Id="rId71" Type="http://schemas.openxmlformats.org/officeDocument/2006/relationships/footer" Target="footer39.xml"/><Relationship Id="rId72" Type="http://schemas.openxmlformats.org/officeDocument/2006/relationships/footer" Target="footer40.xml"/><Relationship Id="rId73" Type="http://schemas.openxmlformats.org/officeDocument/2006/relationships/footer" Target="footer41.xml"/><Relationship Id="rId74" Type="http://schemas.openxmlformats.org/officeDocument/2006/relationships/footer" Target="footer42.xml"/><Relationship Id="rId75" Type="http://schemas.openxmlformats.org/officeDocument/2006/relationships/hyperlink" Target="http://www.gov.uk/government/publications/debt-relief-restrictions-orders-and-undertakings/debt-relief-" TargetMode="External"/><Relationship Id="rId76" Type="http://schemas.openxmlformats.org/officeDocument/2006/relationships/image" Target="media/image20.jpeg"/><Relationship Id="rId77" Type="http://schemas.openxmlformats.org/officeDocument/2006/relationships/hyperlink" Target="http://www.moneyadvicetrust.org/SiteCollectionDocuments/Policy%20consultation%20responses/Unilater" TargetMode="External"/><Relationship Id="rId78" Type="http://schemas.openxmlformats.org/officeDocument/2006/relationships/footer" Target="footer43.xml"/><Relationship Id="rId79" Type="http://schemas.openxmlformats.org/officeDocument/2006/relationships/footer" Target="footer44.xml"/><Relationship Id="rId80" Type="http://schemas.openxmlformats.org/officeDocument/2006/relationships/footer" Target="footer45.xml"/><Relationship Id="rId81" Type="http://schemas.openxmlformats.org/officeDocument/2006/relationships/footer" Target="footer46.xml"/><Relationship Id="rId82" Type="http://schemas.openxmlformats.org/officeDocument/2006/relationships/footer" Target="footer47.xml"/><Relationship Id="rId83" Type="http://schemas.openxmlformats.org/officeDocument/2006/relationships/footer" Target="footer48.xml"/><Relationship Id="rId84" Type="http://schemas.openxmlformats.org/officeDocument/2006/relationships/hyperlink" Target="http://www.domstol.dk/om/publikationer/HtmlPublikationer/Profil/Profilbrochure%20-%20UK/kap03.html" TargetMode="External"/><Relationship Id="rId85" Type="http://schemas.openxmlformats.org/officeDocument/2006/relationships/footer" Target="footer49.xml"/><Relationship Id="rId86" Type="http://schemas.openxmlformats.org/officeDocument/2006/relationships/footer" Target="footer50.xml"/><Relationship Id="rId87" Type="http://schemas.openxmlformats.org/officeDocument/2006/relationships/hyperlink" Target="http://www.retsinformation.dk/Forms/R0710.aspx?id=194604" TargetMode="External"/><Relationship Id="rId88" Type="http://schemas.openxmlformats.org/officeDocument/2006/relationships/hyperlink" Target="http://www.google.lv/%26httpsredir%3D1%26" TargetMode="External"/><Relationship Id="rId89" Type="http://schemas.openxmlformats.org/officeDocument/2006/relationships/hyperlink" Target="http://www.insolvenzbekanntmachungen.de/" TargetMode="External"/><Relationship Id="rId90" Type="http://schemas.openxmlformats.org/officeDocument/2006/relationships/footer" Target="footer51.xml"/><Relationship Id="rId91" Type="http://schemas.openxmlformats.org/officeDocument/2006/relationships/footer" Target="footer52.xml"/><Relationship Id="rId92" Type="http://schemas.openxmlformats.org/officeDocument/2006/relationships/footer" Target="footer53.xml"/><Relationship Id="rId93" Type="http://schemas.openxmlformats.org/officeDocument/2006/relationships/footer" Target="footer54.xml"/><Relationship Id="rId94" Type="http://schemas.openxmlformats.org/officeDocument/2006/relationships/footer" Target="footer55.xml"/><Relationship Id="rId95" Type="http://schemas.openxmlformats.org/officeDocument/2006/relationships/footer" Target="footer56.xml"/><Relationship Id="rId96" Type="http://schemas.openxmlformats.org/officeDocument/2006/relationships/footer" Target="footer57.xml"/><Relationship Id="rId97" Type="http://schemas.openxmlformats.org/officeDocument/2006/relationships/footer" Target="footer58.xml"/><Relationship Id="rId98" Type="http://schemas.openxmlformats.org/officeDocument/2006/relationships/hyperlink" Target="http://siteresources.worldbank.org/INTGILD/Resources/WBInsolvencyOfNaturalPersonsReport_01_11_13" TargetMode="External"/><Relationship Id="rId99" Type="http://schemas.openxmlformats.org/officeDocument/2006/relationships/hyperlink" Target="http://www.doingbusiness.org/reports/global-reports/doing-business-2018" TargetMode="External"/><Relationship Id="rId100" Type="http://schemas.openxmlformats.org/officeDocument/2006/relationships/hyperlink" Target="http://eur-lex.europa.eu/legal-content/LV/TXT/PDF/?uri=CELEX%3A52016PC0723&amp;from=EN" TargetMode="External"/><Relationship Id="rId101" Type="http://schemas.openxmlformats.org/officeDocument/2006/relationships/footer" Target="footer59.xml"/><Relationship Id="rId102" Type="http://schemas.openxmlformats.org/officeDocument/2006/relationships/footer" Target="footer60.xml"/><Relationship Id="rId103" Type="http://schemas.openxmlformats.org/officeDocument/2006/relationships/footer" Target="footer61.xml"/><Relationship Id="rId104" Type="http://schemas.openxmlformats.org/officeDocument/2006/relationships/footer" Target="footer62.xml"/><Relationship Id="rId105" Type="http://schemas.openxmlformats.org/officeDocument/2006/relationships/hyperlink" Target="http://www.eea.gr/system/uploads/asset/data/9042/Bankruptcy_and_second_chance_for_honest_bankrupt_" TargetMode="External"/><Relationship Id="rId106" Type="http://schemas.openxmlformats.org/officeDocument/2006/relationships/footer" Target="footer63.xml"/><Relationship Id="rId107" Type="http://schemas.openxmlformats.org/officeDocument/2006/relationships/footer" Target="footer64.xml"/><Relationship Id="rId108" Type="http://schemas.openxmlformats.org/officeDocument/2006/relationships/footer" Target="footer65.xml"/><Relationship Id="rId109" Type="http://schemas.openxmlformats.org/officeDocument/2006/relationships/footer" Target="footer66.xml"/><Relationship Id="rId110" Type="http://schemas.openxmlformats.org/officeDocument/2006/relationships/footer" Target="footer67.xml"/><Relationship Id="rId111" Type="http://schemas.openxmlformats.org/officeDocument/2006/relationships/footer" Target="footer68.xml"/><Relationship Id="rId112" Type="http://schemas.openxmlformats.org/officeDocument/2006/relationships/hyperlink" Target="http://www.csb.gov.lv/lv/statistika/statistikas-temas/socialie-" TargetMode="External"/><Relationship Id="rId113" Type="http://schemas.openxmlformats.org/officeDocument/2006/relationships/hyperlink" Target="http://www.domstol.dk/om/publikationer/HtmlPublikationer/Profil/Profilbrochure" TargetMode="External"/><Relationship Id="rId114" Type="http://schemas.openxmlformats.org/officeDocument/2006/relationships/hyperlink" Target="http://www.doingbusiness.org/reports/global-reports/doing-business-2018%3B" TargetMode="External"/><Relationship Id="rId115" Type="http://schemas.openxmlformats.org/officeDocument/2006/relationships/hyperlink" Target="http://www.eea.gr/system/uploads/asset/data/9042/Bankruptcy_and_second_chan" TargetMode="External"/><Relationship Id="rId116" Type="http://schemas.openxmlformats.org/officeDocument/2006/relationships/hyperlink" Target="http://www.insol-europe.org/download/documents/823%2B%26cd%3D4%26hl%3Dlv%26ct%3Dclnk%26gl%3Dlv%3B" TargetMode="External"/><Relationship Id="rId117" Type="http://schemas.openxmlformats.org/officeDocument/2006/relationships/hyperlink" Target="http://www.moneyadvicetrust.org/SiteCollectionDocuments/Policy%20consultati" TargetMode="External"/><Relationship Id="rId118" Type="http://schemas.openxmlformats.org/officeDocument/2006/relationships/hyperlink" Target="http://www.google.lv/url?sa=t&amp;rct=j&amp;q&amp;esrc=s&amp;source=web&amp;cd=2&amp;ved=2ah" TargetMode="External"/><Relationship Id="rId119" Type="http://schemas.openxmlformats.org/officeDocument/2006/relationships/hyperlink" Target="http://www.gov.uk/government/publications/debt-" TargetMode="External"/><Relationship Id="rId120" Type="http://schemas.openxmlformats.org/officeDocument/2006/relationships/hyperlink" Target="http://www.gov.uk/government/publications/intermediary-guidance-notes-v15-" TargetMode="External"/><Relationship Id="rId121" Type="http://schemas.openxmlformats.org/officeDocument/2006/relationships/hyperlink" Target="http://siteresources.worldbank.org/INTGILD/Resources/WBInsolvencyOfNatural" TargetMode="External"/><Relationship Id="rId122" Type="http://schemas.openxmlformats.org/officeDocument/2006/relationships/hyperlink" Target="http://www.gesetze-im-internet.de/insvv/index.html%3B" TargetMode="External"/><Relationship Id="rId123" Type="http://schemas.openxmlformats.org/officeDocument/2006/relationships/hyperlink" Target="http://www.retsinformation.dk/Forms/R0710.aspx?id=194604%3B" TargetMode="External"/><Relationship Id="rId124" Type="http://schemas.openxmlformats.org/officeDocument/2006/relationships/hyperlink" Target="http://eur-lex.europa.eu/legal-" TargetMode="External"/><Relationship Id="rId125" Type="http://schemas.openxmlformats.org/officeDocument/2006/relationships/hyperlink" Target="mailto:ieva.spule@mkd.gov.lv" TargetMode="External"/><Relationship Id="rId126" Type="http://schemas.openxmlformats.org/officeDocument/2006/relationships/hyperlink" Target="mailto:pastore@mkd.gov.lv" TargetMode="External"/><Relationship Id="rId127" Type="http://schemas.openxmlformats.org/officeDocument/2006/relationships/numbering" Target="numbering.xml"/></Relationships>

</file>

<file path=word/_rels/footer61.xml.rels><?xml version="1.0" encoding="UTF-8" standalone="yes"?>
<Relationships xmlns="http://schemas.openxmlformats.org/package/2006/relationships"><Relationship Id="rId1" Type="http://schemas.openxmlformats.org/officeDocument/2006/relationships/hyperlink" Target="http://siteresources.worldbank.org/INTGILD/Resources/WBInsolvencyOfNaturalPersonsReport_01_11_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PKCIP</dc:creator>
  <dc:title>Microsoft Word - Gala nodevums_MKD_NOVIUS_14.12.18</dc:title>
  <dcterms:created xsi:type="dcterms:W3CDTF">2019-11-06T06:50:53Z</dcterms:created>
  <dcterms:modified xsi:type="dcterms:W3CDTF">2019-11-06T06:50:53Z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LastSaved">
    <vt:filetime>2019-11-06T00:00:00Z</vt:filetime>
  </property>
</Properties>
</file>