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DD0D4" w14:textId="77777777" w:rsidR="00E93E1C" w:rsidRDefault="00E93E1C">
      <w:pPr>
        <w:rPr>
          <w:rFonts w:ascii="Times New Roman" w:hAnsi="Times New Roman" w:cs="Times New Roman"/>
          <w:sz w:val="24"/>
          <w:szCs w:val="24"/>
        </w:rPr>
      </w:pPr>
    </w:p>
    <w:p w14:paraId="4B31E215" w14:textId="1B204D52" w:rsidR="00E93E1C" w:rsidRDefault="00E93E1C">
      <w:pPr>
        <w:rPr>
          <w:rFonts w:ascii="Times New Roman" w:hAnsi="Times New Roman" w:cs="Times New Roman"/>
          <w:sz w:val="24"/>
          <w:szCs w:val="24"/>
        </w:rPr>
      </w:pPr>
    </w:p>
    <w:p w14:paraId="4A6E320B" w14:textId="00BF6991" w:rsidR="00E93E1C" w:rsidRPr="00D96194" w:rsidRDefault="00634A29">
      <w:pPr>
        <w:rPr>
          <w:rFonts w:ascii="Times New Roman" w:hAnsi="Times New Roman" w:cs="Times New Roman"/>
          <w:sz w:val="24"/>
          <w:szCs w:val="24"/>
        </w:rPr>
      </w:pPr>
      <w:r w:rsidRPr="00D96194">
        <w:rPr>
          <w:rFonts w:ascii="Times New Roman" w:eastAsia="Calibri" w:hAnsi="Times New Roman" w:cs="Times New Roman"/>
          <w:noProof/>
          <w:color w:val="000000" w:themeColor="text1"/>
          <w:sz w:val="24"/>
          <w:szCs w:val="24"/>
          <w:lang w:eastAsia="lv-LV"/>
        </w:rPr>
        <w:drawing>
          <wp:anchor distT="0" distB="0" distL="114300" distR="114300" simplePos="0" relativeHeight="251659264" behindDoc="0" locked="0" layoutInCell="1" allowOverlap="1" wp14:anchorId="046D094C" wp14:editId="4A4183CA">
            <wp:simplePos x="0" y="0"/>
            <wp:positionH relativeFrom="margin">
              <wp:align>center</wp:align>
            </wp:positionH>
            <wp:positionV relativeFrom="page">
              <wp:posOffset>1314450</wp:posOffset>
            </wp:positionV>
            <wp:extent cx="2268220" cy="2268220"/>
            <wp:effectExtent l="0" t="0" r="0" b="0"/>
            <wp:wrapNone/>
            <wp:docPr id="2" name="Attēls 2" descr="Attēls, kurā ir teksts, logotips, zīmotne, simbo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logotips, zīmotne, simbols&#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30444235" w14:textId="4C4035C7" w:rsidR="00E93E1C" w:rsidRPr="00D96194" w:rsidRDefault="00E93E1C">
      <w:pPr>
        <w:rPr>
          <w:rFonts w:ascii="Times New Roman" w:hAnsi="Times New Roman" w:cs="Times New Roman"/>
          <w:sz w:val="24"/>
          <w:szCs w:val="24"/>
        </w:rPr>
      </w:pPr>
    </w:p>
    <w:p w14:paraId="0F1AD204" w14:textId="77777777" w:rsidR="00E93E1C" w:rsidRPr="00D96194" w:rsidRDefault="00E93E1C">
      <w:pPr>
        <w:rPr>
          <w:rFonts w:ascii="Times New Roman" w:hAnsi="Times New Roman" w:cs="Times New Roman"/>
          <w:sz w:val="24"/>
          <w:szCs w:val="24"/>
        </w:rPr>
      </w:pPr>
    </w:p>
    <w:p w14:paraId="42E3F1EA" w14:textId="16D4E770" w:rsidR="00E93E1C" w:rsidRPr="00D96194" w:rsidRDefault="00E93E1C">
      <w:pPr>
        <w:rPr>
          <w:rFonts w:ascii="Times New Roman" w:hAnsi="Times New Roman" w:cs="Times New Roman"/>
          <w:sz w:val="24"/>
          <w:szCs w:val="24"/>
        </w:rPr>
      </w:pPr>
    </w:p>
    <w:p w14:paraId="7F242DE3" w14:textId="77777777" w:rsidR="00E93E1C" w:rsidRPr="00D96194" w:rsidRDefault="00E93E1C">
      <w:pPr>
        <w:rPr>
          <w:rFonts w:ascii="Times New Roman" w:hAnsi="Times New Roman" w:cs="Times New Roman"/>
          <w:sz w:val="24"/>
          <w:szCs w:val="24"/>
        </w:rPr>
      </w:pPr>
    </w:p>
    <w:p w14:paraId="1053C7CE" w14:textId="0D0C1ED7" w:rsidR="00E93E1C" w:rsidRPr="00D96194" w:rsidRDefault="00E93E1C">
      <w:pPr>
        <w:rPr>
          <w:rFonts w:ascii="Times New Roman" w:hAnsi="Times New Roman" w:cs="Times New Roman"/>
          <w:sz w:val="24"/>
          <w:szCs w:val="24"/>
        </w:rPr>
      </w:pPr>
    </w:p>
    <w:p w14:paraId="15C9BD8F" w14:textId="35A0854A" w:rsidR="00E93E1C" w:rsidRPr="00D96194" w:rsidRDefault="00E93E1C">
      <w:pPr>
        <w:rPr>
          <w:rFonts w:ascii="Times New Roman" w:hAnsi="Times New Roman" w:cs="Times New Roman"/>
          <w:sz w:val="24"/>
          <w:szCs w:val="24"/>
        </w:rPr>
      </w:pPr>
    </w:p>
    <w:p w14:paraId="1554D4E9" w14:textId="77777777" w:rsidR="00E93E1C" w:rsidRPr="00D96194" w:rsidRDefault="00E93E1C">
      <w:pPr>
        <w:rPr>
          <w:rFonts w:ascii="Times New Roman" w:hAnsi="Times New Roman" w:cs="Times New Roman"/>
          <w:sz w:val="24"/>
          <w:szCs w:val="24"/>
        </w:rPr>
      </w:pPr>
    </w:p>
    <w:p w14:paraId="32CC8D4F" w14:textId="689AB571" w:rsidR="00E93E1C" w:rsidRPr="00D96194" w:rsidRDefault="00E93E1C">
      <w:pPr>
        <w:rPr>
          <w:rFonts w:ascii="Times New Roman" w:hAnsi="Times New Roman" w:cs="Times New Roman"/>
          <w:sz w:val="24"/>
          <w:szCs w:val="24"/>
        </w:rPr>
      </w:pPr>
    </w:p>
    <w:p w14:paraId="3768BF3F" w14:textId="25E18276" w:rsidR="00E93E1C" w:rsidRPr="00D96194" w:rsidRDefault="00E93E1C">
      <w:pPr>
        <w:rPr>
          <w:rFonts w:ascii="Times New Roman" w:hAnsi="Times New Roman" w:cs="Times New Roman"/>
          <w:sz w:val="24"/>
          <w:szCs w:val="24"/>
        </w:rPr>
      </w:pPr>
    </w:p>
    <w:p w14:paraId="3EAE3E39" w14:textId="4BD740F0" w:rsidR="00634A29" w:rsidRPr="00D96194" w:rsidRDefault="00634A29" w:rsidP="000C16E6">
      <w:pPr>
        <w:spacing w:after="0" w:line="240" w:lineRule="auto"/>
        <w:jc w:val="center"/>
        <w:rPr>
          <w:rFonts w:ascii="Times New Roman" w:eastAsia="Calibri" w:hAnsi="Times New Roman" w:cs="Times New Roman"/>
          <w:b/>
          <w:bCs/>
          <w:sz w:val="32"/>
          <w:szCs w:val="32"/>
        </w:rPr>
      </w:pPr>
    </w:p>
    <w:p w14:paraId="7388C833" w14:textId="6D1F3AF8" w:rsidR="000C16E6" w:rsidRPr="00D96194" w:rsidRDefault="000C16E6" w:rsidP="000C16E6">
      <w:pPr>
        <w:spacing w:after="0" w:line="240" w:lineRule="auto"/>
        <w:jc w:val="center"/>
        <w:rPr>
          <w:rFonts w:ascii="Times New Roman" w:eastAsia="Calibri" w:hAnsi="Times New Roman" w:cs="Times New Roman"/>
          <w:b/>
          <w:bCs/>
          <w:sz w:val="32"/>
          <w:szCs w:val="32"/>
        </w:rPr>
      </w:pPr>
      <w:r w:rsidRPr="00D96194">
        <w:rPr>
          <w:rFonts w:ascii="Times New Roman" w:eastAsia="Calibri" w:hAnsi="Times New Roman" w:cs="Times New Roman"/>
          <w:b/>
          <w:bCs/>
          <w:sz w:val="32"/>
          <w:szCs w:val="32"/>
        </w:rPr>
        <w:t>Vadlīnijas Starptautisko un Latvijas Republikas</w:t>
      </w:r>
    </w:p>
    <w:p w14:paraId="567B027E" w14:textId="6C7A28AB" w:rsidR="00E93E1C" w:rsidRPr="003E0904" w:rsidRDefault="000C16E6" w:rsidP="000C16E6">
      <w:pPr>
        <w:spacing w:after="0" w:line="240" w:lineRule="auto"/>
        <w:jc w:val="center"/>
        <w:rPr>
          <w:rFonts w:ascii="Times New Roman" w:eastAsia="Times New Roman" w:hAnsi="Times New Roman" w:cs="Times New Roman"/>
          <w:sz w:val="24"/>
          <w:szCs w:val="24"/>
          <w:lang w:eastAsia="lv-LV"/>
        </w:rPr>
      </w:pPr>
      <w:r w:rsidRPr="00D96194">
        <w:rPr>
          <w:rFonts w:ascii="Times New Roman" w:eastAsia="Calibri" w:hAnsi="Times New Roman" w:cs="Times New Roman"/>
          <w:b/>
          <w:bCs/>
          <w:sz w:val="32"/>
          <w:szCs w:val="32"/>
        </w:rPr>
        <w:t xml:space="preserve">nacionālo sankciju likumā noteikto prasību </w:t>
      </w:r>
      <w:r w:rsidR="00634A29" w:rsidRPr="00D96194">
        <w:rPr>
          <w:rFonts w:ascii="Times New Roman" w:eastAsia="Calibri" w:hAnsi="Times New Roman" w:cs="Times New Roman"/>
          <w:b/>
          <w:bCs/>
          <w:sz w:val="32"/>
          <w:szCs w:val="32"/>
        </w:rPr>
        <w:t xml:space="preserve">ievērošanai </w:t>
      </w:r>
      <w:r w:rsidRPr="00D96194">
        <w:rPr>
          <w:rFonts w:ascii="Times New Roman" w:eastAsia="Calibri" w:hAnsi="Times New Roman" w:cs="Times New Roman"/>
          <w:b/>
          <w:bCs/>
          <w:sz w:val="32"/>
          <w:szCs w:val="32"/>
        </w:rPr>
        <w:t xml:space="preserve">maksātnespējas procesa </w:t>
      </w:r>
      <w:r w:rsidR="00634A29" w:rsidRPr="00D96194">
        <w:rPr>
          <w:rFonts w:ascii="Times New Roman" w:eastAsia="Calibri" w:hAnsi="Times New Roman" w:cs="Times New Roman"/>
          <w:b/>
          <w:bCs/>
          <w:sz w:val="32"/>
          <w:szCs w:val="32"/>
        </w:rPr>
        <w:t>administratoriem</w:t>
      </w:r>
    </w:p>
    <w:p w14:paraId="1CB6257C" w14:textId="13452453" w:rsidR="00E93E1C" w:rsidRPr="003E0904" w:rsidRDefault="00E93E1C" w:rsidP="000C16E6">
      <w:pPr>
        <w:spacing w:after="0" w:line="240" w:lineRule="auto"/>
        <w:jc w:val="center"/>
        <w:rPr>
          <w:rFonts w:ascii="Times New Roman" w:eastAsia="Times New Roman" w:hAnsi="Times New Roman" w:cs="Times New Roman"/>
          <w:sz w:val="24"/>
          <w:szCs w:val="24"/>
          <w:lang w:eastAsia="lv-LV"/>
        </w:rPr>
      </w:pPr>
    </w:p>
    <w:p w14:paraId="38ECA214" w14:textId="664EF639"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0AFB40AD" w14:textId="16AD9017"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37943BDA" w14:textId="77777777" w:rsidR="00657C27" w:rsidRPr="003E0904" w:rsidRDefault="00657C27" w:rsidP="00E93E1C">
      <w:pPr>
        <w:spacing w:after="0" w:line="240" w:lineRule="auto"/>
        <w:rPr>
          <w:rFonts w:ascii="Times New Roman" w:eastAsia="Times New Roman" w:hAnsi="Times New Roman" w:cs="Times New Roman"/>
          <w:sz w:val="24"/>
          <w:szCs w:val="24"/>
          <w:lang w:eastAsia="lv-LV"/>
        </w:rPr>
      </w:pPr>
    </w:p>
    <w:p w14:paraId="54AE4A49" w14:textId="77777777" w:rsidR="00657C27" w:rsidRPr="003E0904" w:rsidRDefault="00657C27" w:rsidP="00E93E1C">
      <w:pPr>
        <w:spacing w:after="0" w:line="240" w:lineRule="auto"/>
        <w:rPr>
          <w:rFonts w:ascii="Times New Roman" w:eastAsia="Times New Roman" w:hAnsi="Times New Roman" w:cs="Times New Roman"/>
          <w:sz w:val="24"/>
          <w:szCs w:val="24"/>
          <w:lang w:eastAsia="lv-LV"/>
        </w:rPr>
      </w:pPr>
    </w:p>
    <w:p w14:paraId="481B83B3" w14:textId="77777777" w:rsidR="00E93E1C" w:rsidRPr="003E0904" w:rsidRDefault="00E93E1C" w:rsidP="00E93E1C">
      <w:pPr>
        <w:spacing w:after="0" w:line="240" w:lineRule="auto"/>
        <w:rPr>
          <w:rFonts w:ascii="Times New Roman" w:eastAsia="Times New Roman" w:hAnsi="Times New Roman" w:cs="Times New Roman"/>
          <w:sz w:val="24"/>
          <w:szCs w:val="24"/>
          <w:lang w:eastAsia="lv-LV"/>
        </w:rPr>
      </w:pPr>
    </w:p>
    <w:p w14:paraId="62984164" w14:textId="1AEC3A48" w:rsidR="00E93E1C" w:rsidRPr="00D96194" w:rsidRDefault="00E93E1C" w:rsidP="00E93E1C">
      <w:pPr>
        <w:spacing w:after="0" w:line="240" w:lineRule="auto"/>
        <w:jc w:val="right"/>
        <w:rPr>
          <w:rFonts w:ascii="Times New Roman" w:eastAsia="Times New Roman" w:hAnsi="Times New Roman" w:cs="Times New Roman"/>
          <w:sz w:val="24"/>
          <w:szCs w:val="24"/>
          <w:lang w:eastAsia="lv-LV"/>
        </w:rPr>
      </w:pPr>
      <w:r w:rsidRPr="00D96194">
        <w:rPr>
          <w:rFonts w:ascii="Times New Roman" w:eastAsia="Times New Roman" w:hAnsi="Times New Roman" w:cs="Times New Roman"/>
          <w:sz w:val="24"/>
          <w:szCs w:val="24"/>
          <w:lang w:eastAsia="lv-LV"/>
        </w:rPr>
        <w:t>Izdota</w:t>
      </w:r>
      <w:r w:rsidR="00CE0A54" w:rsidRPr="00D96194">
        <w:rPr>
          <w:rFonts w:ascii="Times New Roman" w:eastAsia="Times New Roman" w:hAnsi="Times New Roman" w:cs="Times New Roman"/>
          <w:sz w:val="24"/>
          <w:szCs w:val="24"/>
          <w:lang w:eastAsia="lv-LV"/>
        </w:rPr>
        <w:t>s</w:t>
      </w:r>
      <w:r w:rsidRPr="00D96194">
        <w:rPr>
          <w:rFonts w:ascii="Times New Roman" w:eastAsia="Times New Roman" w:hAnsi="Times New Roman" w:cs="Times New Roman"/>
          <w:sz w:val="24"/>
          <w:szCs w:val="24"/>
          <w:lang w:eastAsia="lv-LV"/>
        </w:rPr>
        <w:t xml:space="preserve"> saskaņā ar </w:t>
      </w:r>
    </w:p>
    <w:p w14:paraId="06119198" w14:textId="4A83FD65" w:rsidR="00E93E1C" w:rsidRPr="00D96194" w:rsidRDefault="00E93E1C" w:rsidP="00E93E1C">
      <w:pPr>
        <w:spacing w:after="0" w:line="240" w:lineRule="auto"/>
        <w:jc w:val="right"/>
        <w:rPr>
          <w:rFonts w:ascii="Times New Roman" w:eastAsia="Times New Roman" w:hAnsi="Times New Roman" w:cs="Times New Roman"/>
          <w:sz w:val="24"/>
          <w:szCs w:val="24"/>
          <w:lang w:eastAsia="lv-LV"/>
        </w:rPr>
      </w:pPr>
      <w:r w:rsidRPr="00D96194">
        <w:rPr>
          <w:rFonts w:ascii="Times New Roman" w:eastAsia="Times New Roman" w:hAnsi="Times New Roman" w:cs="Times New Roman"/>
          <w:sz w:val="24"/>
          <w:szCs w:val="24"/>
          <w:lang w:eastAsia="lv-LV"/>
        </w:rPr>
        <w:t>Starptautisko un Latvijas Republikas</w:t>
      </w:r>
    </w:p>
    <w:p w14:paraId="13BC86ED" w14:textId="6FB36126" w:rsidR="00E93E1C" w:rsidRPr="00D96194" w:rsidRDefault="00E93E1C" w:rsidP="00E93E1C">
      <w:pPr>
        <w:jc w:val="right"/>
        <w:rPr>
          <w:rFonts w:ascii="Times New Roman" w:eastAsia="Calibri" w:hAnsi="Times New Roman" w:cs="Times New Roman"/>
          <w:b/>
          <w:bCs/>
          <w:noProof/>
          <w:color w:val="000000"/>
          <w:sz w:val="24"/>
          <w:szCs w:val="24"/>
          <w:lang w:eastAsia="lv-LV"/>
        </w:rPr>
      </w:pPr>
      <w:r w:rsidRPr="00D96194">
        <w:rPr>
          <w:rFonts w:ascii="Times New Roman" w:eastAsia="Times New Roman" w:hAnsi="Times New Roman" w:cs="Times New Roman"/>
          <w:sz w:val="24"/>
          <w:szCs w:val="24"/>
          <w:lang w:eastAsia="lv-LV"/>
        </w:rPr>
        <w:t>nacionālo sankciju likum</w:t>
      </w:r>
      <w:r w:rsidR="00771530" w:rsidRPr="00D96194">
        <w:rPr>
          <w:rFonts w:ascii="Times New Roman" w:eastAsia="Times New Roman" w:hAnsi="Times New Roman" w:cs="Times New Roman"/>
          <w:sz w:val="24"/>
          <w:szCs w:val="24"/>
          <w:lang w:eastAsia="lv-LV"/>
        </w:rPr>
        <w:t>a 13. panta 4.</w:t>
      </w:r>
      <w:r w:rsidR="00771530" w:rsidRPr="00D96194">
        <w:rPr>
          <w:rFonts w:ascii="Times New Roman" w:eastAsia="Times New Roman" w:hAnsi="Times New Roman" w:cs="Times New Roman"/>
          <w:sz w:val="24"/>
          <w:szCs w:val="24"/>
          <w:vertAlign w:val="superscript"/>
          <w:lang w:eastAsia="lv-LV"/>
        </w:rPr>
        <w:t>10</w:t>
      </w:r>
      <w:r w:rsidR="00771530" w:rsidRPr="00D96194">
        <w:rPr>
          <w:rFonts w:ascii="Times New Roman" w:eastAsia="Times New Roman" w:hAnsi="Times New Roman" w:cs="Times New Roman"/>
          <w:sz w:val="24"/>
          <w:szCs w:val="24"/>
          <w:lang w:eastAsia="lv-LV"/>
        </w:rPr>
        <w:t> daļas 2. punktu</w:t>
      </w:r>
      <w:r w:rsidRPr="00D96194">
        <w:rPr>
          <w:rFonts w:ascii="Times New Roman" w:eastAsia="Calibri" w:hAnsi="Times New Roman" w:cs="Times New Roman"/>
          <w:b/>
          <w:bCs/>
          <w:noProof/>
          <w:color w:val="000000"/>
          <w:sz w:val="48"/>
          <w:szCs w:val="48"/>
          <w:lang w:eastAsia="lv-LV"/>
        </w:rPr>
        <w:t xml:space="preserve"> </w:t>
      </w:r>
    </w:p>
    <w:p w14:paraId="4F789F65" w14:textId="16E758FC" w:rsidR="00E93E1C" w:rsidRPr="00D96194" w:rsidRDefault="00E93E1C" w:rsidP="00E93E1C">
      <w:pPr>
        <w:rPr>
          <w:rFonts w:ascii="Times New Roman" w:eastAsia="Calibri" w:hAnsi="Times New Roman" w:cs="Times New Roman"/>
          <w:b/>
          <w:bCs/>
          <w:noProof/>
          <w:color w:val="000000"/>
          <w:sz w:val="24"/>
          <w:szCs w:val="24"/>
          <w:lang w:eastAsia="lv-LV"/>
        </w:rPr>
      </w:pPr>
    </w:p>
    <w:p w14:paraId="32E4F263"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16D4B139"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1D604817"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71A0A15"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F88ADB4"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3B954B63" w14:textId="77777777" w:rsidR="00E93E1C" w:rsidRPr="00D96194" w:rsidRDefault="00E93E1C" w:rsidP="00E93E1C">
      <w:pPr>
        <w:rPr>
          <w:rFonts w:ascii="Times New Roman" w:eastAsia="Calibri" w:hAnsi="Times New Roman" w:cs="Times New Roman"/>
          <w:b/>
          <w:bCs/>
          <w:noProof/>
          <w:color w:val="000000"/>
          <w:sz w:val="24"/>
          <w:szCs w:val="24"/>
          <w:lang w:eastAsia="lv-LV"/>
        </w:rPr>
      </w:pPr>
    </w:p>
    <w:p w14:paraId="0583A3E8" w14:textId="77777777" w:rsidR="00E93E1C" w:rsidRPr="00D96194" w:rsidRDefault="00E93E1C" w:rsidP="00E93E1C">
      <w:pPr>
        <w:rPr>
          <w:rFonts w:ascii="Times New Roman" w:eastAsia="Calibri" w:hAnsi="Times New Roman" w:cs="Times New Roman"/>
          <w:noProof/>
          <w:color w:val="000000"/>
          <w:sz w:val="24"/>
          <w:szCs w:val="24"/>
          <w:lang w:eastAsia="lv-LV"/>
        </w:rPr>
      </w:pPr>
    </w:p>
    <w:p w14:paraId="5FEABF6A" w14:textId="77777777" w:rsidR="00E93E1C" w:rsidRPr="00D96194" w:rsidRDefault="00E93E1C" w:rsidP="00E93E1C">
      <w:pPr>
        <w:rPr>
          <w:rFonts w:ascii="Times New Roman" w:eastAsia="Calibri" w:hAnsi="Times New Roman" w:cs="Times New Roman"/>
          <w:noProof/>
          <w:color w:val="000000"/>
          <w:sz w:val="24"/>
          <w:szCs w:val="24"/>
          <w:lang w:eastAsia="lv-LV"/>
        </w:rPr>
      </w:pPr>
    </w:p>
    <w:p w14:paraId="6FFD1AC3" w14:textId="7EFEC25C" w:rsidR="00E93E1C" w:rsidRDefault="00E93E1C" w:rsidP="00E60031">
      <w:pPr>
        <w:jc w:val="center"/>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noProof/>
          <w:color w:val="000000"/>
          <w:sz w:val="24"/>
          <w:szCs w:val="24"/>
          <w:lang w:eastAsia="lv-LV"/>
        </w:rPr>
        <w:t>Rīga, 202</w:t>
      </w:r>
      <w:r w:rsidR="00E60031" w:rsidRPr="00D96194">
        <w:rPr>
          <w:rFonts w:ascii="Times New Roman" w:eastAsia="Calibri" w:hAnsi="Times New Roman" w:cs="Times New Roman"/>
          <w:noProof/>
          <w:color w:val="000000"/>
          <w:sz w:val="24"/>
          <w:szCs w:val="24"/>
          <w:lang w:eastAsia="lv-LV"/>
        </w:rPr>
        <w:t>4</w:t>
      </w:r>
    </w:p>
    <w:p w14:paraId="6C94BE70" w14:textId="07349FA3" w:rsidR="00C144B4" w:rsidRPr="00822ED4" w:rsidRDefault="00C144B4" w:rsidP="00C144B4">
      <w:pPr>
        <w:spacing w:before="120" w:line="240" w:lineRule="auto"/>
        <w:rPr>
          <w:rStyle w:val="Hipersaite"/>
          <w:rFonts w:ascii="Times New Roman" w:hAnsi="Times New Roman" w:cs="Times New Roman"/>
          <w:b/>
          <w:color w:val="000000" w:themeColor="text1"/>
          <w:sz w:val="28"/>
          <w:szCs w:val="28"/>
        </w:rPr>
      </w:pPr>
      <w:r>
        <w:rPr>
          <w:rFonts w:ascii="Times New Roman" w:hAnsi="Times New Roman" w:cs="Times New Roman"/>
        </w:rPr>
        <w:t>Vadlīnijas</w:t>
      </w:r>
      <w:r w:rsidRPr="00F00CA3">
        <w:rPr>
          <w:rFonts w:ascii="Times New Roman" w:hAnsi="Times New Roman" w:cs="Times New Roman"/>
        </w:rPr>
        <w:t xml:space="preserve"> aktualizēt</w:t>
      </w:r>
      <w:r>
        <w:rPr>
          <w:rFonts w:ascii="Times New Roman" w:hAnsi="Times New Roman" w:cs="Times New Roman"/>
        </w:rPr>
        <w:t>a</w:t>
      </w:r>
      <w:r w:rsidRPr="00F00CA3">
        <w:rPr>
          <w:rFonts w:ascii="Times New Roman" w:hAnsi="Times New Roman" w:cs="Times New Roman"/>
        </w:rPr>
        <w:t xml:space="preserve">s </w:t>
      </w:r>
      <w:bookmarkStart w:id="0" w:name="_Hlk107559243"/>
      <w:r w:rsidRPr="00F00CA3">
        <w:rPr>
          <w:rFonts w:ascii="Times New Roman" w:hAnsi="Times New Roman" w:cs="Times New Roman"/>
        </w:rPr>
        <w:t>202</w:t>
      </w:r>
      <w:r>
        <w:rPr>
          <w:rFonts w:ascii="Times New Roman" w:hAnsi="Times New Roman" w:cs="Times New Roman"/>
        </w:rPr>
        <w:t>4</w:t>
      </w:r>
      <w:r w:rsidRPr="00F00CA3">
        <w:rPr>
          <w:rFonts w:ascii="Times New Roman" w:hAnsi="Times New Roman" w:cs="Times New Roman"/>
        </w:rPr>
        <w:t>.</w:t>
      </w:r>
      <w:r>
        <w:rPr>
          <w:rFonts w:ascii="Times New Roman" w:hAnsi="Times New Roman" w:cs="Times New Roman"/>
        </w:rPr>
        <w:t> </w:t>
      </w:r>
      <w:r w:rsidRPr="00F00CA3">
        <w:rPr>
          <w:rFonts w:ascii="Times New Roman" w:hAnsi="Times New Roman" w:cs="Times New Roman"/>
        </w:rPr>
        <w:t xml:space="preserve">gada </w:t>
      </w:r>
      <w:bookmarkEnd w:id="0"/>
      <w:r w:rsidR="003B5B61">
        <w:rPr>
          <w:rFonts w:ascii="Times New Roman" w:hAnsi="Times New Roman" w:cs="Times New Roman"/>
        </w:rPr>
        <w:t>18</w:t>
      </w:r>
      <w:r w:rsidRPr="00F00CA3">
        <w:rPr>
          <w:rFonts w:ascii="Times New Roman" w:hAnsi="Times New Roman" w:cs="Times New Roman"/>
        </w:rPr>
        <w:t>. oktobrī</w:t>
      </w:r>
      <w:r w:rsidR="001162C2">
        <w:rPr>
          <w:rFonts w:ascii="Times New Roman" w:hAnsi="Times New Roman" w:cs="Times New Roman"/>
        </w:rPr>
        <w:t>.</w:t>
      </w:r>
    </w:p>
    <w:p w14:paraId="177131EB" w14:textId="77777777" w:rsidR="00C144B4" w:rsidRPr="00D96194" w:rsidRDefault="00C144B4" w:rsidP="00E60031">
      <w:pPr>
        <w:jc w:val="center"/>
        <w:rPr>
          <w:rFonts w:ascii="Times New Roman" w:eastAsia="Calibri" w:hAnsi="Times New Roman" w:cs="Times New Roman"/>
          <w:noProof/>
          <w:color w:val="000000"/>
          <w:sz w:val="24"/>
          <w:szCs w:val="24"/>
          <w:lang w:eastAsia="lv-LV"/>
        </w:rPr>
      </w:pPr>
    </w:p>
    <w:p w14:paraId="703237EF" w14:textId="3E5888E6" w:rsidR="00E60031" w:rsidRPr="00D96194" w:rsidRDefault="00E93E1C" w:rsidP="00E93E1C">
      <w:pPr>
        <w:jc w:val="center"/>
        <w:rPr>
          <w:rFonts w:ascii="Times New Roman" w:eastAsia="Calibri" w:hAnsi="Times New Roman" w:cs="Times New Roman"/>
          <w:b/>
          <w:bCs/>
          <w:noProof/>
          <w:color w:val="000000"/>
          <w:sz w:val="28"/>
          <w:szCs w:val="28"/>
          <w:lang w:eastAsia="lv-LV"/>
        </w:rPr>
      </w:pPr>
      <w:r w:rsidRPr="00D96194">
        <w:rPr>
          <w:rFonts w:ascii="Times New Roman" w:eastAsia="Calibri" w:hAnsi="Times New Roman" w:cs="Times New Roman"/>
          <w:b/>
          <w:bCs/>
          <w:noProof/>
          <w:color w:val="000000"/>
          <w:sz w:val="28"/>
          <w:szCs w:val="28"/>
          <w:lang w:eastAsia="lv-LV"/>
        </w:rPr>
        <w:t>Saturs</w:t>
      </w:r>
    </w:p>
    <w:sdt>
      <w:sdtPr>
        <w:rPr>
          <w:rFonts w:asciiTheme="minorHAnsi" w:eastAsiaTheme="minorHAnsi" w:hAnsiTheme="minorHAnsi" w:cstheme="minorBidi"/>
          <w:color w:val="auto"/>
          <w:sz w:val="22"/>
          <w:szCs w:val="22"/>
          <w:lang w:eastAsia="en-US"/>
        </w:rPr>
        <w:id w:val="1722858400"/>
        <w:docPartObj>
          <w:docPartGallery w:val="Table of Contents"/>
          <w:docPartUnique/>
        </w:docPartObj>
      </w:sdtPr>
      <w:sdtEndPr>
        <w:rPr>
          <w:b/>
          <w:bCs/>
        </w:rPr>
      </w:sdtEndPr>
      <w:sdtContent>
        <w:p w14:paraId="22B6B9FB" w14:textId="27FE1C78" w:rsidR="00923049" w:rsidRPr="00D96194" w:rsidRDefault="00923049">
          <w:pPr>
            <w:pStyle w:val="Saturardtjavirsraksts"/>
            <w:rPr>
              <w:rFonts w:ascii="Times New Roman" w:hAnsi="Times New Roman" w:cs="Times New Roman"/>
              <w:sz w:val="24"/>
              <w:szCs w:val="24"/>
            </w:rPr>
          </w:pPr>
        </w:p>
        <w:p w14:paraId="23703FBC" w14:textId="7FE00634" w:rsidR="00F91F4C" w:rsidRPr="00F91F4C" w:rsidRDefault="00923049">
          <w:pPr>
            <w:pStyle w:val="Saturs1"/>
            <w:tabs>
              <w:tab w:val="right" w:leader="dot" w:pos="9061"/>
            </w:tabs>
            <w:rPr>
              <w:rFonts w:ascii="Times New Roman" w:eastAsiaTheme="minorEastAsia" w:hAnsi="Times New Roman" w:cs="Times New Roman"/>
              <w:noProof/>
              <w:kern w:val="2"/>
              <w:sz w:val="28"/>
              <w:szCs w:val="28"/>
              <w:lang w:eastAsia="lv-LV"/>
              <w14:ligatures w14:val="standardContextual"/>
            </w:rPr>
          </w:pPr>
          <w:r w:rsidRPr="00D96194">
            <w:rPr>
              <w:rFonts w:ascii="Times New Roman" w:hAnsi="Times New Roman" w:cs="Times New Roman"/>
              <w:sz w:val="24"/>
              <w:szCs w:val="24"/>
            </w:rPr>
            <w:fldChar w:fldCharType="begin"/>
          </w:r>
          <w:r w:rsidRPr="00D96194">
            <w:rPr>
              <w:rFonts w:ascii="Times New Roman" w:hAnsi="Times New Roman" w:cs="Times New Roman"/>
              <w:sz w:val="24"/>
              <w:szCs w:val="24"/>
            </w:rPr>
            <w:instrText xml:space="preserve"> TOC \o "1-3" \h \z \u </w:instrText>
          </w:r>
          <w:r w:rsidRPr="00D96194">
            <w:rPr>
              <w:rFonts w:ascii="Times New Roman" w:hAnsi="Times New Roman" w:cs="Times New Roman"/>
              <w:sz w:val="24"/>
              <w:szCs w:val="24"/>
            </w:rPr>
            <w:fldChar w:fldCharType="separate"/>
          </w:r>
          <w:hyperlink w:anchor="_Toc162957762" w:history="1">
            <w:r w:rsidR="00F91F4C" w:rsidRPr="00F91F4C">
              <w:rPr>
                <w:rStyle w:val="Hipersaite"/>
                <w:rFonts w:ascii="Times New Roman" w:eastAsia="Calibri" w:hAnsi="Times New Roman" w:cs="Times New Roman"/>
                <w:noProof/>
                <w:sz w:val="24"/>
                <w:szCs w:val="24"/>
                <w:lang w:eastAsia="lv-LV"/>
              </w:rPr>
              <w:t>Lietotie termini un saīsinājumi</w:t>
            </w:r>
            <w:r w:rsidR="00F91F4C" w:rsidRPr="00F91F4C">
              <w:rPr>
                <w:rFonts w:ascii="Times New Roman" w:hAnsi="Times New Roman" w:cs="Times New Roman"/>
                <w:noProof/>
                <w:webHidden/>
                <w:sz w:val="24"/>
                <w:szCs w:val="24"/>
              </w:rPr>
              <w:tab/>
            </w:r>
            <w:r w:rsidR="00F91F4C" w:rsidRPr="00F91F4C">
              <w:rPr>
                <w:rFonts w:ascii="Times New Roman" w:hAnsi="Times New Roman" w:cs="Times New Roman"/>
                <w:noProof/>
                <w:webHidden/>
                <w:sz w:val="24"/>
                <w:szCs w:val="24"/>
              </w:rPr>
              <w:fldChar w:fldCharType="begin"/>
            </w:r>
            <w:r w:rsidR="00F91F4C" w:rsidRPr="00F91F4C">
              <w:rPr>
                <w:rFonts w:ascii="Times New Roman" w:hAnsi="Times New Roman" w:cs="Times New Roman"/>
                <w:noProof/>
                <w:webHidden/>
                <w:sz w:val="24"/>
                <w:szCs w:val="24"/>
              </w:rPr>
              <w:instrText xml:space="preserve"> PAGEREF _Toc162957762 \h </w:instrText>
            </w:r>
            <w:r w:rsidR="00F91F4C" w:rsidRPr="00F91F4C">
              <w:rPr>
                <w:rFonts w:ascii="Times New Roman" w:hAnsi="Times New Roman" w:cs="Times New Roman"/>
                <w:noProof/>
                <w:webHidden/>
                <w:sz w:val="24"/>
                <w:szCs w:val="24"/>
              </w:rPr>
            </w:r>
            <w:r w:rsidR="00F91F4C" w:rsidRPr="00F91F4C">
              <w:rPr>
                <w:rFonts w:ascii="Times New Roman" w:hAnsi="Times New Roman" w:cs="Times New Roman"/>
                <w:noProof/>
                <w:webHidden/>
                <w:sz w:val="24"/>
                <w:szCs w:val="24"/>
              </w:rPr>
              <w:fldChar w:fldCharType="separate"/>
            </w:r>
            <w:r w:rsidR="00F91F4C" w:rsidRPr="00F91F4C">
              <w:rPr>
                <w:rFonts w:ascii="Times New Roman" w:hAnsi="Times New Roman" w:cs="Times New Roman"/>
                <w:noProof/>
                <w:webHidden/>
                <w:sz w:val="24"/>
                <w:szCs w:val="24"/>
              </w:rPr>
              <w:t>3</w:t>
            </w:r>
            <w:r w:rsidR="00F91F4C" w:rsidRPr="00F91F4C">
              <w:rPr>
                <w:rFonts w:ascii="Times New Roman" w:hAnsi="Times New Roman" w:cs="Times New Roman"/>
                <w:noProof/>
                <w:webHidden/>
                <w:sz w:val="24"/>
                <w:szCs w:val="24"/>
              </w:rPr>
              <w:fldChar w:fldCharType="end"/>
            </w:r>
          </w:hyperlink>
        </w:p>
        <w:p w14:paraId="2449CC4A" w14:textId="5EB3413F" w:rsidR="00F91F4C" w:rsidRPr="00F91F4C" w:rsidRDefault="00F91F4C">
          <w:pPr>
            <w:pStyle w:val="Saturs1"/>
            <w:tabs>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3" w:history="1">
            <w:r w:rsidRPr="00F91F4C">
              <w:rPr>
                <w:rStyle w:val="Hipersaite"/>
                <w:rFonts w:ascii="Times New Roman" w:eastAsia="Calibri" w:hAnsi="Times New Roman" w:cs="Times New Roman"/>
                <w:noProof/>
                <w:sz w:val="24"/>
                <w:szCs w:val="24"/>
                <w:lang w:eastAsia="lv-LV"/>
              </w:rPr>
              <w:t>Ievads</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_Toc162957763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4</w:t>
            </w:r>
            <w:r w:rsidRPr="00F91F4C">
              <w:rPr>
                <w:rFonts w:ascii="Times New Roman" w:hAnsi="Times New Roman" w:cs="Times New Roman"/>
                <w:noProof/>
                <w:webHidden/>
                <w:sz w:val="24"/>
                <w:szCs w:val="24"/>
              </w:rPr>
              <w:fldChar w:fldCharType="end"/>
            </w:r>
          </w:hyperlink>
        </w:p>
        <w:p w14:paraId="3E2F072D" w14:textId="3A35D6E2" w:rsidR="00F91F4C" w:rsidRPr="00F91F4C" w:rsidRDefault="00F91F4C">
          <w:pPr>
            <w:pStyle w:val="Saturs1"/>
            <w:tabs>
              <w:tab w:val="left" w:pos="48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4" w:history="1">
            <w:r w:rsidRPr="00F91F4C">
              <w:rPr>
                <w:rStyle w:val="Hipersaite"/>
                <w:rFonts w:ascii="Times New Roman" w:hAnsi="Times New Roman" w:cs="Times New Roman"/>
                <w:noProof/>
                <w:sz w:val="24"/>
                <w:szCs w:val="24"/>
              </w:rPr>
              <w:t>1.</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hAnsi="Times New Roman" w:cs="Times New Roman"/>
                <w:noProof/>
                <w:sz w:val="24"/>
                <w:szCs w:val="24"/>
              </w:rPr>
              <w:t>Vispārīgie jautājumi</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_Toc162957764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5</w:t>
            </w:r>
            <w:r w:rsidRPr="00F91F4C">
              <w:rPr>
                <w:rFonts w:ascii="Times New Roman" w:hAnsi="Times New Roman" w:cs="Times New Roman"/>
                <w:noProof/>
                <w:webHidden/>
                <w:sz w:val="24"/>
                <w:szCs w:val="24"/>
              </w:rPr>
              <w:fldChar w:fldCharType="end"/>
            </w:r>
          </w:hyperlink>
        </w:p>
        <w:p w14:paraId="2D333073" w14:textId="6E4383C9" w:rsidR="00F91F4C" w:rsidRPr="00F91F4C" w:rsidRDefault="00F91F4C">
          <w:pPr>
            <w:pStyle w:val="Saturs1"/>
            <w:tabs>
              <w:tab w:val="left" w:pos="48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5" w:history="1">
            <w:r w:rsidRPr="00F91F4C">
              <w:rPr>
                <w:rStyle w:val="Hipersaite"/>
                <w:rFonts w:ascii="Times New Roman" w:hAnsi="Times New Roman" w:cs="Times New Roman"/>
                <w:noProof/>
                <w:sz w:val="24"/>
                <w:szCs w:val="24"/>
              </w:rPr>
              <w:t>2.</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hAnsi="Times New Roman" w:cs="Times New Roman"/>
                <w:noProof/>
                <w:sz w:val="24"/>
                <w:szCs w:val="24"/>
              </w:rPr>
              <w:t>Administratora sankciju riska novērtējums</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_Toc162957765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5</w:t>
            </w:r>
            <w:r w:rsidRPr="00F91F4C">
              <w:rPr>
                <w:rFonts w:ascii="Times New Roman" w:hAnsi="Times New Roman" w:cs="Times New Roman"/>
                <w:noProof/>
                <w:webHidden/>
                <w:sz w:val="24"/>
                <w:szCs w:val="24"/>
              </w:rPr>
              <w:fldChar w:fldCharType="end"/>
            </w:r>
          </w:hyperlink>
        </w:p>
        <w:p w14:paraId="1FD68339" w14:textId="26FCFE02" w:rsidR="00F91F4C" w:rsidRPr="00F91F4C" w:rsidRDefault="00F91F4C">
          <w:pPr>
            <w:pStyle w:val="Saturs1"/>
            <w:tabs>
              <w:tab w:val="left" w:pos="48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6" w:history="1">
            <w:r w:rsidRPr="00F91F4C">
              <w:rPr>
                <w:rStyle w:val="Hipersaite"/>
                <w:rFonts w:ascii="Times New Roman" w:eastAsia="Calibri" w:hAnsi="Times New Roman" w:cs="Times New Roman"/>
                <w:noProof/>
                <w:sz w:val="24"/>
                <w:szCs w:val="24"/>
              </w:rPr>
              <w:t>3.</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eastAsia="Calibri" w:hAnsi="Times New Roman" w:cs="Times New Roman"/>
                <w:noProof/>
                <w:sz w:val="24"/>
                <w:szCs w:val="24"/>
              </w:rPr>
              <w:t>Iekšējās kontroles sistēma</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_Toc162957766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6</w:t>
            </w:r>
            <w:r w:rsidRPr="00F91F4C">
              <w:rPr>
                <w:rFonts w:ascii="Times New Roman" w:hAnsi="Times New Roman" w:cs="Times New Roman"/>
                <w:noProof/>
                <w:webHidden/>
                <w:sz w:val="24"/>
                <w:szCs w:val="24"/>
              </w:rPr>
              <w:fldChar w:fldCharType="end"/>
            </w:r>
          </w:hyperlink>
        </w:p>
        <w:p w14:paraId="0374D436" w14:textId="645681A0" w:rsidR="00F91F4C" w:rsidRPr="00F91F4C" w:rsidRDefault="00F91F4C">
          <w:pPr>
            <w:pStyle w:val="Saturs2"/>
            <w:tabs>
              <w:tab w:val="left" w:pos="96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7" w:history="1">
            <w:r w:rsidRPr="00F91F4C">
              <w:rPr>
                <w:rStyle w:val="Hipersaite"/>
                <w:rFonts w:ascii="Times New Roman" w:hAnsi="Times New Roman" w:cs="Times New Roman"/>
                <w:noProof/>
                <w:sz w:val="24"/>
                <w:szCs w:val="24"/>
              </w:rPr>
              <w:t>3.1.</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hAnsi="Times New Roman" w:cs="Times New Roman"/>
                <w:noProof/>
                <w:sz w:val="24"/>
                <w:szCs w:val="24"/>
              </w:rPr>
              <w:t>Iekšējās kontroles sistēmas politikas un procedūras izstrāde</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_Toc162957767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7</w:t>
            </w:r>
            <w:r w:rsidRPr="00F91F4C">
              <w:rPr>
                <w:rFonts w:ascii="Times New Roman" w:hAnsi="Times New Roman" w:cs="Times New Roman"/>
                <w:noProof/>
                <w:webHidden/>
                <w:sz w:val="24"/>
                <w:szCs w:val="24"/>
              </w:rPr>
              <w:fldChar w:fldCharType="end"/>
            </w:r>
          </w:hyperlink>
        </w:p>
        <w:p w14:paraId="33FDDF6E" w14:textId="25EBD64C" w:rsidR="00F91F4C" w:rsidRPr="00F91F4C" w:rsidRDefault="00F91F4C">
          <w:pPr>
            <w:pStyle w:val="Saturs2"/>
            <w:tabs>
              <w:tab w:val="left" w:pos="96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8" w:history="1">
            <w:r w:rsidRPr="00F91F4C">
              <w:rPr>
                <w:rStyle w:val="Hipersaite"/>
                <w:rFonts w:ascii="Times New Roman" w:hAnsi="Times New Roman" w:cs="Times New Roman"/>
                <w:noProof/>
                <w:sz w:val="24"/>
                <w:szCs w:val="24"/>
              </w:rPr>
              <w:t>3.2.</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hAnsi="Times New Roman" w:cs="Times New Roman"/>
                <w:noProof/>
                <w:sz w:val="24"/>
                <w:szCs w:val="24"/>
              </w:rPr>
              <w:t>Klienta izpēte un riska novērtēšana</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_Toc162957768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7</w:t>
            </w:r>
            <w:r w:rsidRPr="00F91F4C">
              <w:rPr>
                <w:rFonts w:ascii="Times New Roman" w:hAnsi="Times New Roman" w:cs="Times New Roman"/>
                <w:noProof/>
                <w:webHidden/>
                <w:sz w:val="24"/>
                <w:szCs w:val="24"/>
              </w:rPr>
              <w:fldChar w:fldCharType="end"/>
            </w:r>
          </w:hyperlink>
        </w:p>
        <w:p w14:paraId="2D714133" w14:textId="0802EA89" w:rsidR="00F91F4C" w:rsidRPr="00F91F4C" w:rsidRDefault="00F91F4C">
          <w:pPr>
            <w:pStyle w:val="Saturs2"/>
            <w:tabs>
              <w:tab w:val="left" w:pos="960"/>
              <w:tab w:val="right" w:leader="dot" w:pos="9061"/>
            </w:tabs>
            <w:rPr>
              <w:rFonts w:ascii="Times New Roman" w:eastAsiaTheme="minorEastAsia" w:hAnsi="Times New Roman" w:cs="Times New Roman"/>
              <w:noProof/>
              <w:kern w:val="2"/>
              <w:sz w:val="28"/>
              <w:szCs w:val="28"/>
              <w:lang w:eastAsia="lv-LV"/>
              <w14:ligatures w14:val="standardContextual"/>
            </w:rPr>
          </w:pPr>
          <w:hyperlink w:anchor="_Toc162957769" w:history="1">
            <w:r w:rsidRPr="00F91F4C">
              <w:rPr>
                <w:rStyle w:val="Hipersaite"/>
                <w:rFonts w:ascii="Times New Roman" w:hAnsi="Times New Roman" w:cs="Times New Roman"/>
                <w:noProof/>
                <w:sz w:val="24"/>
                <w:szCs w:val="24"/>
              </w:rPr>
              <w:t>3.3.</w:t>
            </w:r>
            <w:r w:rsidRPr="00F91F4C">
              <w:rPr>
                <w:rFonts w:ascii="Times New Roman" w:eastAsiaTheme="minorEastAsia" w:hAnsi="Times New Roman" w:cs="Times New Roman"/>
                <w:noProof/>
                <w:kern w:val="2"/>
                <w:sz w:val="28"/>
                <w:szCs w:val="28"/>
                <w:lang w:eastAsia="lv-LV"/>
                <w14:ligatures w14:val="standardContextual"/>
              </w:rPr>
              <w:tab/>
            </w:r>
            <w:r w:rsidRPr="00F91F4C">
              <w:rPr>
                <w:rStyle w:val="Hipersaite"/>
                <w:rFonts w:ascii="Times New Roman" w:hAnsi="Times New Roman" w:cs="Times New Roman"/>
                <w:noProof/>
                <w:sz w:val="24"/>
                <w:szCs w:val="24"/>
              </w:rPr>
              <w:t>Ziņošanas pienākums</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_Toc162957769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13</w:t>
            </w:r>
            <w:r w:rsidRPr="00F91F4C">
              <w:rPr>
                <w:rFonts w:ascii="Times New Roman" w:hAnsi="Times New Roman" w:cs="Times New Roman"/>
                <w:noProof/>
                <w:webHidden/>
                <w:sz w:val="24"/>
                <w:szCs w:val="24"/>
              </w:rPr>
              <w:fldChar w:fldCharType="end"/>
            </w:r>
          </w:hyperlink>
        </w:p>
        <w:p w14:paraId="6CDF0AE1" w14:textId="1A529041" w:rsidR="00F91F4C" w:rsidRDefault="00F91F4C">
          <w:pPr>
            <w:pStyle w:val="Saturs1"/>
            <w:tabs>
              <w:tab w:val="right" w:leader="dot" w:pos="9061"/>
            </w:tabs>
            <w:rPr>
              <w:rFonts w:eastAsiaTheme="minorEastAsia"/>
              <w:noProof/>
              <w:kern w:val="2"/>
              <w:sz w:val="24"/>
              <w:szCs w:val="24"/>
              <w:lang w:eastAsia="lv-LV"/>
              <w14:ligatures w14:val="standardContextual"/>
            </w:rPr>
          </w:pPr>
          <w:hyperlink w:anchor="_Toc162957770" w:history="1">
            <w:r w:rsidRPr="00F91F4C">
              <w:rPr>
                <w:rStyle w:val="Hipersaite"/>
                <w:rFonts w:ascii="Times New Roman" w:hAnsi="Times New Roman" w:cs="Times New Roman"/>
                <w:noProof/>
                <w:sz w:val="24"/>
                <w:szCs w:val="24"/>
              </w:rPr>
              <w:t>Klienta sankciju risku novērtējuma veidlapa</w:t>
            </w:r>
            <w:r w:rsidRPr="00F91F4C">
              <w:rPr>
                <w:rFonts w:ascii="Times New Roman" w:hAnsi="Times New Roman" w:cs="Times New Roman"/>
                <w:noProof/>
                <w:webHidden/>
                <w:sz w:val="24"/>
                <w:szCs w:val="24"/>
              </w:rPr>
              <w:tab/>
            </w:r>
            <w:r w:rsidRPr="00F91F4C">
              <w:rPr>
                <w:rFonts w:ascii="Times New Roman" w:hAnsi="Times New Roman" w:cs="Times New Roman"/>
                <w:noProof/>
                <w:webHidden/>
                <w:sz w:val="24"/>
                <w:szCs w:val="24"/>
              </w:rPr>
              <w:fldChar w:fldCharType="begin"/>
            </w:r>
            <w:r w:rsidRPr="00F91F4C">
              <w:rPr>
                <w:rFonts w:ascii="Times New Roman" w:hAnsi="Times New Roman" w:cs="Times New Roman"/>
                <w:noProof/>
                <w:webHidden/>
                <w:sz w:val="24"/>
                <w:szCs w:val="24"/>
              </w:rPr>
              <w:instrText xml:space="preserve"> PAGEREF _Toc162957770 \h </w:instrText>
            </w:r>
            <w:r w:rsidRPr="00F91F4C">
              <w:rPr>
                <w:rFonts w:ascii="Times New Roman" w:hAnsi="Times New Roman" w:cs="Times New Roman"/>
                <w:noProof/>
                <w:webHidden/>
                <w:sz w:val="24"/>
                <w:szCs w:val="24"/>
              </w:rPr>
            </w:r>
            <w:r w:rsidRPr="00F91F4C">
              <w:rPr>
                <w:rFonts w:ascii="Times New Roman" w:hAnsi="Times New Roman" w:cs="Times New Roman"/>
                <w:noProof/>
                <w:webHidden/>
                <w:sz w:val="24"/>
                <w:szCs w:val="24"/>
              </w:rPr>
              <w:fldChar w:fldCharType="separate"/>
            </w:r>
            <w:r w:rsidRPr="00F91F4C">
              <w:rPr>
                <w:rFonts w:ascii="Times New Roman" w:hAnsi="Times New Roman" w:cs="Times New Roman"/>
                <w:noProof/>
                <w:webHidden/>
                <w:sz w:val="24"/>
                <w:szCs w:val="24"/>
              </w:rPr>
              <w:t>14</w:t>
            </w:r>
            <w:r w:rsidRPr="00F91F4C">
              <w:rPr>
                <w:rFonts w:ascii="Times New Roman" w:hAnsi="Times New Roman" w:cs="Times New Roman"/>
                <w:noProof/>
                <w:webHidden/>
                <w:sz w:val="24"/>
                <w:szCs w:val="24"/>
              </w:rPr>
              <w:fldChar w:fldCharType="end"/>
            </w:r>
          </w:hyperlink>
        </w:p>
        <w:p w14:paraId="57099372" w14:textId="43B15346" w:rsidR="00923049" w:rsidRPr="00D96194" w:rsidRDefault="00923049">
          <w:r w:rsidRPr="00D96194">
            <w:rPr>
              <w:rFonts w:ascii="Times New Roman" w:hAnsi="Times New Roman" w:cs="Times New Roman"/>
              <w:sz w:val="24"/>
              <w:szCs w:val="24"/>
            </w:rPr>
            <w:fldChar w:fldCharType="end"/>
          </w:r>
        </w:p>
      </w:sdtContent>
    </w:sdt>
    <w:p w14:paraId="6588AC81" w14:textId="77777777" w:rsidR="00E60031" w:rsidRPr="00D96194" w:rsidRDefault="00E60031">
      <w:pPr>
        <w:rPr>
          <w:rFonts w:ascii="Times New Roman" w:eastAsia="Calibri" w:hAnsi="Times New Roman" w:cs="Times New Roman"/>
          <w:b/>
          <w:bCs/>
          <w:noProof/>
          <w:color w:val="000000"/>
          <w:sz w:val="28"/>
          <w:szCs w:val="28"/>
          <w:lang w:eastAsia="lv-LV"/>
        </w:rPr>
      </w:pPr>
      <w:r w:rsidRPr="00D96194">
        <w:rPr>
          <w:rFonts w:ascii="Times New Roman" w:eastAsia="Calibri" w:hAnsi="Times New Roman" w:cs="Times New Roman"/>
          <w:b/>
          <w:bCs/>
          <w:noProof/>
          <w:color w:val="000000"/>
          <w:sz w:val="28"/>
          <w:szCs w:val="28"/>
          <w:lang w:eastAsia="lv-LV"/>
        </w:rPr>
        <w:br w:type="page"/>
      </w:r>
    </w:p>
    <w:p w14:paraId="5EFF4897" w14:textId="77777777" w:rsidR="00E60031" w:rsidRPr="00D96194" w:rsidRDefault="00E60031" w:rsidP="00E60031">
      <w:pPr>
        <w:pStyle w:val="Virsraksts1"/>
        <w:jc w:val="center"/>
        <w:rPr>
          <w:rFonts w:ascii="Times New Roman" w:eastAsia="Calibri" w:hAnsi="Times New Roman" w:cs="Times New Roman"/>
          <w:b/>
          <w:bCs/>
          <w:noProof/>
          <w:color w:val="auto"/>
          <w:sz w:val="28"/>
          <w:szCs w:val="28"/>
          <w:lang w:eastAsia="lv-LV"/>
        </w:rPr>
      </w:pPr>
      <w:bookmarkStart w:id="1" w:name="_Toc162957762"/>
      <w:r w:rsidRPr="00D96194">
        <w:rPr>
          <w:rFonts w:ascii="Times New Roman" w:eastAsia="Calibri" w:hAnsi="Times New Roman" w:cs="Times New Roman"/>
          <w:b/>
          <w:bCs/>
          <w:noProof/>
          <w:color w:val="auto"/>
          <w:sz w:val="28"/>
          <w:szCs w:val="28"/>
          <w:lang w:eastAsia="lv-LV"/>
        </w:rPr>
        <w:lastRenderedPageBreak/>
        <w:t>Lietotie termini un saīsinājumi</w:t>
      </w:r>
      <w:bookmarkEnd w:id="1"/>
    </w:p>
    <w:p w14:paraId="0290AA31" w14:textId="77777777" w:rsidR="00E60031" w:rsidRPr="00D96194" w:rsidRDefault="00E60031" w:rsidP="00E60031">
      <w:pPr>
        <w:rPr>
          <w:lang w:eastAsia="lv-LV"/>
        </w:rPr>
      </w:pPr>
    </w:p>
    <w:p w14:paraId="3261130F" w14:textId="72697878"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Administrators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maksātnespējas procesa administrators</w:t>
      </w:r>
    </w:p>
    <w:p w14:paraId="6BF59011" w14:textId="156D51FE"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ES</w:t>
      </w:r>
      <w:r w:rsidRPr="00D96194">
        <w:rPr>
          <w:rFonts w:ascii="Times New Roman" w:eastAsia="Calibri" w:hAnsi="Times New Roman" w:cs="Times New Roman"/>
          <w:noProof/>
          <w:color w:val="000000"/>
          <w:sz w:val="24"/>
          <w:szCs w:val="24"/>
          <w:lang w:eastAsia="lv-LV"/>
        </w:rPr>
        <w:t xml:space="preserve"> -  Eiropas Savienība</w:t>
      </w:r>
    </w:p>
    <w:p w14:paraId="6A0BF76A" w14:textId="685E3765"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FID</w:t>
      </w:r>
      <w:r w:rsidRPr="00D96194">
        <w:rPr>
          <w:rFonts w:ascii="Times New Roman" w:eastAsia="Calibri" w:hAnsi="Times New Roman" w:cs="Times New Roman"/>
          <w:noProof/>
          <w:color w:val="000000"/>
          <w:sz w:val="24"/>
          <w:szCs w:val="24"/>
          <w:lang w:eastAsia="lv-LV"/>
        </w:rPr>
        <w:t xml:space="preserve"> – Finanšu izlūkošanas dienests</w:t>
      </w:r>
    </w:p>
    <w:p w14:paraId="6AC7056A" w14:textId="6E293D71"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Iekšējā</w:t>
      </w:r>
      <w:r w:rsidR="00D830A3">
        <w:rPr>
          <w:rFonts w:ascii="Times New Roman" w:hAnsi="Times New Roman" w:cs="Times New Roman"/>
          <w:b/>
          <w:bCs/>
          <w:sz w:val="24"/>
          <w:szCs w:val="24"/>
          <w:lang w:eastAsia="lv-LV"/>
        </w:rPr>
        <w:t>s</w:t>
      </w:r>
      <w:r w:rsidRPr="00D96194">
        <w:rPr>
          <w:rFonts w:ascii="Times New Roman" w:hAnsi="Times New Roman" w:cs="Times New Roman"/>
          <w:b/>
          <w:bCs/>
          <w:sz w:val="24"/>
          <w:szCs w:val="24"/>
          <w:lang w:eastAsia="lv-LV"/>
        </w:rPr>
        <w:t xml:space="preserve"> kontroles sistēma</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sankciju riska pārvaldīšanas iekšējās kontroles sistēma</w:t>
      </w:r>
    </w:p>
    <w:p w14:paraId="19E660CC" w14:textId="48D804A4"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Klients</w:t>
      </w:r>
      <w:r w:rsidRPr="00D96194">
        <w:rPr>
          <w:rFonts w:ascii="Times New Roman" w:hAnsi="Times New Roman" w:cs="Times New Roman"/>
          <w:sz w:val="24"/>
          <w:szCs w:val="24"/>
          <w:lang w:eastAsia="lv-LV"/>
        </w:rPr>
        <w:t xml:space="preserve"> – maksātnespējīgais subjekts</w:t>
      </w:r>
      <w:r w:rsidR="00C60CED" w:rsidRPr="00822ED4">
        <w:rPr>
          <w:rStyle w:val="Vresatsauce"/>
          <w:rFonts w:ascii="Times New Roman" w:hAnsi="Times New Roman" w:cs="Times New Roman"/>
          <w:sz w:val="24"/>
          <w:szCs w:val="24"/>
        </w:rPr>
        <w:footnoteReference w:id="1"/>
      </w:r>
    </w:p>
    <w:p w14:paraId="086EB9D3" w14:textId="317A9265"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Nacionālās sankcijas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Latvijas normatīvajiem aktiem un starptautiskajām tiesībām attiecībā uz sankciju subjektu noteikti ierobežojumi, kurus </w:t>
      </w:r>
      <w:r w:rsidR="005452F5" w:rsidRPr="00D96194">
        <w:rPr>
          <w:rFonts w:ascii="Times New Roman" w:hAnsi="Times New Roman" w:cs="Times New Roman"/>
          <w:sz w:val="24"/>
          <w:szCs w:val="24"/>
          <w:shd w:val="clear" w:color="auto" w:fill="FFFFFF"/>
        </w:rPr>
        <w:t xml:space="preserve">Starptautisko un Latvijas Republikas nacionālo sankciju likumā </w:t>
      </w:r>
      <w:r w:rsidRPr="00D96194">
        <w:rPr>
          <w:rFonts w:ascii="Times New Roman" w:hAnsi="Times New Roman" w:cs="Times New Roman"/>
          <w:sz w:val="24"/>
          <w:szCs w:val="24"/>
          <w:lang w:eastAsia="lv-LV"/>
        </w:rPr>
        <w:t>paredzētajā kārtībā noteicis Ministru kabinets</w:t>
      </w:r>
    </w:p>
    <w:p w14:paraId="6C916197" w14:textId="18F2AB2E"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NILLTPF</w:t>
      </w:r>
      <w:r w:rsidRPr="00D96194">
        <w:rPr>
          <w:rFonts w:ascii="Times New Roman" w:eastAsia="Calibri" w:hAnsi="Times New Roman" w:cs="Times New Roman"/>
          <w:noProof/>
          <w:color w:val="000000"/>
          <w:sz w:val="24"/>
          <w:szCs w:val="24"/>
          <w:lang w:eastAsia="lv-LV"/>
        </w:rPr>
        <w:t xml:space="preserve"> </w:t>
      </w:r>
      <w:r w:rsidR="00D830A3">
        <w:rPr>
          <w:rFonts w:ascii="Times New Roman" w:eastAsia="Calibri" w:hAnsi="Times New Roman" w:cs="Times New Roman"/>
          <w:noProof/>
          <w:color w:val="000000"/>
          <w:sz w:val="24"/>
          <w:szCs w:val="24"/>
          <w:lang w:eastAsia="lv-LV"/>
        </w:rPr>
        <w:t>–</w:t>
      </w:r>
      <w:r w:rsidRPr="00D96194">
        <w:rPr>
          <w:rFonts w:ascii="Times New Roman" w:eastAsia="Calibri" w:hAnsi="Times New Roman" w:cs="Times New Roman"/>
          <w:noProof/>
          <w:color w:val="000000"/>
          <w:sz w:val="24"/>
          <w:szCs w:val="24"/>
          <w:lang w:eastAsia="lv-LV"/>
        </w:rPr>
        <w:t xml:space="preserve"> noziedzīgi iegūtu līdzekļu legalizācijas un terorisma un proliferācijas finansēšana</w:t>
      </w:r>
    </w:p>
    <w:p w14:paraId="667FBFB0" w14:textId="1ACAE8EB" w:rsidR="00E304D3" w:rsidRPr="00D96194" w:rsidRDefault="00E304D3" w:rsidP="00BB4F5A">
      <w:pPr>
        <w:spacing w:after="0" w:line="360" w:lineRule="auto"/>
        <w:jc w:val="both"/>
        <w:rPr>
          <w:rFonts w:ascii="Times New Roman" w:eastAsia="Calibri" w:hAnsi="Times New Roman" w:cs="Times New Roman"/>
          <w:noProof/>
          <w:color w:val="000000"/>
          <w:sz w:val="24"/>
          <w:szCs w:val="24"/>
          <w:lang w:eastAsia="lv-LV"/>
        </w:rPr>
      </w:pPr>
      <w:r w:rsidRPr="00D96194">
        <w:rPr>
          <w:rFonts w:ascii="Times New Roman" w:eastAsia="Calibri" w:hAnsi="Times New Roman" w:cs="Times New Roman"/>
          <w:b/>
          <w:bCs/>
          <w:noProof/>
          <w:color w:val="000000"/>
          <w:sz w:val="24"/>
          <w:szCs w:val="24"/>
          <w:lang w:eastAsia="lv-LV"/>
        </w:rPr>
        <w:t xml:space="preserve">Novēršanas likums </w:t>
      </w:r>
      <w:r w:rsidR="00D830A3">
        <w:rPr>
          <w:rFonts w:ascii="Times New Roman" w:eastAsia="Calibri" w:hAnsi="Times New Roman" w:cs="Times New Roman"/>
          <w:b/>
          <w:bCs/>
          <w:noProof/>
          <w:color w:val="000000"/>
          <w:sz w:val="24"/>
          <w:szCs w:val="24"/>
          <w:lang w:eastAsia="lv-LV"/>
        </w:rPr>
        <w:t>–</w:t>
      </w:r>
      <w:r w:rsidRPr="00D96194">
        <w:rPr>
          <w:rFonts w:ascii="Times New Roman" w:eastAsia="Calibri" w:hAnsi="Times New Roman" w:cs="Times New Roman"/>
          <w:b/>
          <w:bCs/>
          <w:noProof/>
          <w:color w:val="000000"/>
          <w:sz w:val="24"/>
          <w:szCs w:val="24"/>
          <w:lang w:eastAsia="lv-LV"/>
        </w:rPr>
        <w:t xml:space="preserve"> </w:t>
      </w:r>
      <w:r w:rsidRPr="00D96194">
        <w:rPr>
          <w:rFonts w:ascii="Times New Roman" w:eastAsia="Calibri" w:hAnsi="Times New Roman" w:cs="Times New Roman"/>
          <w:noProof/>
          <w:color w:val="000000"/>
          <w:sz w:val="24"/>
          <w:szCs w:val="24"/>
          <w:lang w:eastAsia="lv-LV"/>
        </w:rPr>
        <w:t>Noziedzīgi iegūtu līdzekļu legalizācijas un terorisma un proliferācijas finansēšanas novēršanas likums</w:t>
      </w:r>
    </w:p>
    <w:p w14:paraId="3B78701A" w14:textId="2AC7BF60" w:rsidR="00CA7C2B" w:rsidRPr="00D96194" w:rsidRDefault="00E60031"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Starptautiskās sankcij</w:t>
      </w:r>
      <w:r w:rsidR="00F837EB" w:rsidRPr="00D96194">
        <w:rPr>
          <w:rFonts w:ascii="Times New Roman" w:hAnsi="Times New Roman" w:cs="Times New Roman"/>
          <w:b/>
          <w:bCs/>
          <w:sz w:val="24"/>
          <w:szCs w:val="24"/>
          <w:lang w:eastAsia="lv-LV"/>
        </w:rPr>
        <w:t>a</w:t>
      </w:r>
      <w:r w:rsidRPr="00D96194">
        <w:rPr>
          <w:rFonts w:ascii="Times New Roman" w:hAnsi="Times New Roman" w:cs="Times New Roman"/>
          <w:b/>
          <w:bCs/>
          <w:sz w:val="24"/>
          <w:szCs w:val="24"/>
          <w:lang w:eastAsia="lv-LV"/>
        </w:rPr>
        <w:t>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atbilstoši starptautiskajām tiesībām attiecībā uz sankciju subjektu </w:t>
      </w:r>
      <w:r w:rsidR="00CA7C2B" w:rsidRPr="00D96194">
        <w:rPr>
          <w:rFonts w:ascii="Times New Roman" w:hAnsi="Times New Roman" w:cs="Times New Roman"/>
          <w:sz w:val="24"/>
          <w:szCs w:val="24"/>
          <w:lang w:eastAsia="lv-LV"/>
        </w:rPr>
        <w:t>noteikti ierobežojumi, kurus pieņēmusi Apvienoto Nāciju Organizācija vai Eiropas Savienība, vai cita starptautiskā organizācija, kuras dalībvalsts ir Latvija, un kuri ir tieši piemērojami vai ieviesti Latvijā likumā noteiktajā kārtībā</w:t>
      </w:r>
    </w:p>
    <w:p w14:paraId="61EBF40A" w14:textId="65B41787" w:rsidR="00E304D3" w:rsidRPr="00D96194" w:rsidRDefault="00E304D3"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 xml:space="preserve">Sankciju likums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Starptautisko un Latvijas Republikas nacionālo sankciju likums</w:t>
      </w:r>
    </w:p>
    <w:p w14:paraId="1CA0E45B" w14:textId="50CC545F" w:rsidR="00E60031" w:rsidRPr="00D96194" w:rsidRDefault="00E60031" w:rsidP="00BB4F5A">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Sankciju subjekts</w:t>
      </w:r>
      <w:r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starptautisko publisko tiesību subjekts, fiziskā vai juridiskā persona vai cits identificējams subjekts, attiecībā uz kuru noteiktas starptautiskās vai nacionālās sankcijas</w:t>
      </w:r>
    </w:p>
    <w:p w14:paraId="3B38323A" w14:textId="0B5D65CC" w:rsidR="00E60031" w:rsidRPr="00D96194" w:rsidRDefault="00E304D3" w:rsidP="00D96194">
      <w:pPr>
        <w:spacing w:after="0" w:line="360" w:lineRule="auto"/>
        <w:jc w:val="both"/>
        <w:rPr>
          <w:rFonts w:ascii="Times New Roman" w:hAnsi="Times New Roman" w:cs="Times New Roman"/>
          <w:sz w:val="24"/>
          <w:szCs w:val="24"/>
          <w:lang w:eastAsia="lv-LV"/>
        </w:rPr>
      </w:pPr>
      <w:r w:rsidRPr="00D96194">
        <w:rPr>
          <w:rFonts w:ascii="Times New Roman" w:hAnsi="Times New Roman" w:cs="Times New Roman"/>
          <w:b/>
          <w:bCs/>
          <w:sz w:val="24"/>
          <w:szCs w:val="24"/>
          <w:lang w:eastAsia="lv-LV"/>
        </w:rPr>
        <w:t>V</w:t>
      </w:r>
      <w:r w:rsidR="00717748" w:rsidRPr="00D96194">
        <w:rPr>
          <w:rFonts w:ascii="Times New Roman" w:hAnsi="Times New Roman" w:cs="Times New Roman"/>
          <w:b/>
          <w:bCs/>
          <w:sz w:val="24"/>
          <w:szCs w:val="24"/>
          <w:lang w:eastAsia="lv-LV"/>
        </w:rPr>
        <w:t>adlīnijas</w:t>
      </w:r>
      <w:r w:rsidR="00E60031" w:rsidRPr="00D96194">
        <w:rPr>
          <w:rFonts w:ascii="Times New Roman" w:hAnsi="Times New Roman" w:cs="Times New Roman"/>
          <w:sz w:val="24"/>
          <w:szCs w:val="24"/>
          <w:lang w:eastAsia="lv-LV"/>
        </w:rPr>
        <w:t xml:space="preserve"> </w:t>
      </w:r>
      <w:r w:rsidR="00D830A3">
        <w:rPr>
          <w:rFonts w:ascii="Times New Roman" w:hAnsi="Times New Roman" w:cs="Times New Roman"/>
          <w:sz w:val="24"/>
          <w:szCs w:val="24"/>
          <w:lang w:eastAsia="lv-LV"/>
        </w:rPr>
        <w:t>–</w:t>
      </w:r>
      <w:r w:rsidR="00E60031" w:rsidRPr="00D96194">
        <w:rPr>
          <w:rFonts w:ascii="Times New Roman" w:hAnsi="Times New Roman" w:cs="Times New Roman"/>
          <w:sz w:val="24"/>
          <w:szCs w:val="24"/>
          <w:lang w:eastAsia="lv-LV"/>
        </w:rPr>
        <w:t xml:space="preserve"> </w:t>
      </w:r>
      <w:r w:rsidR="00D849AE" w:rsidRPr="00D96194">
        <w:rPr>
          <w:rFonts w:ascii="Times New Roman" w:eastAsia="Calibri" w:hAnsi="Times New Roman" w:cs="Times New Roman"/>
          <w:sz w:val="24"/>
          <w:szCs w:val="24"/>
        </w:rPr>
        <w:t>Vadlīnijas Starptautisko un Latvijas Republikas nacionālo sankciju likumā noteikto prasību ievērošanai maksātnespējas procesa administratoriem</w:t>
      </w:r>
    </w:p>
    <w:p w14:paraId="337FEE81" w14:textId="77777777" w:rsidR="00E93E1C" w:rsidRPr="00D96194" w:rsidRDefault="00E93E1C" w:rsidP="00D96194">
      <w:pPr>
        <w:spacing w:after="0" w:line="360" w:lineRule="auto"/>
        <w:rPr>
          <w:rFonts w:ascii="Times New Roman" w:eastAsia="Calibri" w:hAnsi="Times New Roman" w:cs="Times New Roman"/>
          <w:b/>
          <w:bCs/>
          <w:noProof/>
          <w:color w:val="000000"/>
          <w:sz w:val="28"/>
          <w:szCs w:val="28"/>
          <w:lang w:eastAsia="lv-LV"/>
        </w:rPr>
      </w:pPr>
      <w:r w:rsidRPr="00D96194">
        <w:rPr>
          <w:rFonts w:ascii="Times New Roman" w:eastAsia="Calibri" w:hAnsi="Times New Roman" w:cs="Times New Roman"/>
          <w:b/>
          <w:bCs/>
          <w:noProof/>
          <w:color w:val="000000"/>
          <w:sz w:val="28"/>
          <w:szCs w:val="28"/>
          <w:lang w:eastAsia="lv-LV"/>
        </w:rPr>
        <w:br w:type="page"/>
      </w:r>
    </w:p>
    <w:p w14:paraId="0E058E68" w14:textId="52D2B3D1" w:rsidR="00E93E1C" w:rsidRPr="00D96194" w:rsidRDefault="00E93E1C" w:rsidP="00E93E1C">
      <w:pPr>
        <w:pStyle w:val="Virsraksts1"/>
        <w:jc w:val="center"/>
        <w:rPr>
          <w:rFonts w:ascii="Times New Roman" w:eastAsia="Calibri" w:hAnsi="Times New Roman" w:cs="Times New Roman"/>
          <w:b/>
          <w:bCs/>
          <w:noProof/>
          <w:color w:val="auto"/>
          <w:sz w:val="28"/>
          <w:szCs w:val="28"/>
          <w:lang w:eastAsia="lv-LV"/>
        </w:rPr>
      </w:pPr>
      <w:bookmarkStart w:id="2" w:name="_Toc162957763"/>
      <w:r w:rsidRPr="00D96194">
        <w:rPr>
          <w:rFonts w:ascii="Times New Roman" w:eastAsia="Calibri" w:hAnsi="Times New Roman" w:cs="Times New Roman"/>
          <w:b/>
          <w:bCs/>
          <w:noProof/>
          <w:color w:val="auto"/>
          <w:sz w:val="28"/>
          <w:szCs w:val="28"/>
          <w:lang w:eastAsia="lv-LV"/>
        </w:rPr>
        <w:t>Ievads</w:t>
      </w:r>
      <w:bookmarkEnd w:id="2"/>
    </w:p>
    <w:p w14:paraId="146428A1" w14:textId="77777777" w:rsidR="00E93E1C" w:rsidRPr="00D96194" w:rsidRDefault="00E93E1C" w:rsidP="00673214">
      <w:pPr>
        <w:spacing w:after="0" w:line="240" w:lineRule="auto"/>
        <w:rPr>
          <w:lang w:eastAsia="lv-LV"/>
        </w:rPr>
      </w:pPr>
    </w:p>
    <w:p w14:paraId="7C3F124C" w14:textId="63FF88D1" w:rsidR="00746786" w:rsidRPr="00D96194" w:rsidRDefault="0054350E"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No 2020. gada 1. janvāra </w:t>
      </w:r>
      <w:r w:rsidR="005452F5" w:rsidRPr="00D96194">
        <w:rPr>
          <w:rFonts w:ascii="Times New Roman" w:hAnsi="Times New Roman" w:cs="Times New Roman"/>
          <w:sz w:val="24"/>
          <w:szCs w:val="24"/>
          <w:lang w:eastAsia="lv-LV"/>
        </w:rPr>
        <w:t>A</w:t>
      </w:r>
      <w:r w:rsidR="004C2E0D" w:rsidRPr="00D96194">
        <w:rPr>
          <w:rFonts w:ascii="Times New Roman" w:hAnsi="Times New Roman" w:cs="Times New Roman"/>
          <w:sz w:val="24"/>
          <w:szCs w:val="24"/>
          <w:lang w:eastAsia="lv-LV"/>
        </w:rPr>
        <w:t>dministrator</w:t>
      </w:r>
      <w:r w:rsidR="00496AF7" w:rsidRPr="00D96194">
        <w:rPr>
          <w:rFonts w:ascii="Times New Roman" w:hAnsi="Times New Roman" w:cs="Times New Roman"/>
          <w:sz w:val="24"/>
          <w:szCs w:val="24"/>
          <w:lang w:eastAsia="lv-LV"/>
        </w:rPr>
        <w:t>i</w:t>
      </w:r>
      <w:r w:rsidR="00717748" w:rsidRPr="00D96194">
        <w:rPr>
          <w:rFonts w:ascii="Times New Roman" w:hAnsi="Times New Roman" w:cs="Times New Roman"/>
          <w:sz w:val="24"/>
          <w:szCs w:val="24"/>
          <w:lang w:eastAsia="lv-LV"/>
        </w:rPr>
        <w:t xml:space="preserve"> kļuva par </w:t>
      </w:r>
      <w:r w:rsidR="004C2E0D" w:rsidRPr="00D96194">
        <w:rPr>
          <w:rFonts w:ascii="Times New Roman" w:hAnsi="Times New Roman" w:cs="Times New Roman"/>
          <w:sz w:val="24"/>
          <w:szCs w:val="24"/>
          <w:lang w:eastAsia="lv-LV"/>
        </w:rPr>
        <w:t>Novēršanas likuma subjekt</w:t>
      </w:r>
      <w:r w:rsidR="00496AF7" w:rsidRPr="00D96194">
        <w:rPr>
          <w:rFonts w:ascii="Times New Roman" w:hAnsi="Times New Roman" w:cs="Times New Roman"/>
          <w:sz w:val="24"/>
          <w:szCs w:val="24"/>
          <w:lang w:eastAsia="lv-LV"/>
        </w:rPr>
        <w:t>iem</w:t>
      </w:r>
      <w:r w:rsidR="00E261F3" w:rsidRPr="00D96194">
        <w:rPr>
          <w:rFonts w:ascii="Times New Roman" w:hAnsi="Times New Roman" w:cs="Times New Roman"/>
          <w:sz w:val="24"/>
          <w:szCs w:val="24"/>
          <w:lang w:eastAsia="lv-LV"/>
        </w:rPr>
        <w:t>, kuru pienākums bija</w:t>
      </w:r>
      <w:r w:rsidR="00FB78B9" w:rsidRPr="00D96194">
        <w:rPr>
          <w:rFonts w:ascii="Times New Roman" w:hAnsi="Times New Roman" w:cs="Times New Roman"/>
          <w:sz w:val="24"/>
          <w:szCs w:val="24"/>
          <w:lang w:eastAsia="lv-LV"/>
        </w:rPr>
        <w:t xml:space="preserve"> </w:t>
      </w:r>
      <w:r w:rsidR="00E261F3" w:rsidRPr="00D96194">
        <w:rPr>
          <w:rFonts w:ascii="Times New Roman" w:hAnsi="Times New Roman" w:cs="Times New Roman"/>
          <w:sz w:val="24"/>
          <w:szCs w:val="24"/>
          <w:lang w:eastAsia="lv-LV"/>
        </w:rPr>
        <w:t>izstrādāt</w:t>
      </w:r>
      <w:r w:rsidR="00FB78B9" w:rsidRPr="00D96194">
        <w:rPr>
          <w:rFonts w:ascii="Times New Roman" w:hAnsi="Times New Roman" w:cs="Times New Roman"/>
          <w:sz w:val="24"/>
          <w:szCs w:val="24"/>
          <w:lang w:eastAsia="lv-LV"/>
        </w:rPr>
        <w:t xml:space="preserve"> sav</w:t>
      </w:r>
      <w:r w:rsidR="00E261F3" w:rsidRPr="00D96194">
        <w:rPr>
          <w:rFonts w:ascii="Times New Roman" w:hAnsi="Times New Roman" w:cs="Times New Roman"/>
          <w:sz w:val="24"/>
          <w:szCs w:val="24"/>
          <w:lang w:eastAsia="lv-LV"/>
        </w:rPr>
        <w:t>a</w:t>
      </w:r>
      <w:r w:rsidR="00717748" w:rsidRPr="00D96194">
        <w:rPr>
          <w:rFonts w:ascii="Times New Roman" w:hAnsi="Times New Roman" w:cs="Times New Roman"/>
          <w:sz w:val="24"/>
          <w:szCs w:val="24"/>
          <w:lang w:eastAsia="lv-LV"/>
        </w:rPr>
        <w:t>s</w:t>
      </w:r>
      <w:r w:rsidR="00FB78B9" w:rsidRPr="00D96194">
        <w:rPr>
          <w:rFonts w:ascii="Times New Roman" w:hAnsi="Times New Roman" w:cs="Times New Roman"/>
          <w:sz w:val="24"/>
          <w:szCs w:val="24"/>
          <w:lang w:eastAsia="lv-LV"/>
        </w:rPr>
        <w:t xml:space="preserve"> </w:t>
      </w:r>
      <w:r w:rsidRPr="00D96194">
        <w:rPr>
          <w:rFonts w:ascii="Times New Roman" w:hAnsi="Times New Roman" w:cs="Times New Roman"/>
          <w:sz w:val="24"/>
          <w:szCs w:val="24"/>
          <w:lang w:eastAsia="lv-LV"/>
        </w:rPr>
        <w:t>profesionālās darbības risk</w:t>
      </w:r>
      <w:r w:rsidR="00717748" w:rsidRPr="00D96194">
        <w:rPr>
          <w:rFonts w:ascii="Times New Roman" w:hAnsi="Times New Roman" w:cs="Times New Roman"/>
          <w:sz w:val="24"/>
          <w:szCs w:val="24"/>
          <w:lang w:eastAsia="lv-LV"/>
        </w:rPr>
        <w:t xml:space="preserve">a </w:t>
      </w:r>
      <w:r w:rsidRPr="00D96194">
        <w:rPr>
          <w:rFonts w:ascii="Times New Roman" w:hAnsi="Times New Roman" w:cs="Times New Roman"/>
          <w:sz w:val="24"/>
          <w:szCs w:val="24"/>
          <w:lang w:eastAsia="lv-LV"/>
        </w:rPr>
        <w:t>novērtējum</w:t>
      </w:r>
      <w:r w:rsidR="00E261F3" w:rsidRPr="00D96194">
        <w:rPr>
          <w:rFonts w:ascii="Times New Roman" w:hAnsi="Times New Roman" w:cs="Times New Roman"/>
          <w:sz w:val="24"/>
          <w:szCs w:val="24"/>
          <w:lang w:eastAsia="lv-LV"/>
        </w:rPr>
        <w:t>u</w:t>
      </w:r>
      <w:r w:rsidRPr="00D96194">
        <w:rPr>
          <w:rFonts w:ascii="Times New Roman" w:hAnsi="Times New Roman" w:cs="Times New Roman"/>
          <w:sz w:val="24"/>
          <w:szCs w:val="24"/>
          <w:lang w:eastAsia="lv-LV"/>
        </w:rPr>
        <w:t xml:space="preserve"> un </w:t>
      </w:r>
      <w:bookmarkStart w:id="3" w:name="_Hlk160783984"/>
      <w:r w:rsidR="00F837EB" w:rsidRPr="00D96194">
        <w:rPr>
          <w:rFonts w:ascii="Times New Roman" w:hAnsi="Times New Roman" w:cs="Times New Roman"/>
          <w:sz w:val="24"/>
          <w:szCs w:val="24"/>
          <w:lang w:eastAsia="lv-LV"/>
        </w:rPr>
        <w:t xml:space="preserve">iekšējo </w:t>
      </w:r>
      <w:r w:rsidRPr="00D96194">
        <w:rPr>
          <w:rFonts w:ascii="Times New Roman" w:hAnsi="Times New Roman" w:cs="Times New Roman"/>
          <w:sz w:val="24"/>
          <w:szCs w:val="24"/>
          <w:lang w:eastAsia="lv-LV"/>
        </w:rPr>
        <w:t>kontrole</w:t>
      </w:r>
      <w:r w:rsidR="00717748"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 xml:space="preserve"> sistēm</w:t>
      </w:r>
      <w:r w:rsidR="00E261F3" w:rsidRPr="00D96194">
        <w:rPr>
          <w:rFonts w:ascii="Times New Roman" w:hAnsi="Times New Roman" w:cs="Times New Roman"/>
          <w:sz w:val="24"/>
          <w:szCs w:val="24"/>
          <w:lang w:eastAsia="lv-LV"/>
        </w:rPr>
        <w:t xml:space="preserve">u </w:t>
      </w:r>
      <w:r w:rsidR="00BE017A" w:rsidRPr="00D96194">
        <w:rPr>
          <w:rFonts w:ascii="Times New Roman" w:hAnsi="Times New Roman" w:cs="Times New Roman"/>
          <w:sz w:val="24"/>
          <w:szCs w:val="24"/>
          <w:lang w:eastAsia="lv-LV"/>
        </w:rPr>
        <w:t xml:space="preserve">NILLTPF </w:t>
      </w:r>
      <w:r w:rsidR="001654BC" w:rsidRPr="00D96194">
        <w:rPr>
          <w:rFonts w:ascii="Times New Roman" w:hAnsi="Times New Roman" w:cs="Times New Roman"/>
          <w:sz w:val="24"/>
          <w:szCs w:val="24"/>
          <w:lang w:eastAsia="lv-LV"/>
        </w:rPr>
        <w:t>novēršanas jomā</w:t>
      </w:r>
      <w:bookmarkEnd w:id="3"/>
      <w:r w:rsidR="001654BC" w:rsidRPr="00D96194">
        <w:rPr>
          <w:rFonts w:ascii="Times New Roman" w:hAnsi="Times New Roman" w:cs="Times New Roman"/>
          <w:sz w:val="24"/>
          <w:szCs w:val="24"/>
          <w:lang w:eastAsia="lv-LV"/>
        </w:rPr>
        <w:t>.</w:t>
      </w:r>
    </w:p>
    <w:p w14:paraId="574C4111" w14:textId="724FEFAB" w:rsidR="004C2E0D" w:rsidRPr="00D96194" w:rsidRDefault="00770AE1"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Kopš 2022. gada 24. februāra, kad Krievija īstenoja pilna mēroga iebrukumu Ukrainā, ES noteica jaunas sankcijas pret Krieviju un Baltkrieviju. </w:t>
      </w:r>
      <w:r w:rsidR="00CE0A54" w:rsidRPr="00D96194">
        <w:rPr>
          <w:rFonts w:ascii="Times New Roman" w:hAnsi="Times New Roman" w:cs="Times New Roman"/>
          <w:sz w:val="24"/>
          <w:szCs w:val="24"/>
          <w:lang w:eastAsia="lv-LV"/>
        </w:rPr>
        <w:t xml:space="preserve">Ikvienai personai, t.sk. </w:t>
      </w:r>
      <w:r w:rsidR="005452F5" w:rsidRPr="00D96194">
        <w:rPr>
          <w:rFonts w:ascii="Times New Roman" w:hAnsi="Times New Roman" w:cs="Times New Roman"/>
          <w:sz w:val="24"/>
          <w:szCs w:val="24"/>
          <w:lang w:eastAsia="lv-LV"/>
        </w:rPr>
        <w:t>A</w:t>
      </w:r>
      <w:r w:rsidR="00CE0A54" w:rsidRPr="00D96194">
        <w:rPr>
          <w:rFonts w:ascii="Times New Roman" w:hAnsi="Times New Roman" w:cs="Times New Roman"/>
          <w:sz w:val="24"/>
          <w:szCs w:val="24"/>
          <w:lang w:eastAsia="lv-LV"/>
        </w:rPr>
        <w:t>dministratoriem, saskaņā ar Sankciju likumā noteikto,</w:t>
      </w:r>
      <w:r w:rsidR="00496AF7" w:rsidRPr="00D96194">
        <w:rPr>
          <w:rFonts w:ascii="Times New Roman" w:hAnsi="Times New Roman" w:cs="Times New Roman"/>
          <w:sz w:val="24"/>
          <w:szCs w:val="24"/>
          <w:lang w:eastAsia="lv-LV"/>
        </w:rPr>
        <w:t xml:space="preserve"> </w:t>
      </w:r>
      <w:r w:rsidR="005452F5" w:rsidRPr="00D96194">
        <w:rPr>
          <w:rFonts w:ascii="Times New Roman" w:hAnsi="Times New Roman" w:cs="Times New Roman"/>
          <w:sz w:val="24"/>
          <w:szCs w:val="24"/>
          <w:lang w:eastAsia="lv-LV"/>
        </w:rPr>
        <w:t xml:space="preserve">ir </w:t>
      </w:r>
      <w:r w:rsidR="00CE0A54" w:rsidRPr="00D96194">
        <w:rPr>
          <w:rFonts w:ascii="Times New Roman" w:hAnsi="Times New Roman" w:cs="Times New Roman"/>
          <w:sz w:val="24"/>
          <w:szCs w:val="24"/>
          <w:lang w:eastAsia="lv-LV"/>
        </w:rPr>
        <w:t>pienākums ievērot un izpildīt Starptautiskās</w:t>
      </w:r>
      <w:r w:rsidR="00D849AE" w:rsidRPr="00D96194">
        <w:rPr>
          <w:rFonts w:ascii="Times New Roman" w:hAnsi="Times New Roman" w:cs="Times New Roman"/>
          <w:sz w:val="24"/>
          <w:szCs w:val="24"/>
          <w:lang w:eastAsia="lv-LV"/>
        </w:rPr>
        <w:t xml:space="preserve"> sankcijas</w:t>
      </w:r>
      <w:r w:rsidR="00CE0A54" w:rsidRPr="00D96194">
        <w:rPr>
          <w:rFonts w:ascii="Times New Roman" w:hAnsi="Times New Roman" w:cs="Times New Roman"/>
          <w:sz w:val="24"/>
          <w:szCs w:val="24"/>
          <w:lang w:eastAsia="lv-LV"/>
        </w:rPr>
        <w:t xml:space="preserve"> un Nacionālās sankcijas. </w:t>
      </w:r>
    </w:p>
    <w:p w14:paraId="72E49DF6" w14:textId="7EA99F84" w:rsidR="00CE0A54" w:rsidRPr="00D96194" w:rsidRDefault="00CE0A54"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Lai </w:t>
      </w:r>
      <w:r w:rsidR="00496AF7" w:rsidRPr="00D96194">
        <w:rPr>
          <w:rFonts w:ascii="Times New Roman" w:hAnsi="Times New Roman" w:cs="Times New Roman"/>
          <w:sz w:val="24"/>
          <w:szCs w:val="24"/>
          <w:lang w:eastAsia="lv-LV"/>
        </w:rPr>
        <w:t xml:space="preserve">būtu iespējams ievērot </w:t>
      </w:r>
      <w:r w:rsidRPr="00D96194">
        <w:rPr>
          <w:rFonts w:ascii="Times New Roman" w:hAnsi="Times New Roman" w:cs="Times New Roman"/>
          <w:sz w:val="24"/>
          <w:szCs w:val="24"/>
          <w:lang w:eastAsia="lv-LV"/>
        </w:rPr>
        <w:t>Sankciju likumā noteikto</w:t>
      </w:r>
      <w:r w:rsidR="00717748" w:rsidRPr="00D96194">
        <w:rPr>
          <w:rFonts w:ascii="Times New Roman" w:hAnsi="Times New Roman" w:cs="Times New Roman"/>
          <w:sz w:val="24"/>
          <w:szCs w:val="24"/>
          <w:lang w:eastAsia="lv-LV"/>
        </w:rPr>
        <w:t>,</w:t>
      </w:r>
      <w:r w:rsidRPr="00D96194">
        <w:rPr>
          <w:rFonts w:ascii="Times New Roman" w:hAnsi="Times New Roman" w:cs="Times New Roman"/>
          <w:sz w:val="24"/>
          <w:szCs w:val="24"/>
          <w:lang w:eastAsia="lv-LV"/>
        </w:rPr>
        <w:t xml:space="preserve"> </w:t>
      </w:r>
      <w:r w:rsidR="005452F5"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dministrator</w:t>
      </w:r>
      <w:r w:rsidR="00496AF7" w:rsidRPr="00D96194">
        <w:rPr>
          <w:rFonts w:ascii="Times New Roman" w:hAnsi="Times New Roman" w:cs="Times New Roman"/>
          <w:sz w:val="24"/>
          <w:szCs w:val="24"/>
          <w:lang w:eastAsia="lv-LV"/>
        </w:rPr>
        <w:t>iem</w:t>
      </w:r>
      <w:r w:rsidRPr="00D96194">
        <w:rPr>
          <w:rFonts w:ascii="Times New Roman" w:hAnsi="Times New Roman" w:cs="Times New Roman"/>
          <w:sz w:val="24"/>
          <w:szCs w:val="24"/>
          <w:lang w:eastAsia="lv-LV"/>
        </w:rPr>
        <w:t xml:space="preserve"> bija </w:t>
      </w:r>
      <w:r w:rsidR="000C16E6" w:rsidRPr="00D96194">
        <w:rPr>
          <w:rFonts w:ascii="Times New Roman" w:hAnsi="Times New Roman" w:cs="Times New Roman"/>
          <w:sz w:val="24"/>
          <w:szCs w:val="24"/>
          <w:lang w:eastAsia="lv-LV"/>
        </w:rPr>
        <w:t>rekomendēts</w:t>
      </w:r>
      <w:r w:rsidRPr="00D96194">
        <w:rPr>
          <w:rFonts w:ascii="Times New Roman" w:hAnsi="Times New Roman" w:cs="Times New Roman"/>
          <w:sz w:val="24"/>
          <w:szCs w:val="24"/>
          <w:lang w:eastAsia="lv-LV"/>
        </w:rPr>
        <w:t xml:space="preserve"> izstrādāt savu </w:t>
      </w:r>
      <w:r w:rsidR="00717748"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ekšēj</w:t>
      </w:r>
      <w:r w:rsidR="00717748" w:rsidRPr="00D96194">
        <w:rPr>
          <w:rFonts w:ascii="Times New Roman" w:hAnsi="Times New Roman" w:cs="Times New Roman"/>
          <w:sz w:val="24"/>
          <w:szCs w:val="24"/>
          <w:lang w:eastAsia="lv-LV"/>
        </w:rPr>
        <w:t>ās</w:t>
      </w:r>
      <w:r w:rsidRPr="00D96194">
        <w:rPr>
          <w:rFonts w:ascii="Times New Roman" w:hAnsi="Times New Roman" w:cs="Times New Roman"/>
          <w:sz w:val="24"/>
          <w:szCs w:val="24"/>
          <w:lang w:eastAsia="lv-LV"/>
        </w:rPr>
        <w:t xml:space="preserve"> kontroles sistēmu vai integrēt </w:t>
      </w:r>
      <w:r w:rsidR="00717748" w:rsidRPr="00D96194">
        <w:rPr>
          <w:rFonts w:ascii="Times New Roman" w:hAnsi="Times New Roman" w:cs="Times New Roman"/>
          <w:sz w:val="24"/>
          <w:szCs w:val="24"/>
          <w:lang w:eastAsia="lv-LV"/>
        </w:rPr>
        <w:t xml:space="preserve">to savā iekšējā kontroles sistēmā </w:t>
      </w:r>
      <w:r w:rsidR="00D57D2D" w:rsidRPr="00D96194">
        <w:rPr>
          <w:rFonts w:ascii="Times New Roman" w:hAnsi="Times New Roman" w:cs="Times New Roman"/>
          <w:sz w:val="24"/>
          <w:szCs w:val="24"/>
          <w:lang w:eastAsia="lv-LV"/>
        </w:rPr>
        <w:t xml:space="preserve">NILLTPF </w:t>
      </w:r>
      <w:r w:rsidR="00717748" w:rsidRPr="00D96194">
        <w:rPr>
          <w:rFonts w:ascii="Times New Roman" w:hAnsi="Times New Roman" w:cs="Times New Roman"/>
          <w:sz w:val="24"/>
          <w:szCs w:val="24"/>
          <w:lang w:eastAsia="lv-LV"/>
        </w:rPr>
        <w:t>novēršanas jomā.</w:t>
      </w:r>
    </w:p>
    <w:p w14:paraId="47ACB056" w14:textId="56492983" w:rsidR="00CE7A60" w:rsidRPr="00D96194" w:rsidRDefault="009D106A" w:rsidP="00C1146B">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No 2024. gada 1. aprīļa </w:t>
      </w:r>
      <w:r w:rsidR="005452F5" w:rsidRPr="00D96194">
        <w:rPr>
          <w:rFonts w:ascii="Times New Roman" w:hAnsi="Times New Roman" w:cs="Times New Roman"/>
          <w:sz w:val="24"/>
          <w:szCs w:val="24"/>
          <w:lang w:eastAsia="lv-LV"/>
        </w:rPr>
        <w:t>A</w:t>
      </w:r>
      <w:r w:rsidR="00496AF7" w:rsidRPr="00D96194">
        <w:rPr>
          <w:rFonts w:ascii="Times New Roman" w:hAnsi="Times New Roman" w:cs="Times New Roman"/>
          <w:sz w:val="24"/>
          <w:szCs w:val="24"/>
          <w:lang w:eastAsia="lv-LV"/>
        </w:rPr>
        <w:t>dministratori</w:t>
      </w:r>
      <w:r w:rsidRPr="00D96194">
        <w:rPr>
          <w:rFonts w:ascii="Times New Roman" w:hAnsi="Times New Roman" w:cs="Times New Roman"/>
          <w:sz w:val="24"/>
          <w:szCs w:val="24"/>
          <w:lang w:eastAsia="lv-LV"/>
        </w:rPr>
        <w:t xml:space="preserve"> ir </w:t>
      </w:r>
      <w:r w:rsidR="00E32406"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ankciju likuma subjekt</w:t>
      </w:r>
      <w:r w:rsidR="00496AF7"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 kur</w:t>
      </w:r>
      <w:r w:rsidR="00496AF7" w:rsidRPr="00D96194">
        <w:rPr>
          <w:rFonts w:ascii="Times New Roman" w:hAnsi="Times New Roman" w:cs="Times New Roman"/>
          <w:sz w:val="24"/>
          <w:szCs w:val="24"/>
          <w:lang w:eastAsia="lv-LV"/>
        </w:rPr>
        <w:t>u</w:t>
      </w:r>
      <w:r w:rsidRPr="00D96194">
        <w:rPr>
          <w:rFonts w:ascii="Times New Roman" w:hAnsi="Times New Roman" w:cs="Times New Roman"/>
          <w:sz w:val="24"/>
          <w:szCs w:val="24"/>
          <w:lang w:eastAsia="lv-LV"/>
        </w:rPr>
        <w:t xml:space="preserve"> pienākums ir izstrādāt savu </w:t>
      </w:r>
      <w:r w:rsidR="00077CFA" w:rsidRPr="00D96194">
        <w:rPr>
          <w:rFonts w:ascii="Times New Roman" w:hAnsi="Times New Roman" w:cs="Times New Roman"/>
          <w:sz w:val="24"/>
          <w:szCs w:val="24"/>
          <w:lang w:eastAsia="lv-LV"/>
        </w:rPr>
        <w:t>profesionālās darbības s</w:t>
      </w:r>
      <w:r w:rsidR="00496AF7" w:rsidRPr="00D96194">
        <w:rPr>
          <w:rFonts w:ascii="Times New Roman" w:hAnsi="Times New Roman" w:cs="Times New Roman"/>
          <w:sz w:val="24"/>
          <w:szCs w:val="24"/>
          <w:lang w:eastAsia="lv-LV"/>
        </w:rPr>
        <w:t>ankciju riska</w:t>
      </w:r>
      <w:r w:rsidR="00717748" w:rsidRPr="00D96194">
        <w:rPr>
          <w:rFonts w:ascii="Times New Roman" w:hAnsi="Times New Roman" w:cs="Times New Roman"/>
          <w:sz w:val="24"/>
          <w:szCs w:val="24"/>
          <w:lang w:eastAsia="lv-LV"/>
        </w:rPr>
        <w:t xml:space="preserve"> novērtējumu </w:t>
      </w:r>
      <w:r w:rsidR="00496AF7" w:rsidRPr="00D96194">
        <w:rPr>
          <w:rFonts w:ascii="Times New Roman" w:hAnsi="Times New Roman" w:cs="Times New Roman"/>
          <w:sz w:val="24"/>
          <w:szCs w:val="24"/>
          <w:lang w:eastAsia="lv-LV"/>
        </w:rPr>
        <w:t>un</w:t>
      </w:r>
      <w:r w:rsidR="00717748" w:rsidRPr="00D96194">
        <w:rPr>
          <w:rFonts w:ascii="Times New Roman" w:hAnsi="Times New Roman" w:cs="Times New Roman"/>
          <w:sz w:val="24"/>
          <w:szCs w:val="24"/>
          <w:lang w:eastAsia="lv-LV"/>
        </w:rPr>
        <w:t xml:space="preserve"> </w:t>
      </w:r>
      <w:r w:rsidR="00E32406" w:rsidRPr="00D96194">
        <w:rPr>
          <w:rFonts w:ascii="Times New Roman" w:hAnsi="Times New Roman" w:cs="Times New Roman"/>
          <w:sz w:val="24"/>
          <w:szCs w:val="24"/>
          <w:lang w:eastAsia="lv-LV"/>
        </w:rPr>
        <w:t>I</w:t>
      </w:r>
      <w:r w:rsidRPr="00D96194">
        <w:rPr>
          <w:rFonts w:ascii="Times New Roman" w:hAnsi="Times New Roman" w:cs="Times New Roman"/>
          <w:sz w:val="24"/>
          <w:szCs w:val="24"/>
          <w:lang w:eastAsia="lv-LV"/>
        </w:rPr>
        <w:t>ekšējās kontroles sistēmu.</w:t>
      </w:r>
      <w:r w:rsidR="00717748" w:rsidRPr="00D96194">
        <w:rPr>
          <w:rFonts w:ascii="Times New Roman" w:hAnsi="Times New Roman" w:cs="Times New Roman"/>
          <w:sz w:val="24"/>
          <w:szCs w:val="24"/>
          <w:lang w:eastAsia="lv-LV"/>
        </w:rPr>
        <w:t xml:space="preserve"> </w:t>
      </w:r>
    </w:p>
    <w:p w14:paraId="201402A7" w14:textId="77BB275A" w:rsidR="009D106A" w:rsidRPr="00D96194" w:rsidRDefault="00717748"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Maksātnespējas kontroles dienests kā </w:t>
      </w:r>
      <w:r w:rsidR="005452F5"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dministratoru</w:t>
      </w:r>
      <w:r w:rsidR="005452F5" w:rsidRPr="00D96194">
        <w:rPr>
          <w:rFonts w:ascii="Times New Roman" w:hAnsi="Times New Roman" w:cs="Times New Roman"/>
          <w:sz w:val="24"/>
          <w:szCs w:val="24"/>
          <w:lang w:eastAsia="lv-LV"/>
        </w:rPr>
        <w:t>s</w:t>
      </w:r>
      <w:r w:rsidRPr="00D96194">
        <w:rPr>
          <w:rFonts w:ascii="Times New Roman" w:hAnsi="Times New Roman" w:cs="Times New Roman"/>
          <w:sz w:val="24"/>
          <w:szCs w:val="24"/>
          <w:lang w:eastAsia="lv-LV"/>
        </w:rPr>
        <w:t xml:space="preserve"> uzraugošā institūcija izstrādā</w:t>
      </w:r>
      <w:r w:rsidR="00483866" w:rsidRPr="00D96194">
        <w:rPr>
          <w:rFonts w:ascii="Times New Roman" w:hAnsi="Times New Roman" w:cs="Times New Roman"/>
          <w:sz w:val="24"/>
          <w:szCs w:val="24"/>
          <w:lang w:eastAsia="lv-LV"/>
        </w:rPr>
        <w:t>ja</w:t>
      </w:r>
      <w:r w:rsidRPr="00D96194">
        <w:rPr>
          <w:rFonts w:ascii="Times New Roman" w:hAnsi="Times New Roman" w:cs="Times New Roman"/>
          <w:sz w:val="24"/>
          <w:szCs w:val="24"/>
          <w:lang w:eastAsia="lv-LV"/>
        </w:rPr>
        <w:t xml:space="preserve"> Vadlīnijas, kur</w:t>
      </w:r>
      <w:r w:rsidR="00077CFA" w:rsidRPr="00D96194">
        <w:rPr>
          <w:rFonts w:ascii="Times New Roman" w:hAnsi="Times New Roman" w:cs="Times New Roman"/>
          <w:sz w:val="24"/>
          <w:szCs w:val="24"/>
          <w:lang w:eastAsia="lv-LV"/>
        </w:rPr>
        <w:t>u mērķis ir noteikt</w:t>
      </w:r>
      <w:r w:rsidRPr="00D96194">
        <w:rPr>
          <w:rFonts w:ascii="Times New Roman" w:hAnsi="Times New Roman" w:cs="Times New Roman"/>
          <w:sz w:val="24"/>
          <w:szCs w:val="24"/>
          <w:lang w:eastAsia="lv-LV"/>
        </w:rPr>
        <w:t xml:space="preserve"> </w:t>
      </w:r>
      <w:r w:rsidR="009D106A" w:rsidRPr="00D96194">
        <w:rPr>
          <w:rFonts w:ascii="Times New Roman" w:hAnsi="Times New Roman" w:cs="Times New Roman"/>
          <w:sz w:val="24"/>
          <w:szCs w:val="24"/>
          <w:lang w:eastAsia="lv-LV"/>
        </w:rPr>
        <w:t>pamatprincipus, k</w:t>
      </w:r>
      <w:r w:rsidRPr="00D96194">
        <w:rPr>
          <w:rFonts w:ascii="Times New Roman" w:hAnsi="Times New Roman" w:cs="Times New Roman"/>
          <w:sz w:val="24"/>
          <w:szCs w:val="24"/>
          <w:lang w:eastAsia="lv-LV"/>
        </w:rPr>
        <w:t>as</w:t>
      </w:r>
      <w:r w:rsidR="009D106A" w:rsidRPr="00D96194">
        <w:rPr>
          <w:rFonts w:ascii="Times New Roman" w:hAnsi="Times New Roman" w:cs="Times New Roman"/>
          <w:sz w:val="24"/>
          <w:szCs w:val="24"/>
          <w:lang w:eastAsia="lv-LV"/>
        </w:rPr>
        <w:t xml:space="preserve"> </w:t>
      </w:r>
      <w:r w:rsidR="007D6B45"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dministrator</w:t>
      </w:r>
      <w:r w:rsidR="006533E9" w:rsidRPr="00D96194">
        <w:rPr>
          <w:rFonts w:ascii="Times New Roman" w:hAnsi="Times New Roman" w:cs="Times New Roman"/>
          <w:sz w:val="24"/>
          <w:szCs w:val="24"/>
          <w:lang w:eastAsia="lv-LV"/>
        </w:rPr>
        <w:t>am</w:t>
      </w:r>
      <w:r w:rsidR="009D106A" w:rsidRPr="00D96194">
        <w:rPr>
          <w:rFonts w:ascii="Times New Roman" w:hAnsi="Times New Roman" w:cs="Times New Roman"/>
          <w:sz w:val="24"/>
          <w:szCs w:val="24"/>
          <w:lang w:eastAsia="lv-LV"/>
        </w:rPr>
        <w:t xml:space="preserve"> ir jāievēro pildot savus amata pienākumus, lai pārvaldītu sankciju riskus un nepieļautu </w:t>
      </w:r>
      <w:r w:rsidR="007D6B45"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dministrator</w:t>
      </w:r>
      <w:r w:rsidR="006533E9" w:rsidRPr="00D96194">
        <w:rPr>
          <w:rFonts w:ascii="Times New Roman" w:hAnsi="Times New Roman" w:cs="Times New Roman"/>
          <w:sz w:val="24"/>
          <w:szCs w:val="24"/>
          <w:lang w:eastAsia="lv-LV"/>
        </w:rPr>
        <w:t>a</w:t>
      </w:r>
      <w:r w:rsidR="009D106A" w:rsidRPr="00D96194">
        <w:rPr>
          <w:rFonts w:ascii="Times New Roman" w:hAnsi="Times New Roman" w:cs="Times New Roman"/>
          <w:sz w:val="24"/>
          <w:szCs w:val="24"/>
          <w:lang w:eastAsia="lv-LV"/>
        </w:rPr>
        <w:t xml:space="preserve"> iesaistīšanos sankciju pārkāpšanā, apiešanā vai izvairīšanos no to izpildes.</w:t>
      </w:r>
    </w:p>
    <w:p w14:paraId="0C4B3733" w14:textId="23B3E64A" w:rsidR="00CE7A60" w:rsidRPr="00D96194" w:rsidRDefault="00717748" w:rsidP="00E261F3">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 xml:space="preserve">Vadlīnijas </w:t>
      </w:r>
      <w:r w:rsidR="00363D87" w:rsidRPr="00D96194">
        <w:rPr>
          <w:rFonts w:ascii="Times New Roman" w:hAnsi="Times New Roman" w:cs="Times New Roman"/>
          <w:sz w:val="24"/>
          <w:szCs w:val="24"/>
          <w:lang w:eastAsia="lv-LV"/>
        </w:rPr>
        <w:t>satur veicamo pasākumu kopumu Sankciju likuma prasību izpildes nodrošināšanai</w:t>
      </w:r>
      <w:r w:rsidR="00077CFA" w:rsidRPr="00D96194">
        <w:rPr>
          <w:rFonts w:ascii="Times New Roman" w:hAnsi="Times New Roman" w:cs="Times New Roman"/>
          <w:sz w:val="24"/>
          <w:szCs w:val="24"/>
          <w:lang w:eastAsia="lv-LV"/>
        </w:rPr>
        <w:t>,</w:t>
      </w:r>
      <w:r w:rsidR="00363D87" w:rsidRPr="00D96194">
        <w:rPr>
          <w:rFonts w:ascii="Times New Roman" w:hAnsi="Times New Roman" w:cs="Times New Roman"/>
          <w:sz w:val="24"/>
          <w:szCs w:val="24"/>
          <w:lang w:eastAsia="lv-LV"/>
        </w:rPr>
        <w:t xml:space="preserve"> </w:t>
      </w:r>
      <w:r w:rsidR="00077CFA" w:rsidRPr="00D96194">
        <w:rPr>
          <w:rFonts w:ascii="Times New Roman" w:hAnsi="Times New Roman" w:cs="Times New Roman"/>
          <w:sz w:val="24"/>
          <w:szCs w:val="24"/>
          <w:lang w:eastAsia="lv-LV"/>
        </w:rPr>
        <w:t>sava profesionālās darbības sankciju riska novērtējuma</w:t>
      </w:r>
      <w:r w:rsidR="00B63F21" w:rsidRPr="00D96194">
        <w:rPr>
          <w:rFonts w:ascii="Times New Roman" w:hAnsi="Times New Roman" w:cs="Times New Roman"/>
          <w:sz w:val="24"/>
          <w:szCs w:val="24"/>
          <w:lang w:eastAsia="lv-LV"/>
        </w:rPr>
        <w:t>,</w:t>
      </w:r>
      <w:r w:rsidR="00077CFA" w:rsidRPr="00D96194">
        <w:rPr>
          <w:rFonts w:ascii="Times New Roman" w:hAnsi="Times New Roman" w:cs="Times New Roman"/>
          <w:sz w:val="24"/>
          <w:szCs w:val="24"/>
          <w:lang w:eastAsia="lv-LV"/>
        </w:rPr>
        <w:t xml:space="preserve"> </w:t>
      </w:r>
      <w:r w:rsidR="007D6B45" w:rsidRPr="00D96194">
        <w:rPr>
          <w:rFonts w:ascii="Times New Roman" w:hAnsi="Times New Roman" w:cs="Times New Roman"/>
          <w:sz w:val="24"/>
          <w:szCs w:val="24"/>
          <w:lang w:eastAsia="lv-LV"/>
        </w:rPr>
        <w:t>I</w:t>
      </w:r>
      <w:r w:rsidR="00363D87" w:rsidRPr="00D96194">
        <w:rPr>
          <w:rFonts w:ascii="Times New Roman" w:hAnsi="Times New Roman" w:cs="Times New Roman"/>
          <w:sz w:val="24"/>
          <w:szCs w:val="24"/>
          <w:lang w:eastAsia="lv-LV"/>
        </w:rPr>
        <w:t>ekšējās kontroles sistēmas izveidei</w:t>
      </w:r>
      <w:r w:rsidR="00B63F21" w:rsidRPr="00D96194">
        <w:rPr>
          <w:rFonts w:ascii="Times New Roman" w:hAnsi="Times New Roman" w:cs="Times New Roman"/>
          <w:sz w:val="24"/>
          <w:szCs w:val="24"/>
          <w:lang w:eastAsia="lv-LV"/>
        </w:rPr>
        <w:t>, kā arī ziņošanai atbildīgajām institūcijām sankciju pārkāpšanas vai apiešanas gadījumā</w:t>
      </w:r>
      <w:r w:rsidR="00363D87" w:rsidRPr="00D96194">
        <w:rPr>
          <w:rFonts w:ascii="Times New Roman" w:hAnsi="Times New Roman" w:cs="Times New Roman"/>
          <w:sz w:val="24"/>
          <w:szCs w:val="24"/>
          <w:lang w:eastAsia="lv-LV"/>
        </w:rPr>
        <w:t>.</w:t>
      </w:r>
    </w:p>
    <w:p w14:paraId="7D8186DE" w14:textId="71462EF7" w:rsidR="000852CF" w:rsidRPr="00D96194" w:rsidRDefault="000852CF" w:rsidP="000852CF">
      <w:pPr>
        <w:spacing w:after="0" w:line="360" w:lineRule="auto"/>
        <w:ind w:firstLine="426"/>
        <w:jc w:val="both"/>
        <w:rPr>
          <w:rFonts w:ascii="Times New Roman" w:hAnsi="Times New Roman" w:cs="Times New Roman"/>
          <w:sz w:val="24"/>
          <w:szCs w:val="24"/>
          <w:lang w:eastAsia="lv-LV"/>
        </w:rPr>
      </w:pPr>
      <w:r w:rsidRPr="00D96194">
        <w:rPr>
          <w:rFonts w:ascii="Times New Roman" w:hAnsi="Times New Roman" w:cs="Times New Roman"/>
          <w:sz w:val="24"/>
          <w:szCs w:val="24"/>
          <w:lang w:eastAsia="lv-LV"/>
        </w:rPr>
        <w:t>Vadlīnijās iekļaut</w:t>
      </w:r>
      <w:r w:rsidR="008F7A51" w:rsidRPr="00D96194">
        <w:rPr>
          <w:rFonts w:ascii="Times New Roman" w:hAnsi="Times New Roman" w:cs="Times New Roman"/>
          <w:sz w:val="24"/>
          <w:szCs w:val="24"/>
          <w:lang w:eastAsia="lv-LV"/>
        </w:rPr>
        <w:t xml:space="preserve">ā kārtība </w:t>
      </w:r>
      <w:r w:rsidRPr="00D96194">
        <w:rPr>
          <w:rFonts w:ascii="Times New Roman" w:hAnsi="Times New Roman" w:cs="Times New Roman"/>
          <w:sz w:val="24"/>
          <w:szCs w:val="24"/>
          <w:lang w:eastAsia="lv-LV"/>
        </w:rPr>
        <w:t>tiks pārskatīt</w:t>
      </w:r>
      <w:r w:rsidR="008F7A51"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 xml:space="preserve"> un atjaunot</w:t>
      </w:r>
      <w:r w:rsidR="008F7A51" w:rsidRPr="00D96194">
        <w:rPr>
          <w:rFonts w:ascii="Times New Roman" w:hAnsi="Times New Roman" w:cs="Times New Roman"/>
          <w:sz w:val="24"/>
          <w:szCs w:val="24"/>
          <w:lang w:eastAsia="lv-LV"/>
        </w:rPr>
        <w:t>a</w:t>
      </w:r>
      <w:r w:rsidRPr="00D96194">
        <w:rPr>
          <w:rFonts w:ascii="Times New Roman" w:hAnsi="Times New Roman" w:cs="Times New Roman"/>
          <w:sz w:val="24"/>
          <w:szCs w:val="24"/>
          <w:lang w:eastAsia="lv-LV"/>
        </w:rPr>
        <w:t xml:space="preserve"> atbilstoši </w:t>
      </w:r>
      <w:r w:rsidR="008F7A51" w:rsidRPr="00D96194">
        <w:rPr>
          <w:rFonts w:ascii="Times New Roman" w:hAnsi="Times New Roman" w:cs="Times New Roman"/>
          <w:sz w:val="24"/>
          <w:szCs w:val="24"/>
          <w:lang w:eastAsia="lv-LV"/>
        </w:rPr>
        <w:t xml:space="preserve">izmaiņām </w:t>
      </w:r>
      <w:r w:rsidRPr="00D96194">
        <w:rPr>
          <w:rFonts w:ascii="Times New Roman" w:hAnsi="Times New Roman" w:cs="Times New Roman"/>
          <w:sz w:val="24"/>
          <w:szCs w:val="24"/>
          <w:lang w:eastAsia="lv-LV"/>
        </w:rPr>
        <w:t>sankciju normatīv</w:t>
      </w:r>
      <w:r w:rsidR="008F7A51" w:rsidRPr="00D96194">
        <w:rPr>
          <w:rFonts w:ascii="Times New Roman" w:hAnsi="Times New Roman" w:cs="Times New Roman"/>
          <w:sz w:val="24"/>
          <w:szCs w:val="24"/>
          <w:lang w:eastAsia="lv-LV"/>
        </w:rPr>
        <w:t xml:space="preserve">ajā regulējumā vai citos būtiskos gadījumos. </w:t>
      </w:r>
    </w:p>
    <w:p w14:paraId="33694BB4" w14:textId="77777777" w:rsidR="008F7A51" w:rsidRPr="00D96194" w:rsidRDefault="008F7A51" w:rsidP="000852CF">
      <w:pPr>
        <w:spacing w:after="0" w:line="360" w:lineRule="auto"/>
        <w:ind w:firstLine="426"/>
        <w:jc w:val="both"/>
        <w:rPr>
          <w:rFonts w:ascii="Times New Roman" w:hAnsi="Times New Roman" w:cs="Times New Roman"/>
          <w:sz w:val="24"/>
          <w:szCs w:val="24"/>
          <w:lang w:eastAsia="lv-LV"/>
        </w:rPr>
      </w:pPr>
    </w:p>
    <w:p w14:paraId="2E1A53AB" w14:textId="227D85C9" w:rsidR="000852CF" w:rsidRPr="00D96194" w:rsidRDefault="000852CF" w:rsidP="000852CF">
      <w:pPr>
        <w:spacing w:after="0" w:line="360" w:lineRule="auto"/>
        <w:ind w:firstLine="426"/>
        <w:jc w:val="both"/>
        <w:rPr>
          <w:rFonts w:ascii="Times New Roman" w:hAnsi="Times New Roman" w:cs="Times New Roman"/>
          <w:sz w:val="24"/>
          <w:szCs w:val="24"/>
          <w:lang w:eastAsia="lv-LV"/>
        </w:rPr>
      </w:pPr>
    </w:p>
    <w:p w14:paraId="77BE0A01" w14:textId="77777777" w:rsidR="00CE7A60" w:rsidRPr="00D96194" w:rsidRDefault="00CE7A60" w:rsidP="00E261F3">
      <w:pPr>
        <w:spacing w:after="0" w:line="360" w:lineRule="auto"/>
        <w:ind w:firstLine="426"/>
        <w:jc w:val="both"/>
        <w:rPr>
          <w:rFonts w:ascii="Times New Roman" w:hAnsi="Times New Roman" w:cs="Times New Roman"/>
          <w:sz w:val="24"/>
          <w:szCs w:val="24"/>
          <w:lang w:eastAsia="lv-LV"/>
        </w:rPr>
      </w:pPr>
    </w:p>
    <w:p w14:paraId="1EEA8369" w14:textId="1EE1B850" w:rsidR="003E58DD" w:rsidRPr="00D96194" w:rsidRDefault="003E58DD" w:rsidP="00E261F3">
      <w:pPr>
        <w:spacing w:after="0" w:line="360" w:lineRule="auto"/>
        <w:rPr>
          <w:rFonts w:ascii="Times New Roman" w:hAnsi="Times New Roman" w:cs="Times New Roman"/>
          <w:sz w:val="28"/>
          <w:szCs w:val="28"/>
        </w:rPr>
      </w:pPr>
      <w:r w:rsidRPr="00D96194">
        <w:rPr>
          <w:rFonts w:ascii="Times New Roman" w:hAnsi="Times New Roman" w:cs="Times New Roman"/>
          <w:sz w:val="28"/>
          <w:szCs w:val="28"/>
        </w:rPr>
        <w:br w:type="page"/>
      </w:r>
    </w:p>
    <w:p w14:paraId="1CD03C7E" w14:textId="792E52EF" w:rsidR="00E93E1C" w:rsidRPr="00D96194" w:rsidRDefault="00E93E1C" w:rsidP="00077CFA">
      <w:pPr>
        <w:pStyle w:val="Virsraksts1"/>
        <w:numPr>
          <w:ilvl w:val="0"/>
          <w:numId w:val="1"/>
        </w:numPr>
        <w:spacing w:before="0" w:after="0" w:line="360" w:lineRule="auto"/>
        <w:jc w:val="center"/>
        <w:rPr>
          <w:rFonts w:ascii="Times New Roman" w:hAnsi="Times New Roman" w:cs="Times New Roman"/>
          <w:b/>
          <w:bCs/>
          <w:color w:val="auto"/>
          <w:sz w:val="28"/>
          <w:szCs w:val="28"/>
        </w:rPr>
      </w:pPr>
      <w:bookmarkStart w:id="4" w:name="_Toc162957764"/>
      <w:r w:rsidRPr="00D96194">
        <w:rPr>
          <w:rFonts w:ascii="Times New Roman" w:hAnsi="Times New Roman" w:cs="Times New Roman"/>
          <w:b/>
          <w:bCs/>
          <w:color w:val="auto"/>
          <w:sz w:val="28"/>
          <w:szCs w:val="28"/>
        </w:rPr>
        <w:t xml:space="preserve">Vispārīgie </w:t>
      </w:r>
      <w:r w:rsidR="00077CFA" w:rsidRPr="00D96194">
        <w:rPr>
          <w:rFonts w:ascii="Times New Roman" w:hAnsi="Times New Roman" w:cs="Times New Roman"/>
          <w:b/>
          <w:bCs/>
          <w:color w:val="auto"/>
          <w:sz w:val="28"/>
          <w:szCs w:val="28"/>
        </w:rPr>
        <w:t>jautājumi</w:t>
      </w:r>
      <w:bookmarkEnd w:id="4"/>
    </w:p>
    <w:p w14:paraId="3E173C19" w14:textId="77777777" w:rsidR="0014176F" w:rsidRPr="00D96194" w:rsidRDefault="0014176F" w:rsidP="00077CFA">
      <w:pPr>
        <w:autoSpaceDE w:val="0"/>
        <w:autoSpaceDN w:val="0"/>
        <w:adjustRightInd w:val="0"/>
        <w:spacing w:after="0" w:line="360" w:lineRule="auto"/>
        <w:jc w:val="both"/>
      </w:pPr>
    </w:p>
    <w:p w14:paraId="0283900A" w14:textId="3CB1939D" w:rsidR="00CE4712"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6533E9" w:rsidRPr="00D96194">
        <w:rPr>
          <w:rFonts w:ascii="Times New Roman" w:hAnsi="Times New Roman" w:cs="Times New Roman"/>
          <w:sz w:val="24"/>
          <w:szCs w:val="24"/>
        </w:rPr>
        <w:t>s</w:t>
      </w:r>
      <w:r w:rsidRPr="00D96194">
        <w:rPr>
          <w:rFonts w:ascii="Times New Roman" w:hAnsi="Times New Roman" w:cs="Times New Roman"/>
          <w:sz w:val="24"/>
          <w:szCs w:val="24"/>
        </w:rPr>
        <w:t xml:space="preserve"> veic un dokumentē </w:t>
      </w:r>
      <w:r w:rsidR="007D6B45" w:rsidRPr="00D96194">
        <w:rPr>
          <w:rFonts w:ascii="Times New Roman" w:hAnsi="Times New Roman" w:cs="Times New Roman"/>
          <w:sz w:val="24"/>
          <w:szCs w:val="24"/>
        </w:rPr>
        <w:t>s</w:t>
      </w:r>
      <w:r w:rsidRPr="00D96194">
        <w:rPr>
          <w:rFonts w:ascii="Times New Roman" w:hAnsi="Times New Roman" w:cs="Times New Roman"/>
          <w:sz w:val="24"/>
          <w:szCs w:val="24"/>
        </w:rPr>
        <w:t xml:space="preserve">tarptautisko un </w:t>
      </w:r>
      <w:r w:rsidR="007D6B45" w:rsidRPr="00D96194">
        <w:rPr>
          <w:rFonts w:ascii="Times New Roman" w:hAnsi="Times New Roman" w:cs="Times New Roman"/>
          <w:sz w:val="24"/>
          <w:szCs w:val="24"/>
        </w:rPr>
        <w:t>n</w:t>
      </w:r>
      <w:r w:rsidRPr="00D96194">
        <w:rPr>
          <w:rFonts w:ascii="Times New Roman" w:hAnsi="Times New Roman" w:cs="Times New Roman"/>
          <w:sz w:val="24"/>
          <w:szCs w:val="24"/>
        </w:rPr>
        <w:t>acionālo sankciju riska novērtējumu</w:t>
      </w:r>
      <w:r w:rsidR="00083F95" w:rsidRPr="00D96194">
        <w:rPr>
          <w:rFonts w:ascii="Times New Roman" w:hAnsi="Times New Roman" w:cs="Times New Roman"/>
          <w:sz w:val="24"/>
          <w:szCs w:val="24"/>
        </w:rPr>
        <w:t>,</w:t>
      </w:r>
      <w:r w:rsidR="00083F95" w:rsidRPr="00D96194">
        <w:t xml:space="preserve"> </w:t>
      </w:r>
      <w:r w:rsidR="00083F95" w:rsidRPr="00D96194">
        <w:rPr>
          <w:rFonts w:ascii="Times New Roman" w:hAnsi="Times New Roman" w:cs="Times New Roman"/>
          <w:sz w:val="24"/>
          <w:szCs w:val="24"/>
        </w:rPr>
        <w:t>lai noskaidrotu, novērtētu, izprastu un pārvaldītu savai darbībai noteikto</w:t>
      </w:r>
      <w:r w:rsidR="00922FAF">
        <w:rPr>
          <w:rFonts w:ascii="Times New Roman" w:hAnsi="Times New Roman" w:cs="Times New Roman"/>
          <w:sz w:val="24"/>
          <w:szCs w:val="24"/>
        </w:rPr>
        <w:t>s</w:t>
      </w:r>
      <w:r w:rsidR="00083F95" w:rsidRPr="00D96194">
        <w:rPr>
          <w:rFonts w:ascii="Times New Roman" w:hAnsi="Times New Roman" w:cs="Times New Roman"/>
          <w:sz w:val="24"/>
          <w:szCs w:val="24"/>
        </w:rPr>
        <w:t xml:space="preserve"> starptautisko un nacionālo sankciju neizpildes riskus</w:t>
      </w:r>
      <w:r w:rsidRPr="00D96194">
        <w:rPr>
          <w:rFonts w:ascii="Times New Roman" w:hAnsi="Times New Roman" w:cs="Times New Roman"/>
          <w:sz w:val="24"/>
          <w:szCs w:val="24"/>
        </w:rPr>
        <w:t xml:space="preserve"> un, pamatojoties uz šo novērtējumu, izveido savu </w:t>
      </w:r>
      <w:r w:rsidR="000453E4" w:rsidRPr="00D96194">
        <w:rPr>
          <w:rFonts w:ascii="Times New Roman" w:hAnsi="Times New Roman" w:cs="Times New Roman"/>
          <w:sz w:val="24"/>
          <w:szCs w:val="24"/>
        </w:rPr>
        <w:t>I</w:t>
      </w:r>
      <w:r w:rsidRPr="00D96194">
        <w:rPr>
          <w:rFonts w:ascii="Times New Roman" w:hAnsi="Times New Roman" w:cs="Times New Roman"/>
          <w:sz w:val="24"/>
          <w:szCs w:val="24"/>
        </w:rPr>
        <w:t>ekšējās kontroles sistēmu, tostarp izstrādājot un dokumentējot attiecīgās</w:t>
      </w:r>
      <w:r w:rsidRPr="00D96194">
        <w:t xml:space="preserve"> </w:t>
      </w:r>
      <w:r w:rsidRPr="00D96194">
        <w:rPr>
          <w:rFonts w:ascii="Times New Roman" w:hAnsi="Times New Roman" w:cs="Times New Roman"/>
          <w:sz w:val="24"/>
          <w:szCs w:val="24"/>
        </w:rPr>
        <w:t>politikas un procedūras.</w:t>
      </w:r>
    </w:p>
    <w:p w14:paraId="06639798" w14:textId="6B567B59" w:rsidR="006533E9" w:rsidRPr="00D96194" w:rsidRDefault="006533E9"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NewRomanPSMT" w:hAnsi="TimesNewRomanPSMT" w:cs="TimesNewRomanPSMT"/>
          <w:sz w:val="24"/>
          <w:szCs w:val="24"/>
        </w:rPr>
        <w:t xml:space="preserve">Nekavējoties pēc </w:t>
      </w:r>
      <w:r w:rsidR="007D6B45" w:rsidRPr="00D96194">
        <w:rPr>
          <w:rFonts w:ascii="TimesNewRomanPSMT" w:hAnsi="TimesNewRomanPSMT" w:cs="TimesNewRomanPSMT"/>
          <w:sz w:val="24"/>
          <w:szCs w:val="24"/>
        </w:rPr>
        <w:t>A</w:t>
      </w:r>
      <w:r w:rsidRPr="00D96194">
        <w:rPr>
          <w:rFonts w:ascii="TimesNewRomanPSMT" w:hAnsi="TimesNewRomanPSMT" w:cs="TimesNewRomanPSMT"/>
          <w:sz w:val="24"/>
          <w:szCs w:val="24"/>
        </w:rPr>
        <w:t xml:space="preserve">dministratora iecelšanas fiziskās </w:t>
      </w:r>
      <w:r w:rsidR="00A8493A">
        <w:rPr>
          <w:rFonts w:ascii="TimesNewRomanPSMT" w:hAnsi="TimesNewRomanPSMT" w:cs="TimesNewRomanPSMT"/>
          <w:sz w:val="24"/>
          <w:szCs w:val="24"/>
        </w:rPr>
        <w:t xml:space="preserve">personas </w:t>
      </w:r>
      <w:r w:rsidRPr="00D96194">
        <w:rPr>
          <w:rFonts w:ascii="TimesNewRomanPSMT" w:hAnsi="TimesNewRomanPSMT" w:cs="TimesNewRomanPSMT"/>
          <w:sz w:val="24"/>
          <w:szCs w:val="24"/>
        </w:rPr>
        <w:t xml:space="preserve">vai juridiskās </w:t>
      </w:r>
      <w:r w:rsidR="00A8493A">
        <w:rPr>
          <w:rFonts w:ascii="TimesNewRomanPSMT" w:hAnsi="TimesNewRomanPSMT" w:cs="TimesNewRomanPSMT"/>
          <w:sz w:val="24"/>
          <w:szCs w:val="24"/>
        </w:rPr>
        <w:t xml:space="preserve">personas </w:t>
      </w:r>
      <w:r w:rsidRPr="00D96194">
        <w:rPr>
          <w:rFonts w:ascii="TimesNewRomanPSMT" w:hAnsi="TimesNewRomanPSMT" w:cs="TimesNewRomanPSMT"/>
          <w:sz w:val="24"/>
          <w:szCs w:val="24"/>
        </w:rPr>
        <w:t xml:space="preserve">maksātnespējas procesā, </w:t>
      </w:r>
      <w:r w:rsidR="007D6B45" w:rsidRPr="00D96194">
        <w:rPr>
          <w:rFonts w:ascii="TimesNewRomanPSMT" w:hAnsi="TimesNewRomanPSMT" w:cs="TimesNewRomanPSMT"/>
          <w:sz w:val="24"/>
          <w:szCs w:val="24"/>
        </w:rPr>
        <w:t>A</w:t>
      </w:r>
      <w:r w:rsidRPr="00D96194">
        <w:rPr>
          <w:rFonts w:ascii="TimesNewRomanPSMT" w:hAnsi="TimesNewRomanPSMT" w:cs="TimesNewRomanPSMT"/>
          <w:sz w:val="24"/>
          <w:szCs w:val="24"/>
        </w:rPr>
        <w:t xml:space="preserve">dministratoram ir pienākums uzsākt </w:t>
      </w:r>
      <w:r w:rsidR="007D6B45" w:rsidRPr="00D96194">
        <w:rPr>
          <w:rFonts w:ascii="TimesNewRomanPSMT" w:hAnsi="TimesNewRomanPSMT" w:cs="TimesNewRomanPSMT"/>
          <w:sz w:val="24"/>
          <w:szCs w:val="24"/>
        </w:rPr>
        <w:t>I</w:t>
      </w:r>
      <w:r w:rsidRPr="00D96194">
        <w:rPr>
          <w:rFonts w:ascii="TimesNewRomanPSMT" w:hAnsi="TimesNewRomanPSMT" w:cs="TimesNewRomanPSMT"/>
          <w:sz w:val="24"/>
          <w:szCs w:val="24"/>
        </w:rPr>
        <w:t>ekšējās kontroles sistēmas piemērošanu, vadoties no šajā</w:t>
      </w:r>
      <w:r w:rsidR="007D6B45" w:rsidRPr="00D96194">
        <w:rPr>
          <w:rFonts w:ascii="TimesNewRomanPSMT" w:hAnsi="TimesNewRomanPSMT" w:cs="TimesNewRomanPSMT"/>
          <w:sz w:val="24"/>
          <w:szCs w:val="24"/>
        </w:rPr>
        <w:t>s Vadlīnijās</w:t>
      </w:r>
      <w:r w:rsidRPr="00D96194">
        <w:rPr>
          <w:rFonts w:ascii="TimesNewRomanPSMT" w:hAnsi="TimesNewRomanPSMT" w:cs="TimesNewRomanPSMT"/>
          <w:sz w:val="24"/>
          <w:szCs w:val="24"/>
        </w:rPr>
        <w:t xml:space="preserve"> </w:t>
      </w:r>
      <w:r w:rsidR="00634A29" w:rsidRPr="00D96194">
        <w:rPr>
          <w:rFonts w:ascii="TimesNewRomanPSMT" w:hAnsi="TimesNewRomanPSMT" w:cs="TimesNewRomanPSMT"/>
          <w:sz w:val="24"/>
          <w:szCs w:val="24"/>
        </w:rPr>
        <w:t>norādītajiem ieteikumiem.</w:t>
      </w:r>
    </w:p>
    <w:p w14:paraId="4953FEFA" w14:textId="2D16F138" w:rsidR="00076323"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w:t>
      </w:r>
      <w:r w:rsidR="0014176F" w:rsidRPr="00D96194">
        <w:rPr>
          <w:rFonts w:ascii="Times New Roman" w:hAnsi="Times New Roman" w:cs="Times New Roman"/>
          <w:sz w:val="24"/>
          <w:szCs w:val="24"/>
        </w:rPr>
        <w:t>dministrator</w:t>
      </w:r>
      <w:r w:rsidR="006533E9" w:rsidRPr="00D96194">
        <w:rPr>
          <w:rFonts w:ascii="Times New Roman" w:hAnsi="Times New Roman" w:cs="Times New Roman"/>
          <w:sz w:val="24"/>
          <w:szCs w:val="24"/>
        </w:rPr>
        <w:t>s</w:t>
      </w:r>
      <w:r w:rsidR="0014176F" w:rsidRPr="00D96194">
        <w:rPr>
          <w:rFonts w:ascii="Times New Roman" w:hAnsi="Times New Roman" w:cs="Times New Roman"/>
          <w:sz w:val="24"/>
          <w:szCs w:val="24"/>
        </w:rPr>
        <w:t xml:space="preserve"> regulāri izvērtē </w:t>
      </w:r>
      <w:r w:rsidR="007D6B45" w:rsidRPr="00D96194">
        <w:rPr>
          <w:rFonts w:ascii="Times New Roman" w:hAnsi="Times New Roman" w:cs="Times New Roman"/>
          <w:sz w:val="24"/>
          <w:szCs w:val="24"/>
        </w:rPr>
        <w:t>I</w:t>
      </w:r>
      <w:r w:rsidR="0014176F" w:rsidRPr="00D96194">
        <w:rPr>
          <w:rFonts w:ascii="Times New Roman" w:hAnsi="Times New Roman" w:cs="Times New Roman"/>
          <w:sz w:val="24"/>
          <w:szCs w:val="24"/>
        </w:rPr>
        <w:t>ekšējās kontroles sistēmas efektivitāti, tai skaitā pārskata u</w:t>
      </w:r>
      <w:r w:rsidRPr="00D96194">
        <w:rPr>
          <w:rFonts w:ascii="Times New Roman" w:hAnsi="Times New Roman" w:cs="Times New Roman"/>
          <w:sz w:val="24"/>
          <w:szCs w:val="24"/>
        </w:rPr>
        <w:t xml:space="preserve">n </w:t>
      </w:r>
      <w:r w:rsidR="0014176F" w:rsidRPr="00D96194">
        <w:rPr>
          <w:rFonts w:ascii="Times New Roman" w:hAnsi="Times New Roman" w:cs="Times New Roman"/>
          <w:sz w:val="24"/>
          <w:szCs w:val="24"/>
        </w:rPr>
        <w:t xml:space="preserve">aktualizē ar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lientu, tā rezidences (reģistrācijas) valsti, saimniecisko vai personisko</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darbību,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 xml:space="preserve">lienta galvenajiem sadarbības partneriem,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lienta izmantotajiem</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pakalpojumiem un produktiem un to piegādes kanāliem, kā arī ar </w:t>
      </w:r>
      <w:r w:rsidR="007D6B45" w:rsidRPr="00D96194">
        <w:rPr>
          <w:rFonts w:ascii="Times New Roman" w:hAnsi="Times New Roman" w:cs="Times New Roman"/>
          <w:sz w:val="24"/>
          <w:szCs w:val="24"/>
        </w:rPr>
        <w:t>K</w:t>
      </w:r>
      <w:r w:rsidR="0014176F" w:rsidRPr="00D96194">
        <w:rPr>
          <w:rFonts w:ascii="Times New Roman" w:hAnsi="Times New Roman" w:cs="Times New Roman"/>
          <w:sz w:val="24"/>
          <w:szCs w:val="24"/>
        </w:rPr>
        <w:t>lientu veiktajiem</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darījumiem saistīto sankciju risku, pēc nepieciešamības aktualizējot un uzlabojot risku</w:t>
      </w:r>
      <w:r w:rsidRPr="00D96194">
        <w:rPr>
          <w:rFonts w:ascii="Times New Roman" w:hAnsi="Times New Roman" w:cs="Times New Roman"/>
          <w:sz w:val="24"/>
          <w:szCs w:val="24"/>
        </w:rPr>
        <w:t xml:space="preserve"> </w:t>
      </w:r>
      <w:r w:rsidR="0014176F" w:rsidRPr="00D96194">
        <w:rPr>
          <w:rFonts w:ascii="Times New Roman" w:hAnsi="Times New Roman" w:cs="Times New Roman"/>
          <w:sz w:val="24"/>
          <w:szCs w:val="24"/>
        </w:rPr>
        <w:t xml:space="preserve">novērtējumu un </w:t>
      </w:r>
      <w:r w:rsidR="007D6B45" w:rsidRPr="00D96194">
        <w:rPr>
          <w:rFonts w:ascii="Times New Roman" w:hAnsi="Times New Roman" w:cs="Times New Roman"/>
          <w:sz w:val="24"/>
          <w:szCs w:val="24"/>
        </w:rPr>
        <w:t>I</w:t>
      </w:r>
      <w:r w:rsidR="0014176F" w:rsidRPr="00D96194">
        <w:rPr>
          <w:rFonts w:ascii="Times New Roman" w:hAnsi="Times New Roman" w:cs="Times New Roman"/>
          <w:sz w:val="24"/>
          <w:szCs w:val="24"/>
        </w:rPr>
        <w:t>ekšējās kontroles sistēmu.</w:t>
      </w:r>
      <w:r w:rsidRPr="00D96194">
        <w:rPr>
          <w:rFonts w:ascii="Times New Roman" w:hAnsi="Times New Roman" w:cs="Times New Roman"/>
          <w:sz w:val="24"/>
          <w:szCs w:val="24"/>
        </w:rPr>
        <w:t xml:space="preserve"> </w:t>
      </w:r>
    </w:p>
    <w:p w14:paraId="4C4D7C4E" w14:textId="76C1C0CD" w:rsidR="00CE4712" w:rsidRPr="00D96194" w:rsidRDefault="00CE4712" w:rsidP="00077CFA">
      <w:pPr>
        <w:pStyle w:val="Sarakstarindkopa"/>
        <w:numPr>
          <w:ilvl w:val="1"/>
          <w:numId w:val="1"/>
        </w:numPr>
        <w:autoSpaceDE w:val="0"/>
        <w:autoSpaceDN w:val="0"/>
        <w:adjustRightInd w:val="0"/>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Administratori nodrošina, ka tie pārzina ar sankciju riska pārvaldīšanu saistītos regulējošos normatīvos aktus, kā arī </w:t>
      </w:r>
      <w:r w:rsidR="00922FAF">
        <w:rPr>
          <w:rFonts w:ascii="Times New Roman" w:hAnsi="Times New Roman" w:cs="Times New Roman"/>
          <w:sz w:val="24"/>
          <w:szCs w:val="24"/>
        </w:rPr>
        <w:t>regulāri ceļ savu kvalifikāciju (apmeklē seminārus, apmācības u.c.)</w:t>
      </w:r>
      <w:r w:rsidRPr="00D96194">
        <w:rPr>
          <w:rFonts w:ascii="Times New Roman" w:hAnsi="Times New Roman" w:cs="Times New Roman"/>
          <w:sz w:val="24"/>
          <w:szCs w:val="24"/>
        </w:rPr>
        <w:t xml:space="preserve">, lai pilnveidotu prasmi konstatēt iespējamus sankciju pārkāpumus un izpildītu </w:t>
      </w:r>
      <w:r w:rsidR="007D6B45" w:rsidRPr="00D96194">
        <w:rPr>
          <w:rFonts w:ascii="Times New Roman" w:hAnsi="Times New Roman" w:cs="Times New Roman"/>
          <w:sz w:val="24"/>
          <w:szCs w:val="24"/>
        </w:rPr>
        <w:t>I</w:t>
      </w:r>
      <w:r w:rsidRPr="00D96194">
        <w:rPr>
          <w:rFonts w:ascii="Times New Roman" w:hAnsi="Times New Roman" w:cs="Times New Roman"/>
          <w:sz w:val="24"/>
          <w:szCs w:val="24"/>
        </w:rPr>
        <w:t>ekšējās kontroles sistēmā paredzētās darbības.</w:t>
      </w:r>
    </w:p>
    <w:p w14:paraId="1C986399" w14:textId="77777777" w:rsidR="00077CFA" w:rsidRPr="00D96194" w:rsidRDefault="00077CFA" w:rsidP="00077CFA">
      <w:pPr>
        <w:pStyle w:val="Sarakstarindkopa"/>
        <w:autoSpaceDE w:val="0"/>
        <w:autoSpaceDN w:val="0"/>
        <w:adjustRightInd w:val="0"/>
        <w:spacing w:after="0" w:line="360" w:lineRule="auto"/>
        <w:ind w:left="1080"/>
        <w:jc w:val="both"/>
        <w:rPr>
          <w:rFonts w:ascii="Times New Roman" w:hAnsi="Times New Roman" w:cs="Times New Roman"/>
          <w:sz w:val="24"/>
          <w:szCs w:val="24"/>
        </w:rPr>
      </w:pPr>
    </w:p>
    <w:p w14:paraId="55CDC76B" w14:textId="77777777" w:rsidR="00847C8E" w:rsidRPr="00D96194" w:rsidRDefault="00847C8E" w:rsidP="00077CFA">
      <w:pPr>
        <w:autoSpaceDE w:val="0"/>
        <w:autoSpaceDN w:val="0"/>
        <w:adjustRightInd w:val="0"/>
        <w:spacing w:after="0" w:line="360" w:lineRule="auto"/>
        <w:jc w:val="both"/>
        <w:rPr>
          <w:rFonts w:ascii="Times New Roman" w:hAnsi="Times New Roman" w:cs="Times New Roman"/>
          <w:sz w:val="24"/>
          <w:szCs w:val="24"/>
        </w:rPr>
      </w:pPr>
    </w:p>
    <w:p w14:paraId="2EB64779" w14:textId="5A96BD0D" w:rsidR="00895FA2" w:rsidRPr="00D96194" w:rsidRDefault="00083F95" w:rsidP="00E04DB0">
      <w:pPr>
        <w:pStyle w:val="Virsraksts1"/>
        <w:numPr>
          <w:ilvl w:val="0"/>
          <w:numId w:val="1"/>
        </w:numPr>
        <w:spacing w:before="0" w:after="0" w:line="360" w:lineRule="auto"/>
        <w:jc w:val="center"/>
        <w:rPr>
          <w:rFonts w:ascii="Times New Roman" w:hAnsi="Times New Roman" w:cs="Times New Roman"/>
          <w:b/>
          <w:bCs/>
          <w:color w:val="auto"/>
          <w:sz w:val="28"/>
          <w:szCs w:val="28"/>
        </w:rPr>
      </w:pPr>
      <w:bookmarkStart w:id="5" w:name="_Toc162957765"/>
      <w:r w:rsidRPr="00D96194">
        <w:rPr>
          <w:rFonts w:ascii="Times New Roman" w:hAnsi="Times New Roman" w:cs="Times New Roman"/>
          <w:b/>
          <w:bCs/>
          <w:color w:val="auto"/>
          <w:sz w:val="28"/>
          <w:szCs w:val="28"/>
        </w:rPr>
        <w:t>Administratora s</w:t>
      </w:r>
      <w:r w:rsidR="00AE3075" w:rsidRPr="00D96194">
        <w:rPr>
          <w:rFonts w:ascii="Times New Roman" w:hAnsi="Times New Roman" w:cs="Times New Roman"/>
          <w:b/>
          <w:bCs/>
          <w:color w:val="auto"/>
          <w:sz w:val="28"/>
          <w:szCs w:val="28"/>
        </w:rPr>
        <w:t xml:space="preserve">ankciju </w:t>
      </w:r>
      <w:r w:rsidR="00077CFA" w:rsidRPr="00D96194">
        <w:rPr>
          <w:rFonts w:ascii="Times New Roman" w:hAnsi="Times New Roman" w:cs="Times New Roman"/>
          <w:b/>
          <w:bCs/>
          <w:color w:val="auto"/>
          <w:sz w:val="28"/>
          <w:szCs w:val="28"/>
        </w:rPr>
        <w:t>riska novērtējums</w:t>
      </w:r>
      <w:bookmarkEnd w:id="5"/>
    </w:p>
    <w:p w14:paraId="208B1120" w14:textId="77777777" w:rsidR="00E04DB0" w:rsidRPr="00D96194" w:rsidRDefault="00E04DB0" w:rsidP="00E04DB0"/>
    <w:p w14:paraId="34969A2C" w14:textId="105874A1" w:rsidR="00BE017A" w:rsidRPr="00D96194" w:rsidRDefault="00BE017A" w:rsidP="00E527F7">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Sankciju riska novērtējums līdzīgi kā NILLTPF riska novērtējums ir nepieciešams,</w:t>
      </w:r>
      <w:r w:rsidR="00D57D2D"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lai </w:t>
      </w:r>
      <w:r w:rsidR="007D6B45" w:rsidRPr="00D96194">
        <w:rPr>
          <w:rFonts w:ascii="Times New Roman" w:hAnsi="Times New Roman" w:cs="Times New Roman"/>
          <w:sz w:val="24"/>
          <w:szCs w:val="24"/>
        </w:rPr>
        <w:t>A</w:t>
      </w:r>
      <w:r w:rsidR="00D57D2D" w:rsidRPr="00D96194">
        <w:rPr>
          <w:rFonts w:ascii="Times New Roman" w:hAnsi="Times New Roman" w:cs="Times New Roman"/>
          <w:sz w:val="24"/>
          <w:szCs w:val="24"/>
        </w:rPr>
        <w:t>dministratori</w:t>
      </w:r>
      <w:r w:rsidRPr="00D96194">
        <w:rPr>
          <w:rFonts w:ascii="Times New Roman" w:hAnsi="Times New Roman" w:cs="Times New Roman"/>
          <w:sz w:val="24"/>
          <w:szCs w:val="24"/>
        </w:rPr>
        <w:t xml:space="preserve"> atbilstoši savam darbības veidam noskaidrotu, novērtētu, izprastu un</w:t>
      </w:r>
      <w:r w:rsidR="00D57D2D" w:rsidRPr="00D96194">
        <w:rPr>
          <w:rFonts w:ascii="Times New Roman" w:hAnsi="Times New Roman" w:cs="Times New Roman"/>
          <w:sz w:val="24"/>
          <w:szCs w:val="24"/>
        </w:rPr>
        <w:t xml:space="preserve"> </w:t>
      </w:r>
      <w:r w:rsidRPr="00D96194">
        <w:rPr>
          <w:rFonts w:ascii="Times New Roman" w:hAnsi="Times New Roman" w:cs="Times New Roman"/>
          <w:sz w:val="24"/>
          <w:szCs w:val="24"/>
        </w:rPr>
        <w:t>pārvaldītu savai darbībai piemītošo sankciju risku.</w:t>
      </w:r>
      <w:r w:rsidR="00E527F7" w:rsidRPr="00D96194">
        <w:t xml:space="preserve"> </w:t>
      </w:r>
      <w:r w:rsidR="00E527F7" w:rsidRPr="00D96194">
        <w:rPr>
          <w:rFonts w:ascii="Times New Roman" w:hAnsi="Times New Roman" w:cs="Times New Roman"/>
          <w:sz w:val="24"/>
          <w:szCs w:val="24"/>
        </w:rPr>
        <w:t xml:space="preserve">Risku izpratne un atbilstošs risku novērtējums (zems, vidējs, augsts) ir pamats </w:t>
      </w:r>
      <w:r w:rsidR="007D6B45" w:rsidRPr="00D96194">
        <w:rPr>
          <w:rFonts w:ascii="Times New Roman" w:hAnsi="Times New Roman" w:cs="Times New Roman"/>
          <w:sz w:val="24"/>
          <w:szCs w:val="24"/>
        </w:rPr>
        <w:t>A</w:t>
      </w:r>
      <w:r w:rsidR="00E527F7" w:rsidRPr="00D96194">
        <w:rPr>
          <w:rFonts w:ascii="Times New Roman" w:hAnsi="Times New Roman" w:cs="Times New Roman"/>
          <w:sz w:val="24"/>
          <w:szCs w:val="24"/>
        </w:rPr>
        <w:t xml:space="preserve">dministratora darbības aizsardzībai no </w:t>
      </w:r>
      <w:r w:rsidR="007D6B45" w:rsidRPr="00D96194">
        <w:rPr>
          <w:rFonts w:ascii="Times New Roman" w:hAnsi="Times New Roman" w:cs="Times New Roman"/>
          <w:sz w:val="24"/>
          <w:szCs w:val="24"/>
        </w:rPr>
        <w:t xml:space="preserve">netīšiem </w:t>
      </w:r>
      <w:r w:rsidR="009628CD" w:rsidRPr="00D96194">
        <w:rPr>
          <w:rFonts w:ascii="Times New Roman" w:hAnsi="Times New Roman" w:cs="Times New Roman"/>
          <w:sz w:val="24"/>
          <w:szCs w:val="24"/>
        </w:rPr>
        <w:t>S</w:t>
      </w:r>
      <w:r w:rsidR="00E527F7" w:rsidRPr="00D96194">
        <w:rPr>
          <w:rFonts w:ascii="Times New Roman" w:hAnsi="Times New Roman" w:cs="Times New Roman"/>
          <w:sz w:val="24"/>
          <w:szCs w:val="24"/>
        </w:rPr>
        <w:t>ankciju</w:t>
      </w:r>
      <w:r w:rsidR="009628CD" w:rsidRPr="00D96194">
        <w:rPr>
          <w:rFonts w:ascii="Times New Roman" w:hAnsi="Times New Roman" w:cs="Times New Roman"/>
          <w:sz w:val="24"/>
          <w:szCs w:val="24"/>
        </w:rPr>
        <w:t xml:space="preserve"> likuma</w:t>
      </w:r>
      <w:r w:rsidR="00E527F7" w:rsidRPr="00D96194">
        <w:rPr>
          <w:rFonts w:ascii="Times New Roman" w:hAnsi="Times New Roman" w:cs="Times New Roman"/>
          <w:sz w:val="24"/>
          <w:szCs w:val="24"/>
        </w:rPr>
        <w:t xml:space="preserve"> pārkāpumiem.</w:t>
      </w:r>
    </w:p>
    <w:p w14:paraId="10FA7930" w14:textId="4C83FDE1" w:rsidR="00CC142D" w:rsidRPr="00D96194" w:rsidRDefault="00CC142D" w:rsidP="00077CFA">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jāizstrādā un jādokumentē savs </w:t>
      </w:r>
      <w:r w:rsidR="006F0BA7" w:rsidRPr="00D96194">
        <w:rPr>
          <w:rFonts w:ascii="Times New Roman" w:hAnsi="Times New Roman" w:cs="Times New Roman"/>
          <w:sz w:val="24"/>
          <w:szCs w:val="24"/>
        </w:rPr>
        <w:t xml:space="preserve">sankciju </w:t>
      </w:r>
      <w:r w:rsidRPr="00D96194">
        <w:rPr>
          <w:rFonts w:ascii="Times New Roman" w:hAnsi="Times New Roman" w:cs="Times New Roman"/>
          <w:sz w:val="24"/>
          <w:szCs w:val="24"/>
        </w:rPr>
        <w:t>riska novērtējums atbilstoši noteiktajām Starptautiskajām</w:t>
      </w:r>
      <w:r w:rsidR="007D6B45" w:rsidRPr="00D96194">
        <w:rPr>
          <w:rFonts w:ascii="Times New Roman" w:hAnsi="Times New Roman" w:cs="Times New Roman"/>
          <w:sz w:val="24"/>
          <w:szCs w:val="24"/>
        </w:rPr>
        <w:t xml:space="preserve"> sankcijām</w:t>
      </w:r>
      <w:r w:rsidRPr="00D96194">
        <w:rPr>
          <w:rFonts w:ascii="Times New Roman" w:hAnsi="Times New Roman" w:cs="Times New Roman"/>
          <w:sz w:val="24"/>
          <w:szCs w:val="24"/>
        </w:rPr>
        <w:t xml:space="preserve"> un Nacionālajām sankcijām.</w:t>
      </w:r>
    </w:p>
    <w:p w14:paraId="445B004E" w14:textId="3C29B002" w:rsidR="001F6D75" w:rsidRPr="00D96194" w:rsidRDefault="00D57D2D"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Viens no galvenajiem sankciju riska novērtējuma uzdevumiem ir identificēt riskus, kas saistīti ar iespējamo sankciju regulējuma apiešanu, kad sankciju </w:t>
      </w:r>
      <w:r w:rsidR="006C70DB" w:rsidRPr="00D96194">
        <w:rPr>
          <w:rFonts w:ascii="Times New Roman" w:hAnsi="Times New Roman" w:cs="Times New Roman"/>
          <w:sz w:val="24"/>
          <w:szCs w:val="24"/>
        </w:rPr>
        <w:t>pārbaude sankciju sarakstos (</w:t>
      </w:r>
      <w:r w:rsidRPr="00D96194">
        <w:rPr>
          <w:rFonts w:ascii="Times New Roman" w:hAnsi="Times New Roman" w:cs="Times New Roman"/>
          <w:sz w:val="24"/>
          <w:szCs w:val="24"/>
        </w:rPr>
        <w:t>skrīnings</w:t>
      </w:r>
      <w:r w:rsidR="006C70DB" w:rsidRPr="00D96194">
        <w:rPr>
          <w:rFonts w:ascii="Times New Roman" w:hAnsi="Times New Roman" w:cs="Times New Roman"/>
          <w:sz w:val="24"/>
          <w:szCs w:val="24"/>
        </w:rPr>
        <w:t>)</w:t>
      </w:r>
      <w:r w:rsidRPr="00D96194">
        <w:rPr>
          <w:rFonts w:ascii="Times New Roman" w:hAnsi="Times New Roman" w:cs="Times New Roman"/>
          <w:sz w:val="24"/>
          <w:szCs w:val="24"/>
        </w:rPr>
        <w:t xml:space="preserve"> ir nepietiekam</w:t>
      </w:r>
      <w:r w:rsidR="006C70DB" w:rsidRPr="00D96194">
        <w:rPr>
          <w:rFonts w:ascii="Times New Roman" w:hAnsi="Times New Roman" w:cs="Times New Roman"/>
          <w:sz w:val="24"/>
          <w:szCs w:val="24"/>
        </w:rPr>
        <w:t>a</w:t>
      </w:r>
      <w:r w:rsidRPr="00D96194">
        <w:rPr>
          <w:rFonts w:ascii="Times New Roman" w:hAnsi="Times New Roman" w:cs="Times New Roman"/>
          <w:sz w:val="24"/>
          <w:szCs w:val="24"/>
        </w:rPr>
        <w:t xml:space="preserve">, lai nodrošinātu efektīvu sankciju regulējuma ievērošanu. </w:t>
      </w:r>
      <w:r w:rsidR="00E24551" w:rsidRPr="00D96194">
        <w:rPr>
          <w:rFonts w:ascii="Times New Roman" w:hAnsi="Times New Roman" w:cs="Times New Roman"/>
          <w:sz w:val="24"/>
          <w:szCs w:val="24"/>
        </w:rPr>
        <w:t xml:space="preserve">Lai gan sankciju un </w:t>
      </w:r>
      <w:r w:rsidR="000F7515" w:rsidRPr="00D96194">
        <w:rPr>
          <w:rFonts w:ascii="Times New Roman" w:hAnsi="Times New Roman" w:cs="Times New Roman"/>
          <w:sz w:val="24"/>
          <w:szCs w:val="24"/>
        </w:rPr>
        <w:t xml:space="preserve">NILLTPF </w:t>
      </w:r>
      <w:r w:rsidR="00E24551" w:rsidRPr="00D96194">
        <w:rPr>
          <w:rFonts w:ascii="Times New Roman" w:hAnsi="Times New Roman" w:cs="Times New Roman"/>
          <w:sz w:val="24"/>
          <w:szCs w:val="24"/>
        </w:rPr>
        <w:t>riski ir atšķirīgi</w:t>
      </w:r>
      <w:r w:rsidR="001F6D75" w:rsidRPr="00D96194">
        <w:rPr>
          <w:rStyle w:val="Vresatsauce"/>
          <w:rFonts w:ascii="Times New Roman" w:hAnsi="Times New Roman" w:cs="Times New Roman"/>
          <w:sz w:val="24"/>
          <w:szCs w:val="24"/>
        </w:rPr>
        <w:footnoteReference w:id="2"/>
      </w:r>
      <w:r w:rsidR="00E24551" w:rsidRPr="00D96194">
        <w:rPr>
          <w:rFonts w:ascii="Times New Roman" w:hAnsi="Times New Roman" w:cs="Times New Roman"/>
          <w:sz w:val="24"/>
          <w:szCs w:val="24"/>
        </w:rPr>
        <w:t>, novērtējumu var veikt vienlaicīgi un šo</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abu</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risku novērtējumu</w:t>
      </w:r>
      <w:r w:rsidR="00055C65" w:rsidRPr="00D96194">
        <w:rPr>
          <w:rFonts w:ascii="Times New Roman" w:hAnsi="Times New Roman" w:cs="Times New Roman"/>
          <w:sz w:val="24"/>
          <w:szCs w:val="24"/>
        </w:rPr>
        <w:t>s</w:t>
      </w:r>
      <w:r w:rsidR="00E24551" w:rsidRPr="00D96194">
        <w:rPr>
          <w:rFonts w:ascii="Times New Roman" w:hAnsi="Times New Roman" w:cs="Times New Roman"/>
          <w:sz w:val="24"/>
          <w:szCs w:val="24"/>
        </w:rPr>
        <w:t xml:space="preserve"> apvienot vienā dokument</w:t>
      </w:r>
      <w:r w:rsidR="00C1146B" w:rsidRPr="00D96194">
        <w:rPr>
          <w:rFonts w:ascii="Times New Roman" w:hAnsi="Times New Roman" w:cs="Times New Roman"/>
          <w:sz w:val="24"/>
          <w:szCs w:val="24"/>
        </w:rPr>
        <w:t>ā.</w:t>
      </w:r>
    </w:p>
    <w:p w14:paraId="15BB82C4" w14:textId="306CABCA" w:rsidR="00114564" w:rsidRPr="00D96194" w:rsidRDefault="00114564"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 sankciju riska novērtējumā analizētajiem riska faktoriem ir jāaptver visi sankciju veidi, kādi noteikti ar spēkā esošo normatīvo regulējumu un kas tieši raksturīgi </w:t>
      </w:r>
      <w:r w:rsidR="000C16E6" w:rsidRPr="00D96194">
        <w:rPr>
          <w:rFonts w:ascii="Times New Roman" w:hAnsi="Times New Roman" w:cs="Times New Roman"/>
          <w:sz w:val="24"/>
          <w:szCs w:val="24"/>
        </w:rPr>
        <w:t>Administratoram</w:t>
      </w:r>
      <w:r w:rsidRPr="00D96194">
        <w:rPr>
          <w:rFonts w:ascii="Times New Roman" w:hAnsi="Times New Roman" w:cs="Times New Roman"/>
          <w:sz w:val="24"/>
          <w:szCs w:val="24"/>
        </w:rPr>
        <w:t xml:space="preserve">, ņemot vērā </w:t>
      </w:r>
      <w:r w:rsidR="00A8078F" w:rsidRPr="00D96194">
        <w:rPr>
          <w:rFonts w:ascii="Times New Roman" w:hAnsi="Times New Roman" w:cs="Times New Roman"/>
          <w:sz w:val="24"/>
          <w:szCs w:val="24"/>
        </w:rPr>
        <w:t xml:space="preserve">tā darbību, </w:t>
      </w:r>
      <w:r w:rsidRPr="00D96194">
        <w:rPr>
          <w:rFonts w:ascii="Times New Roman" w:hAnsi="Times New Roman" w:cs="Times New Roman"/>
          <w:sz w:val="24"/>
          <w:szCs w:val="24"/>
        </w:rPr>
        <w:t xml:space="preserve">tā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lientus un</w:t>
      </w:r>
      <w:r w:rsidR="00E645F3" w:rsidRPr="00D96194">
        <w:rPr>
          <w:rFonts w:ascii="Times New Roman" w:hAnsi="Times New Roman" w:cs="Times New Roman"/>
          <w:sz w:val="24"/>
          <w:szCs w:val="24"/>
        </w:rPr>
        <w:t xml:space="preserve"> to</w:t>
      </w:r>
      <w:r w:rsidRPr="00D96194">
        <w:rPr>
          <w:rFonts w:ascii="Times New Roman" w:hAnsi="Times New Roman" w:cs="Times New Roman"/>
          <w:sz w:val="24"/>
          <w:szCs w:val="24"/>
        </w:rPr>
        <w:t xml:space="preserve"> darbības veidu.</w:t>
      </w:r>
    </w:p>
    <w:p w14:paraId="7FEF829E" w14:textId="54B1952F" w:rsidR="006F22F6" w:rsidRPr="00D96194" w:rsidRDefault="00114564" w:rsidP="001F6D75">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Nosakot savai darbībai piemītošo sākotnējo sankciju risku,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dministrator</w:t>
      </w:r>
      <w:r w:rsidR="003B110E" w:rsidRPr="00D96194">
        <w:rPr>
          <w:rFonts w:ascii="Times New Roman" w:hAnsi="Times New Roman" w:cs="Times New Roman"/>
          <w:sz w:val="24"/>
          <w:szCs w:val="24"/>
        </w:rPr>
        <w:t>am ir jā</w:t>
      </w:r>
      <w:r w:rsidRPr="00D96194">
        <w:rPr>
          <w:rFonts w:ascii="Times New Roman" w:hAnsi="Times New Roman" w:cs="Times New Roman"/>
          <w:sz w:val="24"/>
          <w:szCs w:val="24"/>
        </w:rPr>
        <w:t xml:space="preserve">nosaka risku paaugstinošos faktorus, kas piemīt </w:t>
      </w:r>
      <w:r w:rsidR="00A8078F" w:rsidRPr="00D96194">
        <w:rPr>
          <w:rFonts w:ascii="Times New Roman" w:hAnsi="Times New Roman" w:cs="Times New Roman"/>
          <w:sz w:val="24"/>
          <w:szCs w:val="24"/>
        </w:rPr>
        <w:t xml:space="preserve">Administratora darbībai un </w:t>
      </w:r>
      <w:r w:rsidRPr="00D96194">
        <w:rPr>
          <w:rFonts w:ascii="Times New Roman" w:hAnsi="Times New Roman" w:cs="Times New Roman"/>
          <w:sz w:val="24"/>
          <w:szCs w:val="24"/>
        </w:rPr>
        <w:t xml:space="preserve">tā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lientiem</w:t>
      </w:r>
      <w:r w:rsidR="00A8078F" w:rsidRPr="00D96194">
        <w:rPr>
          <w:rFonts w:ascii="Times New Roman" w:hAnsi="Times New Roman" w:cs="Times New Roman"/>
          <w:sz w:val="24"/>
          <w:szCs w:val="24"/>
        </w:rPr>
        <w:t>.</w:t>
      </w:r>
      <w:r w:rsidRPr="00D96194">
        <w:rPr>
          <w:rFonts w:ascii="Times New Roman" w:hAnsi="Times New Roman" w:cs="Times New Roman"/>
          <w:sz w:val="24"/>
          <w:szCs w:val="24"/>
        </w:rPr>
        <w:t xml:space="preserve"> Novērtējot sankciju risku, kas piemīt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 darbībai,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dministratoram ir jāvērtē vismaz tie risku paaugstinošie faktori, kas saistīti ar tā darbības un pakalpojumu sniegšanas reģionu, kā arī </w:t>
      </w:r>
      <w:r w:rsidR="00055C65" w:rsidRPr="00D96194">
        <w:rPr>
          <w:rFonts w:ascii="Times New Roman" w:hAnsi="Times New Roman" w:cs="Times New Roman"/>
          <w:sz w:val="24"/>
          <w:szCs w:val="24"/>
        </w:rPr>
        <w:t>A</w:t>
      </w:r>
      <w:r w:rsidR="006F22F6" w:rsidRPr="00D96194">
        <w:rPr>
          <w:rFonts w:ascii="Times New Roman" w:hAnsi="Times New Roman" w:cs="Times New Roman"/>
          <w:sz w:val="24"/>
          <w:szCs w:val="24"/>
        </w:rPr>
        <w:t>dministratora</w:t>
      </w:r>
      <w:r w:rsidRPr="00D96194">
        <w:rPr>
          <w:rFonts w:ascii="Times New Roman" w:hAnsi="Times New Roman" w:cs="Times New Roman"/>
          <w:sz w:val="24"/>
          <w:szCs w:val="24"/>
        </w:rPr>
        <w:t xml:space="preserve"> piedāvātajiem </w:t>
      </w:r>
      <w:r w:rsidR="008D2026" w:rsidRPr="00D96194">
        <w:rPr>
          <w:rFonts w:ascii="Times New Roman" w:hAnsi="Times New Roman" w:cs="Times New Roman"/>
          <w:sz w:val="24"/>
          <w:szCs w:val="24"/>
        </w:rPr>
        <w:t xml:space="preserve">pakalpojumiem. </w:t>
      </w:r>
      <w:r w:rsidR="006F22F6" w:rsidRPr="00D96194">
        <w:rPr>
          <w:rFonts w:ascii="Times New Roman" w:hAnsi="Times New Roman" w:cs="Times New Roman"/>
          <w:sz w:val="24"/>
          <w:szCs w:val="24"/>
        </w:rPr>
        <w:t xml:space="preserve">Vērtējot riska faktoru, kas saistīts ar </w:t>
      </w:r>
      <w:r w:rsidR="00055C65" w:rsidRPr="00D96194">
        <w:rPr>
          <w:rFonts w:ascii="Times New Roman" w:hAnsi="Times New Roman" w:cs="Times New Roman"/>
          <w:sz w:val="24"/>
          <w:szCs w:val="24"/>
        </w:rPr>
        <w:t>A</w:t>
      </w:r>
      <w:r w:rsidR="006F22F6" w:rsidRPr="00D96194">
        <w:rPr>
          <w:rFonts w:ascii="Times New Roman" w:hAnsi="Times New Roman" w:cs="Times New Roman"/>
          <w:sz w:val="24"/>
          <w:szCs w:val="24"/>
        </w:rPr>
        <w:t>dministratora</w:t>
      </w:r>
      <w:r w:rsidRPr="00D96194">
        <w:rPr>
          <w:rFonts w:ascii="Times New Roman" w:hAnsi="Times New Roman" w:cs="Times New Roman"/>
          <w:sz w:val="24"/>
          <w:szCs w:val="24"/>
        </w:rPr>
        <w:t xml:space="preserve">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w:t>
      </w:r>
      <w:r w:rsidR="00E645F3" w:rsidRPr="00D96194">
        <w:rPr>
          <w:rFonts w:ascii="Times New Roman" w:hAnsi="Times New Roman" w:cs="Times New Roman"/>
          <w:sz w:val="24"/>
          <w:szCs w:val="24"/>
        </w:rPr>
        <w:t>,</w:t>
      </w:r>
      <w:r w:rsidRPr="00D96194">
        <w:rPr>
          <w:rFonts w:ascii="Times New Roman" w:hAnsi="Times New Roman" w:cs="Times New Roman"/>
          <w:sz w:val="24"/>
          <w:szCs w:val="24"/>
        </w:rPr>
        <w:t xml:space="preserve"> ir jāņem vērā </w:t>
      </w:r>
      <w:r w:rsidR="006F22F6" w:rsidRPr="00D96194">
        <w:rPr>
          <w:rFonts w:ascii="Times New Roman" w:hAnsi="Times New Roman" w:cs="Times New Roman"/>
          <w:sz w:val="24"/>
          <w:szCs w:val="24"/>
        </w:rPr>
        <w:t>Novēršanas</w:t>
      </w:r>
      <w:r w:rsidRPr="00D96194">
        <w:rPr>
          <w:rFonts w:ascii="Times New Roman" w:hAnsi="Times New Roman" w:cs="Times New Roman"/>
          <w:sz w:val="24"/>
          <w:szCs w:val="24"/>
        </w:rPr>
        <w:t xml:space="preserve"> likumā noteiktie risku ietekmējošie apstākļi </w:t>
      </w:r>
      <w:r w:rsidR="006F22F6" w:rsidRPr="00D96194">
        <w:rPr>
          <w:rFonts w:ascii="Times New Roman" w:hAnsi="Times New Roman" w:cs="Times New Roman"/>
          <w:sz w:val="24"/>
          <w:szCs w:val="24"/>
        </w:rPr>
        <w:t>(vērtējot tos sankciju riska kontekstā</w:t>
      </w:r>
      <w:r w:rsidR="006F22F6" w:rsidRPr="00D96194">
        <w:rPr>
          <w:rStyle w:val="Vresatsauce"/>
          <w:rFonts w:ascii="Times New Roman" w:hAnsi="Times New Roman" w:cs="Times New Roman"/>
          <w:sz w:val="24"/>
          <w:szCs w:val="24"/>
        </w:rPr>
        <w:footnoteReference w:id="3"/>
      </w:r>
      <w:r w:rsidR="006F22F6" w:rsidRPr="00D96194">
        <w:rPr>
          <w:rFonts w:ascii="Times New Roman" w:hAnsi="Times New Roman" w:cs="Times New Roman"/>
          <w:sz w:val="24"/>
          <w:szCs w:val="24"/>
        </w:rPr>
        <w:t>):</w:t>
      </w:r>
    </w:p>
    <w:p w14:paraId="0BA0595F" w14:textId="284C7DCF" w:rsidR="003B110E" w:rsidRPr="00D96194" w:rsidRDefault="00055C65"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114564" w:rsidRPr="00D96194">
        <w:rPr>
          <w:rFonts w:ascii="Times New Roman" w:hAnsi="Times New Roman" w:cs="Times New Roman"/>
          <w:sz w:val="24"/>
          <w:szCs w:val="24"/>
        </w:rPr>
        <w:t>lienta risks</w:t>
      </w:r>
      <w:r w:rsidR="006F22F6" w:rsidRPr="00D96194">
        <w:rPr>
          <w:rFonts w:ascii="Times New Roman" w:hAnsi="Times New Roman" w:cs="Times New Roman"/>
          <w:sz w:val="24"/>
          <w:szCs w:val="24"/>
        </w:rPr>
        <w:t>;</w:t>
      </w:r>
    </w:p>
    <w:p w14:paraId="7B1C88AB" w14:textId="77777777" w:rsidR="003B110E" w:rsidRPr="00D96194" w:rsidRDefault="00114564"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valsts un ģeogrāfisk</w:t>
      </w:r>
      <w:r w:rsidR="006F22F6" w:rsidRPr="00D96194">
        <w:rPr>
          <w:rFonts w:ascii="Times New Roman" w:hAnsi="Times New Roman" w:cs="Times New Roman"/>
          <w:sz w:val="24"/>
          <w:szCs w:val="24"/>
        </w:rPr>
        <w:t>ais</w:t>
      </w:r>
      <w:r w:rsidRPr="00D96194">
        <w:rPr>
          <w:rFonts w:ascii="Times New Roman" w:hAnsi="Times New Roman" w:cs="Times New Roman"/>
          <w:sz w:val="24"/>
          <w:szCs w:val="24"/>
        </w:rPr>
        <w:t xml:space="preserve"> risks</w:t>
      </w:r>
      <w:r w:rsidR="006F22F6" w:rsidRPr="00D96194">
        <w:rPr>
          <w:rFonts w:ascii="Times New Roman" w:hAnsi="Times New Roman" w:cs="Times New Roman"/>
          <w:sz w:val="24"/>
          <w:szCs w:val="24"/>
        </w:rPr>
        <w:t>;</w:t>
      </w:r>
    </w:p>
    <w:p w14:paraId="46705674" w14:textId="19833396" w:rsidR="003B110E" w:rsidRPr="00D96194" w:rsidRDefault="00055C65"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114564" w:rsidRPr="00D96194">
        <w:rPr>
          <w:rFonts w:ascii="Times New Roman" w:hAnsi="Times New Roman" w:cs="Times New Roman"/>
          <w:sz w:val="24"/>
          <w:szCs w:val="24"/>
        </w:rPr>
        <w:t>lienta izmantoto pakalpojumu un produktu risks</w:t>
      </w:r>
      <w:r w:rsidR="006F22F6" w:rsidRPr="00D96194">
        <w:rPr>
          <w:rFonts w:ascii="Times New Roman" w:hAnsi="Times New Roman" w:cs="Times New Roman"/>
          <w:sz w:val="24"/>
          <w:szCs w:val="24"/>
        </w:rPr>
        <w:t>;</w:t>
      </w:r>
    </w:p>
    <w:p w14:paraId="30CA6AD4" w14:textId="32C297E1" w:rsidR="00114564" w:rsidRPr="00D96194" w:rsidRDefault="006F22F6" w:rsidP="003B110E">
      <w:pPr>
        <w:pStyle w:val="Sarakstarindkopa"/>
        <w:numPr>
          <w:ilvl w:val="0"/>
          <w:numId w:val="9"/>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w:t>
      </w:r>
      <w:r w:rsidR="00114564" w:rsidRPr="00D96194">
        <w:rPr>
          <w:rFonts w:ascii="Times New Roman" w:hAnsi="Times New Roman" w:cs="Times New Roman"/>
          <w:sz w:val="24"/>
          <w:szCs w:val="24"/>
        </w:rPr>
        <w:t>akalpojumu un produktu piegādes kanālu risks</w:t>
      </w:r>
      <w:r w:rsidR="00AC4366" w:rsidRPr="00D96194">
        <w:rPr>
          <w:rFonts w:ascii="Times New Roman" w:hAnsi="Times New Roman" w:cs="Times New Roman"/>
          <w:sz w:val="24"/>
          <w:szCs w:val="24"/>
        </w:rPr>
        <w:t>.</w:t>
      </w:r>
    </w:p>
    <w:p w14:paraId="425A02E9" w14:textId="122E80CF" w:rsidR="003163CC" w:rsidRPr="00D96194" w:rsidRDefault="00986644" w:rsidP="00077CFA">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w:t>
      </w:r>
      <w:r w:rsidR="00AE7BDB" w:rsidRPr="00D96194">
        <w:rPr>
          <w:rFonts w:ascii="Times New Roman" w:hAnsi="Times New Roman" w:cs="Times New Roman"/>
          <w:sz w:val="24"/>
          <w:szCs w:val="24"/>
        </w:rPr>
        <w:t>dministratora pakalpojumu sniegšanas valsts ir Latvijas Republika</w:t>
      </w:r>
      <w:r w:rsidR="003163CC" w:rsidRPr="00D96194">
        <w:rPr>
          <w:rFonts w:ascii="Times New Roman" w:hAnsi="Times New Roman" w:cs="Times New Roman"/>
          <w:sz w:val="24"/>
          <w:szCs w:val="24"/>
        </w:rPr>
        <w:t>s jurisdikcija, kura tiek vērtēta kā vidēja riska (ņemot vērā Latvijas ģeogrāfisko novietojumu, vēsturiskās ekonomiskās saites ar Krieviju un Baltkrieviju).</w:t>
      </w:r>
    </w:p>
    <w:p w14:paraId="6007D770" w14:textId="66F551C3" w:rsidR="00641EFB" w:rsidRPr="00D96194" w:rsidRDefault="0045426F" w:rsidP="00AC4366">
      <w:pPr>
        <w:pStyle w:val="Sarakstarindkopa"/>
        <w:numPr>
          <w:ilvl w:val="1"/>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Administrators atbilstoši tā darbībai piemītošajam sankciju riskam regulāri</w:t>
      </w:r>
      <w:r w:rsidR="00B546BB" w:rsidRPr="00D96194">
        <w:rPr>
          <w:rFonts w:ascii="Times New Roman" w:hAnsi="Times New Roman" w:cs="Times New Roman"/>
          <w:sz w:val="24"/>
          <w:szCs w:val="24"/>
        </w:rPr>
        <w:t xml:space="preserve"> </w:t>
      </w:r>
      <w:r w:rsidR="008064AF">
        <w:rPr>
          <w:rFonts w:ascii="Times New Roman" w:hAnsi="Times New Roman" w:cs="Times New Roman"/>
          <w:sz w:val="24"/>
          <w:szCs w:val="24"/>
        </w:rPr>
        <w:t>–</w:t>
      </w:r>
      <w:r w:rsidR="00B546BB" w:rsidRPr="00D96194">
        <w:rPr>
          <w:rFonts w:ascii="Times New Roman" w:hAnsi="Times New Roman" w:cs="Times New Roman"/>
          <w:sz w:val="24"/>
          <w:szCs w:val="24"/>
        </w:rPr>
        <w:t xml:space="preserve"> uzreiz kā rodas nepieciešamība</w:t>
      </w:r>
      <w:r w:rsidRPr="00D96194">
        <w:rPr>
          <w:rFonts w:ascii="Times New Roman" w:hAnsi="Times New Roman" w:cs="Times New Roman"/>
          <w:sz w:val="24"/>
          <w:szCs w:val="24"/>
        </w:rPr>
        <w:t>, bet ne retāk kā reizi trijos gados aktualizē sankciju riska novērtējumu.</w:t>
      </w:r>
    </w:p>
    <w:p w14:paraId="45EEA383" w14:textId="48AE153F" w:rsidR="00D37A26" w:rsidRPr="00D96194" w:rsidRDefault="0045426F" w:rsidP="00641EFB">
      <w:pPr>
        <w:pStyle w:val="Virsraksts1"/>
        <w:numPr>
          <w:ilvl w:val="0"/>
          <w:numId w:val="1"/>
        </w:numPr>
        <w:jc w:val="center"/>
        <w:rPr>
          <w:rFonts w:ascii="Times New Roman" w:eastAsia="Calibri" w:hAnsi="Times New Roman" w:cs="Times New Roman"/>
          <w:b/>
          <w:bCs/>
          <w:color w:val="auto"/>
          <w:sz w:val="28"/>
          <w:szCs w:val="28"/>
        </w:rPr>
      </w:pPr>
      <w:bookmarkStart w:id="6" w:name="_Toc162957766"/>
      <w:r w:rsidRPr="00D96194">
        <w:rPr>
          <w:rFonts w:ascii="Times New Roman" w:eastAsia="Calibri" w:hAnsi="Times New Roman" w:cs="Times New Roman"/>
          <w:b/>
          <w:bCs/>
          <w:color w:val="auto"/>
          <w:sz w:val="28"/>
          <w:szCs w:val="28"/>
        </w:rPr>
        <w:t>I</w:t>
      </w:r>
      <w:r w:rsidR="00641EFB" w:rsidRPr="00D96194">
        <w:rPr>
          <w:rFonts w:ascii="Times New Roman" w:eastAsia="Calibri" w:hAnsi="Times New Roman" w:cs="Times New Roman"/>
          <w:b/>
          <w:bCs/>
          <w:color w:val="auto"/>
          <w:sz w:val="28"/>
          <w:szCs w:val="28"/>
        </w:rPr>
        <w:t>ekšējās kontroles sistēma</w:t>
      </w:r>
      <w:bookmarkEnd w:id="6"/>
    </w:p>
    <w:p w14:paraId="1258F8EC" w14:textId="77777777" w:rsidR="00B54510" w:rsidRPr="00D96194" w:rsidRDefault="00B54510" w:rsidP="00B54510">
      <w:pPr>
        <w:spacing w:after="0" w:line="360" w:lineRule="auto"/>
        <w:jc w:val="both"/>
        <w:rPr>
          <w:rFonts w:ascii="Times New Roman" w:hAnsi="Times New Roman" w:cs="Times New Roman"/>
          <w:sz w:val="24"/>
          <w:szCs w:val="24"/>
        </w:rPr>
      </w:pPr>
    </w:p>
    <w:p w14:paraId="4DE49E8F" w14:textId="5C8501DB" w:rsidR="00B54510" w:rsidRPr="00D96194" w:rsidRDefault="00B54510" w:rsidP="00B54510">
      <w:pPr>
        <w:spacing w:after="0" w:line="360" w:lineRule="auto"/>
        <w:ind w:firstLine="360"/>
        <w:jc w:val="both"/>
        <w:rPr>
          <w:rFonts w:ascii="Times New Roman" w:hAnsi="Times New Roman" w:cs="Times New Roman"/>
          <w:sz w:val="24"/>
          <w:szCs w:val="24"/>
        </w:rPr>
      </w:pPr>
      <w:r w:rsidRPr="00D96194">
        <w:rPr>
          <w:rFonts w:ascii="Times New Roman" w:hAnsi="Times New Roman" w:cs="Times New Roman"/>
          <w:sz w:val="24"/>
          <w:szCs w:val="24"/>
        </w:rPr>
        <w:t xml:space="preserve">Pamatojoties uz savu profesionālās darbības sankciju risku novērtējumu,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dministrators izstrādā </w:t>
      </w:r>
      <w:r w:rsidR="008064AF" w:rsidRPr="00D96194">
        <w:rPr>
          <w:rFonts w:ascii="Times New Roman" w:hAnsi="Times New Roman" w:cs="Times New Roman"/>
          <w:sz w:val="24"/>
          <w:szCs w:val="24"/>
        </w:rPr>
        <w:t>Iekšēj</w:t>
      </w:r>
      <w:r w:rsidR="008064AF">
        <w:rPr>
          <w:rFonts w:ascii="Times New Roman" w:hAnsi="Times New Roman" w:cs="Times New Roman"/>
          <w:sz w:val="24"/>
          <w:szCs w:val="24"/>
        </w:rPr>
        <w:t>ās</w:t>
      </w:r>
      <w:r w:rsidR="008064AF"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kontroles sistēmu. </w:t>
      </w:r>
    </w:p>
    <w:p w14:paraId="5CB02F7A" w14:textId="29CECD16" w:rsidR="00B54510" w:rsidRPr="00D96194" w:rsidRDefault="00B54510" w:rsidP="00B54510">
      <w:pPr>
        <w:spacing w:after="0" w:line="360" w:lineRule="auto"/>
        <w:ind w:firstLine="360"/>
        <w:jc w:val="both"/>
        <w:rPr>
          <w:rFonts w:ascii="Times New Roman" w:hAnsi="Times New Roman" w:cs="Times New Roman"/>
          <w:sz w:val="24"/>
          <w:szCs w:val="24"/>
        </w:rPr>
      </w:pPr>
      <w:r w:rsidRPr="00D96194">
        <w:rPr>
          <w:rFonts w:ascii="Times New Roman" w:hAnsi="Times New Roman" w:cs="Times New Roman"/>
          <w:sz w:val="24"/>
          <w:szCs w:val="24"/>
        </w:rPr>
        <w:t>Iekšējā</w:t>
      </w:r>
      <w:r w:rsidR="008064AF">
        <w:rPr>
          <w:rFonts w:ascii="Times New Roman" w:hAnsi="Times New Roman" w:cs="Times New Roman"/>
          <w:sz w:val="24"/>
          <w:szCs w:val="24"/>
        </w:rPr>
        <w:t>s</w:t>
      </w:r>
      <w:r w:rsidRPr="00D96194">
        <w:rPr>
          <w:rFonts w:ascii="Times New Roman" w:hAnsi="Times New Roman" w:cs="Times New Roman"/>
          <w:sz w:val="24"/>
          <w:szCs w:val="24"/>
        </w:rPr>
        <w:t xml:space="preserve"> kontroles sistēma ir pasākumu kopums, kas ietver uz Starptautisko</w:t>
      </w:r>
      <w:r w:rsidR="00055C65"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izpildes nodrošināšanu vērstas darbības. </w:t>
      </w:r>
    </w:p>
    <w:p w14:paraId="70D68918" w14:textId="77777777" w:rsidR="00B54510" w:rsidRPr="00D96194" w:rsidRDefault="00B54510" w:rsidP="000266FB">
      <w:pPr>
        <w:jc w:val="both"/>
      </w:pPr>
    </w:p>
    <w:p w14:paraId="232A63DB" w14:textId="5966F221" w:rsidR="00F911EF" w:rsidRPr="00D96194" w:rsidRDefault="00F911EF" w:rsidP="00F911EF">
      <w:pPr>
        <w:pStyle w:val="Virsraksts2"/>
        <w:numPr>
          <w:ilvl w:val="1"/>
          <w:numId w:val="1"/>
        </w:numPr>
        <w:jc w:val="center"/>
        <w:rPr>
          <w:rFonts w:ascii="Times New Roman" w:hAnsi="Times New Roman" w:cs="Times New Roman"/>
          <w:b/>
          <w:bCs/>
          <w:color w:val="auto"/>
          <w:sz w:val="28"/>
          <w:szCs w:val="28"/>
        </w:rPr>
      </w:pPr>
      <w:bookmarkStart w:id="7" w:name="_Toc162957767"/>
      <w:r w:rsidRPr="00D96194">
        <w:rPr>
          <w:rFonts w:ascii="Times New Roman" w:hAnsi="Times New Roman" w:cs="Times New Roman"/>
          <w:b/>
          <w:bCs/>
          <w:color w:val="auto"/>
          <w:sz w:val="28"/>
          <w:szCs w:val="28"/>
        </w:rPr>
        <w:t>Iekšējās kontroles sistēmas politikas un procedūras izstrāde</w:t>
      </w:r>
      <w:bookmarkEnd w:id="7"/>
      <w:r w:rsidRPr="00D96194">
        <w:rPr>
          <w:rFonts w:ascii="Times New Roman" w:hAnsi="Times New Roman" w:cs="Times New Roman"/>
          <w:b/>
          <w:bCs/>
          <w:color w:val="auto"/>
          <w:sz w:val="28"/>
          <w:szCs w:val="28"/>
        </w:rPr>
        <w:t xml:space="preserve"> </w:t>
      </w:r>
    </w:p>
    <w:p w14:paraId="56404C4E" w14:textId="77777777" w:rsidR="0045426F" w:rsidRPr="00D96194" w:rsidRDefault="0045426F" w:rsidP="000C28DC">
      <w:pPr>
        <w:jc w:val="both"/>
      </w:pPr>
    </w:p>
    <w:p w14:paraId="6F4DD43A" w14:textId="783E470D"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Administratora</w:t>
      </w:r>
      <w:r w:rsidR="00F70114" w:rsidRPr="00D96194">
        <w:rPr>
          <w:rFonts w:ascii="Times New Roman" w:hAnsi="Times New Roman" w:cs="Times New Roman"/>
          <w:sz w:val="24"/>
          <w:szCs w:val="24"/>
        </w:rPr>
        <w:t>m</w:t>
      </w:r>
      <w:r w:rsidR="003D6849"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ir aktīvi </w:t>
      </w:r>
      <w:r w:rsidR="00BF5DCE" w:rsidRPr="00D96194">
        <w:rPr>
          <w:rFonts w:ascii="Times New Roman" w:hAnsi="Times New Roman" w:cs="Times New Roman"/>
          <w:sz w:val="24"/>
          <w:szCs w:val="24"/>
        </w:rPr>
        <w:t>jā</w:t>
      </w:r>
      <w:r w:rsidRPr="00D96194">
        <w:rPr>
          <w:rFonts w:ascii="Times New Roman" w:hAnsi="Times New Roman" w:cs="Times New Roman"/>
          <w:sz w:val="24"/>
          <w:szCs w:val="24"/>
        </w:rPr>
        <w:t>novēr</w:t>
      </w:r>
      <w:r w:rsidR="00BF5DCE" w:rsidRPr="00D96194">
        <w:rPr>
          <w:rFonts w:ascii="Times New Roman" w:hAnsi="Times New Roman" w:cs="Times New Roman"/>
          <w:sz w:val="24"/>
          <w:szCs w:val="24"/>
        </w:rPr>
        <w:t>š</w:t>
      </w:r>
      <w:r w:rsidRPr="00D96194">
        <w:rPr>
          <w:rFonts w:ascii="Times New Roman" w:hAnsi="Times New Roman" w:cs="Times New Roman"/>
          <w:sz w:val="24"/>
          <w:szCs w:val="24"/>
        </w:rPr>
        <w:t xml:space="preserve"> iespējamīb</w:t>
      </w:r>
      <w:r w:rsidR="00BF5DCE" w:rsidRPr="00D96194">
        <w:rPr>
          <w:rFonts w:ascii="Times New Roman" w:hAnsi="Times New Roman" w:cs="Times New Roman"/>
          <w:sz w:val="24"/>
          <w:szCs w:val="24"/>
        </w:rPr>
        <w:t>a</w:t>
      </w:r>
      <w:r w:rsidRPr="00D96194">
        <w:rPr>
          <w:rFonts w:ascii="Times New Roman" w:hAnsi="Times New Roman" w:cs="Times New Roman"/>
          <w:sz w:val="24"/>
          <w:szCs w:val="24"/>
        </w:rPr>
        <w:t xml:space="preserve"> tikt izmantotam sankciju režīma apiešanā vai pārkāpšanā.</w:t>
      </w:r>
    </w:p>
    <w:p w14:paraId="642F79EB" w14:textId="142B5B19"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Lai šo mērķi sasniegtu, </w:t>
      </w:r>
      <w:r w:rsidR="00055C65" w:rsidRPr="00D96194">
        <w:rPr>
          <w:rFonts w:ascii="Times New Roman" w:hAnsi="Times New Roman" w:cs="Times New Roman"/>
          <w:sz w:val="24"/>
          <w:szCs w:val="24"/>
        </w:rPr>
        <w:t>A</w:t>
      </w:r>
      <w:r w:rsidRPr="00D96194">
        <w:rPr>
          <w:rFonts w:ascii="Times New Roman" w:hAnsi="Times New Roman" w:cs="Times New Roman"/>
          <w:sz w:val="24"/>
          <w:szCs w:val="24"/>
        </w:rPr>
        <w:t>dministratoram ir:</w:t>
      </w:r>
    </w:p>
    <w:p w14:paraId="68D1B5AB" w14:textId="0838C439" w:rsidR="002E198A" w:rsidRPr="00D96194" w:rsidRDefault="00D043D7"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w:t>
      </w:r>
      <w:r w:rsidR="002E198A" w:rsidRPr="00D96194">
        <w:rPr>
          <w:rFonts w:ascii="Times New Roman" w:hAnsi="Times New Roman" w:cs="Times New Roman"/>
          <w:sz w:val="24"/>
          <w:szCs w:val="24"/>
        </w:rPr>
        <w:t xml:space="preserve">āveic </w:t>
      </w:r>
      <w:r w:rsidR="00055C65" w:rsidRPr="00D96194">
        <w:rPr>
          <w:rFonts w:ascii="Times New Roman" w:hAnsi="Times New Roman" w:cs="Times New Roman"/>
          <w:sz w:val="24"/>
          <w:szCs w:val="24"/>
        </w:rPr>
        <w:t>K</w:t>
      </w:r>
      <w:r w:rsidR="002E198A" w:rsidRPr="00D96194">
        <w:rPr>
          <w:rFonts w:ascii="Times New Roman" w:hAnsi="Times New Roman" w:cs="Times New Roman"/>
          <w:sz w:val="24"/>
          <w:szCs w:val="24"/>
        </w:rPr>
        <w:t>lientu identifikācija un izpēte;</w:t>
      </w:r>
    </w:p>
    <w:p w14:paraId="0C651B32" w14:textId="0E09A8EC"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jāpārliecinās, vai </w:t>
      </w:r>
      <w:r w:rsidR="00A305D0">
        <w:rPr>
          <w:rFonts w:ascii="Times New Roman" w:hAnsi="Times New Roman" w:cs="Times New Roman"/>
          <w:sz w:val="24"/>
          <w:szCs w:val="24"/>
        </w:rPr>
        <w:t>attiecībā uz visiem Klientiem nav noteiktas vai nav attiecināmas sankcijas</w:t>
      </w:r>
      <w:r w:rsidRPr="00D96194">
        <w:rPr>
          <w:rFonts w:ascii="Times New Roman" w:hAnsi="Times New Roman" w:cs="Times New Roman"/>
          <w:sz w:val="24"/>
          <w:szCs w:val="24"/>
        </w:rPr>
        <w:t>;</w:t>
      </w:r>
    </w:p>
    <w:p w14:paraId="1DD0F315" w14:textId="328A43A5"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jāizmanto riska pazīmes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lientu un to darījumu uzraudzībā;</w:t>
      </w:r>
    </w:p>
    <w:p w14:paraId="15420722" w14:textId="7D51D426" w:rsidR="00D043D7" w:rsidRPr="00D96194" w:rsidRDefault="00D043D7"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jāveic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lienta riska novērtējums;</w:t>
      </w:r>
    </w:p>
    <w:p w14:paraId="740A1CA8" w14:textId="7D290DBF"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jāziņo atbildīgajām institūcijām</w:t>
      </w:r>
      <w:r w:rsidRPr="00D96194">
        <w:rPr>
          <w:rStyle w:val="Vresatsauce"/>
          <w:rFonts w:ascii="Times New Roman" w:hAnsi="Times New Roman" w:cs="Times New Roman"/>
          <w:sz w:val="24"/>
          <w:szCs w:val="24"/>
        </w:rPr>
        <w:footnoteReference w:id="4"/>
      </w:r>
      <w:r w:rsidRPr="00D96194">
        <w:rPr>
          <w:rFonts w:ascii="Times New Roman" w:hAnsi="Times New Roman" w:cs="Times New Roman"/>
          <w:sz w:val="24"/>
          <w:szCs w:val="24"/>
        </w:rPr>
        <w:t xml:space="preserve">, ja maksātnespējas procesa ietvaros pastāv aizdomas par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lienta iespējamu iesaisti sankciju režīma apiešanā</w:t>
      </w:r>
      <w:r w:rsidR="00F22E7A" w:rsidRPr="00D96194">
        <w:rPr>
          <w:rFonts w:ascii="Times New Roman" w:hAnsi="Times New Roman" w:cs="Times New Roman"/>
          <w:sz w:val="24"/>
          <w:szCs w:val="24"/>
        </w:rPr>
        <w:t xml:space="preserve">, </w:t>
      </w:r>
      <w:r w:rsidR="00055C65" w:rsidRPr="00D96194">
        <w:rPr>
          <w:rFonts w:ascii="Times New Roman" w:hAnsi="Times New Roman" w:cs="Times New Roman"/>
          <w:sz w:val="24"/>
          <w:szCs w:val="24"/>
        </w:rPr>
        <w:t>pārkāpšanā</w:t>
      </w:r>
      <w:r w:rsidR="00F22E7A" w:rsidRPr="00D96194">
        <w:rPr>
          <w:rFonts w:ascii="Times New Roman" w:hAnsi="Times New Roman" w:cs="Times New Roman"/>
          <w:sz w:val="24"/>
          <w:szCs w:val="24"/>
        </w:rPr>
        <w:t xml:space="preserve"> vai mēģinājumā izvairīties no tām</w:t>
      </w:r>
      <w:r w:rsidRPr="00D96194">
        <w:rPr>
          <w:rFonts w:ascii="Times New Roman" w:hAnsi="Times New Roman" w:cs="Times New Roman"/>
          <w:sz w:val="24"/>
          <w:szCs w:val="24"/>
        </w:rPr>
        <w:t>;</w:t>
      </w:r>
    </w:p>
    <w:p w14:paraId="42FA436E" w14:textId="77777777" w:rsidR="00B16450" w:rsidRPr="00D96194" w:rsidRDefault="00B16450" w:rsidP="00B16450">
      <w:pPr>
        <w:pStyle w:val="Sarakstarindkopa"/>
        <w:numPr>
          <w:ilvl w:val="0"/>
          <w:numId w:val="10"/>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jānodrošina, ka tam ir nepieciešamās zināšanas par atbilstošajām procedūrām, lai nodrošinātu mērķa sasniegšanu.</w:t>
      </w:r>
    </w:p>
    <w:p w14:paraId="3B7C5930" w14:textId="5E528A79" w:rsidR="00B16450" w:rsidRPr="00D96194" w:rsidRDefault="00B16450"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B546BB" w:rsidRPr="00D96194">
        <w:rPr>
          <w:rFonts w:ascii="Times New Roman" w:hAnsi="Times New Roman" w:cs="Times New Roman"/>
          <w:sz w:val="24"/>
          <w:szCs w:val="24"/>
        </w:rPr>
        <w:t>s nav tiesīgs</w:t>
      </w:r>
      <w:r w:rsidRPr="00D96194">
        <w:rPr>
          <w:rFonts w:ascii="Times New Roman" w:hAnsi="Times New Roman" w:cs="Times New Roman"/>
          <w:sz w:val="24"/>
          <w:szCs w:val="24"/>
        </w:rPr>
        <w:t xml:space="preserve"> </w:t>
      </w:r>
      <w:r w:rsidR="00B546BB" w:rsidRPr="00D96194">
        <w:rPr>
          <w:rFonts w:ascii="Times New Roman" w:hAnsi="Times New Roman" w:cs="Times New Roman"/>
          <w:sz w:val="24"/>
          <w:szCs w:val="24"/>
        </w:rPr>
        <w:t>veikt</w:t>
      </w:r>
      <w:r w:rsidRPr="00D96194">
        <w:rPr>
          <w:rFonts w:ascii="Times New Roman" w:hAnsi="Times New Roman" w:cs="Times New Roman"/>
          <w:sz w:val="24"/>
          <w:szCs w:val="24"/>
        </w:rPr>
        <w:t xml:space="preserve"> darbības, kas pieļauj vai veicina sankciju režīma apiešanu</w:t>
      </w:r>
      <w:r w:rsidR="0016121E" w:rsidRPr="00D96194">
        <w:rPr>
          <w:rFonts w:ascii="Times New Roman" w:hAnsi="Times New Roman" w:cs="Times New Roman"/>
          <w:sz w:val="24"/>
          <w:szCs w:val="24"/>
        </w:rPr>
        <w:t>, pārkāpšanu</w:t>
      </w:r>
      <w:r w:rsidRPr="00D96194">
        <w:rPr>
          <w:rFonts w:ascii="Times New Roman" w:hAnsi="Times New Roman" w:cs="Times New Roman"/>
          <w:sz w:val="24"/>
          <w:szCs w:val="24"/>
        </w:rPr>
        <w:t xml:space="preserve"> vai izvairīšanos no sankciju izpildes.</w:t>
      </w:r>
    </w:p>
    <w:p w14:paraId="040CC470" w14:textId="6BC05A65" w:rsidR="00D043D7" w:rsidRPr="00D96194" w:rsidRDefault="00D043D7" w:rsidP="00B16450">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Administratoram ir jāparedz procedūra un kārtība, kā tiek pārskatīta un aktualizēta Iekšējā</w:t>
      </w:r>
      <w:r w:rsidR="008064AF">
        <w:rPr>
          <w:rFonts w:ascii="Times New Roman" w:hAnsi="Times New Roman" w:cs="Times New Roman"/>
          <w:sz w:val="24"/>
          <w:szCs w:val="24"/>
        </w:rPr>
        <w:t>s</w:t>
      </w:r>
      <w:r w:rsidRPr="00D96194">
        <w:rPr>
          <w:rFonts w:ascii="Times New Roman" w:hAnsi="Times New Roman" w:cs="Times New Roman"/>
          <w:sz w:val="24"/>
          <w:szCs w:val="24"/>
        </w:rPr>
        <w:t xml:space="preserve"> kontroles sistēma</w:t>
      </w:r>
      <w:r w:rsidR="00713A7D" w:rsidRPr="00D96194">
        <w:rPr>
          <w:rFonts w:ascii="Times New Roman" w:hAnsi="Times New Roman" w:cs="Times New Roman"/>
          <w:sz w:val="24"/>
          <w:szCs w:val="24"/>
        </w:rPr>
        <w:t>, nosakot, ka tas notiek regulāri, bet ne retāk kā reiz</w:t>
      </w:r>
      <w:r w:rsidR="00BF5DCE" w:rsidRPr="00D96194">
        <w:rPr>
          <w:rFonts w:ascii="Times New Roman" w:hAnsi="Times New Roman" w:cs="Times New Roman"/>
          <w:sz w:val="24"/>
          <w:szCs w:val="24"/>
        </w:rPr>
        <w:t>i</w:t>
      </w:r>
      <w:r w:rsidR="00713A7D" w:rsidRPr="00D96194">
        <w:rPr>
          <w:rFonts w:ascii="Times New Roman" w:hAnsi="Times New Roman" w:cs="Times New Roman"/>
          <w:sz w:val="24"/>
          <w:szCs w:val="24"/>
        </w:rPr>
        <w:t xml:space="preserve"> 18 mēnešos. </w:t>
      </w:r>
    </w:p>
    <w:p w14:paraId="3A23BE00" w14:textId="5250F69C" w:rsidR="00F911EF" w:rsidRPr="00D96194" w:rsidRDefault="00D043D7" w:rsidP="000266FB">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jāparedz procedūra un kārtība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lientu izpētes gaitā iegūtās informācijas un dokumentu </w:t>
      </w:r>
      <w:r w:rsidR="0079622F" w:rsidRPr="00D96194">
        <w:rPr>
          <w:rFonts w:ascii="Times New Roman" w:hAnsi="Times New Roman" w:cs="Times New Roman"/>
          <w:sz w:val="24"/>
          <w:szCs w:val="24"/>
        </w:rPr>
        <w:t>saglabāšanai</w:t>
      </w:r>
      <w:r w:rsidR="008064AF">
        <w:rPr>
          <w:rFonts w:ascii="Times New Roman" w:hAnsi="Times New Roman" w:cs="Times New Roman"/>
          <w:sz w:val="24"/>
          <w:szCs w:val="24"/>
        </w:rPr>
        <w:t>,</w:t>
      </w:r>
      <w:r w:rsidR="0079622F" w:rsidRPr="00D96194">
        <w:rPr>
          <w:rFonts w:ascii="Times New Roman" w:hAnsi="Times New Roman" w:cs="Times New Roman"/>
          <w:sz w:val="24"/>
          <w:szCs w:val="24"/>
        </w:rPr>
        <w:t xml:space="preserve"> </w:t>
      </w:r>
      <w:r w:rsidRPr="00D96194">
        <w:rPr>
          <w:rFonts w:ascii="Times New Roman" w:hAnsi="Times New Roman" w:cs="Times New Roman"/>
          <w:sz w:val="24"/>
          <w:szCs w:val="24"/>
        </w:rPr>
        <w:t>pārskatīšanai un aktualizēšanai</w:t>
      </w:r>
      <w:r w:rsidR="00713A7D" w:rsidRPr="00D96194">
        <w:rPr>
          <w:rFonts w:ascii="Times New Roman" w:hAnsi="Times New Roman" w:cs="Times New Roman"/>
          <w:sz w:val="24"/>
          <w:szCs w:val="24"/>
        </w:rPr>
        <w:t xml:space="preserve">, noskatot, ka tas notiek regulāri, bet ne retāk kā reizi piecos gados. </w:t>
      </w:r>
    </w:p>
    <w:p w14:paraId="7C96B924" w14:textId="77777777" w:rsidR="00353A2A" w:rsidRPr="00D96194" w:rsidRDefault="00353A2A" w:rsidP="00353A2A">
      <w:pPr>
        <w:spacing w:after="0" w:line="360" w:lineRule="auto"/>
        <w:jc w:val="both"/>
        <w:rPr>
          <w:rFonts w:ascii="Times New Roman" w:hAnsi="Times New Roman" w:cs="Times New Roman"/>
          <w:sz w:val="24"/>
          <w:szCs w:val="24"/>
        </w:rPr>
      </w:pPr>
    </w:p>
    <w:p w14:paraId="0BCDD2CB" w14:textId="77777777" w:rsidR="00CF12D0" w:rsidRPr="00D96194" w:rsidRDefault="00CF12D0" w:rsidP="00353A2A">
      <w:pPr>
        <w:spacing w:after="0" w:line="360" w:lineRule="auto"/>
        <w:jc w:val="both"/>
        <w:rPr>
          <w:rFonts w:ascii="Times New Roman" w:hAnsi="Times New Roman" w:cs="Times New Roman"/>
          <w:sz w:val="24"/>
          <w:szCs w:val="24"/>
        </w:rPr>
      </w:pPr>
    </w:p>
    <w:p w14:paraId="3215484D" w14:textId="40FBC128" w:rsidR="00712D00" w:rsidRPr="00D96194" w:rsidRDefault="00934264" w:rsidP="00641EFB">
      <w:pPr>
        <w:pStyle w:val="Virsraksts2"/>
        <w:numPr>
          <w:ilvl w:val="1"/>
          <w:numId w:val="1"/>
        </w:numPr>
        <w:jc w:val="center"/>
        <w:rPr>
          <w:rFonts w:ascii="Times New Roman" w:hAnsi="Times New Roman" w:cs="Times New Roman"/>
          <w:b/>
          <w:bCs/>
          <w:color w:val="auto"/>
          <w:sz w:val="28"/>
          <w:szCs w:val="28"/>
        </w:rPr>
      </w:pPr>
      <w:bookmarkStart w:id="8" w:name="_Toc162957768"/>
      <w:r w:rsidRPr="00D96194">
        <w:rPr>
          <w:rFonts w:ascii="Times New Roman" w:hAnsi="Times New Roman" w:cs="Times New Roman"/>
          <w:b/>
          <w:bCs/>
          <w:color w:val="auto"/>
          <w:sz w:val="28"/>
          <w:szCs w:val="28"/>
        </w:rPr>
        <w:t>Klienta izpēte</w:t>
      </w:r>
      <w:r w:rsidR="00F911EF" w:rsidRPr="00D96194">
        <w:rPr>
          <w:rFonts w:ascii="Times New Roman" w:hAnsi="Times New Roman" w:cs="Times New Roman"/>
          <w:b/>
          <w:bCs/>
          <w:color w:val="auto"/>
          <w:sz w:val="28"/>
          <w:szCs w:val="28"/>
        </w:rPr>
        <w:t xml:space="preserve"> un riska novērtēšana</w:t>
      </w:r>
      <w:bookmarkEnd w:id="8"/>
    </w:p>
    <w:p w14:paraId="76FB3EBB" w14:textId="77777777" w:rsidR="008F6402" w:rsidRPr="00D96194" w:rsidRDefault="008F6402" w:rsidP="000C16E6"/>
    <w:p w14:paraId="43129C0A" w14:textId="38E2E5DE" w:rsidR="006D1803" w:rsidRPr="00D96194" w:rsidRDefault="006D1803"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jāveic</w:t>
      </w:r>
      <w:r w:rsidRPr="00D96194">
        <w:rPr>
          <w:rFonts w:ascii="Times New Roman" w:hAnsi="Times New Roman" w:cs="Times New Roman"/>
          <w:sz w:val="24"/>
          <w:szCs w:val="24"/>
        </w:rPr>
        <w:t xml:space="preserve"> </w:t>
      </w:r>
      <w:r w:rsidR="00055C65" w:rsidRPr="00D96194">
        <w:rPr>
          <w:rFonts w:ascii="Times New Roman" w:hAnsi="Times New Roman" w:cs="Times New Roman"/>
          <w:sz w:val="24"/>
          <w:szCs w:val="24"/>
        </w:rPr>
        <w:t>K</w:t>
      </w:r>
      <w:r w:rsidRPr="00D96194">
        <w:rPr>
          <w:rFonts w:ascii="Times New Roman" w:hAnsi="Times New Roman" w:cs="Times New Roman"/>
          <w:sz w:val="24"/>
          <w:szCs w:val="24"/>
        </w:rPr>
        <w:t>lienta izpētes pasākumus saistībā Starptautisko</w:t>
      </w:r>
      <w:r w:rsidR="0016121E"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ievērošanu</w:t>
      </w:r>
      <w:r w:rsidR="00417B94" w:rsidRPr="00D96194">
        <w:rPr>
          <w:rFonts w:ascii="Times New Roman" w:hAnsi="Times New Roman" w:cs="Times New Roman"/>
          <w:sz w:val="24"/>
          <w:szCs w:val="24"/>
        </w:rPr>
        <w:t>,</w:t>
      </w:r>
      <w:r w:rsidRPr="00D96194">
        <w:rPr>
          <w:rFonts w:ascii="Times New Roman" w:hAnsi="Times New Roman" w:cs="Times New Roman"/>
          <w:sz w:val="24"/>
          <w:szCs w:val="24"/>
        </w:rPr>
        <w:t xml:space="preserve"> ievērojot NILLTPF novēršanas iekšējās kontroles sistēmā noteikto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 izpētes procesu tiktāl, cik tas ir attiecināms uz sankciju riska </w:t>
      </w:r>
      <w:r w:rsidR="00A16AE1" w:rsidRPr="00D96194">
        <w:rPr>
          <w:rFonts w:ascii="Times New Roman" w:hAnsi="Times New Roman" w:cs="Times New Roman"/>
          <w:sz w:val="24"/>
          <w:szCs w:val="24"/>
        </w:rPr>
        <w:t>novērtējumu</w:t>
      </w:r>
      <w:r w:rsidRPr="00D96194">
        <w:rPr>
          <w:rFonts w:ascii="Times New Roman" w:hAnsi="Times New Roman" w:cs="Times New Roman"/>
          <w:sz w:val="24"/>
          <w:szCs w:val="24"/>
        </w:rPr>
        <w:t>.</w:t>
      </w:r>
    </w:p>
    <w:p w14:paraId="2074E23A" w14:textId="2DF5450D" w:rsidR="00B546BB" w:rsidRPr="00D96194" w:rsidRDefault="00764B7C"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Vienlaikus ar Klienta NILLTPF riska noteikšanu Administratoram ir jāizvērtē Klienta sankciju riskus</w:t>
      </w:r>
      <w:r w:rsidR="00F22E7A" w:rsidRPr="00D96194">
        <w:rPr>
          <w:rFonts w:ascii="Times New Roman" w:hAnsi="Times New Roman" w:cs="Times New Roman"/>
          <w:sz w:val="24"/>
          <w:szCs w:val="24"/>
        </w:rPr>
        <w:t xml:space="preserve">. </w:t>
      </w:r>
      <w:r w:rsidR="0079622F" w:rsidRPr="00D96194">
        <w:rPr>
          <w:rFonts w:ascii="Times New Roman" w:hAnsi="Times New Roman" w:cs="Times New Roman"/>
          <w:sz w:val="24"/>
          <w:szCs w:val="24"/>
        </w:rPr>
        <w:t>Š</w:t>
      </w:r>
      <w:r w:rsidR="00B546BB" w:rsidRPr="00D96194">
        <w:rPr>
          <w:rFonts w:ascii="Times New Roman" w:hAnsi="Times New Roman" w:cs="Times New Roman"/>
          <w:sz w:val="24"/>
          <w:szCs w:val="24"/>
        </w:rPr>
        <w:t xml:space="preserve">o </w:t>
      </w:r>
      <w:r w:rsidR="0079622F" w:rsidRPr="00D96194">
        <w:rPr>
          <w:rFonts w:ascii="Times New Roman" w:hAnsi="Times New Roman" w:cs="Times New Roman"/>
          <w:sz w:val="24"/>
          <w:szCs w:val="24"/>
        </w:rPr>
        <w:t>V</w:t>
      </w:r>
      <w:r w:rsidR="00B546BB" w:rsidRPr="00D96194">
        <w:rPr>
          <w:rFonts w:ascii="Times New Roman" w:hAnsi="Times New Roman" w:cs="Times New Roman"/>
          <w:sz w:val="24"/>
          <w:szCs w:val="24"/>
        </w:rPr>
        <w:t xml:space="preserve">adlīniju pielikumā </w:t>
      </w:r>
      <w:r w:rsidR="0079622F" w:rsidRPr="00D96194">
        <w:rPr>
          <w:rFonts w:ascii="Times New Roman" w:hAnsi="Times New Roman" w:cs="Times New Roman"/>
          <w:sz w:val="24"/>
          <w:szCs w:val="24"/>
        </w:rPr>
        <w:t xml:space="preserve">pievienota </w:t>
      </w:r>
      <w:r w:rsidR="00B546BB" w:rsidRPr="00D96194">
        <w:rPr>
          <w:rFonts w:ascii="Times New Roman" w:hAnsi="Times New Roman" w:cs="Times New Roman"/>
          <w:sz w:val="24"/>
          <w:szCs w:val="24"/>
        </w:rPr>
        <w:t>veidlap</w:t>
      </w:r>
      <w:r w:rsidR="0079622F" w:rsidRPr="00D96194">
        <w:rPr>
          <w:rFonts w:ascii="Times New Roman" w:hAnsi="Times New Roman" w:cs="Times New Roman"/>
          <w:sz w:val="24"/>
          <w:szCs w:val="24"/>
        </w:rPr>
        <w:t>a, kuru, pielāgojot Administratora vajadzībām, var izmantot Klienta sankciju riska noteikšanai.</w:t>
      </w:r>
    </w:p>
    <w:p w14:paraId="5CF0D4E9" w14:textId="6A629ECE" w:rsidR="00B546BB" w:rsidRPr="00D96194" w:rsidRDefault="00B546BB" w:rsidP="000C16E6">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Administratora Klienti atbilstoši sankciju riskiem tiek iedalīti zema, vidēja vai aug</w:t>
      </w:r>
      <w:r w:rsidR="00A8078F" w:rsidRPr="00D96194">
        <w:rPr>
          <w:rFonts w:ascii="Times New Roman" w:hAnsi="Times New Roman" w:cs="Times New Roman"/>
          <w:sz w:val="24"/>
          <w:szCs w:val="24"/>
        </w:rPr>
        <w:t>s</w:t>
      </w:r>
      <w:r w:rsidRPr="00D96194">
        <w:rPr>
          <w:rFonts w:ascii="Times New Roman" w:hAnsi="Times New Roman" w:cs="Times New Roman"/>
          <w:sz w:val="24"/>
          <w:szCs w:val="24"/>
        </w:rPr>
        <w:t>ta riska klientos:</w:t>
      </w:r>
    </w:p>
    <w:p w14:paraId="75AD190A" w14:textId="73994F7C"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Zems risks</w:t>
      </w:r>
      <w:r w:rsidRPr="00D96194">
        <w:rPr>
          <w:rFonts w:ascii="Times New Roman" w:hAnsi="Times New Roman" w:cs="Times New Roman"/>
          <w:sz w:val="24"/>
          <w:szCs w:val="24"/>
        </w:rPr>
        <w:t xml:space="preserve"> – ja </w:t>
      </w:r>
      <w:r w:rsidR="00A16AE1" w:rsidRPr="00D96194">
        <w:rPr>
          <w:rFonts w:ascii="Times New Roman" w:hAnsi="Times New Roman" w:cs="Times New Roman"/>
          <w:sz w:val="24"/>
          <w:szCs w:val="24"/>
        </w:rPr>
        <w:t>K</w:t>
      </w:r>
      <w:r w:rsidRPr="00D96194">
        <w:rPr>
          <w:rFonts w:ascii="Times New Roman" w:hAnsi="Times New Roman" w:cs="Times New Roman"/>
          <w:sz w:val="24"/>
          <w:szCs w:val="24"/>
        </w:rPr>
        <w:t>lientu neraksturo neviens risku paaugstinošs faktors un to raksturo vismaz viens risku pazeminošs faktors;</w:t>
      </w:r>
    </w:p>
    <w:p w14:paraId="04980D04" w14:textId="77777777"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Vidējs risks</w:t>
      </w:r>
      <w:r w:rsidRPr="00D96194">
        <w:rPr>
          <w:rFonts w:ascii="Times New Roman" w:hAnsi="Times New Roman" w:cs="Times New Roman"/>
          <w:sz w:val="24"/>
          <w:szCs w:val="24"/>
        </w:rPr>
        <w:t xml:space="preserve"> – ja:</w:t>
      </w:r>
    </w:p>
    <w:p w14:paraId="6394518C" w14:textId="5B8B4015"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 neraksturo neviens risku paaugstinošs faktors un neviens risku pazeminošs faktors vai</w:t>
      </w:r>
    </w:p>
    <w:p w14:paraId="4B51C22A" w14:textId="72265287"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noBreakHyphen/>
        <w:t>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raksturo ne vairāk kā divi risku paaugstinoši faktori, un Administrators pēc atsevišķa izvērtējuma ir raksturojis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kā vidēja riska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w:t>
      </w:r>
    </w:p>
    <w:p w14:paraId="02B10FCD" w14:textId="77777777" w:rsidR="00B546BB" w:rsidRPr="00D96194" w:rsidRDefault="00B546BB" w:rsidP="000C16E6">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b/>
          <w:bCs/>
          <w:sz w:val="24"/>
          <w:szCs w:val="24"/>
        </w:rPr>
        <w:t>Augsts risks</w:t>
      </w:r>
      <w:r w:rsidRPr="00D96194">
        <w:rPr>
          <w:rFonts w:ascii="Times New Roman" w:hAnsi="Times New Roman" w:cs="Times New Roman"/>
          <w:sz w:val="24"/>
          <w:szCs w:val="24"/>
        </w:rPr>
        <w:t xml:space="preserve"> – ja:</w:t>
      </w:r>
    </w:p>
    <w:p w14:paraId="24CEC5C9" w14:textId="4CE9848C" w:rsidR="00740C3B" w:rsidRPr="00D96194" w:rsidRDefault="00740C3B" w:rsidP="00657C27">
      <w:pPr>
        <w:spacing w:after="0" w:line="360" w:lineRule="auto"/>
        <w:ind w:left="2127"/>
        <w:jc w:val="both"/>
        <w:rPr>
          <w:rFonts w:ascii="Times New Roman" w:hAnsi="Times New Roman" w:cs="Times New Roman"/>
          <w:sz w:val="24"/>
          <w:szCs w:val="24"/>
        </w:rPr>
      </w:pPr>
      <w:r w:rsidRPr="00D96194">
        <w:rPr>
          <w:rFonts w:ascii="Times New Roman" w:hAnsi="Times New Roman" w:cs="Times New Roman"/>
          <w:sz w:val="24"/>
          <w:szCs w:val="24"/>
        </w:rPr>
        <w:t>- Klientu raksturo augsta riska faktors;</w:t>
      </w:r>
    </w:p>
    <w:p w14:paraId="06CBB8C3" w14:textId="45EC72D5" w:rsidR="00B546BB" w:rsidRPr="00D96194" w:rsidRDefault="00740C3B" w:rsidP="000C16E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B546BB" w:rsidRPr="00D96194">
        <w:rPr>
          <w:rFonts w:ascii="Times New Roman" w:hAnsi="Times New Roman" w:cs="Times New Roman"/>
          <w:sz w:val="24"/>
          <w:szCs w:val="24"/>
        </w:rPr>
        <w:t>Klientu raksturo vairāk nekā divi risku paaugstinoši faktori;</w:t>
      </w:r>
    </w:p>
    <w:p w14:paraId="1C360FDE" w14:textId="7B940A30" w:rsidR="00F436A6" w:rsidRPr="00D96194" w:rsidRDefault="00740C3B" w:rsidP="00F436A6">
      <w:pPr>
        <w:pStyle w:val="Sarakstarindkopa"/>
        <w:spacing w:after="0" w:line="360" w:lineRule="auto"/>
        <w:ind w:left="2160"/>
        <w:jc w:val="both"/>
        <w:rPr>
          <w:rFonts w:ascii="Times New Roman" w:hAnsi="Times New Roman" w:cs="Times New Roman"/>
          <w:sz w:val="24"/>
          <w:szCs w:val="24"/>
        </w:rPr>
      </w:pPr>
      <w:r w:rsidRPr="00D96194">
        <w:rPr>
          <w:rFonts w:ascii="Times New Roman" w:hAnsi="Times New Roman" w:cs="Times New Roman"/>
          <w:sz w:val="24"/>
          <w:szCs w:val="24"/>
        </w:rPr>
        <w:t>- </w:t>
      </w:r>
      <w:r w:rsidR="00B546BB" w:rsidRPr="00D96194">
        <w:rPr>
          <w:rFonts w:ascii="Times New Roman" w:hAnsi="Times New Roman" w:cs="Times New Roman"/>
          <w:sz w:val="24"/>
          <w:szCs w:val="24"/>
        </w:rPr>
        <w:t xml:space="preserve">Klientu raksturo mazāk nekā trīs risku paaugstinoši faktori, un Administrators pēc atsevišķa izvērtējuma ir raksturojis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 xml:space="preserve">lientu kā augsta riska </w:t>
      </w:r>
      <w:r w:rsidR="00A16AE1" w:rsidRPr="00D96194">
        <w:rPr>
          <w:rFonts w:ascii="Times New Roman" w:hAnsi="Times New Roman" w:cs="Times New Roman"/>
          <w:sz w:val="24"/>
          <w:szCs w:val="24"/>
        </w:rPr>
        <w:t>K</w:t>
      </w:r>
      <w:r w:rsidR="00B546BB" w:rsidRPr="00D96194">
        <w:rPr>
          <w:rFonts w:ascii="Times New Roman" w:hAnsi="Times New Roman" w:cs="Times New Roman"/>
          <w:sz w:val="24"/>
          <w:szCs w:val="24"/>
        </w:rPr>
        <w:t>lientu</w:t>
      </w:r>
      <w:r w:rsidR="00F436A6" w:rsidRPr="00D96194">
        <w:rPr>
          <w:rFonts w:ascii="Times New Roman" w:hAnsi="Times New Roman" w:cs="Times New Roman"/>
          <w:sz w:val="24"/>
          <w:szCs w:val="24"/>
        </w:rPr>
        <w:t>.</w:t>
      </w:r>
    </w:p>
    <w:p w14:paraId="7729B744" w14:textId="3566CA15" w:rsidR="00F436A6" w:rsidRPr="00D96194" w:rsidRDefault="002D6708" w:rsidP="000F7515">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rPr>
        <w:t xml:space="preserve">Riska līmeņa noteikšana </w:t>
      </w:r>
      <w:r w:rsidR="00531637" w:rsidRPr="00D96194">
        <w:rPr>
          <w:rFonts w:ascii="Times New Roman" w:hAnsi="Times New Roman" w:cs="Times New Roman"/>
          <w:sz w:val="24"/>
          <w:szCs w:val="24"/>
        </w:rPr>
        <w:t>ir nepieciešana</w:t>
      </w:r>
      <w:r w:rsidRPr="00D96194">
        <w:rPr>
          <w:rFonts w:ascii="Times New Roman" w:hAnsi="Times New Roman" w:cs="Times New Roman"/>
          <w:sz w:val="24"/>
          <w:szCs w:val="24"/>
        </w:rPr>
        <w:t>, lai sankciju režīma uzraudzības procesa ietvaros Administrators ne tikai pārbaudītu savus Klientus, vai tie nav iekļauti sankciju sarakstos, bet arī spētu konstatēt iespējamus apzinātas izvairīšanās no sankciju izpildes gadījumus un ziņotu par to atbildīgajām iestādēm.</w:t>
      </w:r>
      <w:r w:rsidR="00531637" w:rsidRPr="00D96194">
        <w:rPr>
          <w:rFonts w:ascii="Times New Roman" w:hAnsi="Times New Roman" w:cs="Times New Roman"/>
          <w:sz w:val="24"/>
          <w:szCs w:val="24"/>
        </w:rPr>
        <w:t xml:space="preserve"> </w:t>
      </w:r>
      <w:r w:rsidR="00432A92" w:rsidRPr="00D96194">
        <w:rPr>
          <w:rFonts w:ascii="Times New Roman" w:hAnsi="Times New Roman" w:cs="Times New Roman"/>
          <w:sz w:val="24"/>
          <w:szCs w:val="24"/>
        </w:rPr>
        <w:t xml:space="preserve">Ja Klienta risks ir augsts, </w:t>
      </w:r>
      <w:r w:rsidR="00F436A6" w:rsidRPr="00D96194">
        <w:rPr>
          <w:rFonts w:ascii="Times New Roman" w:hAnsi="Times New Roman" w:cs="Times New Roman"/>
          <w:sz w:val="24"/>
          <w:szCs w:val="24"/>
        </w:rPr>
        <w:t>Administrators iegūst</w:t>
      </w:r>
      <w:r w:rsidR="00432A92" w:rsidRPr="00D96194">
        <w:rPr>
          <w:rFonts w:ascii="Times New Roman" w:hAnsi="Times New Roman" w:cs="Times New Roman"/>
          <w:sz w:val="24"/>
          <w:szCs w:val="24"/>
        </w:rPr>
        <w:t xml:space="preserve"> un izvērtē</w:t>
      </w:r>
      <w:r w:rsidR="00F436A6" w:rsidRPr="00D96194">
        <w:rPr>
          <w:rFonts w:ascii="Times New Roman" w:hAnsi="Times New Roman" w:cs="Times New Roman"/>
          <w:sz w:val="24"/>
          <w:szCs w:val="24"/>
        </w:rPr>
        <w:t xml:space="preserve"> papildu informāciju par Klientu, tā darbības procesiem, veiktajiem darījumiem, sniegtajiem pakalpojumiem un precēm</w:t>
      </w:r>
      <w:r w:rsidR="00432A92" w:rsidRPr="00D96194">
        <w:rPr>
          <w:rFonts w:ascii="Times New Roman" w:hAnsi="Times New Roman" w:cs="Times New Roman"/>
          <w:sz w:val="24"/>
          <w:szCs w:val="24"/>
        </w:rPr>
        <w:t xml:space="preserve"> u.tml. Proti, iegūst un izvērtē jebkuru papildu informāciju,</w:t>
      </w:r>
      <w:r w:rsidR="00EE4694" w:rsidRPr="00D96194">
        <w:rPr>
          <w:rFonts w:ascii="Times New Roman" w:hAnsi="Times New Roman" w:cs="Times New Roman"/>
          <w:sz w:val="24"/>
          <w:szCs w:val="24"/>
        </w:rPr>
        <w:t xml:space="preserve"> uz kuras pamata ir iespējams gūt</w:t>
      </w:r>
      <w:r w:rsidR="00432A92" w:rsidRPr="00D96194">
        <w:rPr>
          <w:rFonts w:ascii="Times New Roman" w:hAnsi="Times New Roman" w:cs="Times New Roman"/>
          <w:sz w:val="24"/>
          <w:szCs w:val="24"/>
        </w:rPr>
        <w:t xml:space="preserve"> pārliecību par to, ka Klients, neskatoties uz augsta riska pakāpi, nav iesaistīts sankciju pārkāpšanā vai apiešanā.</w:t>
      </w:r>
      <w:r w:rsidR="00531637" w:rsidRPr="00D96194">
        <w:rPr>
          <w:rFonts w:ascii="Times New Roman" w:hAnsi="Times New Roman" w:cs="Times New Roman"/>
          <w:sz w:val="24"/>
          <w:szCs w:val="24"/>
        </w:rPr>
        <w:t xml:space="preserve"> Augsts Klienta riska līmenis uzreiz nenozīmē izvairīšanos no sankciju izpildes.</w:t>
      </w:r>
    </w:p>
    <w:p w14:paraId="7C7A57C5" w14:textId="177B1281" w:rsidR="00C81063" w:rsidRPr="00D96194" w:rsidRDefault="00C81063" w:rsidP="009B1621">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Par </w:t>
      </w:r>
      <w:r w:rsidR="004E75D9" w:rsidRPr="00D96194">
        <w:rPr>
          <w:rFonts w:ascii="Times New Roman" w:hAnsi="Times New Roman" w:cs="Times New Roman"/>
          <w:sz w:val="24"/>
          <w:szCs w:val="24"/>
        </w:rPr>
        <w:t xml:space="preserve">Klienta </w:t>
      </w:r>
      <w:r w:rsidRPr="00D96194">
        <w:rPr>
          <w:rFonts w:ascii="Times New Roman" w:hAnsi="Times New Roman" w:cs="Times New Roman"/>
          <w:sz w:val="24"/>
          <w:szCs w:val="24"/>
        </w:rPr>
        <w:t>riska pakāpi</w:t>
      </w:r>
      <w:r w:rsidR="004E75D9" w:rsidRPr="00D96194">
        <w:rPr>
          <w:rFonts w:ascii="Times New Roman" w:hAnsi="Times New Roman" w:cs="Times New Roman"/>
          <w:sz w:val="24"/>
          <w:szCs w:val="24"/>
        </w:rPr>
        <w:t xml:space="preserve"> ietekmējošiem faktoriem</w:t>
      </w:r>
      <w:r w:rsidRPr="00D96194">
        <w:rPr>
          <w:rFonts w:ascii="Times New Roman" w:hAnsi="Times New Roman" w:cs="Times New Roman"/>
          <w:sz w:val="24"/>
          <w:szCs w:val="24"/>
        </w:rPr>
        <w:t xml:space="preserve"> var liecināt</w:t>
      </w:r>
      <w:r w:rsidR="003D0CC0" w:rsidRPr="00D96194">
        <w:rPr>
          <w:rStyle w:val="Vresatsauce"/>
          <w:rFonts w:ascii="Times New Roman" w:hAnsi="Times New Roman" w:cs="Times New Roman"/>
          <w:sz w:val="24"/>
          <w:szCs w:val="24"/>
        </w:rPr>
        <w:footnoteReference w:id="5"/>
      </w:r>
      <w:r w:rsidRPr="00D96194">
        <w:rPr>
          <w:rFonts w:ascii="Times New Roman" w:hAnsi="Times New Roman" w:cs="Times New Roman"/>
          <w:sz w:val="24"/>
          <w:szCs w:val="24"/>
        </w:rPr>
        <w:t>:</w:t>
      </w:r>
    </w:p>
    <w:p w14:paraId="70FC0E6F" w14:textId="2639E347" w:rsidR="007B0E53" w:rsidRPr="00D96194" w:rsidRDefault="007B0E53" w:rsidP="000C16E6">
      <w:pPr>
        <w:spacing w:after="0" w:line="360" w:lineRule="auto"/>
        <w:ind w:left="1134"/>
        <w:jc w:val="both"/>
        <w:rPr>
          <w:rFonts w:ascii="Times New Roman" w:hAnsi="Times New Roman" w:cs="Times New Roman"/>
          <w:b/>
          <w:bCs/>
          <w:sz w:val="24"/>
          <w:szCs w:val="24"/>
        </w:rPr>
      </w:pPr>
      <w:r w:rsidRPr="00D96194">
        <w:rPr>
          <w:rFonts w:ascii="Times New Roman" w:hAnsi="Times New Roman" w:cs="Times New Roman"/>
          <w:b/>
          <w:bCs/>
          <w:sz w:val="24"/>
          <w:szCs w:val="24"/>
        </w:rPr>
        <w:t xml:space="preserve">Klienta risks - </w:t>
      </w:r>
    </w:p>
    <w:p w14:paraId="4EBC0643" w14:textId="5A556A66" w:rsidR="00C81063" w:rsidRPr="00D96194" w:rsidRDefault="0006153F" w:rsidP="000F7515">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 xml:space="preserve">Ar </w:t>
      </w:r>
      <w:r w:rsidR="006F708F" w:rsidRPr="00D96194">
        <w:rPr>
          <w:rFonts w:ascii="Times New Roman" w:hAnsi="Times New Roman" w:cs="Times New Roman"/>
          <w:b/>
          <w:bCs/>
          <w:sz w:val="24"/>
          <w:szCs w:val="24"/>
        </w:rPr>
        <w:t>saimniecisko darbību un nozari</w:t>
      </w:r>
      <w:r w:rsidRPr="00D96194">
        <w:rPr>
          <w:rFonts w:ascii="Times New Roman" w:hAnsi="Times New Roman" w:cs="Times New Roman"/>
          <w:b/>
          <w:bCs/>
          <w:sz w:val="24"/>
          <w:szCs w:val="24"/>
        </w:rPr>
        <w:t xml:space="preserve"> saistīti</w:t>
      </w:r>
      <w:r w:rsidR="009B1621" w:rsidRPr="00D96194">
        <w:rPr>
          <w:rFonts w:ascii="Times New Roman" w:hAnsi="Times New Roman" w:cs="Times New Roman"/>
          <w:b/>
          <w:bCs/>
          <w:sz w:val="24"/>
          <w:szCs w:val="24"/>
        </w:rPr>
        <w:t>e</w:t>
      </w:r>
      <w:r w:rsidRPr="00D96194">
        <w:rPr>
          <w:rFonts w:ascii="Times New Roman" w:hAnsi="Times New Roman" w:cs="Times New Roman"/>
          <w:b/>
          <w:bCs/>
          <w:sz w:val="24"/>
          <w:szCs w:val="24"/>
        </w:rPr>
        <w:t xml:space="preserve"> riski:</w:t>
      </w:r>
    </w:p>
    <w:p w14:paraId="75ED7AA4" w14:textId="492598F3" w:rsidR="0006153F" w:rsidRPr="00D96194" w:rsidRDefault="00731431" w:rsidP="009B1621">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Klients ilgstoši nav veicis saimniecisko vai personisko darbību, bet pēc Starptautisko sankciju un Nacionālo sankciju stāšanās spēkā uzsāk aktīvu darbību (piemēram, veic un saņem maksājumus no Kazahstānas, Uzbekistānas, Serbijas, Turcijas, Āfrikas valstīm, Kirgizstānas, u.tml.</w:t>
      </w:r>
      <w:r w:rsidR="00E86ACD" w:rsidRPr="00D96194">
        <w:rPr>
          <w:rStyle w:val="Vresatsauce"/>
          <w:rFonts w:ascii="Times New Roman" w:hAnsi="Times New Roman" w:cs="Times New Roman"/>
          <w:sz w:val="24"/>
          <w:szCs w:val="24"/>
        </w:rPr>
        <w:footnoteReference w:id="6"/>
      </w:r>
      <w:r w:rsidRPr="00D96194">
        <w:rPr>
          <w:rFonts w:ascii="Times New Roman" w:hAnsi="Times New Roman" w:cs="Times New Roman"/>
          <w:sz w:val="24"/>
          <w:szCs w:val="24"/>
        </w:rPr>
        <w:t>) un/vai darījumiem piemīt tranzīta darījumu raksturs</w:t>
      </w:r>
      <w:r w:rsidR="0006153F" w:rsidRPr="00D96194">
        <w:rPr>
          <w:rFonts w:ascii="Times New Roman" w:hAnsi="Times New Roman" w:cs="Times New Roman"/>
          <w:sz w:val="24"/>
          <w:szCs w:val="24"/>
        </w:rPr>
        <w:t>;</w:t>
      </w:r>
    </w:p>
    <w:p w14:paraId="65CB27B7" w14:textId="3E046174" w:rsidR="00997DAF" w:rsidRPr="00D96194" w:rsidRDefault="00997DAF" w:rsidP="009B1621">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starpnieka iesaistīšanās sankciju subjekta darījumos. Nav skaidra iesaistīto darījuma partneru loma darījumu ķēdē;</w:t>
      </w:r>
    </w:p>
    <w:p w14:paraId="70F5A0CA" w14:textId="7DFFFBBE"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atvērti konti (vai izrāda aktīvu interesi atvērt kontus) finanšu iestādēs vienā vai vairākās</w:t>
      </w:r>
      <w:r w:rsidR="00815512" w:rsidRPr="00D96194">
        <w:rPr>
          <w:rFonts w:ascii="Times New Roman" w:hAnsi="Times New Roman" w:cs="Times New Roman"/>
          <w:sz w:val="24"/>
          <w:szCs w:val="24"/>
        </w:rPr>
        <w:t xml:space="preserve"> valstīs vai</w:t>
      </w:r>
      <w:r w:rsidRPr="00D96194">
        <w:rPr>
          <w:rFonts w:ascii="Times New Roman" w:hAnsi="Times New Roman" w:cs="Times New Roman"/>
          <w:sz w:val="24"/>
          <w:szCs w:val="24"/>
        </w:rPr>
        <w:t xml:space="preserve"> jurisdikcijās, kas nenoteic sankcijas pret Latvijai saistoša</w:t>
      </w:r>
      <w:r w:rsidR="00593F61" w:rsidRPr="00D96194">
        <w:rPr>
          <w:rFonts w:ascii="Times New Roman" w:hAnsi="Times New Roman" w:cs="Times New Roman"/>
          <w:sz w:val="24"/>
          <w:szCs w:val="24"/>
        </w:rPr>
        <w:t xml:space="preserve">jām </w:t>
      </w:r>
      <w:r w:rsidRPr="00D96194">
        <w:rPr>
          <w:rFonts w:ascii="Times New Roman" w:hAnsi="Times New Roman" w:cs="Times New Roman"/>
          <w:sz w:val="24"/>
          <w:szCs w:val="24"/>
        </w:rPr>
        <w:t>sankcijām pakļaut</w:t>
      </w:r>
      <w:r w:rsidR="00593F61" w:rsidRPr="00D96194">
        <w:rPr>
          <w:rFonts w:ascii="Times New Roman" w:hAnsi="Times New Roman" w:cs="Times New Roman"/>
          <w:sz w:val="24"/>
          <w:szCs w:val="24"/>
        </w:rPr>
        <w:t>ajām valstīm vai jurisdikcijām</w:t>
      </w:r>
      <w:r w:rsidRPr="00D96194">
        <w:rPr>
          <w:rFonts w:ascii="Times New Roman" w:hAnsi="Times New Roman" w:cs="Times New Roman"/>
          <w:sz w:val="24"/>
          <w:szCs w:val="24"/>
        </w:rPr>
        <w:t xml:space="preserve"> (piemēram, Kazahstāna, Uzbekistāna, Serbija, Turcija, Āfrikas valstis, Kirgizstāna, u.tml.);</w:t>
      </w:r>
    </w:p>
    <w:p w14:paraId="1A264DDF" w14:textId="15D42A4A"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preču eksportēšana uz Latvijai </w:t>
      </w:r>
      <w:r w:rsidR="00681F64" w:rsidRPr="00D96194">
        <w:rPr>
          <w:rFonts w:ascii="Times New Roman" w:hAnsi="Times New Roman" w:cs="Times New Roman"/>
          <w:sz w:val="24"/>
          <w:szCs w:val="24"/>
        </w:rPr>
        <w:t xml:space="preserve">saistošajām </w:t>
      </w:r>
      <w:r w:rsidRPr="00D96194">
        <w:rPr>
          <w:rFonts w:ascii="Times New Roman" w:hAnsi="Times New Roman" w:cs="Times New Roman"/>
          <w:sz w:val="24"/>
          <w:szCs w:val="24"/>
        </w:rPr>
        <w:t>sankcijām pakļautaj</w:t>
      </w:r>
      <w:r w:rsidR="009278B9" w:rsidRPr="00D96194">
        <w:rPr>
          <w:rFonts w:ascii="Times New Roman" w:hAnsi="Times New Roman" w:cs="Times New Roman"/>
          <w:sz w:val="24"/>
          <w:szCs w:val="24"/>
        </w:rPr>
        <w:t>ām</w:t>
      </w:r>
      <w:r w:rsidRPr="00D96194">
        <w:rPr>
          <w:rFonts w:ascii="Times New Roman" w:hAnsi="Times New Roman" w:cs="Times New Roman"/>
          <w:sz w:val="24"/>
          <w:szCs w:val="24"/>
        </w:rPr>
        <w:t xml:space="preserve"> </w:t>
      </w:r>
      <w:r w:rsidR="00681F64" w:rsidRPr="00D96194">
        <w:rPr>
          <w:rFonts w:ascii="Times New Roman" w:hAnsi="Times New Roman" w:cs="Times New Roman"/>
          <w:sz w:val="24"/>
          <w:szCs w:val="24"/>
        </w:rPr>
        <w:t xml:space="preserve">valstīm </w:t>
      </w:r>
      <w:r w:rsidRPr="00D96194">
        <w:rPr>
          <w:rFonts w:ascii="Times New Roman" w:hAnsi="Times New Roman" w:cs="Times New Roman"/>
          <w:sz w:val="24"/>
          <w:szCs w:val="24"/>
        </w:rPr>
        <w:t>(arī caur cit</w:t>
      </w:r>
      <w:r w:rsidR="008579D3" w:rsidRPr="00D96194">
        <w:rPr>
          <w:rFonts w:ascii="Times New Roman" w:hAnsi="Times New Roman" w:cs="Times New Roman"/>
          <w:sz w:val="24"/>
          <w:szCs w:val="24"/>
        </w:rPr>
        <w:t>ā</w:t>
      </w:r>
      <w:r w:rsidRPr="00D96194">
        <w:rPr>
          <w:rFonts w:ascii="Times New Roman" w:hAnsi="Times New Roman" w:cs="Times New Roman"/>
          <w:sz w:val="24"/>
          <w:szCs w:val="24"/>
        </w:rPr>
        <w:t xml:space="preserve">m valstīm, kaut gan gala saņemšanas valsts vai </w:t>
      </w:r>
      <w:r w:rsidR="008579D3" w:rsidRPr="00D96194">
        <w:rPr>
          <w:rFonts w:ascii="Times New Roman" w:hAnsi="Times New Roman" w:cs="Times New Roman"/>
          <w:sz w:val="24"/>
          <w:szCs w:val="24"/>
        </w:rPr>
        <w:t xml:space="preserve">jurisdikcija </w:t>
      </w:r>
      <w:r w:rsidRPr="00D96194">
        <w:rPr>
          <w:rFonts w:ascii="Times New Roman" w:hAnsi="Times New Roman" w:cs="Times New Roman"/>
          <w:sz w:val="24"/>
          <w:szCs w:val="24"/>
        </w:rPr>
        <w:t>ir sankcionēta);</w:t>
      </w:r>
    </w:p>
    <w:p w14:paraId="4A863635" w14:textId="1D1A67CB" w:rsidR="00997DAF" w:rsidRPr="00D96194" w:rsidRDefault="00593F61"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w:t>
      </w:r>
      <w:r w:rsidR="00997DAF" w:rsidRPr="00D96194">
        <w:rPr>
          <w:rFonts w:ascii="Times New Roman" w:hAnsi="Times New Roman" w:cs="Times New Roman"/>
          <w:sz w:val="24"/>
          <w:szCs w:val="24"/>
        </w:rPr>
        <w:t>iltoti dokumenti par preci, preču patieso saņēmēju, saņemšanas vietu;</w:t>
      </w:r>
    </w:p>
    <w:p w14:paraId="6C7CDE30" w14:textId="2FF7C9F1" w:rsidR="00997DAF" w:rsidRPr="00D96194" w:rsidRDefault="009278B9" w:rsidP="008579D3">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K</w:t>
      </w:r>
      <w:r w:rsidR="00997DAF" w:rsidRPr="00D96194">
        <w:rPr>
          <w:rFonts w:ascii="Times New Roman" w:hAnsi="Times New Roman" w:cs="Times New Roman"/>
          <w:sz w:val="24"/>
          <w:szCs w:val="24"/>
        </w:rPr>
        <w:t>lients mēģina izvairīties no informācijas sniegšanas vai mēģina slēpt savu saimniecisko darbību (juridiskās personas gadījumā izvairās</w:t>
      </w:r>
      <w:r w:rsidR="008579D3" w:rsidRPr="00D96194">
        <w:rPr>
          <w:rFonts w:ascii="Times New Roman" w:hAnsi="Times New Roman" w:cs="Times New Roman"/>
          <w:sz w:val="24"/>
          <w:szCs w:val="24"/>
        </w:rPr>
        <w:t xml:space="preserve"> </w:t>
      </w:r>
      <w:r w:rsidR="002D14BB">
        <w:rPr>
          <w:rFonts w:ascii="Times New Roman" w:hAnsi="Times New Roman" w:cs="Times New Roman"/>
          <w:sz w:val="24"/>
          <w:szCs w:val="24"/>
        </w:rPr>
        <w:t>p</w:t>
      </w:r>
      <w:r w:rsidR="002D14BB" w:rsidRPr="00D96194">
        <w:rPr>
          <w:rFonts w:ascii="Times New Roman" w:hAnsi="Times New Roman" w:cs="Times New Roman"/>
          <w:sz w:val="24"/>
          <w:szCs w:val="24"/>
        </w:rPr>
        <w:t xml:space="preserve">arādnieka </w:t>
      </w:r>
      <w:r w:rsidR="00997DAF" w:rsidRPr="00D96194">
        <w:rPr>
          <w:rFonts w:ascii="Times New Roman" w:hAnsi="Times New Roman" w:cs="Times New Roman"/>
          <w:sz w:val="24"/>
          <w:szCs w:val="24"/>
        </w:rPr>
        <w:t>pārstāvis);</w:t>
      </w:r>
    </w:p>
    <w:p w14:paraId="0D64CC2E" w14:textId="6F8838CE"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veiktas izmaiņas darbības procesos;</w:t>
      </w:r>
    </w:p>
    <w:p w14:paraId="6EF9B42F" w14:textId="66FA06CC"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veiktas izmaiņas preču un pakalpojumu saņemšanas un piegādes kanālos;</w:t>
      </w:r>
    </w:p>
    <w:p w14:paraId="5969005A" w14:textId="2C83CC16"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importa darījumos iesaistīti vairāki starpnieki;</w:t>
      </w:r>
    </w:p>
    <w:p w14:paraId="2C3F6D8A" w14:textId="3340C02C" w:rsidR="00997DAF" w:rsidRPr="00D96194" w:rsidRDefault="00997DAF" w:rsidP="00997DAF">
      <w:pPr>
        <w:pStyle w:val="Sarakstarindkopa"/>
        <w:numPr>
          <w:ilvl w:val="0"/>
          <w:numId w:val="15"/>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veikti darījumi ar personai neraksturīgām valūtām (piemēram, virtuālo valūtu);</w:t>
      </w:r>
    </w:p>
    <w:p w14:paraId="34461C49" w14:textId="791554B1" w:rsidR="009B1621" w:rsidRPr="00D96194" w:rsidRDefault="009B1621" w:rsidP="000F7515">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Ar īpašumtiesību struktūru saistīti</w:t>
      </w:r>
      <w:r w:rsidR="00A16AE1" w:rsidRPr="00D96194">
        <w:rPr>
          <w:rFonts w:ascii="Times New Roman" w:hAnsi="Times New Roman" w:cs="Times New Roman"/>
          <w:b/>
          <w:bCs/>
          <w:sz w:val="24"/>
          <w:szCs w:val="24"/>
        </w:rPr>
        <w:t>e</w:t>
      </w:r>
      <w:r w:rsidRPr="00D96194">
        <w:rPr>
          <w:rFonts w:ascii="Times New Roman" w:hAnsi="Times New Roman" w:cs="Times New Roman"/>
          <w:b/>
          <w:bCs/>
          <w:sz w:val="24"/>
          <w:szCs w:val="24"/>
        </w:rPr>
        <w:t xml:space="preserve"> riski:</w:t>
      </w:r>
    </w:p>
    <w:p w14:paraId="6C5D2A53" w14:textId="5CB4CDDE"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 xml:space="preserve">par Klienta </w:t>
      </w:r>
      <w:r w:rsidR="0061655A" w:rsidRPr="00D96194">
        <w:rPr>
          <w:rFonts w:ascii="Times New Roman" w:hAnsi="Times New Roman" w:cs="Times New Roman"/>
          <w:sz w:val="24"/>
          <w:szCs w:val="24"/>
        </w:rPr>
        <w:t>paties</w:t>
      </w:r>
      <w:r w:rsidR="0061655A">
        <w:rPr>
          <w:rFonts w:ascii="Times New Roman" w:hAnsi="Times New Roman" w:cs="Times New Roman"/>
          <w:sz w:val="24"/>
          <w:szCs w:val="24"/>
        </w:rPr>
        <w:t>o</w:t>
      </w:r>
      <w:r w:rsidR="0061655A" w:rsidRPr="00D96194">
        <w:rPr>
          <w:rFonts w:ascii="Times New Roman" w:hAnsi="Times New Roman" w:cs="Times New Roman"/>
          <w:sz w:val="24"/>
          <w:szCs w:val="24"/>
        </w:rPr>
        <w:t xml:space="preserve"> </w:t>
      </w:r>
      <w:r w:rsidRPr="00D96194">
        <w:rPr>
          <w:rFonts w:ascii="Times New Roman" w:hAnsi="Times New Roman" w:cs="Times New Roman"/>
          <w:sz w:val="24"/>
          <w:szCs w:val="24"/>
        </w:rPr>
        <w:t>labuma guvēju vai īpašnieku pēc Starptautisko sankciju un Nacionālo sankciju stāšanās spēkā tiek reģistrēta cita saistīta persona (piemēram, sankciju subjekta radinieks vai saistīta persona);</w:t>
      </w:r>
    </w:p>
    <w:p w14:paraId="00F80462" w14:textId="57FFA6D3"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bez skaidra ekonomiskā vai juridiskā pamatojuma ar atpakaļejošu datumu veikti mēģinājumi mainīt sankciju subjekta (t.sk. juridiskās personas, kas ir sankciju subjekta kontrolē) </w:t>
      </w:r>
      <w:r w:rsidR="0061655A" w:rsidRPr="00D96194">
        <w:rPr>
          <w:rFonts w:ascii="Times New Roman" w:hAnsi="Times New Roman" w:cs="Times New Roman"/>
          <w:sz w:val="24"/>
          <w:szCs w:val="24"/>
        </w:rPr>
        <w:t>paties</w:t>
      </w:r>
      <w:r w:rsidR="0061655A">
        <w:rPr>
          <w:rFonts w:ascii="Times New Roman" w:hAnsi="Times New Roman" w:cs="Times New Roman"/>
          <w:sz w:val="24"/>
          <w:szCs w:val="24"/>
        </w:rPr>
        <w:t>o</w:t>
      </w:r>
      <w:r w:rsidR="0061655A" w:rsidRPr="00D96194">
        <w:rPr>
          <w:rFonts w:ascii="Times New Roman" w:hAnsi="Times New Roman" w:cs="Times New Roman"/>
          <w:sz w:val="24"/>
          <w:szCs w:val="24"/>
        </w:rPr>
        <w:t xml:space="preserve"> </w:t>
      </w:r>
      <w:r w:rsidRPr="00D96194">
        <w:rPr>
          <w:rFonts w:ascii="Times New Roman" w:hAnsi="Times New Roman" w:cs="Times New Roman"/>
          <w:sz w:val="24"/>
          <w:szCs w:val="24"/>
        </w:rPr>
        <w:t>labuma guvēju, īpašumtiesību struktūru;</w:t>
      </w:r>
    </w:p>
    <w:p w14:paraId="7B788C5C" w14:textId="7DD0ABF0" w:rsidR="00997DAF" w:rsidRPr="00D96194" w:rsidRDefault="00997DAF" w:rsidP="00997DAF">
      <w:pPr>
        <w:pStyle w:val="Sarakstarindkopa"/>
        <w:numPr>
          <w:ilvl w:val="0"/>
          <w:numId w:val="23"/>
        </w:numPr>
        <w:spacing w:after="0" w:line="360" w:lineRule="auto"/>
        <w:ind w:left="2127" w:hanging="349"/>
        <w:jc w:val="both"/>
        <w:rPr>
          <w:rFonts w:ascii="Times New Roman" w:hAnsi="Times New Roman" w:cs="Times New Roman"/>
          <w:sz w:val="24"/>
          <w:szCs w:val="24"/>
        </w:rPr>
      </w:pPr>
      <w:r w:rsidRPr="00D96194">
        <w:rPr>
          <w:rFonts w:ascii="Times New Roman" w:hAnsi="Times New Roman" w:cs="Times New Roman"/>
          <w:sz w:val="24"/>
          <w:szCs w:val="24"/>
        </w:rPr>
        <w:t>Klientam piederošajai mantai tiek mainīts īpašnieks vai tiek mēģināts mainīt īpašnieku īsi pirms Starptautisko sankciju un Nacionālo sankciju stāšanās spēkā vai sankciju spēkā esamības laikā;</w:t>
      </w:r>
    </w:p>
    <w:p w14:paraId="3D73E095" w14:textId="73CF86F0" w:rsidR="00392215" w:rsidRPr="00D96194" w:rsidRDefault="00392215" w:rsidP="00997DAF">
      <w:pPr>
        <w:spacing w:after="0" w:line="360" w:lineRule="auto"/>
        <w:ind w:left="1701"/>
        <w:jc w:val="both"/>
        <w:rPr>
          <w:rFonts w:ascii="Times New Roman" w:hAnsi="Times New Roman" w:cs="Times New Roman"/>
          <w:b/>
          <w:bCs/>
          <w:sz w:val="24"/>
          <w:szCs w:val="24"/>
        </w:rPr>
      </w:pPr>
      <w:r w:rsidRPr="00D96194">
        <w:rPr>
          <w:rFonts w:ascii="Times New Roman" w:hAnsi="Times New Roman" w:cs="Times New Roman"/>
          <w:b/>
          <w:bCs/>
          <w:sz w:val="24"/>
          <w:szCs w:val="24"/>
        </w:rPr>
        <w:t>Ar finanšu plūsmu un maksājumiem saistīti riski:</w:t>
      </w:r>
    </w:p>
    <w:p w14:paraId="78A7B856" w14:textId="0928C25A"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sankciju subjekta saistību nodošana citiem subjektiem, pret kuriem nav noteiktas sankcijas;</w:t>
      </w:r>
    </w:p>
    <w:p w14:paraId="5557C137" w14:textId="18C9C582"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vērojama maksājumu apjoma palielināšanās uz un no Latvijai saistošajām sankcijām pakļautajām valstīm vai </w:t>
      </w:r>
      <w:r w:rsidR="00593F61" w:rsidRPr="00D96194">
        <w:rPr>
          <w:rFonts w:ascii="Times New Roman" w:hAnsi="Times New Roman" w:cs="Times New Roman"/>
          <w:sz w:val="24"/>
          <w:szCs w:val="24"/>
        </w:rPr>
        <w:t>valstīm</w:t>
      </w:r>
      <w:r w:rsidRPr="00D96194">
        <w:rPr>
          <w:rFonts w:ascii="Times New Roman" w:hAnsi="Times New Roman" w:cs="Times New Roman"/>
          <w:sz w:val="24"/>
          <w:szCs w:val="24"/>
        </w:rPr>
        <w:t>, kas nenoteic sankcijas pret tām (piemēram, Kazahstāna, Uzbekistāna, Serbija, Turcija, Āfrikas valstis, Kirgizstāna u.tml.);</w:t>
      </w:r>
    </w:p>
    <w:p w14:paraId="229C2C21" w14:textId="2615DC38"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 xml:space="preserve">pēc Starptautisko sankciju un Nacionālo sankciju stāšanās spēkā par Klienta sniegtajiem pakalpojumiem/precēm tiek veikti norēķini uz kontiem citās valstīts, it sevišķi </w:t>
      </w:r>
      <w:r w:rsidR="00681F64" w:rsidRPr="00D96194">
        <w:rPr>
          <w:rFonts w:ascii="Times New Roman" w:hAnsi="Times New Roman" w:cs="Times New Roman"/>
          <w:sz w:val="24"/>
          <w:szCs w:val="24"/>
        </w:rPr>
        <w:t xml:space="preserve">valstīs </w:t>
      </w:r>
      <w:r w:rsidRPr="00D96194">
        <w:rPr>
          <w:rFonts w:ascii="Times New Roman" w:hAnsi="Times New Roman" w:cs="Times New Roman"/>
          <w:sz w:val="24"/>
          <w:szCs w:val="24"/>
        </w:rPr>
        <w:t>vai jurisdikcijā</w:t>
      </w:r>
      <w:r w:rsidR="00681F64" w:rsidRPr="00D96194">
        <w:rPr>
          <w:rFonts w:ascii="Times New Roman" w:hAnsi="Times New Roman" w:cs="Times New Roman"/>
          <w:sz w:val="24"/>
          <w:szCs w:val="24"/>
        </w:rPr>
        <w:t>s</w:t>
      </w:r>
      <w:r w:rsidRPr="00D96194">
        <w:rPr>
          <w:rFonts w:ascii="Times New Roman" w:hAnsi="Times New Roman" w:cs="Times New Roman"/>
          <w:sz w:val="24"/>
          <w:szCs w:val="24"/>
        </w:rPr>
        <w:t>, kuras nav noteikušas sankcijas pret Latvijai saistošajām sankcijām pakļautajām valstīm (piemēram, Kazahstāna, Uzbekistāna, Serbija, Turcija, Āfrikas valstis, Kirgizstāna u.tml.) vai veic norēķinus, izmantojot mazāk izsekojamus vai uzraugāmus norēķinu veikšanas veidus (piemēram, virtuālās valūtas);</w:t>
      </w:r>
    </w:p>
    <w:p w14:paraId="342770C8" w14:textId="713487A3" w:rsidR="00035F8D" w:rsidRPr="00D96194" w:rsidRDefault="00035F8D" w:rsidP="00035F8D">
      <w:pPr>
        <w:pStyle w:val="Sarakstarindkopa"/>
        <w:numPr>
          <w:ilvl w:val="0"/>
          <w:numId w:val="19"/>
        </w:numPr>
        <w:spacing w:after="0" w:line="360" w:lineRule="auto"/>
        <w:ind w:left="2268"/>
        <w:jc w:val="both"/>
        <w:rPr>
          <w:rFonts w:ascii="Times New Roman" w:hAnsi="Times New Roman" w:cs="Times New Roman"/>
          <w:sz w:val="24"/>
          <w:szCs w:val="24"/>
        </w:rPr>
      </w:pPr>
      <w:r w:rsidRPr="00D96194">
        <w:rPr>
          <w:rFonts w:ascii="Times New Roman" w:hAnsi="Times New Roman" w:cs="Times New Roman"/>
          <w:sz w:val="24"/>
          <w:szCs w:val="24"/>
        </w:rPr>
        <w:t>pēc Starptautisko sankciju un Nacionālo sankciju stāšanās spēkā tiek saņemti maksājumi no jauniem sadarbības partneriem, kas nav sankciju subjekti, tomēr maksājumu būtība, apjoms, maksājumu detaļas ir līdzīgas kā iepriekš, sadarbojoties ar sankciju subjektu;</w:t>
      </w:r>
    </w:p>
    <w:p w14:paraId="6686F8B7" w14:textId="1FB2A4F0" w:rsidR="00897125" w:rsidRPr="00D96194" w:rsidRDefault="00897125" w:rsidP="000F7515">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u w:val="single"/>
        </w:rPr>
        <w:t>Minēt</w:t>
      </w:r>
      <w:r w:rsidR="00035F8D" w:rsidRPr="00D96194">
        <w:rPr>
          <w:rFonts w:ascii="Times New Roman" w:hAnsi="Times New Roman" w:cs="Times New Roman"/>
          <w:sz w:val="24"/>
          <w:szCs w:val="24"/>
          <w:u w:val="single"/>
        </w:rPr>
        <w:t>ais</w:t>
      </w:r>
      <w:r w:rsidRPr="00D96194">
        <w:rPr>
          <w:rFonts w:ascii="Times New Roman" w:hAnsi="Times New Roman" w:cs="Times New Roman"/>
          <w:sz w:val="24"/>
          <w:szCs w:val="24"/>
          <w:u w:val="single"/>
        </w:rPr>
        <w:t xml:space="preserve"> </w:t>
      </w:r>
      <w:r w:rsidR="00D27E07" w:rsidRPr="00D96194">
        <w:rPr>
          <w:rFonts w:ascii="Times New Roman" w:hAnsi="Times New Roman" w:cs="Times New Roman"/>
          <w:sz w:val="24"/>
          <w:szCs w:val="24"/>
          <w:u w:val="single"/>
        </w:rPr>
        <w:t xml:space="preserve">Klienta riska pakāpi ietekmējošo faktoru </w:t>
      </w:r>
      <w:r w:rsidRPr="00D96194">
        <w:rPr>
          <w:rFonts w:ascii="Times New Roman" w:hAnsi="Times New Roman" w:cs="Times New Roman"/>
          <w:sz w:val="24"/>
          <w:szCs w:val="24"/>
          <w:u w:val="single"/>
        </w:rPr>
        <w:t xml:space="preserve">uzskaitījums nav izsmeļošs. </w:t>
      </w:r>
      <w:r w:rsidRPr="00D96194">
        <w:rPr>
          <w:rFonts w:ascii="Times New Roman" w:hAnsi="Times New Roman" w:cs="Times New Roman"/>
          <w:sz w:val="24"/>
          <w:szCs w:val="24"/>
        </w:rPr>
        <w:t>Administratoram ir jāveic visas nepieciešamās darbības, lai apzinātu un identificētu riskus, kas skar konkrēto Klientu, kā arī novērtētu, vai pastāv pamats, ka Klients var apiet, pārkāpt vai izvairīties no sankcijām.</w:t>
      </w:r>
    </w:p>
    <w:p w14:paraId="0250FF7D" w14:textId="177910FB" w:rsidR="007B0E53" w:rsidRPr="00D96194" w:rsidRDefault="007B0E53" w:rsidP="007B0E53">
      <w:pPr>
        <w:spacing w:after="0" w:line="360" w:lineRule="auto"/>
        <w:ind w:left="1908"/>
        <w:jc w:val="both"/>
        <w:rPr>
          <w:rFonts w:ascii="Times New Roman" w:hAnsi="Times New Roman" w:cs="Times New Roman"/>
          <w:b/>
          <w:bCs/>
          <w:sz w:val="24"/>
          <w:szCs w:val="24"/>
        </w:rPr>
      </w:pPr>
      <w:r w:rsidRPr="00D96194">
        <w:rPr>
          <w:rFonts w:ascii="Times New Roman" w:hAnsi="Times New Roman" w:cs="Times New Roman"/>
          <w:b/>
          <w:bCs/>
          <w:sz w:val="24"/>
          <w:szCs w:val="24"/>
        </w:rPr>
        <w:t>Valsts un ģeogrāfiskais risks:</w:t>
      </w:r>
    </w:p>
    <w:p w14:paraId="50B6526D" w14:textId="1A707660" w:rsidR="007B0E53" w:rsidRPr="00D96194" w:rsidRDefault="007B0E53" w:rsidP="003E0904">
      <w:pPr>
        <w:pStyle w:val="Sarakstarindkopa"/>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rPr>
        <w:t xml:space="preserve">Ģeogrāfiskais risks saistībā Klientu izpaužas, ja </w:t>
      </w:r>
      <w:r w:rsidR="00681F64" w:rsidRPr="00D96194">
        <w:rPr>
          <w:rFonts w:ascii="Times New Roman" w:hAnsi="Times New Roman" w:cs="Times New Roman"/>
          <w:sz w:val="24"/>
          <w:szCs w:val="24"/>
        </w:rPr>
        <w:t xml:space="preserve">sankcijām pakļautās </w:t>
      </w:r>
      <w:r w:rsidRPr="00D96194">
        <w:rPr>
          <w:rFonts w:ascii="Times New Roman" w:hAnsi="Times New Roman" w:cs="Times New Roman"/>
          <w:sz w:val="24"/>
          <w:szCs w:val="24"/>
        </w:rPr>
        <w:t>valstīs</w:t>
      </w:r>
      <w:r w:rsidR="00681F64" w:rsidRPr="00D96194">
        <w:rPr>
          <w:rFonts w:ascii="Times New Roman" w:hAnsi="Times New Roman" w:cs="Times New Roman"/>
          <w:sz w:val="24"/>
          <w:szCs w:val="24"/>
        </w:rPr>
        <w:t xml:space="preserve"> vai </w:t>
      </w:r>
      <w:r w:rsidR="00593F61" w:rsidRPr="00D96194">
        <w:rPr>
          <w:rFonts w:ascii="Times New Roman" w:hAnsi="Times New Roman" w:cs="Times New Roman"/>
          <w:sz w:val="24"/>
          <w:szCs w:val="24"/>
        </w:rPr>
        <w:t>jurisdikcijās</w:t>
      </w:r>
      <w:r w:rsidR="008579D3" w:rsidRPr="00D96194">
        <w:rPr>
          <w:rFonts w:ascii="Times New Roman" w:hAnsi="Times New Roman" w:cs="Times New Roman"/>
          <w:sz w:val="24"/>
          <w:szCs w:val="24"/>
        </w:rPr>
        <w:t xml:space="preserve"> </w:t>
      </w:r>
      <w:r w:rsidRPr="00D96194">
        <w:rPr>
          <w:rFonts w:ascii="Times New Roman" w:hAnsi="Times New Roman" w:cs="Times New Roman"/>
          <w:sz w:val="24"/>
          <w:szCs w:val="24"/>
        </w:rPr>
        <w:t>atradās vai atrodas:</w:t>
      </w:r>
    </w:p>
    <w:p w14:paraId="6A352C23" w14:textId="7056E5AF"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reģistrācijas vai dzīvesvietas adrese;</w:t>
      </w:r>
    </w:p>
    <w:p w14:paraId="681EC20E" w14:textId="7F6FD01E"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patiesā labuma guvēja atrašanās vieta;</w:t>
      </w:r>
    </w:p>
    <w:p w14:paraId="3A149D93" w14:textId="7D84F024" w:rsidR="007B0E53" w:rsidRPr="00D96194" w:rsidRDefault="007B0E53" w:rsidP="003E0904">
      <w:pPr>
        <w:pStyle w:val="Sarakstarindkopa"/>
        <w:numPr>
          <w:ilvl w:val="0"/>
          <w:numId w:val="21"/>
        </w:numPr>
        <w:spacing w:after="0" w:line="360" w:lineRule="auto"/>
        <w:ind w:left="1985" w:firstLine="0"/>
        <w:jc w:val="both"/>
        <w:rPr>
          <w:rFonts w:ascii="Times New Roman" w:hAnsi="Times New Roman" w:cs="Times New Roman"/>
          <w:sz w:val="24"/>
          <w:szCs w:val="24"/>
        </w:rPr>
      </w:pPr>
      <w:r w:rsidRPr="00D96194">
        <w:rPr>
          <w:rFonts w:ascii="Times New Roman" w:hAnsi="Times New Roman" w:cs="Times New Roman"/>
          <w:sz w:val="24"/>
          <w:szCs w:val="24"/>
        </w:rPr>
        <w:t>Klienta aktīvu atrašanās vieta vai faktiski veiktās tirdzniecības/pakalpojuma sniegšanas vieta.</w:t>
      </w:r>
    </w:p>
    <w:p w14:paraId="43EDDE7A" w14:textId="4AAFAFBC" w:rsidR="007B0E53" w:rsidRDefault="007B0E53" w:rsidP="007B0E53">
      <w:pPr>
        <w:spacing w:after="0" w:line="360" w:lineRule="auto"/>
        <w:ind w:left="1134"/>
        <w:jc w:val="both"/>
        <w:rPr>
          <w:rFonts w:ascii="Times New Roman" w:hAnsi="Times New Roman" w:cs="Times New Roman"/>
          <w:sz w:val="24"/>
          <w:szCs w:val="24"/>
        </w:rPr>
      </w:pPr>
      <w:r w:rsidRPr="00D96194">
        <w:rPr>
          <w:rFonts w:ascii="Times New Roman" w:hAnsi="Times New Roman" w:cs="Times New Roman"/>
          <w:sz w:val="24"/>
          <w:szCs w:val="24"/>
          <w:u w:val="single"/>
        </w:rPr>
        <w:t>Minētais uzskaitījums nav izsmeļošs</w:t>
      </w:r>
      <w:r w:rsidR="002D6708" w:rsidRPr="00D96194">
        <w:rPr>
          <w:rFonts w:ascii="Times New Roman" w:hAnsi="Times New Roman" w:cs="Times New Roman"/>
          <w:sz w:val="24"/>
          <w:szCs w:val="24"/>
        </w:rPr>
        <w:t>.</w:t>
      </w:r>
      <w:r w:rsidRPr="00D96194">
        <w:rPr>
          <w:rFonts w:ascii="Times New Roman" w:hAnsi="Times New Roman" w:cs="Times New Roman"/>
          <w:sz w:val="24"/>
          <w:szCs w:val="24"/>
        </w:rPr>
        <w:t xml:space="preserve"> Administratoram ir jāveic pasākumi, lai apzinātu un identificētu riskus, kas saista konkrēto Klientu ar </w:t>
      </w:r>
      <w:r w:rsidR="00855D52" w:rsidRPr="00D96194">
        <w:rPr>
          <w:rFonts w:ascii="Times New Roman" w:hAnsi="Times New Roman" w:cs="Times New Roman"/>
          <w:sz w:val="24"/>
          <w:szCs w:val="24"/>
        </w:rPr>
        <w:t xml:space="preserve">sankcijām pakļautajām </w:t>
      </w:r>
      <w:r w:rsidRPr="00D96194">
        <w:rPr>
          <w:rFonts w:ascii="Times New Roman" w:hAnsi="Times New Roman" w:cs="Times New Roman"/>
          <w:sz w:val="24"/>
          <w:szCs w:val="24"/>
        </w:rPr>
        <w:t xml:space="preserve">valstīm vai </w:t>
      </w:r>
      <w:r w:rsidR="008579D3" w:rsidRPr="00D96194">
        <w:rPr>
          <w:rFonts w:ascii="Times New Roman" w:hAnsi="Times New Roman" w:cs="Times New Roman"/>
          <w:sz w:val="24"/>
          <w:szCs w:val="24"/>
        </w:rPr>
        <w:t>jurisdikcijām</w:t>
      </w:r>
      <w:r w:rsidR="00353A2A"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kā arī lai novērtētu to radīto apdraudējumu sankciju </w:t>
      </w:r>
      <w:r w:rsidR="00897125" w:rsidRPr="00D96194">
        <w:rPr>
          <w:rFonts w:ascii="Times New Roman" w:hAnsi="Times New Roman" w:cs="Times New Roman"/>
          <w:sz w:val="24"/>
          <w:szCs w:val="24"/>
        </w:rPr>
        <w:t>apiešanas</w:t>
      </w:r>
      <w:r w:rsidRPr="00D96194">
        <w:rPr>
          <w:rFonts w:ascii="Times New Roman" w:hAnsi="Times New Roman" w:cs="Times New Roman"/>
          <w:sz w:val="24"/>
          <w:szCs w:val="24"/>
        </w:rPr>
        <w:t xml:space="preserve">, </w:t>
      </w:r>
      <w:r w:rsidR="00897125" w:rsidRPr="00D96194">
        <w:rPr>
          <w:rFonts w:ascii="Times New Roman" w:hAnsi="Times New Roman" w:cs="Times New Roman"/>
          <w:sz w:val="24"/>
          <w:szCs w:val="24"/>
        </w:rPr>
        <w:t>pārkāpšanas</w:t>
      </w:r>
      <w:r w:rsidRPr="00D96194">
        <w:rPr>
          <w:rFonts w:ascii="Times New Roman" w:hAnsi="Times New Roman" w:cs="Times New Roman"/>
          <w:sz w:val="24"/>
          <w:szCs w:val="24"/>
        </w:rPr>
        <w:t xml:space="preserve"> vai </w:t>
      </w:r>
      <w:r w:rsidR="00897125" w:rsidRPr="00D96194">
        <w:rPr>
          <w:rFonts w:ascii="Times New Roman" w:hAnsi="Times New Roman" w:cs="Times New Roman"/>
          <w:sz w:val="24"/>
          <w:szCs w:val="24"/>
        </w:rPr>
        <w:t>izvairīšanās</w:t>
      </w:r>
      <w:r w:rsidRPr="00D96194">
        <w:rPr>
          <w:rFonts w:ascii="Times New Roman" w:hAnsi="Times New Roman" w:cs="Times New Roman"/>
          <w:sz w:val="24"/>
          <w:szCs w:val="24"/>
        </w:rPr>
        <w:t xml:space="preserve"> no tām kontekstā.</w:t>
      </w:r>
    </w:p>
    <w:p w14:paraId="3BF1D39E" w14:textId="13341CDA" w:rsidR="003E0904" w:rsidRPr="00F91F4C" w:rsidRDefault="003E0904" w:rsidP="003E0904">
      <w:pPr>
        <w:spacing w:after="0" w:line="360" w:lineRule="auto"/>
        <w:ind w:left="1134" w:firstLine="709"/>
        <w:jc w:val="both"/>
        <w:rPr>
          <w:rFonts w:ascii="Times New Roman" w:hAnsi="Times New Roman" w:cs="Times New Roman"/>
          <w:b/>
          <w:bCs/>
          <w:sz w:val="24"/>
          <w:szCs w:val="24"/>
        </w:rPr>
      </w:pPr>
      <w:r w:rsidRPr="00F91F4C">
        <w:rPr>
          <w:rFonts w:ascii="Times New Roman" w:hAnsi="Times New Roman" w:cs="Times New Roman"/>
          <w:b/>
          <w:bCs/>
          <w:sz w:val="24"/>
          <w:szCs w:val="24"/>
        </w:rPr>
        <w:t>Risku pazeminoši faktori:</w:t>
      </w:r>
    </w:p>
    <w:p w14:paraId="78A483EE" w14:textId="09590D56" w:rsidR="00A36CD7" w:rsidRPr="00F91F4C" w:rsidRDefault="00A36CD7" w:rsidP="00A36CD7">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Klienta rezidences vai reģistrācijas valsts ir Eiropas Savienības dalībvalsts</w:t>
      </w:r>
      <w:r w:rsidR="008650D0" w:rsidRPr="00F91F4C">
        <w:rPr>
          <w:rFonts w:ascii="Times New Roman" w:hAnsi="Times New Roman" w:cs="Times New Roman"/>
          <w:sz w:val="24"/>
          <w:szCs w:val="24"/>
        </w:rPr>
        <w:t>;</w:t>
      </w:r>
    </w:p>
    <w:p w14:paraId="2FEF1647" w14:textId="769201D0" w:rsidR="003E0904" w:rsidRPr="00F91F4C" w:rsidRDefault="003E0904" w:rsidP="003E0904">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 xml:space="preserve">Klienta saimnieciskā vai personiskā darbība, kā arī sniegtie pakalpojumi un </w:t>
      </w:r>
      <w:r w:rsidR="008650D0" w:rsidRPr="00F91F4C">
        <w:rPr>
          <w:rFonts w:ascii="Times New Roman" w:hAnsi="Times New Roman" w:cs="Times New Roman"/>
          <w:sz w:val="24"/>
          <w:szCs w:val="24"/>
        </w:rPr>
        <w:t>produkti</w:t>
      </w:r>
      <w:r w:rsidRPr="00F91F4C">
        <w:rPr>
          <w:rFonts w:ascii="Times New Roman" w:hAnsi="Times New Roman" w:cs="Times New Roman"/>
          <w:sz w:val="24"/>
          <w:szCs w:val="24"/>
        </w:rPr>
        <w:t xml:space="preserve"> kopš tā dibināšanas nav mainījušies</w:t>
      </w:r>
      <w:r w:rsidR="008650D0" w:rsidRPr="00F91F4C">
        <w:rPr>
          <w:rFonts w:ascii="Times New Roman" w:hAnsi="Times New Roman" w:cs="Times New Roman"/>
          <w:sz w:val="24"/>
          <w:szCs w:val="24"/>
        </w:rPr>
        <w:t>;</w:t>
      </w:r>
    </w:p>
    <w:p w14:paraId="575C9736" w14:textId="3FA97774" w:rsidR="00A36CD7" w:rsidRPr="00F91F4C" w:rsidRDefault="00A36CD7" w:rsidP="00A36CD7">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Klienta pakalpojum</w:t>
      </w:r>
      <w:r w:rsidR="008650D0" w:rsidRPr="00F91F4C">
        <w:rPr>
          <w:rFonts w:ascii="Times New Roman" w:hAnsi="Times New Roman" w:cs="Times New Roman"/>
          <w:sz w:val="24"/>
          <w:szCs w:val="24"/>
        </w:rPr>
        <w:t>u un produktu</w:t>
      </w:r>
      <w:r w:rsidRPr="00F91F4C">
        <w:rPr>
          <w:rFonts w:ascii="Times New Roman" w:hAnsi="Times New Roman" w:cs="Times New Roman"/>
          <w:sz w:val="24"/>
          <w:szCs w:val="24"/>
        </w:rPr>
        <w:t xml:space="preserve"> piegādes kanāli kopš tā dibināšanas nav mainījušies (piemēram, darbība notiek tikai Latvijas vai ES teritorijā);</w:t>
      </w:r>
    </w:p>
    <w:p w14:paraId="311F4E5D" w14:textId="263FA3A9" w:rsidR="003E0904" w:rsidRPr="00F91F4C" w:rsidRDefault="003E0904" w:rsidP="003E0904">
      <w:pPr>
        <w:pStyle w:val="Sarakstarindkopa"/>
        <w:numPr>
          <w:ilvl w:val="0"/>
          <w:numId w:val="15"/>
        </w:numPr>
        <w:spacing w:after="0" w:line="360" w:lineRule="auto"/>
        <w:jc w:val="both"/>
        <w:rPr>
          <w:rFonts w:ascii="Times New Roman" w:hAnsi="Times New Roman" w:cs="Times New Roman"/>
          <w:sz w:val="24"/>
          <w:szCs w:val="24"/>
        </w:rPr>
      </w:pPr>
      <w:r w:rsidRPr="00F91F4C">
        <w:rPr>
          <w:rFonts w:ascii="Times New Roman" w:hAnsi="Times New Roman" w:cs="Times New Roman"/>
          <w:sz w:val="24"/>
          <w:szCs w:val="24"/>
        </w:rPr>
        <w:t>Klients nekad nav veicis darījumus un maksājumus uz un no Latvijai saistošajām sankcijām pakļautajām valstīm vai jurisdikcijām, kas nenoteic sankcijas pret tām (piemēram, Kazahstāna, Uzbekistāna, Serbija, Turcija, Āfrikas valstis, Kirgizstāna u.tml.).</w:t>
      </w:r>
    </w:p>
    <w:p w14:paraId="1A884BC4" w14:textId="77777777" w:rsidR="003E0904" w:rsidRPr="00F91F4C" w:rsidRDefault="003E0904" w:rsidP="003E0904">
      <w:pPr>
        <w:spacing w:after="0" w:line="360" w:lineRule="auto"/>
        <w:ind w:left="1134"/>
        <w:jc w:val="both"/>
        <w:rPr>
          <w:rFonts w:ascii="Times New Roman" w:hAnsi="Times New Roman" w:cs="Times New Roman"/>
          <w:sz w:val="24"/>
          <w:szCs w:val="24"/>
        </w:rPr>
      </w:pPr>
      <w:r w:rsidRPr="00F91F4C">
        <w:rPr>
          <w:rFonts w:ascii="Times New Roman" w:hAnsi="Times New Roman" w:cs="Times New Roman"/>
          <w:sz w:val="24"/>
          <w:szCs w:val="24"/>
          <w:u w:val="single"/>
        </w:rPr>
        <w:t xml:space="preserve">Minētais Klienta riska pakāpi ietekmējošo faktoru uzskaitījums nav izsmeļošs. </w:t>
      </w:r>
      <w:r w:rsidRPr="00F91F4C">
        <w:rPr>
          <w:rFonts w:ascii="Times New Roman" w:hAnsi="Times New Roman" w:cs="Times New Roman"/>
          <w:sz w:val="24"/>
          <w:szCs w:val="24"/>
        </w:rPr>
        <w:t>Administratoram ir jāveic visas nepieciešamās darbības, lai apzinātu un identificētu riskus, kas skar konkrēto Klientu, kā arī novērtētu, vai pastāv pamats, ka Klients var apiet, pārkāpt vai izvairīties no sankcijām.</w:t>
      </w:r>
    </w:p>
    <w:p w14:paraId="02D4D412" w14:textId="0862F123" w:rsidR="006D1803" w:rsidRPr="000E7CD4" w:rsidRDefault="00C81063" w:rsidP="00DA243C">
      <w:pPr>
        <w:pStyle w:val="Sarakstarindkopa"/>
        <w:numPr>
          <w:ilvl w:val="2"/>
          <w:numId w:val="1"/>
        </w:numPr>
        <w:spacing w:after="0" w:line="360" w:lineRule="auto"/>
        <w:ind w:left="1134" w:hanging="796"/>
        <w:jc w:val="both"/>
        <w:rPr>
          <w:rFonts w:ascii="Times New Roman" w:hAnsi="Times New Roman" w:cs="Times New Roman"/>
          <w:sz w:val="24"/>
          <w:szCs w:val="24"/>
        </w:rPr>
      </w:pPr>
      <w:r w:rsidRPr="00DA243C">
        <w:rPr>
          <w:rFonts w:ascii="Times New Roman" w:hAnsi="Times New Roman" w:cs="Times New Roman"/>
          <w:sz w:val="24"/>
          <w:szCs w:val="24"/>
        </w:rPr>
        <w:t xml:space="preserve">Vērtējot Klienta riskus, </w:t>
      </w:r>
      <w:r w:rsidR="00764B7C" w:rsidRPr="00DA243C">
        <w:rPr>
          <w:rFonts w:ascii="Times New Roman" w:hAnsi="Times New Roman" w:cs="Times New Roman"/>
          <w:sz w:val="24"/>
          <w:szCs w:val="24"/>
        </w:rPr>
        <w:t>Administratoram ir jāpārliecinās, ka</w:t>
      </w:r>
      <w:r w:rsidR="006D1803" w:rsidRPr="00DA243C">
        <w:rPr>
          <w:rFonts w:ascii="Times New Roman" w:hAnsi="Times New Roman" w:cs="Times New Roman"/>
          <w:sz w:val="24"/>
          <w:szCs w:val="24"/>
        </w:rPr>
        <w:t xml:space="preserve"> </w:t>
      </w:r>
      <w:r w:rsidR="0016121E" w:rsidRPr="00DA243C">
        <w:rPr>
          <w:rFonts w:ascii="Times New Roman" w:hAnsi="Times New Roman" w:cs="Times New Roman"/>
          <w:sz w:val="24"/>
          <w:szCs w:val="24"/>
        </w:rPr>
        <w:t>K</w:t>
      </w:r>
      <w:r w:rsidR="006D1803" w:rsidRPr="00DA243C">
        <w:rPr>
          <w:rFonts w:ascii="Times New Roman" w:hAnsi="Times New Roman" w:cs="Times New Roman"/>
          <w:sz w:val="24"/>
          <w:szCs w:val="24"/>
        </w:rPr>
        <w:t xml:space="preserve">lients nav iekļauts sankciju sarakstos. </w:t>
      </w:r>
      <w:r w:rsidR="00906EE3">
        <w:rPr>
          <w:rFonts w:ascii="Times New Roman" w:hAnsi="Times New Roman" w:cs="Times New Roman"/>
          <w:sz w:val="24"/>
          <w:szCs w:val="24"/>
        </w:rPr>
        <w:t xml:space="preserve"> Administrators </w:t>
      </w:r>
      <w:r w:rsidR="0048409E" w:rsidRPr="00DA243C">
        <w:rPr>
          <w:rFonts w:ascii="Times New Roman" w:hAnsi="Times New Roman" w:cs="Times New Roman"/>
          <w:sz w:val="24"/>
          <w:szCs w:val="24"/>
        </w:rPr>
        <w:t xml:space="preserve"> </w:t>
      </w:r>
      <w:r w:rsidR="006D1803" w:rsidRPr="00DA243C">
        <w:rPr>
          <w:rFonts w:ascii="Times New Roman" w:hAnsi="Times New Roman" w:cs="Times New Roman"/>
          <w:sz w:val="24"/>
          <w:szCs w:val="24"/>
        </w:rPr>
        <w:t xml:space="preserve">saglabā izpētes rezultātus - ekrānšāviņus </w:t>
      </w:r>
      <w:r w:rsidR="0016121E" w:rsidRPr="00DA243C">
        <w:rPr>
          <w:rFonts w:ascii="Times New Roman" w:hAnsi="Times New Roman" w:cs="Times New Roman"/>
          <w:sz w:val="24"/>
          <w:szCs w:val="24"/>
        </w:rPr>
        <w:t xml:space="preserve">un/ vai dokumentus </w:t>
      </w:r>
      <w:r w:rsidR="006D1803" w:rsidRPr="00DA243C">
        <w:rPr>
          <w:rFonts w:ascii="Times New Roman" w:hAnsi="Times New Roman" w:cs="Times New Roman"/>
          <w:sz w:val="24"/>
          <w:szCs w:val="24"/>
        </w:rPr>
        <w:t>no vietn</w:t>
      </w:r>
      <w:r w:rsidR="008650D0" w:rsidRPr="00DA243C">
        <w:rPr>
          <w:rFonts w:ascii="Times New Roman" w:hAnsi="Times New Roman" w:cs="Times New Roman"/>
          <w:sz w:val="24"/>
          <w:szCs w:val="24"/>
        </w:rPr>
        <w:t>es</w:t>
      </w:r>
      <w:r w:rsidR="006D1803" w:rsidRPr="00DA243C">
        <w:rPr>
          <w:rFonts w:ascii="Times New Roman" w:hAnsi="Times New Roman" w:cs="Times New Roman"/>
          <w:sz w:val="24"/>
          <w:szCs w:val="24"/>
        </w:rPr>
        <w:t>,</w:t>
      </w:r>
      <w:r w:rsidR="00955D1E">
        <w:rPr>
          <w:rFonts w:ascii="Times New Roman" w:hAnsi="Times New Roman" w:cs="Times New Roman"/>
          <w:sz w:val="24"/>
          <w:szCs w:val="24"/>
        </w:rPr>
        <w:t xml:space="preserve"> kurā</w:t>
      </w:r>
      <w:r w:rsidR="00965BE3">
        <w:rPr>
          <w:rFonts w:ascii="Times New Roman" w:hAnsi="Times New Roman" w:cs="Times New Roman"/>
          <w:sz w:val="24"/>
          <w:szCs w:val="24"/>
        </w:rPr>
        <w:t xml:space="preserve"> pārbaude veikta,</w:t>
      </w:r>
      <w:r w:rsidR="006D1803" w:rsidRPr="00DA243C">
        <w:rPr>
          <w:rFonts w:ascii="Times New Roman" w:hAnsi="Times New Roman" w:cs="Times New Roman"/>
          <w:sz w:val="24"/>
          <w:szCs w:val="24"/>
        </w:rPr>
        <w:t xml:space="preserve"> kā arī citu ar sankciju pārbaud</w:t>
      </w:r>
      <w:r w:rsidRPr="00DA243C">
        <w:rPr>
          <w:rFonts w:ascii="Times New Roman" w:hAnsi="Times New Roman" w:cs="Times New Roman"/>
          <w:sz w:val="24"/>
          <w:szCs w:val="24"/>
        </w:rPr>
        <w:t xml:space="preserve">i </w:t>
      </w:r>
      <w:r w:rsidR="0016121E" w:rsidRPr="00DA243C">
        <w:rPr>
          <w:rFonts w:ascii="Times New Roman" w:hAnsi="Times New Roman" w:cs="Times New Roman"/>
          <w:sz w:val="24"/>
          <w:szCs w:val="24"/>
        </w:rPr>
        <w:t>saistītu dokumentāciju</w:t>
      </w:r>
      <w:r w:rsidR="006963A4" w:rsidRPr="00DA243C">
        <w:rPr>
          <w:rFonts w:ascii="Times New Roman" w:hAnsi="Times New Roman" w:cs="Times New Roman"/>
          <w:sz w:val="24"/>
          <w:szCs w:val="24"/>
        </w:rPr>
        <w:t>.</w:t>
      </w:r>
      <w:r w:rsidR="009C1575" w:rsidRPr="00DA243C">
        <w:rPr>
          <w:rFonts w:ascii="Times New Roman" w:hAnsi="Times New Roman" w:cs="Times New Roman"/>
          <w:sz w:val="24"/>
          <w:szCs w:val="24"/>
        </w:rPr>
        <w:t xml:space="preserve"> P</w:t>
      </w:r>
      <w:r w:rsidR="006D1803" w:rsidRPr="00DA243C">
        <w:rPr>
          <w:rFonts w:ascii="Times New Roman" w:hAnsi="Times New Roman" w:cs="Times New Roman"/>
          <w:sz w:val="24"/>
          <w:szCs w:val="24"/>
        </w:rPr>
        <w:t>ēc izvēles</w:t>
      </w:r>
      <w:r w:rsidR="00417B94" w:rsidRPr="00DA243C">
        <w:rPr>
          <w:rFonts w:ascii="Times New Roman" w:hAnsi="Times New Roman" w:cs="Times New Roman"/>
          <w:sz w:val="24"/>
          <w:szCs w:val="24"/>
        </w:rPr>
        <w:t xml:space="preserve"> </w:t>
      </w:r>
      <w:r w:rsidR="0016121E" w:rsidRPr="00DA243C">
        <w:rPr>
          <w:rFonts w:ascii="Times New Roman" w:hAnsi="Times New Roman" w:cs="Times New Roman"/>
          <w:sz w:val="24"/>
          <w:szCs w:val="24"/>
        </w:rPr>
        <w:t>A</w:t>
      </w:r>
      <w:r w:rsidR="00417B94" w:rsidRPr="00DA243C">
        <w:rPr>
          <w:rFonts w:ascii="Times New Roman" w:hAnsi="Times New Roman" w:cs="Times New Roman"/>
          <w:sz w:val="24"/>
          <w:szCs w:val="24"/>
        </w:rPr>
        <w:t>dministrators</w:t>
      </w:r>
      <w:r w:rsidR="006D1803" w:rsidRPr="00DA243C">
        <w:rPr>
          <w:rFonts w:ascii="Times New Roman" w:hAnsi="Times New Roman" w:cs="Times New Roman"/>
          <w:sz w:val="24"/>
          <w:szCs w:val="24"/>
        </w:rPr>
        <w:t xml:space="preserve"> pārbaudi sankciju sarakstos var veikt </w:t>
      </w:r>
      <w:bookmarkStart w:id="10" w:name="_Hlk162265959"/>
      <w:bookmarkEnd w:id="10"/>
      <w:r w:rsidR="00DA243C" w:rsidRPr="000E7CD4">
        <w:rPr>
          <w:rFonts w:ascii="Times New Roman" w:eastAsia="Times New Roman" w:hAnsi="Times New Roman" w:cs="Times New Roman"/>
          <w:bCs/>
          <w:sz w:val="24"/>
          <w:szCs w:val="24"/>
        </w:rPr>
        <w:t>Elektroniskās maksātnespējas uzskaites sistēmas sankciju reģistrā</w:t>
      </w:r>
      <w:r w:rsidR="001E5BCF" w:rsidRPr="000E7CD4">
        <w:rPr>
          <w:rFonts w:ascii="Times New Roman" w:eastAsia="Times New Roman" w:hAnsi="Times New Roman" w:cs="Times New Roman"/>
          <w:bCs/>
          <w:sz w:val="24"/>
          <w:szCs w:val="24"/>
        </w:rPr>
        <w:t xml:space="preserve">, </w:t>
      </w:r>
      <w:r w:rsidR="00CC4A46" w:rsidRPr="000E7CD4">
        <w:rPr>
          <w:rFonts w:ascii="Times New Roman" w:hAnsi="Times New Roman" w:cs="Times New Roman"/>
          <w:bCs/>
          <w:sz w:val="24"/>
          <w:szCs w:val="24"/>
        </w:rPr>
        <w:t>FID tīmekļa</w:t>
      </w:r>
      <w:r w:rsidR="00CC4A46" w:rsidRPr="000E7CD4">
        <w:rPr>
          <w:rFonts w:ascii="Times New Roman" w:hAnsi="Times New Roman" w:cs="Times New Roman"/>
          <w:sz w:val="24"/>
          <w:szCs w:val="24"/>
        </w:rPr>
        <w:t xml:space="preserve"> vietnē </w:t>
      </w:r>
      <w:hyperlink r:id="rId9" w:history="1">
        <w:r w:rsidR="003B5B61" w:rsidRPr="003B5B61">
          <w:rPr>
            <w:rStyle w:val="Hipersaite"/>
            <w:rFonts w:ascii="Times New Roman" w:hAnsi="Times New Roman" w:cs="Times New Roman"/>
            <w:sz w:val="24"/>
            <w:szCs w:val="24"/>
          </w:rPr>
          <w:t>https://sankcijas.fid.gov.lv/</w:t>
        </w:r>
      </w:hyperlink>
      <w:r w:rsidR="00CC4A46" w:rsidRPr="003B5B61">
        <w:rPr>
          <w:rFonts w:ascii="Times New Roman" w:hAnsi="Times New Roman" w:cs="Times New Roman"/>
          <w:sz w:val="24"/>
          <w:szCs w:val="24"/>
        </w:rPr>
        <w:t>,</w:t>
      </w:r>
      <w:r w:rsidR="00CC4A46" w:rsidRPr="000E7CD4">
        <w:rPr>
          <w:rFonts w:ascii="Times New Roman" w:hAnsi="Times New Roman" w:cs="Times New Roman"/>
          <w:sz w:val="24"/>
          <w:szCs w:val="24"/>
        </w:rPr>
        <w:t xml:space="preserve"> </w:t>
      </w:r>
      <w:r w:rsidR="001E5BCF">
        <w:rPr>
          <w:rFonts w:ascii="Times New Roman" w:hAnsi="Times New Roman" w:cs="Times New Roman"/>
          <w:sz w:val="24"/>
          <w:szCs w:val="24"/>
        </w:rPr>
        <w:t xml:space="preserve">vai </w:t>
      </w:r>
      <w:r w:rsidR="006D1803" w:rsidRPr="000E7CD4">
        <w:rPr>
          <w:rFonts w:ascii="Times New Roman" w:hAnsi="Times New Roman" w:cs="Times New Roman"/>
          <w:sz w:val="24"/>
          <w:szCs w:val="24"/>
        </w:rPr>
        <w:t xml:space="preserve">arī izmantojot </w:t>
      </w:r>
      <w:r w:rsidR="001E5BCF">
        <w:rPr>
          <w:rFonts w:ascii="Times New Roman" w:hAnsi="Times New Roman" w:cs="Times New Roman"/>
          <w:sz w:val="24"/>
          <w:szCs w:val="24"/>
        </w:rPr>
        <w:t xml:space="preserve">citus informācijas avotus, piemēram, </w:t>
      </w:r>
      <w:r w:rsidR="006D1803" w:rsidRPr="000E7CD4">
        <w:rPr>
          <w:rFonts w:ascii="Times New Roman" w:hAnsi="Times New Roman" w:cs="Times New Roman"/>
          <w:sz w:val="24"/>
          <w:szCs w:val="24"/>
        </w:rPr>
        <w:t>Lursoft sankciju sarakstu</w:t>
      </w:r>
      <w:r w:rsidR="00D449AF" w:rsidRPr="000E7CD4">
        <w:rPr>
          <w:rFonts w:ascii="Times New Roman" w:hAnsi="Times New Roman" w:cs="Times New Roman"/>
          <w:sz w:val="24"/>
          <w:szCs w:val="24"/>
        </w:rPr>
        <w:t xml:space="preserve"> </w:t>
      </w:r>
      <w:hyperlink r:id="rId10" w:history="1">
        <w:r w:rsidR="00D449AF" w:rsidRPr="000E7CD4">
          <w:rPr>
            <w:rStyle w:val="Hipersaite"/>
            <w:rFonts w:ascii="Times New Roman" w:hAnsi="Times New Roman" w:cs="Times New Roman"/>
            <w:sz w:val="24"/>
            <w:szCs w:val="24"/>
          </w:rPr>
          <w:t>https://sankcijas.lursoft.lv/site/index</w:t>
        </w:r>
      </w:hyperlink>
      <w:r w:rsidR="00906EE3" w:rsidRPr="000E7CD4">
        <w:rPr>
          <w:rFonts w:ascii="Times New Roman" w:hAnsi="Times New Roman" w:cs="Times New Roman"/>
          <w:sz w:val="24"/>
          <w:szCs w:val="24"/>
        </w:rPr>
        <w:t>, un citus</w:t>
      </w:r>
      <w:r w:rsidR="000E7CD4">
        <w:rPr>
          <w:rFonts w:ascii="Times New Roman" w:hAnsi="Times New Roman" w:cs="Times New Roman"/>
          <w:sz w:val="24"/>
          <w:szCs w:val="24"/>
        </w:rPr>
        <w:t xml:space="preserve"> avotus</w:t>
      </w:r>
      <w:r w:rsidR="00906EE3" w:rsidRPr="000E7CD4">
        <w:rPr>
          <w:rFonts w:ascii="Times New Roman" w:hAnsi="Times New Roman" w:cs="Times New Roman"/>
          <w:sz w:val="24"/>
          <w:szCs w:val="24"/>
        </w:rPr>
        <w:t xml:space="preserve">, kas nodrošina saslēgumus ar sankciju sarakstiem. </w:t>
      </w:r>
      <w:r w:rsidR="003B5B61" w:rsidRPr="000E7CD4">
        <w:rPr>
          <w:rFonts w:ascii="Times New Roman" w:hAnsi="Times New Roman" w:cs="Times New Roman"/>
          <w:sz w:val="24"/>
          <w:szCs w:val="24"/>
        </w:rPr>
        <w:t xml:space="preserve"> </w:t>
      </w:r>
      <w:r w:rsidR="001F7E64" w:rsidRPr="000E7CD4">
        <w:rPr>
          <w:rFonts w:ascii="Times New Roman" w:hAnsi="Times New Roman" w:cs="Times New Roman"/>
          <w:sz w:val="24"/>
          <w:szCs w:val="24"/>
        </w:rPr>
        <w:t>Izmantojot informācijas avotus, kas nodrošina saslēgumus ar sankciju sarakstiem, administratoram ir jāpārliecinās, ka tie nodrošina saslēgumu</w:t>
      </w:r>
      <w:r w:rsidR="00EB1C82">
        <w:rPr>
          <w:rFonts w:ascii="Times New Roman" w:hAnsi="Times New Roman" w:cs="Times New Roman"/>
          <w:sz w:val="24"/>
          <w:szCs w:val="24"/>
        </w:rPr>
        <w:t>s</w:t>
      </w:r>
      <w:r w:rsidR="001F7E64" w:rsidRPr="000E7CD4">
        <w:rPr>
          <w:rFonts w:ascii="Times New Roman" w:hAnsi="Times New Roman" w:cs="Times New Roman"/>
          <w:sz w:val="24"/>
          <w:szCs w:val="24"/>
        </w:rPr>
        <w:t xml:space="preserve"> ar visiem Latvijai saistošo sankciju sarakstiem. </w:t>
      </w:r>
      <w:r w:rsidR="00906EE3" w:rsidRPr="000E7CD4">
        <w:rPr>
          <w:rFonts w:ascii="Times New Roman" w:hAnsi="Times New Roman" w:cs="Times New Roman"/>
          <w:sz w:val="24"/>
          <w:szCs w:val="24"/>
        </w:rPr>
        <w:t>Tāpat pārbaudi var veikt Latvijai saistošajos sankciju sarakstos atsevišķi.</w:t>
      </w:r>
      <w:r w:rsidR="00EB1C82">
        <w:rPr>
          <w:rFonts w:ascii="Times New Roman" w:hAnsi="Times New Roman" w:cs="Times New Roman"/>
          <w:sz w:val="24"/>
          <w:szCs w:val="24"/>
        </w:rPr>
        <w:t xml:space="preserve"> </w:t>
      </w:r>
      <w:r w:rsidR="00AF0A83">
        <w:rPr>
          <w:rFonts w:ascii="Times New Roman" w:hAnsi="Times New Roman" w:cs="Times New Roman"/>
          <w:sz w:val="24"/>
          <w:szCs w:val="24"/>
        </w:rPr>
        <w:t xml:space="preserve">Minētie informācijas avoti izmantojami arī </w:t>
      </w:r>
      <w:r w:rsidR="00AF0A83" w:rsidRPr="004E74EA">
        <w:rPr>
          <w:rFonts w:ascii="Times New Roman" w:hAnsi="Times New Roman" w:cs="Times New Roman"/>
          <w:sz w:val="24"/>
          <w:szCs w:val="24"/>
        </w:rPr>
        <w:t>Klienta</w:t>
      </w:r>
      <w:r w:rsidR="00AF0A83" w:rsidRPr="00C151E0">
        <w:rPr>
          <w:rFonts w:ascii="Times New Roman" w:hAnsi="Times New Roman" w:cs="Times New Roman"/>
          <w:sz w:val="24"/>
          <w:szCs w:val="24"/>
          <w:lang w:eastAsia="lv-LV"/>
        </w:rPr>
        <w:t xml:space="preserve"> kreditoru, mantas ieguvēju un citu darījumu dalībnieku, ar ko Administrators slēdz darījumus Klienta vārdā</w:t>
      </w:r>
      <w:r w:rsidR="00AF0A83" w:rsidRPr="004E74EA">
        <w:rPr>
          <w:rFonts w:ascii="Times New Roman" w:hAnsi="Times New Roman" w:cs="Times New Roman"/>
          <w:sz w:val="24"/>
          <w:szCs w:val="24"/>
          <w:lang w:eastAsia="lv-LV"/>
        </w:rPr>
        <w:t>,</w:t>
      </w:r>
      <w:r w:rsidR="00AF0A83">
        <w:rPr>
          <w:rFonts w:ascii="Times New Roman" w:hAnsi="Times New Roman" w:cs="Times New Roman"/>
          <w:sz w:val="24"/>
          <w:szCs w:val="24"/>
          <w:lang w:eastAsia="lv-LV"/>
        </w:rPr>
        <w:t xml:space="preserve"> kā arī minēto personu patieso labuma guvēju</w:t>
      </w:r>
      <w:r w:rsidR="00AF0A83" w:rsidRPr="004E74EA">
        <w:rPr>
          <w:rFonts w:ascii="Times New Roman" w:hAnsi="Times New Roman" w:cs="Times New Roman"/>
          <w:sz w:val="24"/>
          <w:szCs w:val="24"/>
          <w:lang w:eastAsia="lv-LV"/>
        </w:rPr>
        <w:t xml:space="preserve"> pārbaude</w:t>
      </w:r>
      <w:r w:rsidR="009B7AB8">
        <w:rPr>
          <w:rFonts w:ascii="Times New Roman" w:hAnsi="Times New Roman" w:cs="Times New Roman"/>
          <w:sz w:val="24"/>
          <w:szCs w:val="24"/>
          <w:lang w:eastAsia="lv-LV"/>
        </w:rPr>
        <w:t>i</w:t>
      </w:r>
      <w:r w:rsidR="00AF0A83" w:rsidRPr="004E74EA">
        <w:rPr>
          <w:rFonts w:ascii="Times New Roman" w:hAnsi="Times New Roman" w:cs="Times New Roman"/>
          <w:sz w:val="24"/>
          <w:szCs w:val="24"/>
          <w:lang w:eastAsia="lv-LV"/>
        </w:rPr>
        <w:t xml:space="preserve"> sankciju sarakstos.</w:t>
      </w:r>
      <w:r w:rsidR="00AF0A83" w:rsidRPr="00822ED4">
        <w:rPr>
          <w:rStyle w:val="Vresatsauce"/>
          <w:rFonts w:ascii="Times New Roman" w:hAnsi="Times New Roman" w:cs="Times New Roman"/>
          <w:sz w:val="24"/>
          <w:szCs w:val="24"/>
        </w:rPr>
        <w:footnoteReference w:id="7"/>
      </w:r>
    </w:p>
    <w:p w14:paraId="40936639" w14:textId="7722565C" w:rsidR="00417B94" w:rsidRPr="00D96194" w:rsidRDefault="006D1803"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jāv</w:t>
      </w:r>
      <w:r w:rsidRPr="00D96194">
        <w:rPr>
          <w:rFonts w:ascii="Times New Roman" w:hAnsi="Times New Roman" w:cs="Times New Roman"/>
          <w:sz w:val="24"/>
          <w:szCs w:val="24"/>
        </w:rPr>
        <w:t xml:space="preserve">eic visu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w:t>
      </w:r>
      <w:r w:rsidR="006F5896" w:rsidRPr="00D96194">
        <w:rPr>
          <w:rFonts w:ascii="Times New Roman" w:hAnsi="Times New Roman" w:cs="Times New Roman"/>
          <w:sz w:val="24"/>
          <w:szCs w:val="24"/>
        </w:rPr>
        <w:t>u</w:t>
      </w:r>
      <w:r w:rsidRPr="00D96194">
        <w:rPr>
          <w:rFonts w:ascii="Times New Roman" w:hAnsi="Times New Roman" w:cs="Times New Roman"/>
          <w:sz w:val="24"/>
          <w:szCs w:val="24"/>
        </w:rPr>
        <w:t>, t</w:t>
      </w:r>
      <w:r w:rsidR="00F95FC4" w:rsidRPr="00D96194">
        <w:rPr>
          <w:rFonts w:ascii="Times New Roman" w:hAnsi="Times New Roman" w:cs="Times New Roman"/>
          <w:sz w:val="24"/>
          <w:szCs w:val="24"/>
        </w:rPr>
        <w:t>o</w:t>
      </w:r>
      <w:r w:rsidRPr="00D96194">
        <w:rPr>
          <w:rFonts w:ascii="Times New Roman" w:hAnsi="Times New Roman" w:cs="Times New Roman"/>
          <w:sz w:val="24"/>
          <w:szCs w:val="24"/>
        </w:rPr>
        <w:t xml:space="preserve"> kontrolējošo subjektu vai paties</w:t>
      </w:r>
      <w:r w:rsidR="00F95FC4" w:rsidRPr="00D96194">
        <w:rPr>
          <w:rFonts w:ascii="Times New Roman" w:hAnsi="Times New Roman" w:cs="Times New Roman"/>
          <w:sz w:val="24"/>
          <w:szCs w:val="24"/>
        </w:rPr>
        <w:t>o</w:t>
      </w:r>
      <w:r w:rsidRPr="00D96194">
        <w:rPr>
          <w:rFonts w:ascii="Times New Roman" w:hAnsi="Times New Roman" w:cs="Times New Roman"/>
          <w:sz w:val="24"/>
          <w:szCs w:val="24"/>
        </w:rPr>
        <w:t xml:space="preserve"> labuma guvēju pārbaud</w:t>
      </w:r>
      <w:r w:rsidR="00417B94" w:rsidRPr="00D96194">
        <w:rPr>
          <w:rFonts w:ascii="Times New Roman" w:hAnsi="Times New Roman" w:cs="Times New Roman"/>
          <w:sz w:val="24"/>
          <w:szCs w:val="24"/>
        </w:rPr>
        <w:t>e</w:t>
      </w:r>
      <w:r w:rsidRPr="00D96194">
        <w:rPr>
          <w:rFonts w:ascii="Times New Roman" w:hAnsi="Times New Roman" w:cs="Times New Roman"/>
          <w:sz w:val="24"/>
          <w:szCs w:val="24"/>
        </w:rPr>
        <w:t xml:space="preserve"> sankciju sarakstos</w:t>
      </w:r>
      <w:r w:rsidR="00417B94" w:rsidRPr="00D96194">
        <w:rPr>
          <w:rFonts w:ascii="Times New Roman" w:hAnsi="Times New Roman" w:cs="Times New Roman"/>
          <w:sz w:val="24"/>
          <w:szCs w:val="24"/>
        </w:rPr>
        <w:t>.</w:t>
      </w:r>
    </w:p>
    <w:p w14:paraId="5BD8937F" w14:textId="6D92D5F8" w:rsidR="00EC0635" w:rsidRPr="00D96194" w:rsidRDefault="004A0790" w:rsidP="00EC0635">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w:t>
      </w:r>
      <w:r w:rsidR="008C6688" w:rsidRPr="00D96194">
        <w:rPr>
          <w:rFonts w:ascii="Times New Roman" w:hAnsi="Times New Roman" w:cs="Times New Roman"/>
          <w:sz w:val="24"/>
          <w:szCs w:val="24"/>
        </w:rPr>
        <w:t xml:space="preserve">veic </w:t>
      </w:r>
      <w:r w:rsidR="0016121E" w:rsidRPr="00D96194">
        <w:rPr>
          <w:rFonts w:ascii="Times New Roman" w:hAnsi="Times New Roman" w:cs="Times New Roman"/>
          <w:sz w:val="24"/>
          <w:szCs w:val="24"/>
        </w:rPr>
        <w:t>K</w:t>
      </w:r>
      <w:r w:rsidR="008C6688" w:rsidRPr="00D96194">
        <w:rPr>
          <w:rFonts w:ascii="Times New Roman" w:hAnsi="Times New Roman" w:cs="Times New Roman"/>
          <w:sz w:val="24"/>
          <w:szCs w:val="24"/>
        </w:rPr>
        <w:t>lienta izpēt</w:t>
      </w:r>
      <w:r w:rsidR="00417B94" w:rsidRPr="00D96194">
        <w:rPr>
          <w:rFonts w:ascii="Times New Roman" w:hAnsi="Times New Roman" w:cs="Times New Roman"/>
          <w:sz w:val="24"/>
          <w:szCs w:val="24"/>
        </w:rPr>
        <w:t>e</w:t>
      </w:r>
      <w:r w:rsidR="008C6688" w:rsidRPr="00D96194">
        <w:rPr>
          <w:rFonts w:ascii="Times New Roman" w:hAnsi="Times New Roman" w:cs="Times New Roman"/>
          <w:sz w:val="24"/>
          <w:szCs w:val="24"/>
        </w:rPr>
        <w:t>, pārbaud</w:t>
      </w:r>
      <w:r w:rsidR="00417B94" w:rsidRPr="00D96194">
        <w:rPr>
          <w:rFonts w:ascii="Times New Roman" w:hAnsi="Times New Roman" w:cs="Times New Roman"/>
          <w:sz w:val="24"/>
          <w:szCs w:val="24"/>
        </w:rPr>
        <w:t>ot</w:t>
      </w:r>
      <w:r w:rsidR="006400A4" w:rsidRPr="00D96194">
        <w:rPr>
          <w:rFonts w:ascii="Times New Roman" w:hAnsi="Times New Roman" w:cs="Times New Roman"/>
          <w:sz w:val="24"/>
          <w:szCs w:val="24"/>
        </w:rPr>
        <w:t xml:space="preserve"> </w:t>
      </w:r>
      <w:r w:rsidR="008C6688" w:rsidRPr="00D96194">
        <w:rPr>
          <w:rFonts w:ascii="Times New Roman" w:hAnsi="Times New Roman" w:cs="Times New Roman"/>
          <w:sz w:val="24"/>
          <w:szCs w:val="24"/>
        </w:rPr>
        <w:t>publiski pieejamo informāciju (gan pozitīvu, gan negatīvu) par personas saikni ar sankciju sarakstos iekļautām personām</w:t>
      </w:r>
      <w:r w:rsidR="006400A4" w:rsidRPr="00D96194">
        <w:rPr>
          <w:rFonts w:ascii="Times New Roman" w:hAnsi="Times New Roman" w:cs="Times New Roman"/>
          <w:sz w:val="24"/>
          <w:szCs w:val="24"/>
        </w:rPr>
        <w:t>,</w:t>
      </w:r>
      <w:r w:rsidR="008C6688" w:rsidRPr="00D96194">
        <w:rPr>
          <w:rFonts w:ascii="Times New Roman" w:hAnsi="Times New Roman" w:cs="Times New Roman"/>
          <w:sz w:val="24"/>
          <w:szCs w:val="24"/>
        </w:rPr>
        <w:t xml:space="preserve"> izmantojot meklēšanas vietnes, piemēram</w:t>
      </w:r>
      <w:r w:rsidR="002D6708" w:rsidRPr="00D96194">
        <w:rPr>
          <w:rFonts w:ascii="Times New Roman" w:hAnsi="Times New Roman" w:cs="Times New Roman"/>
          <w:sz w:val="24"/>
          <w:szCs w:val="24"/>
        </w:rPr>
        <w:t>,</w:t>
      </w:r>
      <w:r w:rsidR="008C6688" w:rsidRPr="00D96194">
        <w:rPr>
          <w:rFonts w:ascii="Times New Roman" w:hAnsi="Times New Roman" w:cs="Times New Roman"/>
          <w:sz w:val="24"/>
          <w:szCs w:val="24"/>
        </w:rPr>
        <w:t xml:space="preserve"> </w:t>
      </w:r>
      <w:hyperlink r:id="rId11" w:history="1">
        <w:r w:rsidR="008C6688" w:rsidRPr="00D96194">
          <w:rPr>
            <w:rStyle w:val="Hipersaite"/>
            <w:rFonts w:ascii="Times New Roman" w:hAnsi="Times New Roman" w:cs="Times New Roman"/>
            <w:sz w:val="24"/>
            <w:szCs w:val="24"/>
          </w:rPr>
          <w:t>www.google.com</w:t>
        </w:r>
      </w:hyperlink>
      <w:r w:rsidR="008C6688" w:rsidRPr="00D96194">
        <w:rPr>
          <w:rFonts w:ascii="Times New Roman" w:hAnsi="Times New Roman" w:cs="Times New Roman"/>
          <w:sz w:val="24"/>
          <w:szCs w:val="24"/>
        </w:rPr>
        <w:t xml:space="preserve">. </w:t>
      </w:r>
    </w:p>
    <w:p w14:paraId="01F3B310" w14:textId="3FC4F6A1" w:rsidR="00EC0635" w:rsidRPr="00D96194" w:rsidRDefault="00EC0635" w:rsidP="00EC0635">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Administratoram ir jāizvērtē</w:t>
      </w:r>
      <w:r w:rsidR="00727E26" w:rsidRPr="00D96194">
        <w:rPr>
          <w:rFonts w:ascii="Times New Roman" w:hAnsi="Times New Roman" w:cs="Times New Roman"/>
          <w:sz w:val="24"/>
          <w:szCs w:val="24"/>
        </w:rPr>
        <w:t>,</w:t>
      </w:r>
      <w:r w:rsidRPr="00D96194">
        <w:rPr>
          <w:rFonts w:ascii="Times New Roman" w:hAnsi="Times New Roman" w:cs="Times New Roman"/>
          <w:sz w:val="24"/>
          <w:szCs w:val="24"/>
        </w:rPr>
        <w:t xml:space="preserve"> vai Klients tieši vai netieši nesniedz tehnisku palīdzību, starpniecības pakalpojumus vai citus pakalpojumus, kas saistīti ar precēm un tehnoloģijām, uz kur</w:t>
      </w:r>
      <w:r w:rsidR="00F95FC4" w:rsidRPr="00D96194">
        <w:rPr>
          <w:rFonts w:ascii="Times New Roman" w:hAnsi="Times New Roman" w:cs="Times New Roman"/>
          <w:sz w:val="24"/>
          <w:szCs w:val="24"/>
        </w:rPr>
        <w:t>ā</w:t>
      </w:r>
      <w:r w:rsidRPr="00D96194">
        <w:rPr>
          <w:rFonts w:ascii="Times New Roman" w:hAnsi="Times New Roman" w:cs="Times New Roman"/>
          <w:sz w:val="24"/>
          <w:szCs w:val="24"/>
        </w:rPr>
        <w:t xml:space="preserve">m attiecas sankciju aizliegumi, un šo preču un tehnoloģiju nodrošinājumu, ražošanu, apkopi un izmantošanu. Pārbaude veicama ES Sankciju kartes interneta vietnē: </w:t>
      </w:r>
      <w:hyperlink r:id="rId12" w:history="1">
        <w:r w:rsidRPr="00D96194">
          <w:rPr>
            <w:rStyle w:val="Hipersaite"/>
            <w:rFonts w:ascii="Times New Roman" w:hAnsi="Times New Roman" w:cs="Times New Roman"/>
            <w:sz w:val="24"/>
            <w:szCs w:val="24"/>
          </w:rPr>
          <w:t>https://www.sanctionsmap.eu</w:t>
        </w:r>
      </w:hyperlink>
      <w:r w:rsidRPr="00D96194">
        <w:rPr>
          <w:rFonts w:ascii="Times New Roman" w:hAnsi="Times New Roman" w:cs="Times New Roman"/>
          <w:sz w:val="24"/>
          <w:szCs w:val="24"/>
        </w:rPr>
        <w:t>, izvēloties valsti, kuru pārstāv preces vai pakalpojuma pircējs.</w:t>
      </w:r>
    </w:p>
    <w:p w14:paraId="10BEB33E" w14:textId="4FF573FD" w:rsidR="005517FF" w:rsidRPr="002D14BB" w:rsidRDefault="00103D45" w:rsidP="002D14BB">
      <w:pPr>
        <w:pStyle w:val="Sarakstarindkopa"/>
        <w:numPr>
          <w:ilvl w:val="2"/>
          <w:numId w:val="1"/>
        </w:numPr>
        <w:spacing w:after="0" w:line="360" w:lineRule="auto"/>
        <w:ind w:left="1191" w:hanging="851"/>
        <w:jc w:val="both"/>
        <w:rPr>
          <w:rFonts w:ascii="Times New Roman" w:hAnsi="Times New Roman" w:cs="Times New Roman"/>
          <w:sz w:val="24"/>
          <w:szCs w:val="24"/>
          <w:lang w:eastAsia="lv-LV"/>
        </w:rPr>
      </w:pPr>
      <w:r w:rsidRPr="002D14BB">
        <w:rPr>
          <w:rFonts w:ascii="Times New Roman" w:hAnsi="Times New Roman" w:cs="Times New Roman"/>
          <w:sz w:val="24"/>
          <w:szCs w:val="24"/>
        </w:rPr>
        <w:t xml:space="preserve">Administratoram ir jāveic </w:t>
      </w:r>
      <w:r w:rsidR="0016121E" w:rsidRPr="002D14BB">
        <w:rPr>
          <w:rFonts w:ascii="Times New Roman" w:hAnsi="Times New Roman" w:cs="Times New Roman"/>
          <w:sz w:val="24"/>
          <w:szCs w:val="24"/>
        </w:rPr>
        <w:t>K</w:t>
      </w:r>
      <w:r w:rsidRPr="002D14BB">
        <w:rPr>
          <w:rFonts w:ascii="Times New Roman" w:hAnsi="Times New Roman" w:cs="Times New Roman"/>
          <w:sz w:val="24"/>
          <w:szCs w:val="24"/>
        </w:rPr>
        <w:t>lientu darījumu uzraudzība tiktāl, cik tas attiecas uz maksātnespējas procesu, lai izslēgtu jebkāda darījuma veikšanu ar sankcionētu personu</w:t>
      </w:r>
      <w:r w:rsidR="000C16E6" w:rsidRPr="002D14BB">
        <w:rPr>
          <w:rFonts w:ascii="Times New Roman" w:hAnsi="Times New Roman" w:cs="Times New Roman"/>
          <w:sz w:val="24"/>
          <w:szCs w:val="24"/>
        </w:rPr>
        <w:t xml:space="preserve"> un/vai </w:t>
      </w:r>
      <w:r w:rsidR="000F3701" w:rsidRPr="002D14BB">
        <w:rPr>
          <w:rFonts w:ascii="Times New Roman" w:hAnsi="Times New Roman" w:cs="Times New Roman"/>
          <w:sz w:val="24"/>
          <w:szCs w:val="24"/>
        </w:rPr>
        <w:t>darījuma veikšanu, kas saistāms ar sektorālo sankciju apiešanu vai pārkāpšanu</w:t>
      </w:r>
      <w:r w:rsidR="000C16E6" w:rsidRPr="002D14BB">
        <w:rPr>
          <w:rFonts w:ascii="Times New Roman" w:hAnsi="Times New Roman" w:cs="Times New Roman"/>
          <w:sz w:val="24"/>
          <w:szCs w:val="24"/>
        </w:rPr>
        <w:t xml:space="preserve">, kā arī </w:t>
      </w:r>
      <w:r w:rsidRPr="002D14BB">
        <w:rPr>
          <w:rFonts w:ascii="Times New Roman" w:hAnsi="Times New Roman" w:cs="Times New Roman"/>
          <w:sz w:val="24"/>
          <w:szCs w:val="24"/>
        </w:rPr>
        <w:t>konstatētu jau notikušu darījumu ar sankcionētu personu</w:t>
      </w:r>
      <w:r w:rsidR="000C16E6" w:rsidRPr="002D14BB">
        <w:rPr>
          <w:rFonts w:ascii="Times New Roman" w:hAnsi="Times New Roman" w:cs="Times New Roman"/>
          <w:sz w:val="24"/>
          <w:szCs w:val="24"/>
        </w:rPr>
        <w:t xml:space="preserve">, </w:t>
      </w:r>
      <w:r w:rsidR="000F3701" w:rsidRPr="002D14BB">
        <w:rPr>
          <w:rFonts w:ascii="Times New Roman" w:hAnsi="Times New Roman" w:cs="Times New Roman"/>
          <w:sz w:val="24"/>
          <w:szCs w:val="24"/>
        </w:rPr>
        <w:t>darījumu, kas saistāms ar sektorālo sankciju apiešanu vai pārkāpšanu</w:t>
      </w:r>
      <w:r w:rsidR="000C16E6" w:rsidRPr="002D14BB">
        <w:rPr>
          <w:rFonts w:ascii="Times New Roman" w:hAnsi="Times New Roman" w:cs="Times New Roman"/>
          <w:sz w:val="24"/>
          <w:szCs w:val="24"/>
        </w:rPr>
        <w:t>.</w:t>
      </w:r>
      <w:r w:rsidR="005517FF" w:rsidRPr="002D14BB">
        <w:rPr>
          <w:rFonts w:ascii="Times New Roman" w:hAnsi="Times New Roman" w:cs="Times New Roman"/>
          <w:sz w:val="24"/>
          <w:szCs w:val="24"/>
        </w:rPr>
        <w:t xml:space="preserve"> </w:t>
      </w:r>
      <w:r w:rsidR="00253A56" w:rsidRPr="002D14BB">
        <w:rPr>
          <w:rFonts w:ascii="Times New Roman" w:hAnsi="Times New Roman" w:cs="Times New Roman"/>
          <w:sz w:val="24"/>
          <w:szCs w:val="24"/>
        </w:rPr>
        <w:t>Administratoram jā</w:t>
      </w:r>
      <w:r w:rsidR="004E74EA" w:rsidRPr="002D14BB">
        <w:rPr>
          <w:rFonts w:ascii="Times New Roman" w:hAnsi="Times New Roman" w:cs="Times New Roman"/>
          <w:sz w:val="24"/>
          <w:szCs w:val="24"/>
        </w:rPr>
        <w:t>v</w:t>
      </w:r>
      <w:r w:rsidR="00253A56" w:rsidRPr="002D14BB">
        <w:rPr>
          <w:rFonts w:ascii="Times New Roman" w:hAnsi="Times New Roman" w:cs="Times New Roman"/>
          <w:sz w:val="24"/>
          <w:szCs w:val="24"/>
        </w:rPr>
        <w:t>eic Klienta</w:t>
      </w:r>
      <w:r w:rsidR="005517FF" w:rsidRPr="00EB1C82">
        <w:rPr>
          <w:rFonts w:ascii="Times New Roman" w:hAnsi="Times New Roman" w:cs="Times New Roman"/>
          <w:sz w:val="24"/>
          <w:szCs w:val="24"/>
          <w:lang w:eastAsia="lv-LV"/>
        </w:rPr>
        <w:t xml:space="preserve"> kreditor</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mantas ieguvēj</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un cit</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darījumu dalībniek</w:t>
      </w:r>
      <w:r w:rsidR="00253A56" w:rsidRPr="00EB1C82">
        <w:rPr>
          <w:rFonts w:ascii="Times New Roman" w:hAnsi="Times New Roman" w:cs="Times New Roman"/>
          <w:sz w:val="24"/>
          <w:szCs w:val="24"/>
          <w:lang w:eastAsia="lv-LV"/>
        </w:rPr>
        <w:t>u</w:t>
      </w:r>
      <w:r w:rsidR="005517FF" w:rsidRPr="00EB1C82">
        <w:rPr>
          <w:rFonts w:ascii="Times New Roman" w:hAnsi="Times New Roman" w:cs="Times New Roman"/>
          <w:sz w:val="24"/>
          <w:szCs w:val="24"/>
          <w:lang w:eastAsia="lv-LV"/>
        </w:rPr>
        <w:t xml:space="preserve">, ar ko Administrators slēdz darījumus </w:t>
      </w:r>
      <w:r w:rsidR="004E74EA" w:rsidRPr="00EB1C82">
        <w:rPr>
          <w:rFonts w:ascii="Times New Roman" w:hAnsi="Times New Roman" w:cs="Times New Roman"/>
          <w:sz w:val="24"/>
          <w:szCs w:val="24"/>
          <w:lang w:eastAsia="lv-LV"/>
        </w:rPr>
        <w:t>Klienta</w:t>
      </w:r>
      <w:r w:rsidR="005517FF" w:rsidRPr="00EB1C82">
        <w:rPr>
          <w:rFonts w:ascii="Times New Roman" w:hAnsi="Times New Roman" w:cs="Times New Roman"/>
          <w:sz w:val="24"/>
          <w:szCs w:val="24"/>
          <w:lang w:eastAsia="lv-LV"/>
        </w:rPr>
        <w:t xml:space="preserve"> vārdā</w:t>
      </w:r>
      <w:r w:rsidR="00C5196E" w:rsidRPr="002D14BB">
        <w:rPr>
          <w:rFonts w:ascii="Times New Roman" w:hAnsi="Times New Roman" w:cs="Times New Roman"/>
          <w:sz w:val="24"/>
          <w:szCs w:val="24"/>
          <w:lang w:eastAsia="lv-LV"/>
        </w:rPr>
        <w:t>,</w:t>
      </w:r>
      <w:r w:rsidR="00931E64" w:rsidRPr="002D14BB">
        <w:rPr>
          <w:rFonts w:ascii="Times New Roman" w:hAnsi="Times New Roman" w:cs="Times New Roman"/>
          <w:sz w:val="24"/>
          <w:szCs w:val="24"/>
          <w:lang w:eastAsia="lv-LV"/>
        </w:rPr>
        <w:t xml:space="preserve"> kā arī minēto personu patieso labuma guvēju</w:t>
      </w:r>
      <w:r w:rsidR="00C5196E" w:rsidRPr="002D14BB">
        <w:rPr>
          <w:rFonts w:ascii="Times New Roman" w:hAnsi="Times New Roman" w:cs="Times New Roman"/>
          <w:sz w:val="24"/>
          <w:szCs w:val="24"/>
          <w:lang w:eastAsia="lv-LV"/>
        </w:rPr>
        <w:t xml:space="preserve"> pārbaude sankciju sarakstos.</w:t>
      </w:r>
      <w:r w:rsidR="00270BCF" w:rsidRPr="00822ED4">
        <w:rPr>
          <w:rStyle w:val="Vresatsauce"/>
          <w:rFonts w:ascii="Times New Roman" w:hAnsi="Times New Roman" w:cs="Times New Roman"/>
          <w:sz w:val="24"/>
          <w:szCs w:val="24"/>
        </w:rPr>
        <w:footnoteReference w:id="8"/>
      </w:r>
    </w:p>
    <w:p w14:paraId="26B4F9C8" w14:textId="7EEF06CB" w:rsidR="00103D45" w:rsidRPr="00D96194" w:rsidRDefault="00103D45" w:rsidP="002D14BB">
      <w:pPr>
        <w:pStyle w:val="Sarakstarindkopa"/>
        <w:spacing w:after="0" w:line="360" w:lineRule="auto"/>
        <w:ind w:left="1134"/>
        <w:jc w:val="both"/>
        <w:rPr>
          <w:rFonts w:ascii="Times New Roman" w:hAnsi="Times New Roman" w:cs="Times New Roman"/>
          <w:sz w:val="24"/>
          <w:szCs w:val="24"/>
        </w:rPr>
      </w:pPr>
    </w:p>
    <w:p w14:paraId="6FB8398B" w14:textId="734AE291" w:rsidR="00417B94" w:rsidRPr="00D96194" w:rsidRDefault="00F965B9"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417B94" w:rsidRPr="00D96194">
        <w:rPr>
          <w:rFonts w:ascii="Times New Roman" w:hAnsi="Times New Roman" w:cs="Times New Roman"/>
          <w:sz w:val="24"/>
          <w:szCs w:val="24"/>
        </w:rPr>
        <w:t>am ir jā</w:t>
      </w:r>
      <w:r w:rsidRPr="00D96194">
        <w:rPr>
          <w:rFonts w:ascii="Times New Roman" w:hAnsi="Times New Roman" w:cs="Times New Roman"/>
          <w:sz w:val="24"/>
          <w:szCs w:val="24"/>
        </w:rPr>
        <w:t xml:space="preserve">dokumentē un </w:t>
      </w:r>
      <w:r w:rsidR="00417B94" w:rsidRPr="00D96194">
        <w:rPr>
          <w:rFonts w:ascii="Times New Roman" w:hAnsi="Times New Roman" w:cs="Times New Roman"/>
          <w:sz w:val="24"/>
          <w:szCs w:val="24"/>
        </w:rPr>
        <w:t>jā</w:t>
      </w:r>
      <w:r w:rsidRPr="00D96194">
        <w:rPr>
          <w:rFonts w:ascii="Times New Roman" w:hAnsi="Times New Roman" w:cs="Times New Roman"/>
          <w:sz w:val="24"/>
          <w:szCs w:val="24"/>
        </w:rPr>
        <w:t xml:space="preserve">saglabā </w:t>
      </w:r>
      <w:r w:rsidR="00417B94" w:rsidRPr="00D96194">
        <w:rPr>
          <w:rFonts w:ascii="Times New Roman" w:hAnsi="Times New Roman" w:cs="Times New Roman"/>
          <w:sz w:val="24"/>
          <w:szCs w:val="24"/>
        </w:rPr>
        <w:t xml:space="preserve">visa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lienta izpētes laikā iegūt</w:t>
      </w:r>
      <w:r w:rsidR="00417B94" w:rsidRPr="00D96194">
        <w:rPr>
          <w:rFonts w:ascii="Times New Roman" w:hAnsi="Times New Roman" w:cs="Times New Roman"/>
          <w:sz w:val="24"/>
          <w:szCs w:val="24"/>
        </w:rPr>
        <w:t>ā</w:t>
      </w:r>
      <w:r w:rsidRPr="00D96194">
        <w:rPr>
          <w:rFonts w:ascii="Times New Roman" w:hAnsi="Times New Roman" w:cs="Times New Roman"/>
          <w:sz w:val="24"/>
          <w:szCs w:val="24"/>
        </w:rPr>
        <w:t xml:space="preserve"> informācij</w:t>
      </w:r>
      <w:r w:rsidR="00417B94" w:rsidRPr="00D96194">
        <w:rPr>
          <w:rFonts w:ascii="Times New Roman" w:hAnsi="Times New Roman" w:cs="Times New Roman"/>
          <w:sz w:val="24"/>
          <w:szCs w:val="24"/>
        </w:rPr>
        <w:t>a</w:t>
      </w:r>
      <w:r w:rsidRPr="00D96194">
        <w:rPr>
          <w:rFonts w:ascii="Times New Roman" w:hAnsi="Times New Roman" w:cs="Times New Roman"/>
          <w:sz w:val="24"/>
          <w:szCs w:val="24"/>
        </w:rPr>
        <w:t xml:space="preserve"> un dokument</w:t>
      </w:r>
      <w:r w:rsidR="00417B94" w:rsidRPr="00D96194">
        <w:rPr>
          <w:rFonts w:ascii="Times New Roman" w:hAnsi="Times New Roman" w:cs="Times New Roman"/>
          <w:sz w:val="24"/>
          <w:szCs w:val="24"/>
        </w:rPr>
        <w:t>i.</w:t>
      </w:r>
      <w:r w:rsidR="006F5896" w:rsidRPr="00D96194">
        <w:t xml:space="preserve"> </w:t>
      </w:r>
    </w:p>
    <w:p w14:paraId="7EAB2CB1" w14:textId="69633128" w:rsidR="00417B94" w:rsidRPr="00D96194" w:rsidRDefault="00EB6D61" w:rsidP="00417B94">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Dažādiem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lientiem izpētes rezultātā iegūstamās informācijas apjoms var būt atšķirīgs, un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dministratoram ir jāspēj pierādīt, ka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 izpētes apjoms atbilst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lientam piemītošajam sankciju riskam, un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dministrators ir veicis pasākumus Starptautisko</w:t>
      </w:r>
      <w:r w:rsidR="0016121E"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izpildei un Sankciju likuma ievērošanai.</w:t>
      </w:r>
    </w:p>
    <w:p w14:paraId="5E435E5B" w14:textId="2BF89CB9" w:rsidR="003B110E" w:rsidRPr="00D96194" w:rsidRDefault="00417B94" w:rsidP="003B110E">
      <w:pPr>
        <w:pStyle w:val="Sarakstarindkopa"/>
        <w:numPr>
          <w:ilvl w:val="2"/>
          <w:numId w:val="1"/>
        </w:numPr>
        <w:spacing w:after="0" w:line="360" w:lineRule="auto"/>
        <w:ind w:left="1134" w:hanging="796"/>
        <w:jc w:val="both"/>
        <w:rPr>
          <w:rFonts w:ascii="Times New Roman" w:hAnsi="Times New Roman" w:cs="Times New Roman"/>
          <w:sz w:val="24"/>
          <w:szCs w:val="24"/>
        </w:rPr>
      </w:pPr>
      <w:r w:rsidRPr="00D96194">
        <w:rPr>
          <w:rFonts w:ascii="Times New Roman" w:hAnsi="Times New Roman" w:cs="Times New Roman"/>
          <w:sz w:val="24"/>
          <w:szCs w:val="24"/>
        </w:rPr>
        <w:t xml:space="preserve">Ja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 xml:space="preserve">dministrators izpētes ietvaros konstatē, ka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 xml:space="preserve">lients </w:t>
      </w:r>
      <w:r w:rsidR="00F95FC4" w:rsidRPr="00D96194">
        <w:rPr>
          <w:rFonts w:ascii="Times New Roman" w:hAnsi="Times New Roman" w:cs="Times New Roman"/>
          <w:sz w:val="24"/>
          <w:szCs w:val="24"/>
        </w:rPr>
        <w:t xml:space="preserve">vai tā patiesais labuma guvējs </w:t>
      </w:r>
      <w:r w:rsidRPr="00D96194">
        <w:rPr>
          <w:rFonts w:ascii="Times New Roman" w:hAnsi="Times New Roman" w:cs="Times New Roman"/>
          <w:sz w:val="24"/>
          <w:szCs w:val="24"/>
        </w:rPr>
        <w:t>ir iekļauts sankciju sarakstā, viņam tiek piemēroti finanšu un civiltiesiskie ierobežojumi:</w:t>
      </w:r>
    </w:p>
    <w:p w14:paraId="74FA7A96" w14:textId="290512C7" w:rsidR="003B110E" w:rsidRPr="00D96194" w:rsidRDefault="00D449AF"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p</w:t>
      </w:r>
      <w:r w:rsidR="00417B94" w:rsidRPr="00D96194">
        <w:rPr>
          <w:rFonts w:ascii="Times New Roman" w:hAnsi="Times New Roman" w:cs="Times New Roman"/>
          <w:sz w:val="24"/>
          <w:szCs w:val="24"/>
        </w:rPr>
        <w:t>aziņojot</w:t>
      </w:r>
      <w:r w:rsidRPr="00D96194">
        <w:rPr>
          <w:rFonts w:ascii="Times New Roman" w:hAnsi="Times New Roman" w:cs="Times New Roman"/>
          <w:sz w:val="24"/>
          <w:szCs w:val="24"/>
        </w:rPr>
        <w:t xml:space="preserve"> </w:t>
      </w:r>
      <w:r w:rsidR="003B110E" w:rsidRPr="00D96194">
        <w:rPr>
          <w:rFonts w:ascii="Times New Roman" w:hAnsi="Times New Roman" w:cs="Times New Roman"/>
          <w:sz w:val="24"/>
          <w:szCs w:val="24"/>
        </w:rPr>
        <w:t>FID</w:t>
      </w:r>
      <w:r w:rsidR="00417B94" w:rsidRPr="00D96194">
        <w:rPr>
          <w:rFonts w:ascii="Times New Roman" w:hAnsi="Times New Roman" w:cs="Times New Roman"/>
          <w:sz w:val="24"/>
          <w:szCs w:val="24"/>
        </w:rPr>
        <w:t xml:space="preserve"> par nepieciešamību iesaldēt finanšu līdzekļus</w:t>
      </w:r>
      <w:r w:rsidR="003B110E" w:rsidRPr="00D96194">
        <w:rPr>
          <w:rFonts w:ascii="Times New Roman" w:hAnsi="Times New Roman" w:cs="Times New Roman"/>
          <w:sz w:val="24"/>
          <w:szCs w:val="24"/>
        </w:rPr>
        <w:t xml:space="preserve"> un saimnieciskos resursus;</w:t>
      </w:r>
    </w:p>
    <w:p w14:paraId="66946055" w14:textId="4DE5C653" w:rsidR="003B110E" w:rsidRPr="00D96194" w:rsidRDefault="003B110E"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lūdzot</w:t>
      </w:r>
      <w:r w:rsidR="00D449AF"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FID </w:t>
      </w:r>
      <w:r w:rsidR="00D449AF" w:rsidRPr="00D96194">
        <w:rPr>
          <w:rFonts w:ascii="Times New Roman" w:hAnsi="Times New Roman" w:cs="Times New Roman"/>
          <w:sz w:val="24"/>
          <w:szCs w:val="24"/>
        </w:rPr>
        <w:t xml:space="preserve">atbrīvot </w:t>
      </w:r>
      <w:r w:rsidRPr="00D96194">
        <w:rPr>
          <w:rFonts w:ascii="Times New Roman" w:hAnsi="Times New Roman" w:cs="Times New Roman"/>
          <w:sz w:val="24"/>
          <w:szCs w:val="24"/>
        </w:rPr>
        <w:t>finanšu</w:t>
      </w:r>
      <w:r w:rsidRPr="00D96194">
        <w:t xml:space="preserve"> </w:t>
      </w:r>
      <w:r w:rsidRPr="00D96194">
        <w:rPr>
          <w:rFonts w:ascii="Times New Roman" w:hAnsi="Times New Roman" w:cs="Times New Roman"/>
          <w:sz w:val="24"/>
          <w:szCs w:val="24"/>
        </w:rPr>
        <w:t>līdzekļu</w:t>
      </w:r>
      <w:r w:rsidR="00D449AF" w:rsidRPr="00D96194">
        <w:rPr>
          <w:rFonts w:ascii="Times New Roman" w:hAnsi="Times New Roman" w:cs="Times New Roman"/>
          <w:sz w:val="24"/>
          <w:szCs w:val="24"/>
        </w:rPr>
        <w:t>s un saimnieciskos resursus</w:t>
      </w:r>
      <w:r w:rsidRPr="00D96194">
        <w:rPr>
          <w:rFonts w:ascii="Times New Roman" w:hAnsi="Times New Roman" w:cs="Times New Roman"/>
          <w:sz w:val="24"/>
          <w:szCs w:val="24"/>
        </w:rPr>
        <w:t xml:space="preserve"> no iesaldēšanas</w:t>
      </w:r>
      <w:r w:rsidR="001B6F29" w:rsidRPr="00D96194">
        <w:rPr>
          <w:rStyle w:val="Vresatsauce"/>
          <w:rFonts w:ascii="Times New Roman" w:hAnsi="Times New Roman" w:cs="Times New Roman"/>
          <w:sz w:val="24"/>
          <w:szCs w:val="24"/>
        </w:rPr>
        <w:footnoteReference w:id="9"/>
      </w:r>
      <w:r w:rsidR="00D449AF" w:rsidRPr="00D96194">
        <w:rPr>
          <w:rFonts w:ascii="Times New Roman" w:hAnsi="Times New Roman" w:cs="Times New Roman"/>
          <w:sz w:val="24"/>
          <w:szCs w:val="24"/>
        </w:rPr>
        <w:t>;</w:t>
      </w:r>
    </w:p>
    <w:p w14:paraId="1D67A227" w14:textId="102FDE59" w:rsidR="00417B94" w:rsidRPr="00D96194" w:rsidRDefault="00417B94" w:rsidP="003B110E">
      <w:pPr>
        <w:pStyle w:val="Sarakstarindkopa"/>
        <w:numPr>
          <w:ilvl w:val="0"/>
          <w:numId w:val="1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piemērojot </w:t>
      </w:r>
      <w:r w:rsidR="003B110E" w:rsidRPr="00D96194">
        <w:rPr>
          <w:rFonts w:ascii="Times New Roman" w:hAnsi="Times New Roman" w:cs="Times New Roman"/>
          <w:sz w:val="24"/>
          <w:szCs w:val="24"/>
        </w:rPr>
        <w:t xml:space="preserve">citus </w:t>
      </w:r>
      <w:r w:rsidRPr="00D96194">
        <w:rPr>
          <w:rFonts w:ascii="Times New Roman" w:hAnsi="Times New Roman" w:cs="Times New Roman"/>
          <w:sz w:val="24"/>
          <w:szCs w:val="24"/>
        </w:rPr>
        <w:t xml:space="preserve">civiltiesiskos ierobežojumus tiktāl, ciktāl </w:t>
      </w:r>
      <w:r w:rsidR="0016121E" w:rsidRPr="00D96194">
        <w:rPr>
          <w:rFonts w:ascii="Times New Roman" w:hAnsi="Times New Roman" w:cs="Times New Roman"/>
          <w:sz w:val="24"/>
          <w:szCs w:val="24"/>
        </w:rPr>
        <w:t>A</w:t>
      </w:r>
      <w:r w:rsidRPr="00D96194">
        <w:rPr>
          <w:rFonts w:ascii="Times New Roman" w:hAnsi="Times New Roman" w:cs="Times New Roman"/>
          <w:sz w:val="24"/>
          <w:szCs w:val="24"/>
        </w:rPr>
        <w:t>dministratoram ir iespējams atturēties no īpašuma</w:t>
      </w:r>
      <w:r w:rsidR="003B110E" w:rsidRPr="00D96194">
        <w:rPr>
          <w:rFonts w:ascii="Times New Roman" w:hAnsi="Times New Roman" w:cs="Times New Roman"/>
          <w:sz w:val="24"/>
          <w:szCs w:val="24"/>
        </w:rPr>
        <w:t xml:space="preserve"> </w:t>
      </w:r>
      <w:r w:rsidRPr="00D96194">
        <w:rPr>
          <w:rFonts w:ascii="Times New Roman" w:hAnsi="Times New Roman" w:cs="Times New Roman"/>
          <w:sz w:val="24"/>
          <w:szCs w:val="24"/>
        </w:rPr>
        <w:t xml:space="preserve">tiesību nostiprināšanas </w:t>
      </w:r>
      <w:r w:rsidR="0016121E" w:rsidRPr="00D96194">
        <w:rPr>
          <w:rFonts w:ascii="Times New Roman" w:hAnsi="Times New Roman" w:cs="Times New Roman"/>
          <w:sz w:val="24"/>
          <w:szCs w:val="24"/>
        </w:rPr>
        <w:t>K</w:t>
      </w:r>
      <w:r w:rsidRPr="00D96194">
        <w:rPr>
          <w:rFonts w:ascii="Times New Roman" w:hAnsi="Times New Roman" w:cs="Times New Roman"/>
          <w:sz w:val="24"/>
          <w:szCs w:val="24"/>
        </w:rPr>
        <w:t>lienta vārdā publiskos reģistros un civiltiesisku darījum</w:t>
      </w:r>
      <w:r w:rsidR="003B110E" w:rsidRPr="00D96194">
        <w:rPr>
          <w:rFonts w:ascii="Times New Roman" w:hAnsi="Times New Roman" w:cs="Times New Roman"/>
          <w:sz w:val="24"/>
          <w:szCs w:val="24"/>
        </w:rPr>
        <w:t xml:space="preserve">u </w:t>
      </w:r>
      <w:r w:rsidRPr="00D96194">
        <w:rPr>
          <w:rFonts w:ascii="Times New Roman" w:hAnsi="Times New Roman" w:cs="Times New Roman"/>
          <w:sz w:val="24"/>
          <w:szCs w:val="24"/>
        </w:rPr>
        <w:t>slēgšan</w:t>
      </w:r>
      <w:r w:rsidR="000F3701" w:rsidRPr="00D96194">
        <w:rPr>
          <w:rFonts w:ascii="Times New Roman" w:hAnsi="Times New Roman" w:cs="Times New Roman"/>
          <w:sz w:val="24"/>
          <w:szCs w:val="24"/>
        </w:rPr>
        <w:t>as</w:t>
      </w:r>
      <w:r w:rsidRPr="00D96194">
        <w:rPr>
          <w:rFonts w:ascii="Times New Roman" w:hAnsi="Times New Roman" w:cs="Times New Roman"/>
          <w:sz w:val="24"/>
          <w:szCs w:val="24"/>
        </w:rPr>
        <w:t xml:space="preserve"> ar sankciju sarakstā iekļautu personu.</w:t>
      </w:r>
    </w:p>
    <w:p w14:paraId="52C90B11" w14:textId="77777777" w:rsidR="00007748" w:rsidRPr="00D96194" w:rsidRDefault="004341CA" w:rsidP="00007748">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jānodrošina </w:t>
      </w:r>
      <w:r w:rsidR="00BD717E" w:rsidRPr="00D96194">
        <w:rPr>
          <w:rFonts w:ascii="Times New Roman" w:hAnsi="Times New Roman" w:cs="Times New Roman"/>
          <w:sz w:val="24"/>
          <w:szCs w:val="24"/>
        </w:rPr>
        <w:t>K</w:t>
      </w:r>
      <w:r w:rsidRPr="00D96194">
        <w:rPr>
          <w:rFonts w:ascii="Times New Roman" w:hAnsi="Times New Roman" w:cs="Times New Roman"/>
          <w:sz w:val="24"/>
          <w:szCs w:val="24"/>
        </w:rPr>
        <w:t>lienta izpētes gaitā iegūto dokumentu, personas datu un informācijas uzglabāšana, regulāra to izvērtēšana un aktualizēšana atbilstoši piemītošajiem riskiem, bet ne retāk kā reizi piecos gados.</w:t>
      </w:r>
    </w:p>
    <w:p w14:paraId="699D08C8" w14:textId="603AD83B" w:rsidR="00007748" w:rsidRPr="00D96194" w:rsidRDefault="00007748" w:rsidP="00007748">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ir jāvērtē visa publiski pieejamā informācija (bet ne tikai), kas varētu ietekmēt noteikto Starptautisko sankciju un Nacionālo sankciju izpildi un Sankciju likuma ievērošanu. </w:t>
      </w:r>
    </w:p>
    <w:p w14:paraId="1C8E360F" w14:textId="77777777" w:rsidR="00E93E1C" w:rsidRPr="00D96194" w:rsidRDefault="00E93E1C" w:rsidP="00077CFA">
      <w:pPr>
        <w:spacing w:after="0" w:line="360" w:lineRule="auto"/>
        <w:jc w:val="both"/>
        <w:rPr>
          <w:rFonts w:ascii="Times New Roman" w:hAnsi="Times New Roman" w:cs="Times New Roman"/>
          <w:sz w:val="24"/>
          <w:szCs w:val="24"/>
        </w:rPr>
      </w:pPr>
    </w:p>
    <w:p w14:paraId="6F0EBC62" w14:textId="3C9C19DF" w:rsidR="004341CA" w:rsidRPr="00D96194" w:rsidRDefault="004341CA" w:rsidP="00923049">
      <w:pPr>
        <w:pStyle w:val="Virsraksts2"/>
        <w:numPr>
          <w:ilvl w:val="1"/>
          <w:numId w:val="1"/>
        </w:numPr>
        <w:jc w:val="center"/>
        <w:rPr>
          <w:rFonts w:ascii="Times New Roman" w:hAnsi="Times New Roman" w:cs="Times New Roman"/>
          <w:b/>
          <w:bCs/>
          <w:color w:val="auto"/>
          <w:sz w:val="28"/>
          <w:szCs w:val="28"/>
        </w:rPr>
      </w:pPr>
      <w:bookmarkStart w:id="12" w:name="_Toc162957769"/>
      <w:r w:rsidRPr="00D96194">
        <w:rPr>
          <w:rFonts w:ascii="Times New Roman" w:hAnsi="Times New Roman" w:cs="Times New Roman"/>
          <w:b/>
          <w:bCs/>
          <w:color w:val="auto"/>
          <w:sz w:val="28"/>
          <w:szCs w:val="28"/>
        </w:rPr>
        <w:t>Ziņošana</w:t>
      </w:r>
      <w:r w:rsidR="00923049" w:rsidRPr="00D96194">
        <w:rPr>
          <w:rFonts w:ascii="Times New Roman" w:hAnsi="Times New Roman" w:cs="Times New Roman"/>
          <w:b/>
          <w:bCs/>
          <w:color w:val="auto"/>
          <w:sz w:val="28"/>
          <w:szCs w:val="28"/>
        </w:rPr>
        <w:t>s pienākums</w:t>
      </w:r>
      <w:bookmarkEnd w:id="12"/>
      <w:r w:rsidRPr="00D96194">
        <w:rPr>
          <w:rFonts w:ascii="Times New Roman" w:hAnsi="Times New Roman" w:cs="Times New Roman"/>
          <w:b/>
          <w:bCs/>
          <w:color w:val="auto"/>
          <w:sz w:val="28"/>
          <w:szCs w:val="28"/>
        </w:rPr>
        <w:t xml:space="preserve"> </w:t>
      </w:r>
    </w:p>
    <w:p w14:paraId="41A7EE6A" w14:textId="77777777" w:rsidR="004341CA" w:rsidRPr="00D96194" w:rsidRDefault="004341CA" w:rsidP="004341CA"/>
    <w:p w14:paraId="178E5339" w14:textId="1FFFFC8A" w:rsidR="00691AA3" w:rsidRPr="00D96194" w:rsidRDefault="004341CA" w:rsidP="00731431">
      <w:pPr>
        <w:pStyle w:val="Sarakstarindkopa"/>
        <w:numPr>
          <w:ilvl w:val="2"/>
          <w:numId w:val="1"/>
        </w:numPr>
        <w:spacing w:after="0" w:line="360" w:lineRule="auto"/>
        <w:ind w:left="1134" w:hanging="774"/>
        <w:jc w:val="both"/>
        <w:rPr>
          <w:rFonts w:ascii="Times New Roman" w:hAnsi="Times New Roman" w:cs="Times New Roman"/>
          <w:sz w:val="24"/>
          <w:szCs w:val="24"/>
        </w:rPr>
      </w:pPr>
      <w:r w:rsidRPr="00D96194">
        <w:rPr>
          <w:rFonts w:ascii="Times New Roman" w:hAnsi="Times New Roman" w:cs="Times New Roman"/>
          <w:sz w:val="24"/>
          <w:szCs w:val="24"/>
        </w:rPr>
        <w:t>Administrator</w:t>
      </w:r>
      <w:r w:rsidR="00BD717E" w:rsidRPr="00D96194">
        <w:rPr>
          <w:rFonts w:ascii="Times New Roman" w:hAnsi="Times New Roman" w:cs="Times New Roman"/>
          <w:sz w:val="24"/>
          <w:szCs w:val="24"/>
        </w:rPr>
        <w:t>am</w:t>
      </w:r>
      <w:r w:rsidRPr="00D96194">
        <w:rPr>
          <w:rFonts w:ascii="Times New Roman" w:hAnsi="Times New Roman" w:cs="Times New Roman"/>
          <w:sz w:val="24"/>
          <w:szCs w:val="24"/>
        </w:rPr>
        <w:t xml:space="preserve"> </w:t>
      </w:r>
      <w:r w:rsidR="00691AA3" w:rsidRPr="00D96194">
        <w:rPr>
          <w:rFonts w:ascii="Times New Roman" w:hAnsi="Times New Roman" w:cs="Times New Roman"/>
          <w:sz w:val="24"/>
          <w:szCs w:val="24"/>
        </w:rPr>
        <w:t>ir pienākums ziņot:</w:t>
      </w:r>
    </w:p>
    <w:p w14:paraId="7E8F47E0" w14:textId="67DCB4E3" w:rsidR="004341CA" w:rsidRPr="00D96194" w:rsidRDefault="00691AA3" w:rsidP="00691AA3">
      <w:pPr>
        <w:pStyle w:val="Sarakstarindkopa"/>
        <w:numPr>
          <w:ilvl w:val="0"/>
          <w:numId w:val="14"/>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nekavējoties, bet ne vēlāk kā nākamajā darbdienā </w:t>
      </w:r>
      <w:r w:rsidR="004341CA" w:rsidRPr="00D96194">
        <w:rPr>
          <w:rFonts w:ascii="Times New Roman" w:hAnsi="Times New Roman" w:cs="Times New Roman"/>
          <w:sz w:val="24"/>
          <w:szCs w:val="24"/>
        </w:rPr>
        <w:t xml:space="preserve">Valsts drošības dienestam par </w:t>
      </w:r>
      <w:r w:rsidR="00BD717E" w:rsidRPr="00D96194">
        <w:rPr>
          <w:rFonts w:ascii="Times New Roman" w:hAnsi="Times New Roman" w:cs="Times New Roman"/>
          <w:sz w:val="24"/>
          <w:szCs w:val="24"/>
        </w:rPr>
        <w:t>S</w:t>
      </w:r>
      <w:r w:rsidR="004341CA" w:rsidRPr="00D96194">
        <w:rPr>
          <w:rFonts w:ascii="Times New Roman" w:hAnsi="Times New Roman" w:cs="Times New Roman"/>
          <w:sz w:val="24"/>
          <w:szCs w:val="24"/>
        </w:rPr>
        <w:t>tarptautisko</w:t>
      </w:r>
      <w:r w:rsidR="00BD717E" w:rsidRPr="00D96194">
        <w:rPr>
          <w:rFonts w:ascii="Times New Roman" w:hAnsi="Times New Roman" w:cs="Times New Roman"/>
          <w:sz w:val="24"/>
          <w:szCs w:val="24"/>
        </w:rPr>
        <w:t xml:space="preserve"> sankciju</w:t>
      </w:r>
      <w:r w:rsidR="004341CA" w:rsidRPr="00D96194">
        <w:rPr>
          <w:rFonts w:ascii="Times New Roman" w:hAnsi="Times New Roman" w:cs="Times New Roman"/>
          <w:sz w:val="24"/>
          <w:szCs w:val="24"/>
        </w:rPr>
        <w:t xml:space="preserve"> vai </w:t>
      </w:r>
      <w:r w:rsidR="00BD717E" w:rsidRPr="00D96194">
        <w:rPr>
          <w:rFonts w:ascii="Times New Roman" w:hAnsi="Times New Roman" w:cs="Times New Roman"/>
          <w:sz w:val="24"/>
          <w:szCs w:val="24"/>
        </w:rPr>
        <w:t>N</w:t>
      </w:r>
      <w:r w:rsidR="004341CA" w:rsidRPr="00D96194">
        <w:rPr>
          <w:rFonts w:ascii="Times New Roman" w:hAnsi="Times New Roman" w:cs="Times New Roman"/>
          <w:sz w:val="24"/>
          <w:szCs w:val="24"/>
        </w:rPr>
        <w:t>acionālo sankciju pārkāpšanu vai tās mēģinājumu un tā rezultātā iesaldētiem līdzekļiem</w:t>
      </w:r>
      <w:r w:rsidR="001B6F29" w:rsidRPr="00D96194">
        <w:rPr>
          <w:rStyle w:val="Vresatsauce"/>
          <w:rFonts w:ascii="Times New Roman" w:hAnsi="Times New Roman" w:cs="Times New Roman"/>
          <w:sz w:val="24"/>
          <w:szCs w:val="24"/>
        </w:rPr>
        <w:footnoteReference w:id="10"/>
      </w:r>
      <w:r w:rsidRPr="00D96194">
        <w:rPr>
          <w:rFonts w:ascii="Times New Roman" w:hAnsi="Times New Roman" w:cs="Times New Roman"/>
          <w:sz w:val="24"/>
          <w:szCs w:val="24"/>
        </w:rPr>
        <w:t>;</w:t>
      </w:r>
    </w:p>
    <w:p w14:paraId="2BC831A5" w14:textId="03EFEF17" w:rsidR="00691AA3" w:rsidRPr="00D96194" w:rsidRDefault="00691AA3" w:rsidP="00691AA3">
      <w:pPr>
        <w:pStyle w:val="Sarakstarindkopa"/>
        <w:numPr>
          <w:ilvl w:val="0"/>
          <w:numId w:val="14"/>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Novēršanas likuma noteiktajā kārtībā FID, ja ir aizdomas par Starptautisko</w:t>
      </w:r>
      <w:r w:rsidR="00BD717E" w:rsidRPr="00D96194">
        <w:rPr>
          <w:rFonts w:ascii="Times New Roman" w:hAnsi="Times New Roman" w:cs="Times New Roman"/>
          <w:sz w:val="24"/>
          <w:szCs w:val="24"/>
        </w:rPr>
        <w:t xml:space="preserve"> sankciju</w:t>
      </w:r>
      <w:r w:rsidRPr="00D96194">
        <w:rPr>
          <w:rFonts w:ascii="Times New Roman" w:hAnsi="Times New Roman" w:cs="Times New Roman"/>
          <w:sz w:val="24"/>
          <w:szCs w:val="24"/>
        </w:rPr>
        <w:t xml:space="preserve"> un Nacionālo sankciju apiešanu vai apiešanas mēģinājumu finanšu ierobežojumu izpildē</w:t>
      </w:r>
      <w:r w:rsidR="001B6F29" w:rsidRPr="00D96194">
        <w:rPr>
          <w:rStyle w:val="Vresatsauce"/>
          <w:rFonts w:ascii="Times New Roman" w:hAnsi="Times New Roman" w:cs="Times New Roman"/>
          <w:sz w:val="24"/>
          <w:szCs w:val="24"/>
        </w:rPr>
        <w:footnoteReference w:id="11"/>
      </w:r>
      <w:r w:rsidRPr="00D96194">
        <w:rPr>
          <w:rFonts w:ascii="Times New Roman" w:hAnsi="Times New Roman" w:cs="Times New Roman"/>
          <w:sz w:val="24"/>
          <w:szCs w:val="24"/>
        </w:rPr>
        <w:t>.</w:t>
      </w:r>
    </w:p>
    <w:p w14:paraId="3C2C5856" w14:textId="4BA04FF8" w:rsidR="00AC61AC" w:rsidRDefault="00B718B2" w:rsidP="004341CA">
      <w:pPr>
        <w:pStyle w:val="Sarakstarindkopa"/>
        <w:numPr>
          <w:ilvl w:val="2"/>
          <w:numId w:val="1"/>
        </w:numPr>
        <w:spacing w:after="0" w:line="360" w:lineRule="auto"/>
        <w:jc w:val="both"/>
        <w:rPr>
          <w:rFonts w:ascii="Times New Roman" w:hAnsi="Times New Roman" w:cs="Times New Roman"/>
          <w:sz w:val="24"/>
          <w:szCs w:val="24"/>
        </w:rPr>
      </w:pPr>
      <w:r w:rsidRPr="00D96194">
        <w:rPr>
          <w:rFonts w:ascii="Times New Roman" w:hAnsi="Times New Roman" w:cs="Times New Roman"/>
          <w:sz w:val="24"/>
          <w:szCs w:val="24"/>
        </w:rPr>
        <w:t xml:space="preserve">Administratoram </w:t>
      </w:r>
      <w:r w:rsidR="00E56A44" w:rsidRPr="00D96194">
        <w:rPr>
          <w:rFonts w:ascii="Times New Roman" w:hAnsi="Times New Roman" w:cs="Times New Roman"/>
          <w:sz w:val="24"/>
          <w:szCs w:val="24"/>
        </w:rPr>
        <w:t xml:space="preserve">ir jānodrošina </w:t>
      </w:r>
      <w:r w:rsidR="001E5862" w:rsidRPr="00D96194">
        <w:rPr>
          <w:rFonts w:ascii="Times New Roman" w:hAnsi="Times New Roman" w:cs="Times New Roman"/>
          <w:sz w:val="24"/>
          <w:szCs w:val="24"/>
        </w:rPr>
        <w:t xml:space="preserve">pierādījumu </w:t>
      </w:r>
      <w:r w:rsidR="00E56A44" w:rsidRPr="00D96194">
        <w:rPr>
          <w:rFonts w:ascii="Times New Roman" w:hAnsi="Times New Roman" w:cs="Times New Roman"/>
          <w:sz w:val="24"/>
          <w:szCs w:val="24"/>
        </w:rPr>
        <w:t>(piemēram, ekrānšāviņš)</w:t>
      </w:r>
      <w:r w:rsidRPr="00D96194">
        <w:rPr>
          <w:rFonts w:ascii="Times New Roman" w:hAnsi="Times New Roman" w:cs="Times New Roman"/>
          <w:sz w:val="24"/>
          <w:szCs w:val="24"/>
        </w:rPr>
        <w:t xml:space="preserve"> par </w:t>
      </w:r>
      <w:r w:rsidR="001E5862" w:rsidRPr="00D96194">
        <w:rPr>
          <w:rFonts w:ascii="Times New Roman" w:hAnsi="Times New Roman" w:cs="Times New Roman"/>
          <w:sz w:val="24"/>
          <w:szCs w:val="24"/>
        </w:rPr>
        <w:t xml:space="preserve">ziņošanu </w:t>
      </w:r>
      <w:r w:rsidR="000D4C1B" w:rsidRPr="00D96194">
        <w:rPr>
          <w:rFonts w:ascii="Times New Roman" w:hAnsi="Times New Roman" w:cs="Times New Roman"/>
          <w:sz w:val="24"/>
          <w:szCs w:val="24"/>
        </w:rPr>
        <w:t xml:space="preserve">FID vai Valsts drošības dienestam </w:t>
      </w:r>
      <w:r w:rsidR="00E56A44" w:rsidRPr="00D96194">
        <w:rPr>
          <w:rFonts w:ascii="Times New Roman" w:hAnsi="Times New Roman" w:cs="Times New Roman"/>
          <w:sz w:val="24"/>
          <w:szCs w:val="24"/>
        </w:rPr>
        <w:t>saglabāšana</w:t>
      </w:r>
      <w:r w:rsidR="00BC604D" w:rsidRPr="00D96194">
        <w:rPr>
          <w:rFonts w:ascii="Times New Roman" w:hAnsi="Times New Roman" w:cs="Times New Roman"/>
          <w:sz w:val="24"/>
          <w:szCs w:val="24"/>
        </w:rPr>
        <w:t xml:space="preserve"> un pēc pieprasījuma </w:t>
      </w:r>
      <w:r w:rsidR="001E5862" w:rsidRPr="00D96194">
        <w:rPr>
          <w:rFonts w:ascii="Times New Roman" w:hAnsi="Times New Roman" w:cs="Times New Roman"/>
          <w:sz w:val="24"/>
          <w:szCs w:val="24"/>
        </w:rPr>
        <w:t xml:space="preserve">tie </w:t>
      </w:r>
      <w:r w:rsidR="00BC604D" w:rsidRPr="00D96194">
        <w:rPr>
          <w:rFonts w:ascii="Times New Roman" w:hAnsi="Times New Roman" w:cs="Times New Roman"/>
          <w:sz w:val="24"/>
          <w:szCs w:val="24"/>
        </w:rPr>
        <w:t xml:space="preserve">jāuzrāda </w:t>
      </w:r>
      <w:r w:rsidR="001B6F29" w:rsidRPr="00D96194">
        <w:rPr>
          <w:rFonts w:ascii="Times New Roman" w:hAnsi="Times New Roman" w:cs="Times New Roman"/>
          <w:sz w:val="24"/>
          <w:szCs w:val="24"/>
        </w:rPr>
        <w:t xml:space="preserve">Maksātnespējas kontroles dienestam kā </w:t>
      </w:r>
      <w:r w:rsidRPr="00D96194">
        <w:rPr>
          <w:rFonts w:ascii="Times New Roman" w:hAnsi="Times New Roman" w:cs="Times New Roman"/>
          <w:sz w:val="24"/>
          <w:szCs w:val="24"/>
        </w:rPr>
        <w:t xml:space="preserve">uzraugošajai iestādei. </w:t>
      </w:r>
    </w:p>
    <w:p w14:paraId="6028B8E1" w14:textId="77777777" w:rsidR="00AC61AC" w:rsidRDefault="00AC61AC">
      <w:pPr>
        <w:rPr>
          <w:rFonts w:ascii="Times New Roman" w:hAnsi="Times New Roman" w:cs="Times New Roman"/>
          <w:sz w:val="24"/>
          <w:szCs w:val="24"/>
        </w:rPr>
      </w:pPr>
      <w:r>
        <w:rPr>
          <w:rFonts w:ascii="Times New Roman" w:hAnsi="Times New Roman" w:cs="Times New Roman"/>
          <w:sz w:val="24"/>
          <w:szCs w:val="24"/>
        </w:rPr>
        <w:br w:type="page"/>
      </w:r>
    </w:p>
    <w:p w14:paraId="55FDC8D4" w14:textId="77777777" w:rsidR="00034EA4" w:rsidRPr="00034EA4" w:rsidRDefault="00034EA4" w:rsidP="00034EA4">
      <w:pPr>
        <w:tabs>
          <w:tab w:val="left" w:pos="1134"/>
          <w:tab w:val="right" w:pos="9085"/>
        </w:tabs>
        <w:spacing w:line="240" w:lineRule="auto"/>
        <w:contextualSpacing/>
        <w:jc w:val="right"/>
        <w:rPr>
          <w:rFonts w:ascii="Times New Roman" w:hAnsi="Times New Roman"/>
          <w:noProof/>
          <w:sz w:val="20"/>
          <w:szCs w:val="20"/>
          <w:lang w:eastAsia="lv-LV" w:bidi="lv-LV"/>
        </w:rPr>
      </w:pPr>
      <w:r w:rsidRPr="00034EA4">
        <w:rPr>
          <w:rFonts w:ascii="Times New Roman" w:hAnsi="Times New Roman"/>
          <w:noProof/>
          <w:sz w:val="20"/>
          <w:szCs w:val="20"/>
          <w:lang w:eastAsia="lv-LV" w:bidi="lv-LV"/>
        </w:rPr>
        <w:t>Pielikums Maksātnespējas kontroles dienesta</w:t>
      </w:r>
    </w:p>
    <w:p w14:paraId="5820F999"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hAnsi="Times New Roman"/>
          <w:noProof/>
          <w:sz w:val="20"/>
          <w:szCs w:val="20"/>
          <w:lang w:eastAsia="lv-LV" w:bidi="lv-LV"/>
        </w:rPr>
        <w:t>vadlīnijām "</w:t>
      </w:r>
      <w:r w:rsidRPr="00034EA4">
        <w:rPr>
          <w:rFonts w:ascii="Times New Roman" w:eastAsia="Calibri" w:hAnsi="Times New Roman" w:cs="Times New Roman"/>
          <w:sz w:val="20"/>
          <w:szCs w:val="20"/>
        </w:rPr>
        <w:t xml:space="preserve">Vadlīnijas Starptautisko un Latvijas </w:t>
      </w:r>
    </w:p>
    <w:p w14:paraId="29543B1D"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eastAsia="Calibri" w:hAnsi="Times New Roman" w:cs="Times New Roman"/>
          <w:sz w:val="20"/>
          <w:szCs w:val="20"/>
        </w:rPr>
        <w:t>Republikas</w:t>
      </w:r>
      <w:r>
        <w:rPr>
          <w:rFonts w:ascii="Times New Roman" w:eastAsia="Calibri" w:hAnsi="Times New Roman" w:cs="Times New Roman"/>
          <w:sz w:val="20"/>
          <w:szCs w:val="20"/>
        </w:rPr>
        <w:t xml:space="preserve"> </w:t>
      </w:r>
      <w:r w:rsidRPr="00034EA4">
        <w:rPr>
          <w:rFonts w:ascii="Times New Roman" w:eastAsia="Calibri" w:hAnsi="Times New Roman" w:cs="Times New Roman"/>
          <w:sz w:val="20"/>
          <w:szCs w:val="20"/>
        </w:rPr>
        <w:t xml:space="preserve">nacionālo sankciju likumā noteikto </w:t>
      </w:r>
    </w:p>
    <w:p w14:paraId="211C63BA" w14:textId="77777777" w:rsidR="00034EA4" w:rsidRDefault="00034EA4" w:rsidP="00034EA4">
      <w:pPr>
        <w:spacing w:after="0" w:line="240" w:lineRule="auto"/>
        <w:jc w:val="right"/>
        <w:rPr>
          <w:rFonts w:ascii="Times New Roman" w:eastAsia="Calibri" w:hAnsi="Times New Roman" w:cs="Times New Roman"/>
          <w:sz w:val="20"/>
          <w:szCs w:val="20"/>
        </w:rPr>
      </w:pPr>
      <w:r w:rsidRPr="00034EA4">
        <w:rPr>
          <w:rFonts w:ascii="Times New Roman" w:eastAsia="Calibri" w:hAnsi="Times New Roman" w:cs="Times New Roman"/>
          <w:sz w:val="20"/>
          <w:szCs w:val="20"/>
        </w:rPr>
        <w:t xml:space="preserve">prasību ievērošanai maksātnespējas procesa </w:t>
      </w:r>
    </w:p>
    <w:p w14:paraId="25514313" w14:textId="592AA3AC" w:rsidR="00034EA4" w:rsidRPr="00034EA4" w:rsidRDefault="00034EA4" w:rsidP="00034EA4">
      <w:pPr>
        <w:spacing w:after="0" w:line="240" w:lineRule="auto"/>
        <w:jc w:val="right"/>
        <w:rPr>
          <w:rFonts w:ascii="Times New Roman" w:eastAsia="Times New Roman" w:hAnsi="Times New Roman" w:cs="Times New Roman"/>
          <w:sz w:val="20"/>
          <w:szCs w:val="20"/>
          <w:lang w:eastAsia="lv-LV"/>
        </w:rPr>
      </w:pPr>
      <w:r w:rsidRPr="00034EA4">
        <w:rPr>
          <w:rFonts w:ascii="Times New Roman" w:eastAsia="Calibri" w:hAnsi="Times New Roman" w:cs="Times New Roman"/>
          <w:sz w:val="20"/>
          <w:szCs w:val="20"/>
        </w:rPr>
        <w:t>administratoriem</w:t>
      </w:r>
      <w:r>
        <w:rPr>
          <w:rFonts w:ascii="Times New Roman" w:hAnsi="Times New Roman"/>
          <w:noProof/>
          <w:sz w:val="20"/>
          <w:szCs w:val="20"/>
          <w:lang w:eastAsia="lv-LV" w:bidi="lv-LV"/>
        </w:rPr>
        <w:t>"</w:t>
      </w:r>
    </w:p>
    <w:p w14:paraId="033F3F5F" w14:textId="3986F00B" w:rsidR="00AC61AC" w:rsidRPr="00F91F4C" w:rsidRDefault="00AC61AC" w:rsidP="00F91F4C">
      <w:pPr>
        <w:pStyle w:val="Virsraksts1"/>
        <w:jc w:val="center"/>
        <w:rPr>
          <w:rFonts w:ascii="Times New Roman" w:hAnsi="Times New Roman" w:cs="Times New Roman"/>
          <w:color w:val="auto"/>
          <w:sz w:val="32"/>
          <w:szCs w:val="32"/>
        </w:rPr>
      </w:pPr>
      <w:bookmarkStart w:id="13" w:name="_Toc162957770"/>
      <w:r w:rsidRPr="00F91F4C">
        <w:rPr>
          <w:rFonts w:ascii="Times New Roman" w:hAnsi="Times New Roman" w:cs="Times New Roman"/>
          <w:color w:val="auto"/>
          <w:sz w:val="32"/>
          <w:szCs w:val="32"/>
        </w:rPr>
        <w:t>Klienta sankciju risku novērtējuma veidlapa</w:t>
      </w:r>
      <w:bookmarkEnd w:id="13"/>
    </w:p>
    <w:p w14:paraId="515706E3" w14:textId="77777777" w:rsidR="00AC61AC" w:rsidRPr="00AC61AC" w:rsidRDefault="00AC61AC" w:rsidP="00AC61AC">
      <w:pPr>
        <w:pStyle w:val="Bezatstarpm"/>
        <w:ind w:left="142"/>
        <w:jc w:val="both"/>
        <w:rPr>
          <w:rFonts w:ascii="Times New Roman" w:hAnsi="Times New Roman" w:cs="Times New Roman"/>
          <w:b/>
          <w:bCs/>
          <w:sz w:val="32"/>
          <w:szCs w:val="32"/>
        </w:rPr>
      </w:pPr>
    </w:p>
    <w:p w14:paraId="0D30E940" w14:textId="5E4D2A27" w:rsidR="00AC61AC" w:rsidRDefault="00AC61AC" w:rsidP="00AC61AC">
      <w:pPr>
        <w:pStyle w:val="Bezatstarpm"/>
        <w:ind w:left="142"/>
        <w:jc w:val="both"/>
        <w:rPr>
          <w:rFonts w:ascii="Times New Roman" w:hAnsi="Times New Roman" w:cs="Times New Roman"/>
          <w:b/>
          <w:bCs/>
          <w:sz w:val="24"/>
          <w:szCs w:val="24"/>
        </w:rPr>
      </w:pPr>
      <w:r>
        <w:rPr>
          <w:rFonts w:ascii="Times New Roman" w:hAnsi="Times New Roman" w:cs="Times New Roman"/>
          <w:b/>
          <w:bCs/>
          <w:sz w:val="24"/>
          <w:szCs w:val="24"/>
        </w:rPr>
        <w:t>Klients:</w:t>
      </w:r>
    </w:p>
    <w:p w14:paraId="0A0DD8E5" w14:textId="77777777" w:rsidR="00AC61AC" w:rsidRDefault="00AC61AC" w:rsidP="00AC61AC">
      <w:pPr>
        <w:pStyle w:val="Bezatstarpm"/>
        <w:ind w:left="142"/>
        <w:jc w:val="both"/>
        <w:rPr>
          <w:rFonts w:ascii="Times New Roman" w:hAnsi="Times New Roman" w:cs="Times New Roman"/>
          <w:b/>
          <w:bCs/>
          <w:sz w:val="24"/>
          <w:szCs w:val="24"/>
        </w:rPr>
      </w:pPr>
    </w:p>
    <w:p w14:paraId="293A6B9E" w14:textId="5A2ECDB9" w:rsidR="00AC61AC" w:rsidRDefault="00AC61AC" w:rsidP="00AC61AC">
      <w:pPr>
        <w:pStyle w:val="Bezatstarpm"/>
        <w:ind w:left="142"/>
        <w:jc w:val="both"/>
        <w:rPr>
          <w:rFonts w:ascii="Times New Roman" w:hAnsi="Times New Roman" w:cs="Times New Roman"/>
          <w:b/>
          <w:bCs/>
          <w:sz w:val="24"/>
          <w:szCs w:val="24"/>
        </w:rPr>
      </w:pPr>
      <w:r>
        <w:rPr>
          <w:rFonts w:ascii="Times New Roman" w:hAnsi="Times New Roman" w:cs="Times New Roman"/>
          <w:b/>
          <w:bCs/>
          <w:sz w:val="24"/>
          <w:szCs w:val="24"/>
        </w:rPr>
        <w:t>Riska līmenis:</w:t>
      </w:r>
    </w:p>
    <w:p w14:paraId="4D0981CA" w14:textId="77777777" w:rsidR="00AC61AC" w:rsidRPr="00DF05D3" w:rsidRDefault="00AC61AC" w:rsidP="00AC61AC">
      <w:pPr>
        <w:pStyle w:val="Bezatstarpm"/>
        <w:jc w:val="center"/>
        <w:rPr>
          <w:b/>
          <w:sz w:val="24"/>
        </w:rPr>
      </w:pPr>
    </w:p>
    <w:tbl>
      <w:tblPr>
        <w:tblW w:w="91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4607"/>
        <w:gridCol w:w="1276"/>
        <w:gridCol w:w="1417"/>
        <w:gridCol w:w="1166"/>
      </w:tblGrid>
      <w:tr w:rsidR="00AC61AC" w:rsidRPr="00DF05D3" w14:paraId="65D255DE" w14:textId="77777777" w:rsidTr="00AC61AC">
        <w:trPr>
          <w:trHeight w:val="502"/>
        </w:trPr>
        <w:tc>
          <w:tcPr>
            <w:tcW w:w="663" w:type="dxa"/>
            <w:vAlign w:val="center"/>
          </w:tcPr>
          <w:p w14:paraId="413F65CA" w14:textId="77777777" w:rsidR="00AC61AC" w:rsidRPr="00DF05D3" w:rsidRDefault="00AC61AC" w:rsidP="00F91F4C">
            <w:pPr>
              <w:pStyle w:val="TableParagraph"/>
              <w:spacing w:line="249" w:lineRule="exact"/>
              <w:ind w:left="110" w:hanging="88"/>
              <w:rPr>
                <w:b/>
              </w:rPr>
            </w:pPr>
            <w:r w:rsidRPr="00DF05D3">
              <w:rPr>
                <w:b/>
              </w:rPr>
              <w:t>N.p.k.</w:t>
            </w:r>
          </w:p>
        </w:tc>
        <w:tc>
          <w:tcPr>
            <w:tcW w:w="4607" w:type="dxa"/>
            <w:vAlign w:val="center"/>
          </w:tcPr>
          <w:p w14:paraId="3830C49C" w14:textId="77777777" w:rsidR="00AC61AC" w:rsidRPr="00DF05D3" w:rsidRDefault="00AC61AC" w:rsidP="009422EA">
            <w:pPr>
              <w:pStyle w:val="TableParagraph"/>
              <w:spacing w:before="1" w:line="233" w:lineRule="exact"/>
              <w:ind w:left="110"/>
              <w:rPr>
                <w:b/>
              </w:rPr>
            </w:pPr>
            <w:r w:rsidRPr="00DF05D3">
              <w:rPr>
                <w:b/>
              </w:rPr>
              <w:t>Starptautisko un Nacionālo sankciju risks</w:t>
            </w:r>
          </w:p>
        </w:tc>
        <w:tc>
          <w:tcPr>
            <w:tcW w:w="1276" w:type="dxa"/>
            <w:vAlign w:val="center"/>
          </w:tcPr>
          <w:p w14:paraId="41F3606D" w14:textId="77777777" w:rsidR="00AC61AC" w:rsidRPr="00DF05D3" w:rsidRDefault="00AC61AC" w:rsidP="009422EA">
            <w:pPr>
              <w:pStyle w:val="TableParagraph"/>
              <w:spacing w:line="249" w:lineRule="exact"/>
              <w:ind w:left="110"/>
              <w:jc w:val="center"/>
              <w:rPr>
                <w:b/>
              </w:rPr>
            </w:pPr>
            <w:r w:rsidRPr="00DF05D3">
              <w:rPr>
                <w:b/>
              </w:rPr>
              <w:t>Riska</w:t>
            </w:r>
          </w:p>
          <w:p w14:paraId="30C70194" w14:textId="77777777" w:rsidR="00AC61AC" w:rsidRPr="00DF05D3" w:rsidRDefault="00AC61AC" w:rsidP="009422EA">
            <w:pPr>
              <w:pStyle w:val="TableParagraph"/>
              <w:spacing w:before="1" w:line="233" w:lineRule="exact"/>
              <w:ind w:left="110"/>
              <w:jc w:val="center"/>
              <w:rPr>
                <w:b/>
              </w:rPr>
            </w:pPr>
            <w:r w:rsidRPr="00DF05D3">
              <w:rPr>
                <w:b/>
              </w:rPr>
              <w:t>kategorija</w:t>
            </w:r>
          </w:p>
        </w:tc>
        <w:tc>
          <w:tcPr>
            <w:tcW w:w="1417" w:type="dxa"/>
            <w:vAlign w:val="center"/>
          </w:tcPr>
          <w:p w14:paraId="5D944548" w14:textId="77777777" w:rsidR="00AC61AC" w:rsidRPr="00DF05D3" w:rsidRDefault="00AC61AC" w:rsidP="009422EA">
            <w:pPr>
              <w:pStyle w:val="TableParagraph"/>
              <w:spacing w:line="249" w:lineRule="exact"/>
              <w:ind w:left="106"/>
              <w:jc w:val="center"/>
              <w:rPr>
                <w:b/>
              </w:rPr>
            </w:pPr>
            <w:r w:rsidRPr="00DF05D3">
              <w:rPr>
                <w:b/>
              </w:rPr>
              <w:t>Riska</w:t>
            </w:r>
          </w:p>
          <w:p w14:paraId="1C32D60B" w14:textId="77777777" w:rsidR="00AC61AC" w:rsidRPr="00DF05D3" w:rsidRDefault="00AC61AC" w:rsidP="009422EA">
            <w:pPr>
              <w:pStyle w:val="TableParagraph"/>
              <w:spacing w:before="1" w:line="233" w:lineRule="exact"/>
              <w:ind w:left="106"/>
              <w:jc w:val="center"/>
              <w:rPr>
                <w:b/>
              </w:rPr>
            </w:pPr>
            <w:r w:rsidRPr="00DF05D3">
              <w:rPr>
                <w:b/>
              </w:rPr>
              <w:t>novērtējums</w:t>
            </w:r>
          </w:p>
        </w:tc>
        <w:tc>
          <w:tcPr>
            <w:tcW w:w="1166" w:type="dxa"/>
            <w:vAlign w:val="center"/>
          </w:tcPr>
          <w:p w14:paraId="654A1346" w14:textId="77777777" w:rsidR="00AC61AC" w:rsidRPr="00DF05D3" w:rsidRDefault="00AC61AC" w:rsidP="00AC61AC">
            <w:pPr>
              <w:pStyle w:val="TableParagraph"/>
              <w:spacing w:before="125"/>
              <w:ind w:left="113" w:hanging="109"/>
              <w:jc w:val="center"/>
              <w:rPr>
                <w:b/>
              </w:rPr>
            </w:pPr>
            <w:r w:rsidRPr="00DF05D3">
              <w:rPr>
                <w:b/>
              </w:rPr>
              <w:t>Komentārs</w:t>
            </w:r>
          </w:p>
        </w:tc>
      </w:tr>
      <w:tr w:rsidR="00AC61AC" w:rsidRPr="00DF05D3" w14:paraId="31B40AD2" w14:textId="77777777" w:rsidTr="00AC61AC">
        <w:trPr>
          <w:trHeight w:val="358"/>
        </w:trPr>
        <w:tc>
          <w:tcPr>
            <w:tcW w:w="663" w:type="dxa"/>
            <w:vAlign w:val="center"/>
          </w:tcPr>
          <w:p w14:paraId="51352600" w14:textId="77777777" w:rsidR="00AC61AC" w:rsidRPr="00DF05D3" w:rsidRDefault="00AC61AC" w:rsidP="009422EA">
            <w:pPr>
              <w:pStyle w:val="TableParagraph"/>
              <w:spacing w:before="53"/>
              <w:ind w:left="110"/>
              <w:jc w:val="center"/>
              <w:rPr>
                <w:b/>
              </w:rPr>
            </w:pPr>
            <w:r w:rsidRPr="00DF05D3">
              <w:rPr>
                <w:b/>
              </w:rPr>
              <w:t>1.</w:t>
            </w:r>
          </w:p>
        </w:tc>
        <w:tc>
          <w:tcPr>
            <w:tcW w:w="8466" w:type="dxa"/>
            <w:gridSpan w:val="4"/>
          </w:tcPr>
          <w:p w14:paraId="7EFFAD9B" w14:textId="77777777" w:rsidR="00AC61AC" w:rsidRPr="00DF05D3" w:rsidRDefault="00AC61AC" w:rsidP="009422EA">
            <w:pPr>
              <w:pStyle w:val="TableParagraph"/>
              <w:spacing w:before="53"/>
              <w:ind w:left="110"/>
              <w:rPr>
                <w:b/>
              </w:rPr>
            </w:pPr>
            <w:r w:rsidRPr="00DF05D3">
              <w:rPr>
                <w:b/>
              </w:rPr>
              <w:t>Klienta risks</w:t>
            </w:r>
          </w:p>
        </w:tc>
      </w:tr>
      <w:tr w:rsidR="00AC61AC" w:rsidRPr="00DF05D3" w14:paraId="269B0788" w14:textId="77777777" w:rsidTr="00AC61AC">
        <w:trPr>
          <w:trHeight w:val="416"/>
        </w:trPr>
        <w:tc>
          <w:tcPr>
            <w:tcW w:w="663" w:type="dxa"/>
            <w:vAlign w:val="center"/>
          </w:tcPr>
          <w:p w14:paraId="630FE956" w14:textId="77777777" w:rsidR="00AC61AC" w:rsidRPr="00DF05D3" w:rsidRDefault="00AC61AC" w:rsidP="009422EA">
            <w:pPr>
              <w:pStyle w:val="TableParagraph"/>
              <w:jc w:val="center"/>
            </w:pPr>
          </w:p>
        </w:tc>
        <w:tc>
          <w:tcPr>
            <w:tcW w:w="8466" w:type="dxa"/>
            <w:gridSpan w:val="4"/>
          </w:tcPr>
          <w:p w14:paraId="74777A48" w14:textId="77777777" w:rsidR="00AC61AC" w:rsidRPr="00DF05D3" w:rsidRDefault="00AC61AC" w:rsidP="009422EA">
            <w:pPr>
              <w:pStyle w:val="TableParagraph"/>
              <w:spacing w:before="82"/>
              <w:ind w:left="110"/>
              <w:rPr>
                <w:i/>
              </w:rPr>
            </w:pPr>
            <w:r w:rsidRPr="00DF05D3">
              <w:rPr>
                <w:i/>
                <w:u w:val="single"/>
              </w:rPr>
              <w:t>Ar uzņēmuma darbību un nozari saistīts risks</w:t>
            </w:r>
          </w:p>
        </w:tc>
      </w:tr>
      <w:tr w:rsidR="00AC61AC" w:rsidRPr="00DF05D3" w14:paraId="23AD2533" w14:textId="77777777" w:rsidTr="00AC61AC">
        <w:trPr>
          <w:trHeight w:val="869"/>
        </w:trPr>
        <w:tc>
          <w:tcPr>
            <w:tcW w:w="663" w:type="dxa"/>
            <w:vAlign w:val="center"/>
          </w:tcPr>
          <w:p w14:paraId="247CAB20" w14:textId="77777777" w:rsidR="00AC61AC" w:rsidRPr="00DF05D3" w:rsidRDefault="00AC61AC" w:rsidP="00AC61AC">
            <w:pPr>
              <w:pStyle w:val="TableParagraph"/>
              <w:ind w:left="-120"/>
              <w:jc w:val="center"/>
              <w:rPr>
                <w:b/>
              </w:rPr>
            </w:pPr>
            <w:r w:rsidRPr="00DF05D3">
              <w:rPr>
                <w:b/>
              </w:rPr>
              <w:t>1.1.</w:t>
            </w:r>
          </w:p>
        </w:tc>
        <w:tc>
          <w:tcPr>
            <w:tcW w:w="4607" w:type="dxa"/>
            <w:vAlign w:val="center"/>
          </w:tcPr>
          <w:p w14:paraId="5DBD9F5F" w14:textId="77777777" w:rsidR="00AC61AC" w:rsidRPr="00DF05D3" w:rsidRDefault="00AC61AC" w:rsidP="009422EA">
            <w:pPr>
              <w:pStyle w:val="TableParagraph"/>
              <w:spacing w:before="8" w:line="250" w:lineRule="exact"/>
              <w:ind w:left="103" w:right="142"/>
              <w:jc w:val="both"/>
            </w:pPr>
            <w:r w:rsidRPr="00DF05D3">
              <w:t>Klients, ilgstoši nav veicis saimniecisko vai personisko darbību, bet pēc Starptautisko sankciju un Nacionālo sankciju stāšanās spēkā uzsāk aktīvu darbību (piemēram, veic un saņem maksājumus no Kazahstānas, Uzbekistānas, Serbijas, Turcijas, Āfrikas valstīm, Kirgizstānas, u.tml</w:t>
            </w:r>
            <w:r w:rsidRPr="00DF05D3">
              <w:rPr>
                <w:rStyle w:val="Vresatsauce"/>
              </w:rPr>
              <w:t>.</w:t>
            </w:r>
            <w:r w:rsidRPr="00DF05D3">
              <w:rPr>
                <w:rStyle w:val="Vresatsauce"/>
              </w:rPr>
              <w:footnoteReference w:id="12"/>
            </w:r>
            <w:r w:rsidRPr="00DF05D3">
              <w:t>) un/vai darījumiem piemīt tranzīta darījumu raksturs.</w:t>
            </w:r>
          </w:p>
        </w:tc>
        <w:tc>
          <w:tcPr>
            <w:tcW w:w="1276" w:type="dxa"/>
            <w:vAlign w:val="center"/>
          </w:tcPr>
          <w:p w14:paraId="4E97FAEB" w14:textId="77777777" w:rsidR="00AC61AC" w:rsidRPr="00DF05D3" w:rsidRDefault="00AC61AC" w:rsidP="009422EA">
            <w:pPr>
              <w:pStyle w:val="TableParagraph"/>
              <w:ind w:left="110"/>
              <w:jc w:val="center"/>
              <w:rPr>
                <w:b/>
              </w:rPr>
            </w:pPr>
            <w:r w:rsidRPr="00DF05D3">
              <w:rPr>
                <w:b/>
              </w:rPr>
              <w:t xml:space="preserve">Augsts </w:t>
            </w:r>
          </w:p>
        </w:tc>
        <w:tc>
          <w:tcPr>
            <w:tcW w:w="1417" w:type="dxa"/>
            <w:vAlign w:val="center"/>
          </w:tcPr>
          <w:p w14:paraId="3781E96E" w14:textId="77777777" w:rsidR="00AC61AC" w:rsidRPr="00DF05D3" w:rsidRDefault="00AC61AC" w:rsidP="009422EA">
            <w:pPr>
              <w:pStyle w:val="TableParagraph"/>
              <w:spacing w:before="1"/>
              <w:ind w:left="106"/>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0DE4F58F" w14:textId="77777777" w:rsidR="00AC61AC" w:rsidRPr="00DF05D3" w:rsidRDefault="00AC61AC" w:rsidP="009422EA">
            <w:pPr>
              <w:pStyle w:val="TableParagraph"/>
            </w:pPr>
          </w:p>
        </w:tc>
      </w:tr>
      <w:tr w:rsidR="00AC61AC" w:rsidRPr="00DF05D3" w14:paraId="4A9B247F" w14:textId="77777777" w:rsidTr="00AC61AC">
        <w:trPr>
          <w:trHeight w:val="474"/>
        </w:trPr>
        <w:tc>
          <w:tcPr>
            <w:tcW w:w="663" w:type="dxa"/>
            <w:vAlign w:val="center"/>
          </w:tcPr>
          <w:p w14:paraId="4478DC7C" w14:textId="77777777" w:rsidR="00AC61AC" w:rsidRPr="00DF05D3" w:rsidRDefault="00AC61AC" w:rsidP="009422EA">
            <w:pPr>
              <w:pStyle w:val="TableParagraph"/>
              <w:spacing w:before="181"/>
              <w:jc w:val="center"/>
              <w:rPr>
                <w:b/>
              </w:rPr>
            </w:pPr>
            <w:r w:rsidRPr="00DF05D3">
              <w:rPr>
                <w:b/>
                <w:sz w:val="24"/>
              </w:rPr>
              <w:t>1.</w:t>
            </w:r>
            <w:r>
              <w:rPr>
                <w:b/>
                <w:sz w:val="24"/>
              </w:rPr>
              <w:t>2</w:t>
            </w:r>
          </w:p>
        </w:tc>
        <w:tc>
          <w:tcPr>
            <w:tcW w:w="4607" w:type="dxa"/>
            <w:vAlign w:val="center"/>
          </w:tcPr>
          <w:p w14:paraId="6BAF5B68" w14:textId="77777777" w:rsidR="00AC61AC" w:rsidRPr="00DF05D3" w:rsidRDefault="00AC61AC" w:rsidP="009422EA">
            <w:pPr>
              <w:pStyle w:val="TableParagraph"/>
              <w:spacing w:line="233" w:lineRule="exact"/>
              <w:ind w:left="143" w:right="142"/>
              <w:jc w:val="both"/>
            </w:pPr>
            <w:r w:rsidRPr="00DF05D3">
              <w:t>Starpnieka iesaistīšanās sankciju subjekta darījumos. Nav skaidra iesaistīto darījuma partneru loma darījumu ķēdē.</w:t>
            </w:r>
          </w:p>
        </w:tc>
        <w:tc>
          <w:tcPr>
            <w:tcW w:w="1276" w:type="dxa"/>
            <w:vAlign w:val="center"/>
          </w:tcPr>
          <w:p w14:paraId="4152A73B" w14:textId="77777777" w:rsidR="00AC61AC" w:rsidRPr="00DF05D3" w:rsidRDefault="00AC61AC" w:rsidP="009422EA">
            <w:pPr>
              <w:pStyle w:val="TableParagraph"/>
              <w:spacing w:before="181"/>
              <w:jc w:val="center"/>
              <w:rPr>
                <w:b/>
              </w:rPr>
            </w:pPr>
            <w:r w:rsidRPr="00DF05D3">
              <w:rPr>
                <w:b/>
              </w:rPr>
              <w:t>Augsts</w:t>
            </w:r>
          </w:p>
        </w:tc>
        <w:tc>
          <w:tcPr>
            <w:tcW w:w="1417" w:type="dxa"/>
            <w:vAlign w:val="center"/>
          </w:tcPr>
          <w:p w14:paraId="1AE6656B" w14:textId="77777777" w:rsidR="00AC61AC" w:rsidRPr="00DF05D3" w:rsidRDefault="00AC61AC" w:rsidP="009422EA">
            <w:pPr>
              <w:pStyle w:val="TableParagraph"/>
              <w:spacing w:before="166"/>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13CD6B54" w14:textId="77777777" w:rsidR="00AC61AC" w:rsidRPr="00DF05D3" w:rsidRDefault="00AC61AC" w:rsidP="009422EA">
            <w:pPr>
              <w:pStyle w:val="TableParagraph"/>
            </w:pPr>
          </w:p>
        </w:tc>
      </w:tr>
      <w:tr w:rsidR="00AC61AC" w:rsidRPr="00DF05D3" w14:paraId="61643FA7" w14:textId="77777777" w:rsidTr="00AC61AC">
        <w:trPr>
          <w:trHeight w:val="1010"/>
        </w:trPr>
        <w:tc>
          <w:tcPr>
            <w:tcW w:w="663" w:type="dxa"/>
            <w:vAlign w:val="center"/>
          </w:tcPr>
          <w:p w14:paraId="3CD3F1B5"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3</w:t>
            </w:r>
            <w:r w:rsidRPr="00DF05D3">
              <w:rPr>
                <w:b/>
                <w:sz w:val="24"/>
                <w:szCs w:val="24"/>
              </w:rPr>
              <w:t>.</w:t>
            </w:r>
          </w:p>
        </w:tc>
        <w:tc>
          <w:tcPr>
            <w:tcW w:w="4607" w:type="dxa"/>
            <w:vAlign w:val="center"/>
          </w:tcPr>
          <w:p w14:paraId="29EC70DE" w14:textId="77777777" w:rsidR="00AC61AC" w:rsidRPr="00DF05D3" w:rsidRDefault="00AC61AC" w:rsidP="009422EA">
            <w:pPr>
              <w:pStyle w:val="TableParagraph"/>
              <w:spacing w:line="242" w:lineRule="auto"/>
              <w:ind w:left="110" w:right="142"/>
              <w:jc w:val="both"/>
            </w:pPr>
            <w:r w:rsidRPr="00DF05D3">
              <w:t xml:space="preserve">Pēc Starptautisko sankciju un Nacionālo sankciju stāšanās spēkā atvērti konti (vai izrāda aktīvu interesi atvērt kontus) finanšu iestādēs vienā vai vairākās </w:t>
            </w:r>
            <w:r>
              <w:t xml:space="preserve">valstīs vai </w:t>
            </w:r>
            <w:r w:rsidRPr="00DF05D3">
              <w:t xml:space="preserve">jurisdikcijās, kas nenoteic sankcijas pret </w:t>
            </w:r>
            <w:r w:rsidRPr="00747E6C">
              <w:t>Latvijai saistošajām sankcijām pakļautajām valstīm vai jurisdikcijām</w:t>
            </w:r>
            <w:r w:rsidRPr="00DF05D3">
              <w:t xml:space="preserve"> (piemēram, Kazahstāna, Uzbekistāna, Serbija, Turcija, Āfrikas valstis, Kirgizstāna, u.tml.).</w:t>
            </w:r>
          </w:p>
        </w:tc>
        <w:tc>
          <w:tcPr>
            <w:tcW w:w="1276" w:type="dxa"/>
            <w:vAlign w:val="center"/>
          </w:tcPr>
          <w:p w14:paraId="6EB2AC64"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578C7DED"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43C7C1D7" w14:textId="77777777" w:rsidR="00AC61AC" w:rsidRPr="00DF05D3" w:rsidRDefault="00AC61AC" w:rsidP="009422EA">
            <w:pPr>
              <w:pStyle w:val="TableParagraph"/>
            </w:pPr>
          </w:p>
        </w:tc>
      </w:tr>
      <w:tr w:rsidR="00AC61AC" w:rsidRPr="00DF05D3" w14:paraId="078DA053" w14:textId="77777777" w:rsidTr="00AC61AC">
        <w:trPr>
          <w:trHeight w:val="1010"/>
        </w:trPr>
        <w:tc>
          <w:tcPr>
            <w:tcW w:w="663" w:type="dxa"/>
            <w:vAlign w:val="center"/>
          </w:tcPr>
          <w:p w14:paraId="5DEACEBF"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4</w:t>
            </w:r>
            <w:r w:rsidRPr="00DF05D3">
              <w:rPr>
                <w:b/>
                <w:sz w:val="24"/>
                <w:szCs w:val="24"/>
              </w:rPr>
              <w:t>.</w:t>
            </w:r>
          </w:p>
        </w:tc>
        <w:tc>
          <w:tcPr>
            <w:tcW w:w="4607" w:type="dxa"/>
            <w:vAlign w:val="center"/>
          </w:tcPr>
          <w:p w14:paraId="140A5081" w14:textId="77777777" w:rsidR="00AC61AC" w:rsidRPr="00DF05D3" w:rsidRDefault="00AC61AC" w:rsidP="009422EA">
            <w:pPr>
              <w:pStyle w:val="TableParagraph"/>
              <w:spacing w:line="242" w:lineRule="auto"/>
              <w:ind w:left="110" w:right="142"/>
              <w:jc w:val="both"/>
            </w:pPr>
            <w:r w:rsidRPr="00DF05D3">
              <w:t>Preču eksportēšana uz Latvijai saistoša</w:t>
            </w:r>
            <w:r>
              <w:t xml:space="preserve">jām </w:t>
            </w:r>
            <w:r w:rsidRPr="00DF05D3">
              <w:t>sankcijām pakļauta</w:t>
            </w:r>
            <w:r>
              <w:t>jām valstīm vai jurisdikcijām</w:t>
            </w:r>
            <w:r w:rsidRPr="00DF05D3">
              <w:t xml:space="preserve"> (arī caur cit</w:t>
            </w:r>
            <w:r>
              <w:t>ā</w:t>
            </w:r>
            <w:r w:rsidRPr="00DF05D3">
              <w:t>m valstīm, kaut gan gala saņemšanas valsts vai teritorija ir sankcionēta).</w:t>
            </w:r>
          </w:p>
        </w:tc>
        <w:tc>
          <w:tcPr>
            <w:tcW w:w="1276" w:type="dxa"/>
            <w:vAlign w:val="center"/>
          </w:tcPr>
          <w:p w14:paraId="6ABF138B"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3F5D9B8E"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05256B2F" w14:textId="77777777" w:rsidR="00AC61AC" w:rsidRPr="00DF05D3" w:rsidRDefault="00AC61AC" w:rsidP="009422EA">
            <w:pPr>
              <w:pStyle w:val="TableParagraph"/>
            </w:pPr>
          </w:p>
        </w:tc>
      </w:tr>
      <w:tr w:rsidR="00AC61AC" w:rsidRPr="00DF05D3" w14:paraId="78EAC0BA" w14:textId="77777777" w:rsidTr="00AC61AC">
        <w:trPr>
          <w:trHeight w:val="590"/>
        </w:trPr>
        <w:tc>
          <w:tcPr>
            <w:tcW w:w="663" w:type="dxa"/>
            <w:vAlign w:val="center"/>
          </w:tcPr>
          <w:p w14:paraId="5F4C571C"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5</w:t>
            </w:r>
            <w:r w:rsidRPr="00DF05D3">
              <w:rPr>
                <w:b/>
                <w:sz w:val="24"/>
                <w:szCs w:val="24"/>
              </w:rPr>
              <w:t>.</w:t>
            </w:r>
          </w:p>
        </w:tc>
        <w:tc>
          <w:tcPr>
            <w:tcW w:w="4607" w:type="dxa"/>
            <w:vAlign w:val="center"/>
          </w:tcPr>
          <w:p w14:paraId="0EB6A78A" w14:textId="77777777" w:rsidR="00AC61AC" w:rsidRPr="00DF05D3" w:rsidRDefault="00AC61AC" w:rsidP="009422EA">
            <w:pPr>
              <w:pStyle w:val="TableParagraph"/>
              <w:spacing w:line="242" w:lineRule="auto"/>
              <w:ind w:left="143" w:right="142"/>
              <w:jc w:val="both"/>
            </w:pPr>
            <w:r w:rsidRPr="00DF05D3">
              <w:t>Viltoti dokumenti par preci, preču patieso saņēmēju, saņemšanas vietu.</w:t>
            </w:r>
          </w:p>
        </w:tc>
        <w:tc>
          <w:tcPr>
            <w:tcW w:w="1276" w:type="dxa"/>
            <w:vAlign w:val="center"/>
          </w:tcPr>
          <w:p w14:paraId="10460EDC" w14:textId="77777777" w:rsidR="00AC61AC" w:rsidRPr="00DF05D3" w:rsidRDefault="00AC61AC" w:rsidP="009422EA">
            <w:pPr>
              <w:pStyle w:val="TableParagraph"/>
              <w:spacing w:before="7"/>
              <w:jc w:val="center"/>
              <w:rPr>
                <w:b/>
              </w:rPr>
            </w:pPr>
            <w:r w:rsidRPr="00DF05D3">
              <w:rPr>
                <w:b/>
              </w:rPr>
              <w:t>Augsts</w:t>
            </w:r>
          </w:p>
        </w:tc>
        <w:tc>
          <w:tcPr>
            <w:tcW w:w="1417" w:type="dxa"/>
            <w:vAlign w:val="center"/>
          </w:tcPr>
          <w:p w14:paraId="6AB4CA76" w14:textId="77777777" w:rsidR="00AC61AC" w:rsidRPr="00AC61AC" w:rsidRDefault="00AC61AC" w:rsidP="009422EA">
            <w:pPr>
              <w:pStyle w:val="TableParagraph"/>
              <w:spacing w:before="4"/>
              <w:jc w:val="center"/>
              <w:rPr>
                <w:b/>
              </w:rPr>
            </w:pPr>
            <w:r w:rsidRPr="00AC61AC">
              <w:t xml:space="preserve">Jā </w:t>
            </w:r>
            <w:r w:rsidRPr="00AC61AC">
              <w:rPr>
                <w:rFonts w:ascii="Segoe UI Symbol" w:hAnsi="Segoe UI Symbol" w:cs="Segoe UI Symbol"/>
              </w:rPr>
              <w:t>☐</w:t>
            </w:r>
            <w:r w:rsidRPr="00AC61AC">
              <w:rPr>
                <w:rFonts w:ascii="AoyagiKouzanFontT" w:hAnsi="AoyagiKouzanFontT"/>
              </w:rPr>
              <w:t xml:space="preserve"> </w:t>
            </w:r>
            <w:r w:rsidRPr="00AC61AC">
              <w:t xml:space="preserve">Nē </w:t>
            </w:r>
            <w:r w:rsidRPr="00AC61AC">
              <w:rPr>
                <w:rFonts w:ascii="Segoe UI Symbol" w:hAnsi="Segoe UI Symbol" w:cs="Segoe UI Symbol"/>
              </w:rPr>
              <w:t>☐</w:t>
            </w:r>
          </w:p>
        </w:tc>
        <w:tc>
          <w:tcPr>
            <w:tcW w:w="1166" w:type="dxa"/>
          </w:tcPr>
          <w:p w14:paraId="34C80814" w14:textId="77777777" w:rsidR="00AC61AC" w:rsidRPr="00DF05D3" w:rsidRDefault="00AC61AC" w:rsidP="009422EA">
            <w:pPr>
              <w:pStyle w:val="TableParagraph"/>
            </w:pPr>
          </w:p>
        </w:tc>
      </w:tr>
      <w:tr w:rsidR="00AC61AC" w:rsidRPr="00DF05D3" w14:paraId="56A7A5CD" w14:textId="77777777" w:rsidTr="00AC61AC">
        <w:trPr>
          <w:trHeight w:val="1010"/>
        </w:trPr>
        <w:tc>
          <w:tcPr>
            <w:tcW w:w="663" w:type="dxa"/>
            <w:vAlign w:val="center"/>
          </w:tcPr>
          <w:p w14:paraId="60F09B20" w14:textId="77777777" w:rsidR="00AC61AC" w:rsidRPr="00DF05D3" w:rsidRDefault="00AC61AC" w:rsidP="009422EA">
            <w:pPr>
              <w:pStyle w:val="TableParagraph"/>
              <w:jc w:val="center"/>
              <w:rPr>
                <w:b/>
              </w:rPr>
            </w:pPr>
            <w:r w:rsidRPr="00DF05D3">
              <w:rPr>
                <w:b/>
              </w:rPr>
              <w:t>1.</w:t>
            </w:r>
            <w:r>
              <w:rPr>
                <w:b/>
              </w:rPr>
              <w:t>6</w:t>
            </w:r>
            <w:r w:rsidRPr="00DF05D3">
              <w:rPr>
                <w:b/>
              </w:rPr>
              <w:t>.</w:t>
            </w:r>
          </w:p>
        </w:tc>
        <w:tc>
          <w:tcPr>
            <w:tcW w:w="4607" w:type="dxa"/>
            <w:vAlign w:val="center"/>
          </w:tcPr>
          <w:p w14:paraId="097C08B3" w14:textId="77777777" w:rsidR="00AC61AC" w:rsidRPr="00DF05D3" w:rsidRDefault="00AC61AC" w:rsidP="009422EA">
            <w:pPr>
              <w:pStyle w:val="TableParagraph"/>
              <w:spacing w:line="242" w:lineRule="auto"/>
              <w:ind w:left="110" w:right="142"/>
              <w:jc w:val="both"/>
              <w:rPr>
                <w:i/>
              </w:rPr>
            </w:pPr>
            <w:bookmarkStart w:id="14" w:name="_Hlk161321488"/>
            <w:r w:rsidRPr="00DF05D3">
              <w:t>Klients mēģina izvairīties no informācijas sniegšanas vai mēģina slēpt savu saimniecisko darbību</w:t>
            </w:r>
            <w:r w:rsidRPr="00DF05D3">
              <w:rPr>
                <w:spacing w:val="-15"/>
              </w:rPr>
              <w:t xml:space="preserve"> </w:t>
            </w:r>
            <w:r w:rsidRPr="00DF05D3">
              <w:rPr>
                <w:i/>
              </w:rPr>
              <w:t>(juridiskās</w:t>
            </w:r>
            <w:r w:rsidRPr="00DF05D3">
              <w:rPr>
                <w:i/>
                <w:spacing w:val="-15"/>
              </w:rPr>
              <w:t xml:space="preserve"> </w:t>
            </w:r>
            <w:r w:rsidRPr="00DF05D3">
              <w:rPr>
                <w:i/>
              </w:rPr>
              <w:t>personas</w:t>
            </w:r>
            <w:r w:rsidRPr="00DF05D3">
              <w:rPr>
                <w:i/>
                <w:spacing w:val="-15"/>
              </w:rPr>
              <w:t xml:space="preserve"> </w:t>
            </w:r>
            <w:r w:rsidRPr="00DF05D3">
              <w:rPr>
                <w:i/>
              </w:rPr>
              <w:t>gadījumā</w:t>
            </w:r>
            <w:r w:rsidRPr="00DF05D3">
              <w:rPr>
                <w:i/>
                <w:spacing w:val="-15"/>
              </w:rPr>
              <w:t xml:space="preserve"> </w:t>
            </w:r>
            <w:r w:rsidRPr="00DF05D3">
              <w:rPr>
                <w:i/>
              </w:rPr>
              <w:t>izvairās</w:t>
            </w:r>
          </w:p>
          <w:p w14:paraId="766667FB" w14:textId="77777777" w:rsidR="00AC61AC" w:rsidRPr="00DF05D3" w:rsidRDefault="00AC61AC" w:rsidP="009422EA">
            <w:pPr>
              <w:pStyle w:val="TableParagraph"/>
              <w:spacing w:line="230" w:lineRule="exact"/>
              <w:ind w:left="110" w:right="142"/>
              <w:jc w:val="both"/>
              <w:rPr>
                <w:i/>
              </w:rPr>
            </w:pPr>
            <w:r w:rsidRPr="00DF05D3">
              <w:rPr>
                <w:i/>
              </w:rPr>
              <w:t>parādnieka pārstāvis).</w:t>
            </w:r>
            <w:bookmarkEnd w:id="14"/>
          </w:p>
        </w:tc>
        <w:tc>
          <w:tcPr>
            <w:tcW w:w="1276" w:type="dxa"/>
            <w:vAlign w:val="center"/>
          </w:tcPr>
          <w:p w14:paraId="51B007C9" w14:textId="77777777" w:rsidR="00AC61AC" w:rsidRPr="00DF05D3" w:rsidRDefault="00AC61AC" w:rsidP="009422EA">
            <w:pPr>
              <w:pStyle w:val="TableParagraph"/>
              <w:jc w:val="center"/>
              <w:rPr>
                <w:b/>
              </w:rPr>
            </w:pPr>
            <w:r w:rsidRPr="00DF05D3">
              <w:rPr>
                <w:b/>
              </w:rPr>
              <w:t>Augsts</w:t>
            </w:r>
          </w:p>
        </w:tc>
        <w:tc>
          <w:tcPr>
            <w:tcW w:w="1417" w:type="dxa"/>
            <w:vAlign w:val="center"/>
          </w:tcPr>
          <w:p w14:paraId="692790BE" w14:textId="77777777" w:rsidR="00AC61AC" w:rsidRPr="00DF05D3" w:rsidRDefault="00AC61AC" w:rsidP="009422EA">
            <w:pPr>
              <w:pStyle w:val="TableParagraph"/>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2DE8CA5A" w14:textId="77777777" w:rsidR="00AC61AC" w:rsidRPr="00DF05D3" w:rsidRDefault="00AC61AC" w:rsidP="009422EA">
            <w:pPr>
              <w:pStyle w:val="TableParagraph"/>
            </w:pPr>
          </w:p>
        </w:tc>
      </w:tr>
      <w:tr w:rsidR="00AC61AC" w:rsidRPr="00DF05D3" w14:paraId="44590737" w14:textId="77777777" w:rsidTr="00AC61AC">
        <w:trPr>
          <w:trHeight w:val="683"/>
        </w:trPr>
        <w:tc>
          <w:tcPr>
            <w:tcW w:w="663" w:type="dxa"/>
            <w:vAlign w:val="center"/>
          </w:tcPr>
          <w:p w14:paraId="789091C5" w14:textId="77777777" w:rsidR="00AC61AC" w:rsidRPr="00DF05D3" w:rsidRDefault="00AC61AC" w:rsidP="009422EA">
            <w:pPr>
              <w:pStyle w:val="TableParagraph"/>
              <w:spacing w:before="1"/>
              <w:jc w:val="center"/>
              <w:rPr>
                <w:b/>
              </w:rPr>
            </w:pPr>
            <w:r w:rsidRPr="00DF05D3">
              <w:rPr>
                <w:b/>
              </w:rPr>
              <w:t>1.</w:t>
            </w:r>
            <w:r>
              <w:rPr>
                <w:b/>
              </w:rPr>
              <w:t>7</w:t>
            </w:r>
            <w:r w:rsidRPr="00DF05D3">
              <w:rPr>
                <w:b/>
              </w:rPr>
              <w:t>.</w:t>
            </w:r>
          </w:p>
        </w:tc>
        <w:tc>
          <w:tcPr>
            <w:tcW w:w="4607" w:type="dxa"/>
            <w:vAlign w:val="center"/>
          </w:tcPr>
          <w:p w14:paraId="5D352CC6" w14:textId="77777777" w:rsidR="00AC61AC" w:rsidRPr="00DF05D3" w:rsidRDefault="00AC61AC" w:rsidP="009422EA">
            <w:pPr>
              <w:pStyle w:val="TableParagraph"/>
              <w:spacing w:line="233" w:lineRule="exact"/>
              <w:ind w:left="103" w:right="142"/>
              <w:jc w:val="both"/>
            </w:pPr>
            <w:r w:rsidRPr="00DF05D3">
              <w:t>Pēc Starptautisko sankciju un Nacionālo sankciju stāšanās spēkā veiktas izmaiņas darbības procesos.</w:t>
            </w:r>
          </w:p>
        </w:tc>
        <w:tc>
          <w:tcPr>
            <w:tcW w:w="1276" w:type="dxa"/>
            <w:vAlign w:val="center"/>
          </w:tcPr>
          <w:p w14:paraId="5C038BA8" w14:textId="77777777" w:rsidR="00AC61AC" w:rsidRPr="00DF05D3" w:rsidRDefault="00AC61AC" w:rsidP="00034EA4">
            <w:pPr>
              <w:pStyle w:val="TableParagraph"/>
              <w:spacing w:before="1"/>
              <w:ind w:left="-1"/>
              <w:jc w:val="center"/>
              <w:rPr>
                <w:b/>
              </w:rPr>
            </w:pPr>
            <w:r w:rsidRPr="00DF05D3">
              <w:rPr>
                <w:b/>
              </w:rPr>
              <w:t>Risku paaugstinošs</w:t>
            </w:r>
          </w:p>
        </w:tc>
        <w:tc>
          <w:tcPr>
            <w:tcW w:w="1417" w:type="dxa"/>
            <w:vAlign w:val="center"/>
          </w:tcPr>
          <w:p w14:paraId="0F11A32C" w14:textId="77777777" w:rsidR="00AC61AC" w:rsidRPr="00DF05D3" w:rsidRDefault="00AC61AC" w:rsidP="009422EA">
            <w:pPr>
              <w:pStyle w:val="TableParagraph"/>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32AD7B1E" w14:textId="77777777" w:rsidR="00AC61AC" w:rsidRPr="00DF05D3" w:rsidRDefault="00AC61AC" w:rsidP="009422EA">
            <w:pPr>
              <w:pStyle w:val="TableParagraph"/>
            </w:pPr>
          </w:p>
        </w:tc>
      </w:tr>
      <w:tr w:rsidR="00AC61AC" w:rsidRPr="00DF05D3" w14:paraId="726E189E" w14:textId="77777777" w:rsidTr="00AC61AC">
        <w:trPr>
          <w:trHeight w:val="1259"/>
        </w:trPr>
        <w:tc>
          <w:tcPr>
            <w:tcW w:w="663" w:type="dxa"/>
            <w:vAlign w:val="center"/>
          </w:tcPr>
          <w:p w14:paraId="2676903D" w14:textId="77777777" w:rsidR="00AC61AC" w:rsidRPr="00DF05D3" w:rsidRDefault="00AC61AC" w:rsidP="009422EA">
            <w:pPr>
              <w:pStyle w:val="TableParagraph"/>
              <w:jc w:val="center"/>
              <w:rPr>
                <w:b/>
              </w:rPr>
            </w:pPr>
            <w:r w:rsidRPr="00DF05D3">
              <w:rPr>
                <w:b/>
              </w:rPr>
              <w:t>1.</w:t>
            </w:r>
            <w:r>
              <w:rPr>
                <w:b/>
              </w:rPr>
              <w:t>8</w:t>
            </w:r>
            <w:r w:rsidRPr="00DF05D3">
              <w:rPr>
                <w:b/>
              </w:rPr>
              <w:t>.</w:t>
            </w:r>
          </w:p>
        </w:tc>
        <w:tc>
          <w:tcPr>
            <w:tcW w:w="4607" w:type="dxa"/>
            <w:vAlign w:val="center"/>
          </w:tcPr>
          <w:p w14:paraId="2D884409" w14:textId="77777777" w:rsidR="00AC61AC" w:rsidRPr="00DF05D3" w:rsidRDefault="00AC61AC" w:rsidP="009422EA">
            <w:pPr>
              <w:pStyle w:val="TableParagraph"/>
              <w:spacing w:line="250" w:lineRule="exact"/>
              <w:ind w:left="110" w:right="142"/>
              <w:jc w:val="both"/>
            </w:pPr>
            <w:r w:rsidRPr="00DF05D3">
              <w:t>Pēc Starptautisko sankciju un Nacionālo sankciju stāšanās spēkā veiktas izmaiņas preču un pakalpojumu saņemšanas un piegādes kanālos.</w:t>
            </w:r>
          </w:p>
        </w:tc>
        <w:tc>
          <w:tcPr>
            <w:tcW w:w="1276" w:type="dxa"/>
            <w:vAlign w:val="center"/>
          </w:tcPr>
          <w:p w14:paraId="5FA6D8DF" w14:textId="77777777" w:rsidR="00AC61AC" w:rsidRPr="004677C1" w:rsidRDefault="00AC61AC" w:rsidP="009422EA">
            <w:pPr>
              <w:pStyle w:val="TableParagraph"/>
              <w:spacing w:before="10"/>
              <w:jc w:val="center"/>
              <w:rPr>
                <w:b/>
                <w:sz w:val="19"/>
              </w:rPr>
            </w:pPr>
            <w:r w:rsidRPr="00DF05D3">
              <w:rPr>
                <w:b/>
              </w:rPr>
              <w:t>Risku paaugstinošs</w:t>
            </w:r>
          </w:p>
        </w:tc>
        <w:tc>
          <w:tcPr>
            <w:tcW w:w="1417" w:type="dxa"/>
            <w:vAlign w:val="center"/>
          </w:tcPr>
          <w:p w14:paraId="1EDAC76B" w14:textId="77777777" w:rsidR="00AC61AC" w:rsidRPr="00DF05D3" w:rsidRDefault="00AC61AC" w:rsidP="009422EA">
            <w:pPr>
              <w:pStyle w:val="TableParagraph"/>
              <w:spacing w:before="214"/>
              <w:jc w:val="center"/>
              <w:rPr>
                <w:rFonts w:ascii="AoyagiKouzanFontT" w:hAnsi="AoyagiKouzanFontT"/>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4A2116A2" w14:textId="77777777" w:rsidR="00AC61AC" w:rsidRPr="00DF05D3" w:rsidRDefault="00AC61AC" w:rsidP="009422EA">
            <w:pPr>
              <w:pStyle w:val="TableParagraph"/>
            </w:pPr>
          </w:p>
        </w:tc>
      </w:tr>
      <w:tr w:rsidR="00AC61AC" w:rsidRPr="00DF05D3" w14:paraId="6488E289" w14:textId="77777777" w:rsidTr="00AC61AC">
        <w:trPr>
          <w:trHeight w:val="49"/>
        </w:trPr>
        <w:tc>
          <w:tcPr>
            <w:tcW w:w="663" w:type="dxa"/>
            <w:vAlign w:val="center"/>
          </w:tcPr>
          <w:p w14:paraId="04B36874"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9</w:t>
            </w:r>
            <w:r w:rsidRPr="00DF05D3">
              <w:rPr>
                <w:b/>
                <w:sz w:val="24"/>
                <w:szCs w:val="24"/>
              </w:rPr>
              <w:t>.</w:t>
            </w:r>
          </w:p>
        </w:tc>
        <w:tc>
          <w:tcPr>
            <w:tcW w:w="4607" w:type="dxa"/>
            <w:vAlign w:val="center"/>
          </w:tcPr>
          <w:p w14:paraId="71BAD1C6" w14:textId="77777777" w:rsidR="00AC61AC" w:rsidRPr="00DF05D3" w:rsidRDefault="00AC61AC" w:rsidP="009422EA">
            <w:pPr>
              <w:pStyle w:val="TableParagraph"/>
              <w:spacing w:line="242" w:lineRule="auto"/>
              <w:ind w:left="143" w:right="142"/>
              <w:jc w:val="both"/>
            </w:pPr>
            <w:r w:rsidRPr="00DF05D3">
              <w:t>Importa darījumos iesaistīti vairāki starpnieki.</w:t>
            </w:r>
          </w:p>
        </w:tc>
        <w:tc>
          <w:tcPr>
            <w:tcW w:w="1276" w:type="dxa"/>
            <w:vAlign w:val="center"/>
          </w:tcPr>
          <w:p w14:paraId="270E9C81" w14:textId="77777777" w:rsidR="00AC61AC" w:rsidRPr="00DF05D3" w:rsidRDefault="00AC61AC" w:rsidP="009422EA">
            <w:pPr>
              <w:pStyle w:val="TableParagraph"/>
              <w:spacing w:before="7"/>
              <w:jc w:val="center"/>
              <w:rPr>
                <w:b/>
              </w:rPr>
            </w:pPr>
            <w:r w:rsidRPr="00DF05D3">
              <w:rPr>
                <w:b/>
              </w:rPr>
              <w:t>Risku paaugstinošs</w:t>
            </w:r>
          </w:p>
        </w:tc>
        <w:tc>
          <w:tcPr>
            <w:tcW w:w="1417" w:type="dxa"/>
            <w:vAlign w:val="center"/>
          </w:tcPr>
          <w:p w14:paraId="7696D933" w14:textId="77777777" w:rsidR="00AC61AC" w:rsidRPr="00AC61AC" w:rsidRDefault="00AC61AC" w:rsidP="009422EA">
            <w:pPr>
              <w:pStyle w:val="TableParagraph"/>
              <w:spacing w:before="4"/>
              <w:jc w:val="center"/>
            </w:pPr>
            <w:r w:rsidRPr="00AC61AC">
              <w:t xml:space="preserve">Jā </w:t>
            </w:r>
            <w:r w:rsidRPr="00AC61AC">
              <w:rPr>
                <w:rFonts w:ascii="Segoe UI Symbol" w:hAnsi="Segoe UI Symbol" w:cs="Segoe UI Symbol"/>
              </w:rPr>
              <w:t>☐</w:t>
            </w:r>
            <w:r w:rsidRPr="00AC61AC">
              <w:t xml:space="preserve"> Nē </w:t>
            </w:r>
            <w:r w:rsidRPr="00AC61AC">
              <w:rPr>
                <w:rFonts w:ascii="Segoe UI Symbol" w:hAnsi="Segoe UI Symbol" w:cs="Segoe UI Symbol"/>
              </w:rPr>
              <w:t>☐</w:t>
            </w:r>
          </w:p>
        </w:tc>
        <w:tc>
          <w:tcPr>
            <w:tcW w:w="1166" w:type="dxa"/>
          </w:tcPr>
          <w:p w14:paraId="14177FA7" w14:textId="77777777" w:rsidR="00AC61AC" w:rsidRPr="00DF05D3" w:rsidRDefault="00AC61AC" w:rsidP="009422EA">
            <w:pPr>
              <w:pStyle w:val="TableParagraph"/>
            </w:pPr>
          </w:p>
        </w:tc>
      </w:tr>
      <w:tr w:rsidR="00AC61AC" w:rsidRPr="00DF05D3" w14:paraId="323A0C2F" w14:textId="77777777" w:rsidTr="00AC61AC">
        <w:trPr>
          <w:trHeight w:val="772"/>
        </w:trPr>
        <w:tc>
          <w:tcPr>
            <w:tcW w:w="663" w:type="dxa"/>
            <w:vAlign w:val="center"/>
          </w:tcPr>
          <w:p w14:paraId="72679CCD" w14:textId="77777777" w:rsidR="00AC61AC" w:rsidRPr="00DF05D3" w:rsidRDefault="00AC61AC" w:rsidP="009422EA">
            <w:pPr>
              <w:pStyle w:val="TableParagraph"/>
              <w:spacing w:before="7"/>
              <w:jc w:val="center"/>
              <w:rPr>
                <w:b/>
                <w:sz w:val="24"/>
                <w:szCs w:val="24"/>
              </w:rPr>
            </w:pPr>
            <w:r w:rsidRPr="00DF05D3">
              <w:rPr>
                <w:b/>
                <w:sz w:val="24"/>
                <w:szCs w:val="24"/>
              </w:rPr>
              <w:t>1.</w:t>
            </w:r>
            <w:r>
              <w:rPr>
                <w:b/>
                <w:sz w:val="24"/>
                <w:szCs w:val="24"/>
              </w:rPr>
              <w:t>10</w:t>
            </w:r>
            <w:r w:rsidRPr="00DF05D3">
              <w:rPr>
                <w:b/>
                <w:sz w:val="24"/>
                <w:szCs w:val="24"/>
              </w:rPr>
              <w:t>.</w:t>
            </w:r>
          </w:p>
        </w:tc>
        <w:tc>
          <w:tcPr>
            <w:tcW w:w="4607" w:type="dxa"/>
            <w:vAlign w:val="center"/>
          </w:tcPr>
          <w:p w14:paraId="0BF7480E" w14:textId="77777777" w:rsidR="00AC61AC" w:rsidRPr="00DF05D3" w:rsidRDefault="00AC61AC" w:rsidP="009422EA">
            <w:pPr>
              <w:pStyle w:val="TableParagraph"/>
              <w:spacing w:line="242" w:lineRule="auto"/>
              <w:ind w:left="143" w:right="142"/>
              <w:jc w:val="both"/>
            </w:pPr>
            <w:r w:rsidRPr="00DF05D3">
              <w:t>Veikti darījumi ar personai neraksturīgām valūtām (piemēram, virtuālo valūtu).</w:t>
            </w:r>
          </w:p>
        </w:tc>
        <w:tc>
          <w:tcPr>
            <w:tcW w:w="1276" w:type="dxa"/>
            <w:vAlign w:val="center"/>
          </w:tcPr>
          <w:p w14:paraId="28940400" w14:textId="77777777" w:rsidR="00AC61AC" w:rsidRPr="00DF05D3" w:rsidRDefault="00AC61AC" w:rsidP="009422EA">
            <w:pPr>
              <w:pStyle w:val="TableParagraph"/>
              <w:spacing w:before="7"/>
              <w:jc w:val="center"/>
              <w:rPr>
                <w:b/>
              </w:rPr>
            </w:pPr>
            <w:r w:rsidRPr="00DF05D3">
              <w:rPr>
                <w:b/>
              </w:rPr>
              <w:t>Risku paaugstinošs</w:t>
            </w:r>
          </w:p>
        </w:tc>
        <w:tc>
          <w:tcPr>
            <w:tcW w:w="1417" w:type="dxa"/>
            <w:vAlign w:val="center"/>
          </w:tcPr>
          <w:p w14:paraId="516A2F58" w14:textId="77777777" w:rsidR="00AC61AC" w:rsidRPr="00AC61AC" w:rsidRDefault="00AC61AC" w:rsidP="009422EA">
            <w:pPr>
              <w:pStyle w:val="TableParagraph"/>
              <w:spacing w:before="4"/>
              <w:jc w:val="center"/>
            </w:pPr>
            <w:r w:rsidRPr="00AC61AC">
              <w:t xml:space="preserve">Jā </w:t>
            </w:r>
            <w:r w:rsidRPr="00AC61AC">
              <w:rPr>
                <w:rFonts w:ascii="Segoe UI Symbol" w:hAnsi="Segoe UI Symbol" w:cs="Segoe UI Symbol"/>
              </w:rPr>
              <w:t>☐</w:t>
            </w:r>
            <w:r w:rsidRPr="00AC61AC">
              <w:t xml:space="preserve"> Nē </w:t>
            </w:r>
            <w:r w:rsidRPr="00AC61AC">
              <w:rPr>
                <w:rFonts w:ascii="Segoe UI Symbol" w:hAnsi="Segoe UI Symbol" w:cs="Segoe UI Symbol"/>
              </w:rPr>
              <w:t>☐</w:t>
            </w:r>
          </w:p>
        </w:tc>
        <w:tc>
          <w:tcPr>
            <w:tcW w:w="1166" w:type="dxa"/>
          </w:tcPr>
          <w:p w14:paraId="71A71769" w14:textId="77777777" w:rsidR="00AC61AC" w:rsidRPr="00DF05D3" w:rsidRDefault="00AC61AC" w:rsidP="009422EA">
            <w:pPr>
              <w:pStyle w:val="TableParagraph"/>
            </w:pPr>
          </w:p>
        </w:tc>
      </w:tr>
      <w:tr w:rsidR="00AC61AC" w:rsidRPr="00DF05D3" w14:paraId="0F0A5E10" w14:textId="77777777" w:rsidTr="00AC61AC">
        <w:trPr>
          <w:trHeight w:val="449"/>
        </w:trPr>
        <w:tc>
          <w:tcPr>
            <w:tcW w:w="663" w:type="dxa"/>
            <w:vAlign w:val="center"/>
          </w:tcPr>
          <w:p w14:paraId="77F2366C" w14:textId="77777777" w:rsidR="00AC61AC" w:rsidRPr="00DF05D3" w:rsidRDefault="00AC61AC" w:rsidP="009422EA">
            <w:pPr>
              <w:pStyle w:val="TableParagraph"/>
              <w:jc w:val="center"/>
            </w:pPr>
          </w:p>
        </w:tc>
        <w:tc>
          <w:tcPr>
            <w:tcW w:w="8466" w:type="dxa"/>
            <w:gridSpan w:val="4"/>
            <w:vAlign w:val="center"/>
          </w:tcPr>
          <w:p w14:paraId="221EB4CA" w14:textId="77777777" w:rsidR="00AC61AC" w:rsidRPr="00DF05D3" w:rsidRDefault="00AC61AC" w:rsidP="009422EA">
            <w:pPr>
              <w:pStyle w:val="TableParagraph"/>
              <w:spacing w:before="97"/>
              <w:ind w:left="110"/>
              <w:rPr>
                <w:i/>
              </w:rPr>
            </w:pPr>
            <w:r w:rsidRPr="00DF05D3">
              <w:rPr>
                <w:i/>
                <w:u w:val="single"/>
              </w:rPr>
              <w:t>Ar īpašumtiesību struktūru saistīts risks</w:t>
            </w:r>
          </w:p>
        </w:tc>
      </w:tr>
      <w:tr w:rsidR="00AC61AC" w:rsidRPr="00DF05D3" w14:paraId="236C7E39" w14:textId="77777777" w:rsidTr="00AC61AC">
        <w:trPr>
          <w:trHeight w:val="1010"/>
        </w:trPr>
        <w:tc>
          <w:tcPr>
            <w:tcW w:w="663" w:type="dxa"/>
            <w:vAlign w:val="center"/>
          </w:tcPr>
          <w:p w14:paraId="1BC73387" w14:textId="77777777" w:rsidR="00AC61AC" w:rsidRPr="00DF05D3" w:rsidRDefault="00AC61AC" w:rsidP="009422EA">
            <w:pPr>
              <w:pStyle w:val="TableParagraph"/>
              <w:jc w:val="center"/>
              <w:rPr>
                <w:b/>
              </w:rPr>
            </w:pPr>
            <w:r w:rsidRPr="00DF05D3">
              <w:rPr>
                <w:b/>
              </w:rPr>
              <w:t>1.1</w:t>
            </w:r>
            <w:r>
              <w:rPr>
                <w:b/>
              </w:rPr>
              <w:t>1</w:t>
            </w:r>
            <w:r w:rsidRPr="00DF05D3">
              <w:rPr>
                <w:b/>
              </w:rPr>
              <w:t>.</w:t>
            </w:r>
          </w:p>
        </w:tc>
        <w:tc>
          <w:tcPr>
            <w:tcW w:w="4607" w:type="dxa"/>
            <w:vAlign w:val="center"/>
          </w:tcPr>
          <w:p w14:paraId="44107FDC" w14:textId="77777777" w:rsidR="00AC61AC" w:rsidRPr="00034EA4" w:rsidRDefault="00AC61AC" w:rsidP="009422EA">
            <w:pPr>
              <w:ind w:left="103" w:right="142"/>
              <w:jc w:val="both"/>
              <w:rPr>
                <w:rFonts w:ascii="Times New Roman" w:hAnsi="Times New Roman" w:cs="Times New Roman"/>
              </w:rPr>
            </w:pPr>
            <w:r w:rsidRPr="00034EA4">
              <w:rPr>
                <w:rFonts w:ascii="Times New Roman" w:hAnsi="Times New Roman" w:cs="Times New Roman"/>
              </w:rPr>
              <w:t>Par Klienta patieso labuma guvēju vai īpašnieku pēc Starptautisko sankciju un Nacionālo sankciju stāšanās spēkā tiek reģistrēta cita saistīta persona (piemēram, sankciju subjekta radinieks vai saistīta persona).</w:t>
            </w:r>
          </w:p>
        </w:tc>
        <w:tc>
          <w:tcPr>
            <w:tcW w:w="1276" w:type="dxa"/>
            <w:vAlign w:val="center"/>
          </w:tcPr>
          <w:p w14:paraId="4805EF24" w14:textId="77777777" w:rsidR="00AC61AC" w:rsidRPr="00DF05D3" w:rsidRDefault="00AC61AC" w:rsidP="009422EA">
            <w:pPr>
              <w:pStyle w:val="TableParagraph"/>
              <w:spacing w:before="5"/>
              <w:jc w:val="right"/>
              <w:rPr>
                <w:b/>
              </w:rPr>
            </w:pPr>
          </w:p>
          <w:p w14:paraId="26B41837" w14:textId="77777777" w:rsidR="00AC61AC" w:rsidRPr="00DF05D3" w:rsidRDefault="00AC61AC" w:rsidP="00034EA4">
            <w:pPr>
              <w:pStyle w:val="TableParagraph"/>
              <w:jc w:val="center"/>
              <w:rPr>
                <w:b/>
              </w:rPr>
            </w:pPr>
            <w:r w:rsidRPr="00DF05D3">
              <w:rPr>
                <w:b/>
              </w:rPr>
              <w:t>Augsts</w:t>
            </w:r>
          </w:p>
        </w:tc>
        <w:tc>
          <w:tcPr>
            <w:tcW w:w="1417" w:type="dxa"/>
            <w:vAlign w:val="center"/>
          </w:tcPr>
          <w:p w14:paraId="6611AB2D" w14:textId="77777777" w:rsidR="00AC61AC" w:rsidRPr="00DF05D3" w:rsidRDefault="00AC61AC" w:rsidP="009422EA">
            <w:pPr>
              <w:pStyle w:val="TableParagraph"/>
              <w:spacing w:before="193"/>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Nē</w:t>
            </w:r>
            <w:r w:rsidRPr="00DF05D3">
              <w:rPr>
                <w:rFonts w:ascii="Segoe UI Symbol" w:hAnsi="Segoe UI Symbol" w:cs="Segoe UI Symbol"/>
              </w:rPr>
              <w:t>☐</w:t>
            </w:r>
          </w:p>
        </w:tc>
        <w:tc>
          <w:tcPr>
            <w:tcW w:w="1166" w:type="dxa"/>
          </w:tcPr>
          <w:p w14:paraId="4EE0DC33" w14:textId="77777777" w:rsidR="00AC61AC" w:rsidRPr="00DF05D3" w:rsidRDefault="00AC61AC" w:rsidP="009422EA">
            <w:pPr>
              <w:pStyle w:val="TableParagraph"/>
            </w:pPr>
          </w:p>
        </w:tc>
      </w:tr>
      <w:tr w:rsidR="00AC61AC" w:rsidRPr="00DF05D3" w14:paraId="4B26B45B" w14:textId="77777777" w:rsidTr="00AC61AC">
        <w:trPr>
          <w:trHeight w:val="569"/>
        </w:trPr>
        <w:tc>
          <w:tcPr>
            <w:tcW w:w="663" w:type="dxa"/>
            <w:vAlign w:val="center"/>
          </w:tcPr>
          <w:p w14:paraId="1433278D" w14:textId="77777777" w:rsidR="00AC61AC" w:rsidRPr="00DF05D3" w:rsidRDefault="00AC61AC" w:rsidP="009422EA">
            <w:pPr>
              <w:pStyle w:val="TableParagraph"/>
              <w:spacing w:before="159"/>
              <w:jc w:val="center"/>
              <w:rPr>
                <w:b/>
              </w:rPr>
            </w:pPr>
            <w:r w:rsidRPr="00DF05D3">
              <w:rPr>
                <w:b/>
              </w:rPr>
              <w:t>1.1</w:t>
            </w:r>
            <w:r>
              <w:rPr>
                <w:b/>
              </w:rPr>
              <w:t>2</w:t>
            </w:r>
            <w:r w:rsidRPr="00DF05D3">
              <w:rPr>
                <w:b/>
              </w:rPr>
              <w:t>.</w:t>
            </w:r>
          </w:p>
        </w:tc>
        <w:tc>
          <w:tcPr>
            <w:tcW w:w="4607" w:type="dxa"/>
            <w:vAlign w:val="center"/>
          </w:tcPr>
          <w:p w14:paraId="098113B5" w14:textId="77777777" w:rsidR="00AC61AC" w:rsidRPr="00034EA4" w:rsidRDefault="00AC61AC" w:rsidP="009422EA">
            <w:pPr>
              <w:pStyle w:val="TableParagraph"/>
              <w:spacing w:before="29"/>
              <w:ind w:left="110" w:right="142"/>
              <w:jc w:val="both"/>
            </w:pPr>
            <w:r w:rsidRPr="00034EA4">
              <w:t>Pēc Starptautisko sankciju un Nacionālo sankciju stāšanās spēkā bez skaidra ekonomiskā vai juridiskā pamatojuma ar atpakaļejošu datumu veikti mēģinājumi mainīt sankciju subjekta (t.sk. juridiskās personas, kas ir sankciju subjekta kontrolē) patieso labuma guvēju, īpašumtiesību struktūru.</w:t>
            </w:r>
          </w:p>
        </w:tc>
        <w:tc>
          <w:tcPr>
            <w:tcW w:w="1276" w:type="dxa"/>
            <w:vAlign w:val="center"/>
          </w:tcPr>
          <w:p w14:paraId="37DDC52C" w14:textId="77777777" w:rsidR="00AC61AC" w:rsidRPr="00DF05D3" w:rsidRDefault="00AC61AC" w:rsidP="009422EA">
            <w:pPr>
              <w:pStyle w:val="TableParagraph"/>
              <w:spacing w:before="29"/>
              <w:jc w:val="center"/>
              <w:rPr>
                <w:b/>
              </w:rPr>
            </w:pPr>
            <w:r w:rsidRPr="00DF05D3">
              <w:rPr>
                <w:b/>
              </w:rPr>
              <w:t>Risku paaugstinošs</w:t>
            </w:r>
          </w:p>
        </w:tc>
        <w:tc>
          <w:tcPr>
            <w:tcW w:w="1417" w:type="dxa"/>
            <w:vAlign w:val="center"/>
          </w:tcPr>
          <w:p w14:paraId="51E1E839" w14:textId="77777777" w:rsidR="00AC61AC" w:rsidRPr="00DF05D3" w:rsidRDefault="00AC61AC" w:rsidP="009422EA">
            <w:pPr>
              <w:pStyle w:val="TableParagraph"/>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Pr>
          <w:p w14:paraId="6296B83C" w14:textId="77777777" w:rsidR="00AC61AC" w:rsidRPr="00DF05D3" w:rsidRDefault="00AC61AC" w:rsidP="009422EA">
            <w:pPr>
              <w:pStyle w:val="TableParagraph"/>
            </w:pPr>
          </w:p>
        </w:tc>
      </w:tr>
      <w:tr w:rsidR="00AC61AC" w:rsidRPr="00DF05D3" w14:paraId="5F18E8E5" w14:textId="77777777" w:rsidTr="00AC61AC">
        <w:trPr>
          <w:trHeight w:val="1010"/>
        </w:trPr>
        <w:tc>
          <w:tcPr>
            <w:tcW w:w="663" w:type="dxa"/>
            <w:vAlign w:val="center"/>
          </w:tcPr>
          <w:p w14:paraId="26E1E9BE" w14:textId="77777777" w:rsidR="00AC61AC" w:rsidRPr="00DF05D3" w:rsidRDefault="00AC61AC" w:rsidP="009422EA">
            <w:pPr>
              <w:pStyle w:val="TableParagraph"/>
              <w:spacing w:before="6"/>
              <w:jc w:val="center"/>
              <w:rPr>
                <w:b/>
              </w:rPr>
            </w:pPr>
            <w:r w:rsidRPr="00DF05D3">
              <w:rPr>
                <w:b/>
              </w:rPr>
              <w:t>1.1</w:t>
            </w:r>
            <w:r>
              <w:rPr>
                <w:b/>
              </w:rPr>
              <w:t>3</w:t>
            </w:r>
            <w:r w:rsidRPr="00DF05D3">
              <w:rPr>
                <w:b/>
              </w:rPr>
              <w:t>.</w:t>
            </w:r>
          </w:p>
        </w:tc>
        <w:tc>
          <w:tcPr>
            <w:tcW w:w="4607" w:type="dxa"/>
            <w:vAlign w:val="center"/>
          </w:tcPr>
          <w:p w14:paraId="43D0D9F7" w14:textId="77777777" w:rsidR="00AC61AC" w:rsidRPr="00034EA4" w:rsidRDefault="00AC61AC" w:rsidP="009422EA">
            <w:pPr>
              <w:ind w:left="103" w:right="142"/>
              <w:jc w:val="both"/>
              <w:rPr>
                <w:rFonts w:ascii="Times New Roman" w:hAnsi="Times New Roman" w:cs="Times New Roman"/>
              </w:rPr>
            </w:pPr>
            <w:r w:rsidRPr="00034EA4">
              <w:rPr>
                <w:rFonts w:ascii="Times New Roman" w:hAnsi="Times New Roman" w:cs="Times New Roman"/>
              </w:rPr>
              <w:t>Klientam piederošajai mantai tiek mainīts īpašnieks vai tiek mēģināts mainīt īpašnieku īsi pirms Starptautisko sankciju un Nacionālo sankciju stāšanās spēkā vai sankciju spēkā esamības laikā.</w:t>
            </w:r>
          </w:p>
        </w:tc>
        <w:tc>
          <w:tcPr>
            <w:tcW w:w="1276" w:type="dxa"/>
            <w:vAlign w:val="center"/>
          </w:tcPr>
          <w:p w14:paraId="3E46BE8F" w14:textId="77777777" w:rsidR="00AC61AC" w:rsidRPr="00DF05D3" w:rsidRDefault="00AC61AC" w:rsidP="009422EA">
            <w:pPr>
              <w:pStyle w:val="TableParagraph"/>
              <w:spacing w:before="5"/>
              <w:jc w:val="center"/>
              <w:rPr>
                <w:b/>
              </w:rPr>
            </w:pPr>
            <w:r w:rsidRPr="00DF05D3">
              <w:rPr>
                <w:b/>
              </w:rPr>
              <w:t>Risku paaugstinošs</w:t>
            </w:r>
          </w:p>
        </w:tc>
        <w:tc>
          <w:tcPr>
            <w:tcW w:w="1417" w:type="dxa"/>
            <w:vAlign w:val="center"/>
          </w:tcPr>
          <w:p w14:paraId="3B094805" w14:textId="77777777" w:rsidR="00AC61AC" w:rsidRPr="00DF05D3" w:rsidRDefault="00AC61AC" w:rsidP="009422EA">
            <w:pPr>
              <w:pStyle w:val="TableParagraph"/>
              <w:jc w:val="center"/>
              <w:rPr>
                <w:bCs/>
              </w:rPr>
            </w:pPr>
            <w:r w:rsidRPr="00DF05D3">
              <w:rPr>
                <w:bCs/>
              </w:rPr>
              <w:t xml:space="preserve">Jā </w:t>
            </w:r>
            <w:r w:rsidRPr="00DF05D3">
              <w:rPr>
                <w:rFonts w:ascii="Segoe UI Symbol" w:hAnsi="Segoe UI Symbol" w:cs="Segoe UI Symbol"/>
                <w:bCs/>
              </w:rPr>
              <w:t>☐</w:t>
            </w:r>
            <w:r w:rsidRPr="00DF05D3">
              <w:rPr>
                <w:bCs/>
              </w:rPr>
              <w:t xml:space="preserve"> Nē</w:t>
            </w:r>
            <w:r w:rsidRPr="00DF05D3">
              <w:rPr>
                <w:rFonts w:ascii="Segoe UI Symbol" w:hAnsi="Segoe UI Symbol" w:cs="Segoe UI Symbol"/>
                <w:bCs/>
              </w:rPr>
              <w:t>☐</w:t>
            </w:r>
          </w:p>
        </w:tc>
        <w:tc>
          <w:tcPr>
            <w:tcW w:w="1166" w:type="dxa"/>
          </w:tcPr>
          <w:p w14:paraId="6E1CBA03" w14:textId="77777777" w:rsidR="00AC61AC" w:rsidRPr="00DF05D3" w:rsidRDefault="00AC61AC" w:rsidP="009422EA">
            <w:pPr>
              <w:pStyle w:val="TableParagraph"/>
            </w:pPr>
          </w:p>
        </w:tc>
      </w:tr>
      <w:tr w:rsidR="00AC61AC" w:rsidRPr="00DF05D3" w14:paraId="3CA33138" w14:textId="77777777" w:rsidTr="00AC61AC">
        <w:trPr>
          <w:trHeight w:val="512"/>
        </w:trPr>
        <w:tc>
          <w:tcPr>
            <w:tcW w:w="663" w:type="dxa"/>
            <w:vAlign w:val="center"/>
          </w:tcPr>
          <w:p w14:paraId="59AB70EE" w14:textId="77777777" w:rsidR="00AC61AC" w:rsidRPr="00DF05D3" w:rsidRDefault="00AC61AC" w:rsidP="009422EA">
            <w:pPr>
              <w:pStyle w:val="TableParagraph"/>
              <w:jc w:val="center"/>
            </w:pPr>
          </w:p>
        </w:tc>
        <w:tc>
          <w:tcPr>
            <w:tcW w:w="8466" w:type="dxa"/>
            <w:gridSpan w:val="4"/>
            <w:vAlign w:val="center"/>
          </w:tcPr>
          <w:p w14:paraId="21184F34" w14:textId="77777777" w:rsidR="00AC61AC" w:rsidRPr="00DF05D3" w:rsidRDefault="00AC61AC" w:rsidP="009422EA">
            <w:pPr>
              <w:pStyle w:val="TableParagraph"/>
              <w:spacing w:before="123"/>
              <w:ind w:left="110"/>
              <w:rPr>
                <w:i/>
              </w:rPr>
            </w:pPr>
            <w:r w:rsidRPr="00DF05D3">
              <w:rPr>
                <w:i/>
                <w:u w:val="single"/>
              </w:rPr>
              <w:t>Ar finanšu plūsmu un maksājumiem saistīts risks</w:t>
            </w:r>
          </w:p>
        </w:tc>
      </w:tr>
      <w:tr w:rsidR="00AC61AC" w:rsidRPr="00DF05D3" w14:paraId="478BBA1E" w14:textId="77777777" w:rsidTr="00AC61AC">
        <w:trPr>
          <w:trHeight w:val="512"/>
        </w:trPr>
        <w:tc>
          <w:tcPr>
            <w:tcW w:w="663" w:type="dxa"/>
            <w:vAlign w:val="center"/>
          </w:tcPr>
          <w:p w14:paraId="5BA3F514" w14:textId="77777777" w:rsidR="00AC61AC" w:rsidRPr="00DF05D3" w:rsidRDefault="00AC61AC" w:rsidP="009422EA">
            <w:pPr>
              <w:pStyle w:val="TableParagraph"/>
              <w:jc w:val="center"/>
              <w:rPr>
                <w:b/>
                <w:bCs/>
              </w:rPr>
            </w:pPr>
            <w:r w:rsidRPr="00DF05D3">
              <w:rPr>
                <w:b/>
                <w:bCs/>
              </w:rPr>
              <w:t>1.1</w:t>
            </w:r>
            <w:r>
              <w:rPr>
                <w:b/>
                <w:bCs/>
              </w:rPr>
              <w:t>4</w:t>
            </w:r>
            <w:r w:rsidRPr="00DF05D3">
              <w:rPr>
                <w:b/>
                <w:bCs/>
              </w:rPr>
              <w:t>.</w:t>
            </w:r>
          </w:p>
        </w:tc>
        <w:tc>
          <w:tcPr>
            <w:tcW w:w="4607" w:type="dxa"/>
            <w:tcBorders>
              <w:right w:val="single" w:sz="4" w:space="0" w:color="auto"/>
            </w:tcBorders>
            <w:vAlign w:val="center"/>
          </w:tcPr>
          <w:p w14:paraId="3BFDE1E6" w14:textId="77777777" w:rsidR="00AC61AC" w:rsidRPr="00DF05D3" w:rsidRDefault="00AC61AC" w:rsidP="009422EA">
            <w:pPr>
              <w:pStyle w:val="TableParagraph"/>
              <w:spacing w:before="123"/>
              <w:ind w:left="110" w:right="142"/>
              <w:jc w:val="both"/>
              <w:rPr>
                <w:iCs/>
              </w:rPr>
            </w:pPr>
            <w:r w:rsidRPr="00DF05D3">
              <w:t>Sankciju subjekta saistību nodošana citiem subjektiem, pret kuriem nav noteiktas sankcijas.</w:t>
            </w:r>
          </w:p>
        </w:tc>
        <w:tc>
          <w:tcPr>
            <w:tcW w:w="1276" w:type="dxa"/>
            <w:tcBorders>
              <w:left w:val="single" w:sz="4" w:space="0" w:color="auto"/>
              <w:right w:val="single" w:sz="4" w:space="0" w:color="auto"/>
            </w:tcBorders>
            <w:vAlign w:val="center"/>
          </w:tcPr>
          <w:p w14:paraId="15D00209" w14:textId="77777777" w:rsidR="00AC61AC" w:rsidRPr="00DF05D3" w:rsidRDefault="00AC61AC" w:rsidP="00E9059F">
            <w:pPr>
              <w:pStyle w:val="TableParagraph"/>
              <w:spacing w:before="123"/>
              <w:jc w:val="center"/>
              <w:rPr>
                <w:b/>
                <w:bCs/>
                <w:iCs/>
              </w:rPr>
            </w:pPr>
            <w:r w:rsidRPr="00DF05D3">
              <w:rPr>
                <w:b/>
                <w:bCs/>
                <w:iCs/>
              </w:rPr>
              <w:t>Augsts</w:t>
            </w:r>
          </w:p>
        </w:tc>
        <w:tc>
          <w:tcPr>
            <w:tcW w:w="1417" w:type="dxa"/>
            <w:tcBorders>
              <w:left w:val="single" w:sz="4" w:space="0" w:color="auto"/>
              <w:right w:val="single" w:sz="4" w:space="0" w:color="auto"/>
            </w:tcBorders>
            <w:vAlign w:val="center"/>
          </w:tcPr>
          <w:p w14:paraId="67EABFB3" w14:textId="77777777" w:rsidR="00AC61AC" w:rsidRPr="00DF05D3" w:rsidRDefault="00AC61AC" w:rsidP="009422EA">
            <w:pPr>
              <w:pStyle w:val="TableParagraph"/>
              <w:tabs>
                <w:tab w:val="center" w:pos="775"/>
              </w:tabs>
              <w:spacing w:before="123"/>
              <w:jc w:val="center"/>
              <w:rPr>
                <w:iCs/>
              </w:rPr>
            </w:pPr>
            <w:r w:rsidRPr="00DF05D3">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33C92B37" w14:textId="77777777" w:rsidR="00AC61AC" w:rsidRPr="00DF05D3" w:rsidRDefault="00AC61AC" w:rsidP="009422EA">
            <w:pPr>
              <w:pStyle w:val="TableParagraph"/>
              <w:spacing w:before="123"/>
              <w:ind w:left="110"/>
              <w:rPr>
                <w:i/>
                <w:u w:val="single"/>
              </w:rPr>
            </w:pPr>
          </w:p>
        </w:tc>
      </w:tr>
      <w:tr w:rsidR="00AC61AC" w:rsidRPr="00DF05D3" w14:paraId="27B0696C" w14:textId="77777777" w:rsidTr="00AC61AC">
        <w:trPr>
          <w:trHeight w:val="512"/>
        </w:trPr>
        <w:tc>
          <w:tcPr>
            <w:tcW w:w="663" w:type="dxa"/>
            <w:vAlign w:val="center"/>
          </w:tcPr>
          <w:p w14:paraId="566FE245" w14:textId="77777777" w:rsidR="00AC61AC" w:rsidRPr="00DF05D3" w:rsidRDefault="00AC61AC" w:rsidP="009422EA">
            <w:pPr>
              <w:pStyle w:val="TableParagraph"/>
              <w:jc w:val="center"/>
              <w:rPr>
                <w:b/>
                <w:bCs/>
              </w:rPr>
            </w:pPr>
            <w:r w:rsidRPr="00DF05D3">
              <w:rPr>
                <w:b/>
                <w:bCs/>
              </w:rPr>
              <w:t>1.1</w:t>
            </w:r>
            <w:r>
              <w:rPr>
                <w:b/>
                <w:bCs/>
              </w:rPr>
              <w:t>5</w:t>
            </w:r>
            <w:r w:rsidRPr="00DF05D3">
              <w:rPr>
                <w:b/>
                <w:bCs/>
              </w:rPr>
              <w:t>.</w:t>
            </w:r>
          </w:p>
        </w:tc>
        <w:tc>
          <w:tcPr>
            <w:tcW w:w="4607" w:type="dxa"/>
            <w:tcBorders>
              <w:right w:val="single" w:sz="4" w:space="0" w:color="auto"/>
            </w:tcBorders>
            <w:vAlign w:val="center"/>
          </w:tcPr>
          <w:p w14:paraId="1D4854F3" w14:textId="77777777" w:rsidR="00AC61AC" w:rsidRPr="00DF05D3" w:rsidRDefault="00AC61AC" w:rsidP="009422EA">
            <w:pPr>
              <w:pStyle w:val="TableParagraph"/>
              <w:spacing w:before="123"/>
              <w:ind w:left="110" w:right="142"/>
              <w:jc w:val="both"/>
              <w:rPr>
                <w:i/>
                <w:u w:val="single"/>
              </w:rPr>
            </w:pPr>
            <w:r w:rsidRPr="00DF05D3">
              <w:rPr>
                <w:iCs/>
              </w:rPr>
              <w:t xml:space="preserve">Pēc Starptautisko sankciju un Nacionālo sankciju stāšanās spēkā vērojama maksājumu apjoma palielināšanās uz un no Latvijai saistošajām sankcijām pakļautajām valstīm vai </w:t>
            </w:r>
            <w:r>
              <w:rPr>
                <w:iCs/>
              </w:rPr>
              <w:t>valstīm</w:t>
            </w:r>
            <w:r w:rsidRPr="00DF05D3">
              <w:rPr>
                <w:iCs/>
              </w:rPr>
              <w:t>, kas nenoteic sankcijas pret tām (piemēram, Kazahstāna, Uzbekistāna, Serbija, Turcija, Āfrikas valstis, Kirgizstāna u.tml.)</w:t>
            </w:r>
          </w:p>
        </w:tc>
        <w:tc>
          <w:tcPr>
            <w:tcW w:w="1276" w:type="dxa"/>
            <w:tcBorders>
              <w:left w:val="single" w:sz="4" w:space="0" w:color="auto"/>
              <w:right w:val="single" w:sz="4" w:space="0" w:color="auto"/>
            </w:tcBorders>
            <w:vAlign w:val="center"/>
          </w:tcPr>
          <w:p w14:paraId="7AEFA69F" w14:textId="77777777" w:rsidR="00AC61AC" w:rsidRPr="00DF05D3" w:rsidRDefault="00AC61AC" w:rsidP="00E9059F">
            <w:pPr>
              <w:pStyle w:val="TableParagraph"/>
              <w:spacing w:before="123"/>
              <w:jc w:val="center"/>
              <w:rPr>
                <w:b/>
                <w:bCs/>
                <w:iCs/>
              </w:rPr>
            </w:pPr>
            <w:r w:rsidRPr="00DF05D3">
              <w:rPr>
                <w:b/>
                <w:bCs/>
                <w:iCs/>
              </w:rPr>
              <w:t>Risku paaugstinošs</w:t>
            </w:r>
          </w:p>
        </w:tc>
        <w:tc>
          <w:tcPr>
            <w:tcW w:w="1417" w:type="dxa"/>
            <w:tcBorders>
              <w:left w:val="single" w:sz="4" w:space="0" w:color="auto"/>
              <w:right w:val="single" w:sz="4" w:space="0" w:color="auto"/>
            </w:tcBorders>
            <w:vAlign w:val="center"/>
          </w:tcPr>
          <w:p w14:paraId="56D81261" w14:textId="77777777" w:rsidR="00AC61AC" w:rsidRPr="00DF05D3" w:rsidRDefault="00AC61AC" w:rsidP="009422EA">
            <w:pPr>
              <w:pStyle w:val="TableParagraph"/>
              <w:spacing w:before="123"/>
              <w:jc w:val="center"/>
              <w:rPr>
                <w:iCs/>
              </w:rPr>
            </w:pPr>
            <w:r w:rsidRPr="00DF05D3">
              <w:rPr>
                <w:iCs/>
              </w:rPr>
              <w:t xml:space="preserve">Jā </w:t>
            </w:r>
            <w:r w:rsidRPr="00DF05D3">
              <w:rPr>
                <w:rFonts w:ascii="Segoe UI Symbol" w:hAnsi="Segoe UI Symbol" w:cs="Segoe UI Symbol"/>
                <w:iCs/>
              </w:rPr>
              <w:t>☐</w:t>
            </w:r>
            <w:r w:rsidRPr="00DF05D3">
              <w:rPr>
                <w:iCs/>
              </w:rPr>
              <w:t xml:space="preserve"> Nē</w:t>
            </w:r>
            <w:r w:rsidRPr="00DF05D3">
              <w:rPr>
                <w:rFonts w:ascii="Segoe UI Symbol" w:hAnsi="Segoe UI Symbol" w:cs="Segoe UI Symbol"/>
                <w:iCs/>
              </w:rPr>
              <w:t>☐</w:t>
            </w:r>
          </w:p>
        </w:tc>
        <w:tc>
          <w:tcPr>
            <w:tcW w:w="1166" w:type="dxa"/>
            <w:tcBorders>
              <w:left w:val="single" w:sz="4" w:space="0" w:color="auto"/>
            </w:tcBorders>
          </w:tcPr>
          <w:p w14:paraId="3A45ED61" w14:textId="77777777" w:rsidR="00AC61AC" w:rsidRPr="00DF05D3" w:rsidRDefault="00AC61AC" w:rsidP="009422EA">
            <w:pPr>
              <w:pStyle w:val="TableParagraph"/>
              <w:spacing w:before="123"/>
              <w:ind w:left="110"/>
              <w:rPr>
                <w:i/>
                <w:u w:val="single"/>
              </w:rPr>
            </w:pPr>
          </w:p>
        </w:tc>
      </w:tr>
      <w:tr w:rsidR="00AC61AC" w:rsidRPr="00DF05D3" w14:paraId="0E5DC981" w14:textId="77777777" w:rsidTr="00AC61AC">
        <w:trPr>
          <w:trHeight w:val="512"/>
        </w:trPr>
        <w:tc>
          <w:tcPr>
            <w:tcW w:w="663" w:type="dxa"/>
            <w:vAlign w:val="center"/>
          </w:tcPr>
          <w:p w14:paraId="35C91D24" w14:textId="77777777" w:rsidR="00AC61AC" w:rsidRPr="00DF05D3" w:rsidRDefault="00AC61AC" w:rsidP="009422EA">
            <w:pPr>
              <w:pStyle w:val="TableParagraph"/>
              <w:jc w:val="center"/>
              <w:rPr>
                <w:b/>
                <w:bCs/>
              </w:rPr>
            </w:pPr>
            <w:r w:rsidRPr="00DF05D3">
              <w:rPr>
                <w:b/>
                <w:bCs/>
              </w:rPr>
              <w:t>1.1</w:t>
            </w:r>
            <w:r>
              <w:rPr>
                <w:b/>
                <w:bCs/>
              </w:rPr>
              <w:t>6</w:t>
            </w:r>
            <w:r w:rsidRPr="00DF05D3">
              <w:rPr>
                <w:b/>
                <w:bCs/>
              </w:rPr>
              <w:t>.</w:t>
            </w:r>
          </w:p>
        </w:tc>
        <w:tc>
          <w:tcPr>
            <w:tcW w:w="4607" w:type="dxa"/>
            <w:tcBorders>
              <w:right w:val="single" w:sz="4" w:space="0" w:color="auto"/>
            </w:tcBorders>
            <w:vAlign w:val="center"/>
          </w:tcPr>
          <w:p w14:paraId="7F6FBDCC" w14:textId="77777777" w:rsidR="00AC61AC" w:rsidRPr="00DF05D3" w:rsidRDefault="00AC61AC" w:rsidP="009422EA">
            <w:pPr>
              <w:pStyle w:val="TableParagraph"/>
              <w:spacing w:before="123"/>
              <w:ind w:left="110" w:right="142"/>
              <w:jc w:val="both"/>
              <w:rPr>
                <w:iCs/>
                <w:u w:val="single"/>
              </w:rPr>
            </w:pPr>
            <w:r w:rsidRPr="00DF05D3">
              <w:rPr>
                <w:iCs/>
              </w:rPr>
              <w:t>Pēc Starptautisko sankciju un Nacionālo sankciju stāšanās spēkā par Klienta sniegtajiem pakalpojumiem/precēm tiek veikti norēķini uz kontiem citās valstīts, it sevišķi valstī</w:t>
            </w:r>
            <w:r>
              <w:rPr>
                <w:iCs/>
              </w:rPr>
              <w:t>s</w:t>
            </w:r>
            <w:r w:rsidRPr="00DF05D3">
              <w:rPr>
                <w:iCs/>
              </w:rPr>
              <w:t xml:space="preserve"> vai </w:t>
            </w:r>
            <w:r>
              <w:rPr>
                <w:iCs/>
              </w:rPr>
              <w:t xml:space="preserve">jurisdikcijās </w:t>
            </w:r>
            <w:r w:rsidRPr="00DF05D3">
              <w:rPr>
                <w:iCs/>
              </w:rPr>
              <w:t xml:space="preserve"> kuras nav noteikušas sankcijas pret Latvijai saistošajām sankcijām pakļautajām valstīm (piemēram, Kazahstāna, Uzbekistāna, Serbija, Turcija, Āfrikas valstis, Kirgizstāna u.tml.) vai veic norēķinus, izmantojot mazāk izsekojamus vai uzraugāmus norēķinu veikšanas veidus (piemēram, virtuālās valūtas).</w:t>
            </w:r>
          </w:p>
        </w:tc>
        <w:tc>
          <w:tcPr>
            <w:tcW w:w="1276" w:type="dxa"/>
            <w:tcBorders>
              <w:left w:val="single" w:sz="4" w:space="0" w:color="auto"/>
              <w:right w:val="single" w:sz="4" w:space="0" w:color="auto"/>
            </w:tcBorders>
            <w:vAlign w:val="center"/>
          </w:tcPr>
          <w:p w14:paraId="7CD14580" w14:textId="77777777" w:rsidR="00AC61AC" w:rsidRPr="00DF05D3" w:rsidRDefault="00AC61AC" w:rsidP="00E9059F">
            <w:pPr>
              <w:pStyle w:val="TableParagraph"/>
              <w:spacing w:before="123"/>
              <w:jc w:val="center"/>
              <w:rPr>
                <w:b/>
                <w:bCs/>
                <w:iCs/>
              </w:rPr>
            </w:pPr>
            <w:r w:rsidRPr="00DF05D3">
              <w:rPr>
                <w:b/>
                <w:bCs/>
                <w:iCs/>
              </w:rPr>
              <w:t>Risku paaugstinošs</w:t>
            </w:r>
          </w:p>
        </w:tc>
        <w:tc>
          <w:tcPr>
            <w:tcW w:w="1417" w:type="dxa"/>
            <w:tcBorders>
              <w:left w:val="single" w:sz="4" w:space="0" w:color="auto"/>
              <w:right w:val="single" w:sz="4" w:space="0" w:color="auto"/>
            </w:tcBorders>
            <w:vAlign w:val="center"/>
          </w:tcPr>
          <w:p w14:paraId="03642C3A" w14:textId="77777777" w:rsidR="00AC61AC" w:rsidRPr="00DF05D3" w:rsidRDefault="00AC61AC" w:rsidP="009422EA">
            <w:pPr>
              <w:pStyle w:val="TableParagraph"/>
              <w:spacing w:before="123"/>
              <w:jc w:val="center"/>
              <w:rPr>
                <w:iCs/>
              </w:rPr>
            </w:pPr>
            <w:r w:rsidRPr="00DF05D3">
              <w:rPr>
                <w:iCs/>
              </w:rPr>
              <w:t xml:space="preserve">Jā </w:t>
            </w:r>
            <w:r w:rsidRPr="00DF05D3">
              <w:rPr>
                <w:rFonts w:ascii="Segoe UI Symbol" w:hAnsi="Segoe UI Symbol" w:cs="Segoe UI Symbol"/>
                <w:iCs/>
              </w:rPr>
              <w:t>☐</w:t>
            </w:r>
            <w:r w:rsidRPr="00DF05D3">
              <w:rPr>
                <w:iCs/>
              </w:rPr>
              <w:t xml:space="preserve"> Nē</w:t>
            </w:r>
            <w:r w:rsidRPr="00DF05D3">
              <w:rPr>
                <w:rFonts w:ascii="Segoe UI Symbol" w:hAnsi="Segoe UI Symbol" w:cs="Segoe UI Symbol"/>
                <w:iCs/>
              </w:rPr>
              <w:t>☐</w:t>
            </w:r>
          </w:p>
        </w:tc>
        <w:tc>
          <w:tcPr>
            <w:tcW w:w="1166" w:type="dxa"/>
            <w:tcBorders>
              <w:left w:val="single" w:sz="4" w:space="0" w:color="auto"/>
            </w:tcBorders>
          </w:tcPr>
          <w:p w14:paraId="35014FC3" w14:textId="77777777" w:rsidR="00AC61AC" w:rsidRPr="00DF05D3" w:rsidRDefault="00AC61AC" w:rsidP="009422EA">
            <w:pPr>
              <w:pStyle w:val="TableParagraph"/>
              <w:spacing w:before="123"/>
              <w:ind w:left="110"/>
              <w:rPr>
                <w:i/>
                <w:u w:val="single"/>
              </w:rPr>
            </w:pPr>
          </w:p>
        </w:tc>
      </w:tr>
      <w:tr w:rsidR="00AC61AC" w:rsidRPr="00DF05D3" w14:paraId="2420FE1E" w14:textId="77777777" w:rsidTr="00AC61AC">
        <w:trPr>
          <w:trHeight w:val="512"/>
        </w:trPr>
        <w:tc>
          <w:tcPr>
            <w:tcW w:w="663" w:type="dxa"/>
            <w:vAlign w:val="center"/>
          </w:tcPr>
          <w:p w14:paraId="3F080F4A" w14:textId="77777777" w:rsidR="00AC61AC" w:rsidRPr="00DF05D3" w:rsidRDefault="00AC61AC" w:rsidP="009422EA">
            <w:pPr>
              <w:pStyle w:val="TableParagraph"/>
              <w:jc w:val="center"/>
              <w:rPr>
                <w:b/>
                <w:bCs/>
              </w:rPr>
            </w:pPr>
            <w:r w:rsidRPr="00DF05D3">
              <w:rPr>
                <w:b/>
                <w:bCs/>
              </w:rPr>
              <w:t>1.1</w:t>
            </w:r>
            <w:r>
              <w:rPr>
                <w:b/>
                <w:bCs/>
              </w:rPr>
              <w:t>7</w:t>
            </w:r>
            <w:r w:rsidRPr="00DF05D3">
              <w:rPr>
                <w:b/>
                <w:bCs/>
              </w:rPr>
              <w:t>.</w:t>
            </w:r>
          </w:p>
        </w:tc>
        <w:tc>
          <w:tcPr>
            <w:tcW w:w="4607" w:type="dxa"/>
            <w:tcBorders>
              <w:right w:val="single" w:sz="4" w:space="0" w:color="auto"/>
            </w:tcBorders>
            <w:vAlign w:val="center"/>
          </w:tcPr>
          <w:p w14:paraId="333F50EA" w14:textId="77777777" w:rsidR="00AC61AC" w:rsidRPr="00DF05D3" w:rsidRDefault="00AC61AC" w:rsidP="009422EA">
            <w:pPr>
              <w:pStyle w:val="TableParagraph"/>
              <w:spacing w:before="123"/>
              <w:ind w:left="110" w:right="142"/>
              <w:jc w:val="both"/>
            </w:pPr>
            <w:r w:rsidRPr="00DF05D3">
              <w:t>Pēc Starptautisko sankciju un Nacionālo sankciju stāšanās spēkā tiek saņemti maksājumi no jauniem sadarbības partneriem, kas nav sankciju subjekti, tomēr maksājumu būtība, apjoms, maksājumu detaļas ir līdzīgas kā iepriekš, sadarbojoties ar sankciju subjektu.</w:t>
            </w:r>
          </w:p>
        </w:tc>
        <w:tc>
          <w:tcPr>
            <w:tcW w:w="1276" w:type="dxa"/>
            <w:tcBorders>
              <w:left w:val="single" w:sz="4" w:space="0" w:color="auto"/>
              <w:right w:val="single" w:sz="4" w:space="0" w:color="auto"/>
            </w:tcBorders>
            <w:vAlign w:val="center"/>
          </w:tcPr>
          <w:p w14:paraId="1F100258" w14:textId="77777777" w:rsidR="00AC61AC" w:rsidRPr="00DF05D3" w:rsidRDefault="00AC61AC" w:rsidP="00E9059F">
            <w:pPr>
              <w:pStyle w:val="TableParagraph"/>
              <w:spacing w:before="123"/>
              <w:jc w:val="center"/>
              <w:rPr>
                <w:b/>
                <w:bCs/>
                <w:iCs/>
              </w:rPr>
            </w:pPr>
            <w:r w:rsidRPr="00DF05D3">
              <w:rPr>
                <w:b/>
                <w:bCs/>
                <w:iCs/>
              </w:rPr>
              <w:t>Risku paaugstinošs</w:t>
            </w:r>
          </w:p>
        </w:tc>
        <w:tc>
          <w:tcPr>
            <w:tcW w:w="1417" w:type="dxa"/>
            <w:tcBorders>
              <w:left w:val="single" w:sz="4" w:space="0" w:color="auto"/>
              <w:right w:val="single" w:sz="4" w:space="0" w:color="auto"/>
            </w:tcBorders>
            <w:vAlign w:val="center"/>
          </w:tcPr>
          <w:p w14:paraId="44369B92" w14:textId="77777777" w:rsidR="00AC61AC" w:rsidRPr="00DF05D3" w:rsidRDefault="00AC61AC" w:rsidP="009422EA">
            <w:pPr>
              <w:pStyle w:val="TableParagraph"/>
              <w:tabs>
                <w:tab w:val="center" w:pos="775"/>
              </w:tabs>
              <w:spacing w:before="123"/>
              <w:jc w:val="center"/>
            </w:pPr>
            <w:r w:rsidRPr="00DF05D3">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7DFB1351" w14:textId="77777777" w:rsidR="00AC61AC" w:rsidRPr="00DF05D3" w:rsidRDefault="00AC61AC" w:rsidP="009422EA">
            <w:pPr>
              <w:pStyle w:val="TableParagraph"/>
              <w:spacing w:before="123"/>
              <w:ind w:left="110"/>
              <w:rPr>
                <w:i/>
                <w:u w:val="single"/>
              </w:rPr>
            </w:pPr>
          </w:p>
        </w:tc>
      </w:tr>
      <w:tr w:rsidR="00AC61AC" w:rsidRPr="00DF05D3" w14:paraId="030AE6E3" w14:textId="77777777" w:rsidTr="00AC61AC">
        <w:trPr>
          <w:trHeight w:val="512"/>
        </w:trPr>
        <w:tc>
          <w:tcPr>
            <w:tcW w:w="663" w:type="dxa"/>
            <w:tcBorders>
              <w:right w:val="single" w:sz="4" w:space="0" w:color="auto"/>
            </w:tcBorders>
            <w:vAlign w:val="center"/>
          </w:tcPr>
          <w:p w14:paraId="20C189C3" w14:textId="77777777" w:rsidR="00AC61AC" w:rsidRPr="00DF05D3" w:rsidRDefault="00AC61AC" w:rsidP="009422EA">
            <w:pPr>
              <w:pStyle w:val="TableParagraph"/>
              <w:spacing w:before="123"/>
              <w:jc w:val="center"/>
              <w:rPr>
                <w:b/>
                <w:bCs/>
                <w:iCs/>
              </w:rPr>
            </w:pPr>
            <w:r w:rsidRPr="00DF05D3">
              <w:rPr>
                <w:b/>
              </w:rPr>
              <w:t>2.</w:t>
            </w:r>
          </w:p>
        </w:tc>
        <w:tc>
          <w:tcPr>
            <w:tcW w:w="8466" w:type="dxa"/>
            <w:gridSpan w:val="4"/>
            <w:tcBorders>
              <w:left w:val="single" w:sz="4" w:space="0" w:color="auto"/>
            </w:tcBorders>
            <w:vAlign w:val="center"/>
          </w:tcPr>
          <w:p w14:paraId="3BCEAE8B" w14:textId="77777777" w:rsidR="00AC61AC" w:rsidRPr="00DF05D3" w:rsidRDefault="00AC61AC" w:rsidP="009422EA">
            <w:pPr>
              <w:pStyle w:val="TableParagraph"/>
              <w:spacing w:before="123"/>
              <w:ind w:left="103"/>
              <w:rPr>
                <w:i/>
                <w:u w:val="single"/>
              </w:rPr>
            </w:pPr>
            <w:r w:rsidRPr="00DF05D3">
              <w:rPr>
                <w:b/>
              </w:rPr>
              <w:t>Valsts un ģeogrāfiskais risks</w:t>
            </w:r>
          </w:p>
        </w:tc>
      </w:tr>
      <w:tr w:rsidR="00AC61AC" w:rsidRPr="00DF05D3" w14:paraId="7DAEBD27" w14:textId="77777777" w:rsidTr="00F91F4C">
        <w:trPr>
          <w:trHeight w:val="538"/>
        </w:trPr>
        <w:tc>
          <w:tcPr>
            <w:tcW w:w="663" w:type="dxa"/>
            <w:tcBorders>
              <w:right w:val="single" w:sz="4" w:space="0" w:color="auto"/>
            </w:tcBorders>
            <w:shd w:val="clear" w:color="auto" w:fill="auto"/>
            <w:vAlign w:val="center"/>
          </w:tcPr>
          <w:p w14:paraId="54484484" w14:textId="77777777" w:rsidR="00AC61AC" w:rsidRPr="00DF05D3" w:rsidRDefault="00AC61AC" w:rsidP="009422EA">
            <w:pPr>
              <w:pStyle w:val="TableParagraph"/>
              <w:jc w:val="center"/>
              <w:rPr>
                <w:b/>
                <w:bCs/>
              </w:rPr>
            </w:pPr>
            <w:r w:rsidRPr="00DF05D3">
              <w:rPr>
                <w:b/>
              </w:rPr>
              <w:t>2.1.</w:t>
            </w:r>
          </w:p>
        </w:tc>
        <w:tc>
          <w:tcPr>
            <w:tcW w:w="4607" w:type="dxa"/>
            <w:tcBorders>
              <w:left w:val="single" w:sz="4" w:space="0" w:color="auto"/>
              <w:right w:val="single" w:sz="4" w:space="0" w:color="auto"/>
            </w:tcBorders>
            <w:shd w:val="clear" w:color="auto" w:fill="auto"/>
            <w:vAlign w:val="center"/>
          </w:tcPr>
          <w:p w14:paraId="737962AE" w14:textId="77777777" w:rsidR="00AC61AC" w:rsidRPr="00034EA4" w:rsidRDefault="00AC61AC" w:rsidP="00E9059F">
            <w:pPr>
              <w:pStyle w:val="Sarakstarindkopa"/>
              <w:spacing w:after="0" w:line="240" w:lineRule="auto"/>
              <w:ind w:left="141" w:right="143"/>
              <w:jc w:val="both"/>
              <w:rPr>
                <w:rFonts w:ascii="Times New Roman" w:hAnsi="Times New Roman" w:cs="Times New Roman"/>
              </w:rPr>
            </w:pPr>
            <w:r w:rsidRPr="00034EA4">
              <w:rPr>
                <w:rFonts w:ascii="Times New Roman" w:hAnsi="Times New Roman" w:cs="Times New Roman"/>
              </w:rPr>
              <w:t>Sankcijām pakļautās valstīs vai jurisdikcijās atradās vai atrodas:</w:t>
            </w:r>
          </w:p>
          <w:p w14:paraId="12CB9F2E" w14:textId="77777777" w:rsidR="00AC61AC" w:rsidRPr="00034EA4" w:rsidRDefault="00AC61AC" w:rsidP="00E9059F">
            <w:pPr>
              <w:pStyle w:val="Sarakstarindkopa"/>
              <w:numPr>
                <w:ilvl w:val="0"/>
                <w:numId w:val="21"/>
              </w:numPr>
              <w:spacing w:after="0" w:line="240" w:lineRule="auto"/>
              <w:ind w:left="141" w:right="143" w:firstLine="0"/>
              <w:jc w:val="both"/>
              <w:rPr>
                <w:rFonts w:ascii="Times New Roman" w:hAnsi="Times New Roman" w:cs="Times New Roman"/>
              </w:rPr>
            </w:pPr>
            <w:r w:rsidRPr="00034EA4">
              <w:rPr>
                <w:rFonts w:ascii="Times New Roman" w:hAnsi="Times New Roman" w:cs="Times New Roman"/>
              </w:rPr>
              <w:t>Klienta reģistrācijas vai dzīvesvietas adrese;</w:t>
            </w:r>
          </w:p>
          <w:p w14:paraId="28A665D4" w14:textId="77777777" w:rsidR="00AC61AC" w:rsidRPr="00034EA4" w:rsidRDefault="00AC61AC" w:rsidP="00E9059F">
            <w:pPr>
              <w:pStyle w:val="Sarakstarindkopa"/>
              <w:numPr>
                <w:ilvl w:val="0"/>
                <w:numId w:val="21"/>
              </w:numPr>
              <w:spacing w:after="0" w:line="240" w:lineRule="auto"/>
              <w:ind w:left="141" w:right="143" w:firstLine="0"/>
              <w:jc w:val="both"/>
              <w:rPr>
                <w:rFonts w:ascii="Times New Roman" w:hAnsi="Times New Roman" w:cs="Times New Roman"/>
              </w:rPr>
            </w:pPr>
            <w:r w:rsidRPr="00034EA4">
              <w:rPr>
                <w:rFonts w:ascii="Times New Roman" w:hAnsi="Times New Roman" w:cs="Times New Roman"/>
              </w:rPr>
              <w:t>Klienta patiesā labuma guvēja atrašanās vieta;</w:t>
            </w:r>
          </w:p>
          <w:p w14:paraId="129D3FC0" w14:textId="77777777" w:rsidR="00AC61AC" w:rsidRPr="00884730" w:rsidRDefault="00AC61AC" w:rsidP="00E9059F">
            <w:pPr>
              <w:pStyle w:val="Sarakstarindkopa"/>
              <w:numPr>
                <w:ilvl w:val="0"/>
                <w:numId w:val="21"/>
              </w:numPr>
              <w:spacing w:after="0" w:line="240" w:lineRule="auto"/>
              <w:ind w:left="141" w:right="143" w:firstLine="0"/>
              <w:jc w:val="both"/>
              <w:rPr>
                <w:sz w:val="24"/>
                <w:szCs w:val="24"/>
              </w:rPr>
            </w:pPr>
            <w:r w:rsidRPr="00034EA4">
              <w:rPr>
                <w:rFonts w:ascii="Times New Roman" w:hAnsi="Times New Roman" w:cs="Times New Roman"/>
              </w:rPr>
              <w:t>Klienta aktīvu atrašanās vieta vai faktiski veiktās tirdzniecības/pakalpojuma sniegšanas vieta.</w:t>
            </w:r>
          </w:p>
        </w:tc>
        <w:tc>
          <w:tcPr>
            <w:tcW w:w="1276" w:type="dxa"/>
            <w:tcBorders>
              <w:left w:val="single" w:sz="4" w:space="0" w:color="auto"/>
              <w:right w:val="single" w:sz="4" w:space="0" w:color="auto"/>
            </w:tcBorders>
            <w:shd w:val="clear" w:color="auto" w:fill="auto"/>
            <w:vAlign w:val="center"/>
          </w:tcPr>
          <w:p w14:paraId="35A35209" w14:textId="77777777" w:rsidR="00AC61AC" w:rsidRPr="00DF05D3" w:rsidRDefault="00AC61AC" w:rsidP="009422EA">
            <w:pPr>
              <w:pStyle w:val="TableParagraph"/>
              <w:spacing w:before="123"/>
              <w:jc w:val="center"/>
              <w:rPr>
                <w:b/>
                <w:bCs/>
                <w:iCs/>
              </w:rPr>
            </w:pPr>
            <w:r w:rsidRPr="00DF05D3">
              <w:rPr>
                <w:b/>
              </w:rPr>
              <w:t>Risku paaugstinošs</w:t>
            </w:r>
          </w:p>
        </w:tc>
        <w:tc>
          <w:tcPr>
            <w:tcW w:w="1417" w:type="dxa"/>
            <w:tcBorders>
              <w:left w:val="single" w:sz="4" w:space="0" w:color="auto"/>
              <w:right w:val="single" w:sz="4" w:space="0" w:color="auto"/>
            </w:tcBorders>
            <w:shd w:val="clear" w:color="auto" w:fill="auto"/>
            <w:vAlign w:val="center"/>
          </w:tcPr>
          <w:p w14:paraId="558F0054" w14:textId="77777777" w:rsidR="00AC61AC" w:rsidRPr="00DF05D3" w:rsidRDefault="00AC61AC" w:rsidP="009422EA">
            <w:pPr>
              <w:pStyle w:val="TableParagraph"/>
              <w:tabs>
                <w:tab w:val="center" w:pos="775"/>
              </w:tabs>
              <w:spacing w:before="123"/>
              <w:jc w:val="center"/>
              <w:rPr>
                <w:b/>
                <w:bCs/>
              </w:rPr>
            </w:pPr>
            <w:r w:rsidRPr="00DF05D3">
              <w:rPr>
                <w:bCs/>
              </w:rPr>
              <w:t xml:space="preserve">Jā </w:t>
            </w:r>
            <w:r w:rsidRPr="00DF05D3">
              <w:rPr>
                <w:rFonts w:ascii="Segoe UI Symbol" w:hAnsi="Segoe UI Symbol" w:cs="Segoe UI Symbol"/>
                <w:bCs/>
              </w:rPr>
              <w:t>☐</w:t>
            </w:r>
            <w:r w:rsidRPr="00DF05D3">
              <w:rPr>
                <w:bCs/>
              </w:rPr>
              <w:t xml:space="preserve"> Nē </w:t>
            </w:r>
            <w:r w:rsidRPr="00DF05D3">
              <w:rPr>
                <w:rFonts w:ascii="Segoe UI Symbol" w:hAnsi="Segoe UI Symbol" w:cs="Segoe UI Symbol"/>
                <w:bCs/>
              </w:rPr>
              <w:t>☐</w:t>
            </w:r>
          </w:p>
        </w:tc>
        <w:tc>
          <w:tcPr>
            <w:tcW w:w="1166" w:type="dxa"/>
            <w:tcBorders>
              <w:left w:val="single" w:sz="4" w:space="0" w:color="auto"/>
            </w:tcBorders>
            <w:shd w:val="clear" w:color="auto" w:fill="auto"/>
          </w:tcPr>
          <w:p w14:paraId="6A0C8748" w14:textId="77777777" w:rsidR="00AC61AC" w:rsidRPr="00DF05D3" w:rsidRDefault="00AC61AC" w:rsidP="009422EA">
            <w:pPr>
              <w:pStyle w:val="TableParagraph"/>
              <w:spacing w:before="123"/>
              <w:rPr>
                <w:b/>
                <w:bCs/>
                <w:i/>
                <w:u w:val="single"/>
              </w:rPr>
            </w:pPr>
          </w:p>
        </w:tc>
      </w:tr>
      <w:tr w:rsidR="00AC61AC" w:rsidRPr="00DF05D3" w14:paraId="62D4F4C6" w14:textId="77777777" w:rsidTr="00AC61AC">
        <w:trPr>
          <w:trHeight w:val="348"/>
        </w:trPr>
        <w:tc>
          <w:tcPr>
            <w:tcW w:w="663" w:type="dxa"/>
            <w:tcBorders>
              <w:right w:val="single" w:sz="4" w:space="0" w:color="auto"/>
            </w:tcBorders>
            <w:vAlign w:val="center"/>
          </w:tcPr>
          <w:p w14:paraId="339B85DE" w14:textId="77777777" w:rsidR="00AC61AC" w:rsidRPr="00DF05D3" w:rsidRDefault="00AC61AC" w:rsidP="009422EA">
            <w:pPr>
              <w:pStyle w:val="TableParagraph"/>
              <w:spacing w:before="123"/>
              <w:jc w:val="center"/>
              <w:rPr>
                <w:b/>
                <w:bCs/>
                <w:i/>
                <w:u w:val="single"/>
              </w:rPr>
            </w:pPr>
            <w:r w:rsidRPr="00DF05D3">
              <w:rPr>
                <w:b/>
              </w:rPr>
              <w:t>3.</w:t>
            </w:r>
          </w:p>
        </w:tc>
        <w:tc>
          <w:tcPr>
            <w:tcW w:w="8466" w:type="dxa"/>
            <w:gridSpan w:val="4"/>
            <w:tcBorders>
              <w:left w:val="single" w:sz="4" w:space="0" w:color="auto"/>
            </w:tcBorders>
            <w:vAlign w:val="center"/>
          </w:tcPr>
          <w:p w14:paraId="706B637F" w14:textId="77777777" w:rsidR="00AC61AC" w:rsidRPr="00DF05D3" w:rsidRDefault="00AC61AC" w:rsidP="009422EA">
            <w:pPr>
              <w:pStyle w:val="TableParagraph"/>
              <w:spacing w:before="123"/>
              <w:ind w:firstLine="143"/>
              <w:rPr>
                <w:b/>
                <w:bCs/>
                <w:i/>
                <w:u w:val="single"/>
              </w:rPr>
            </w:pPr>
            <w:r w:rsidRPr="00DF05D3">
              <w:rPr>
                <w:b/>
                <w:bCs/>
              </w:rPr>
              <w:t>Citi riski</w:t>
            </w:r>
          </w:p>
        </w:tc>
      </w:tr>
      <w:tr w:rsidR="00AC61AC" w:rsidRPr="00DF05D3" w14:paraId="24A857C7" w14:textId="77777777" w:rsidTr="00AC61AC">
        <w:trPr>
          <w:trHeight w:val="511"/>
        </w:trPr>
        <w:tc>
          <w:tcPr>
            <w:tcW w:w="663" w:type="dxa"/>
            <w:vAlign w:val="center"/>
          </w:tcPr>
          <w:p w14:paraId="1EBF30AA" w14:textId="77777777" w:rsidR="00AC61AC" w:rsidRPr="00DF05D3" w:rsidRDefault="00AC61AC" w:rsidP="009422EA">
            <w:pPr>
              <w:pStyle w:val="TableParagraph"/>
              <w:jc w:val="center"/>
              <w:rPr>
                <w:b/>
                <w:bCs/>
              </w:rPr>
            </w:pPr>
            <w:r w:rsidRPr="00DF05D3">
              <w:rPr>
                <w:b/>
              </w:rPr>
              <w:t>3.1.</w:t>
            </w:r>
          </w:p>
        </w:tc>
        <w:tc>
          <w:tcPr>
            <w:tcW w:w="4607" w:type="dxa"/>
            <w:tcBorders>
              <w:right w:val="single" w:sz="4" w:space="0" w:color="auto"/>
            </w:tcBorders>
            <w:vAlign w:val="center"/>
          </w:tcPr>
          <w:p w14:paraId="27BAB058" w14:textId="77777777" w:rsidR="00AC61AC" w:rsidRPr="00DF05D3" w:rsidRDefault="00AC61AC" w:rsidP="009422EA">
            <w:pPr>
              <w:pStyle w:val="TableParagraph"/>
              <w:spacing w:before="123"/>
              <w:ind w:left="143" w:right="142"/>
              <w:jc w:val="both"/>
              <w:rPr>
                <w:b/>
                <w:bCs/>
              </w:rPr>
            </w:pPr>
            <w:r w:rsidRPr="00DF05D3">
              <w:t>Administrators ir konstatējis citus faktus un apstākļus, kas Klientam rada augstu riska līmeni</w:t>
            </w:r>
            <w:r>
              <w:t>.</w:t>
            </w:r>
          </w:p>
        </w:tc>
        <w:tc>
          <w:tcPr>
            <w:tcW w:w="1276" w:type="dxa"/>
            <w:tcBorders>
              <w:left w:val="single" w:sz="4" w:space="0" w:color="auto"/>
              <w:right w:val="single" w:sz="4" w:space="0" w:color="auto"/>
            </w:tcBorders>
            <w:vAlign w:val="center"/>
          </w:tcPr>
          <w:p w14:paraId="400BD77E" w14:textId="40A32CF3" w:rsidR="00AC61AC" w:rsidRPr="004677C1" w:rsidRDefault="00034EA4" w:rsidP="00034EA4">
            <w:pPr>
              <w:pStyle w:val="TableParagraph"/>
              <w:spacing w:before="1"/>
              <w:jc w:val="center"/>
              <w:rPr>
                <w:b/>
              </w:rPr>
            </w:pPr>
            <w:r w:rsidRPr="00DF05D3">
              <w:rPr>
                <w:b/>
              </w:rPr>
              <w:t>Risku paaugstinošs</w:t>
            </w:r>
          </w:p>
        </w:tc>
        <w:tc>
          <w:tcPr>
            <w:tcW w:w="1417" w:type="dxa"/>
            <w:tcBorders>
              <w:left w:val="single" w:sz="4" w:space="0" w:color="auto"/>
              <w:right w:val="single" w:sz="4" w:space="0" w:color="auto"/>
            </w:tcBorders>
            <w:vAlign w:val="center"/>
          </w:tcPr>
          <w:p w14:paraId="2156C71B" w14:textId="67087D15" w:rsidR="00AC61AC" w:rsidRPr="004677C1" w:rsidRDefault="00034EA4" w:rsidP="00034EA4">
            <w:pPr>
              <w:pStyle w:val="TableParagraph"/>
              <w:spacing w:before="1"/>
              <w:ind w:left="220" w:right="204"/>
              <w:rPr>
                <w:b/>
              </w:rPr>
            </w:pPr>
            <w:r w:rsidRPr="00DF05D3">
              <w:t xml:space="preserve">Jā </w:t>
            </w:r>
            <w:r w:rsidRPr="00DF05D3">
              <w:rPr>
                <w:rFonts w:ascii="Segoe UI Symbol" w:hAnsi="Segoe UI Symbol" w:cs="Segoe UI Symbol"/>
              </w:rPr>
              <w:t>☐</w:t>
            </w:r>
            <w:r w:rsidRPr="00DF05D3">
              <w:t xml:space="preserve"> Nē</w:t>
            </w:r>
            <w:r w:rsidRPr="00DF05D3">
              <w:rPr>
                <w:rFonts w:ascii="Segoe UI Symbol" w:hAnsi="Segoe UI Symbol" w:cs="Segoe UI Symbol"/>
              </w:rPr>
              <w:t>☐</w:t>
            </w:r>
          </w:p>
        </w:tc>
        <w:tc>
          <w:tcPr>
            <w:tcW w:w="1166" w:type="dxa"/>
            <w:tcBorders>
              <w:left w:val="single" w:sz="4" w:space="0" w:color="auto"/>
            </w:tcBorders>
          </w:tcPr>
          <w:p w14:paraId="1921117B" w14:textId="77777777" w:rsidR="00AC61AC" w:rsidRPr="00DF05D3" w:rsidRDefault="00AC61AC" w:rsidP="009422EA">
            <w:pPr>
              <w:pStyle w:val="TableParagraph"/>
              <w:spacing w:before="123"/>
              <w:rPr>
                <w:b/>
                <w:bCs/>
                <w:i/>
                <w:u w:val="single"/>
              </w:rPr>
            </w:pPr>
          </w:p>
        </w:tc>
      </w:tr>
      <w:tr w:rsidR="00AC61AC" w:rsidRPr="00DF05D3" w14:paraId="3161D6B8" w14:textId="77777777" w:rsidTr="00F91F4C">
        <w:trPr>
          <w:trHeight w:val="511"/>
        </w:trPr>
        <w:tc>
          <w:tcPr>
            <w:tcW w:w="663" w:type="dxa"/>
            <w:shd w:val="clear" w:color="auto" w:fill="auto"/>
            <w:vAlign w:val="center"/>
          </w:tcPr>
          <w:p w14:paraId="693C3AB1" w14:textId="77777777" w:rsidR="00AC61AC" w:rsidRPr="00DF05D3" w:rsidRDefault="00AC61AC" w:rsidP="009422EA">
            <w:pPr>
              <w:pStyle w:val="TableParagraph"/>
              <w:jc w:val="center"/>
              <w:rPr>
                <w:b/>
              </w:rPr>
            </w:pPr>
            <w:r>
              <w:rPr>
                <w:b/>
              </w:rPr>
              <w:t>4.</w:t>
            </w:r>
          </w:p>
        </w:tc>
        <w:tc>
          <w:tcPr>
            <w:tcW w:w="8466" w:type="dxa"/>
            <w:gridSpan w:val="4"/>
            <w:shd w:val="clear" w:color="auto" w:fill="auto"/>
            <w:vAlign w:val="center"/>
          </w:tcPr>
          <w:p w14:paraId="46A48A7E" w14:textId="77777777" w:rsidR="00AC61AC" w:rsidRPr="00884730" w:rsidRDefault="00AC61AC" w:rsidP="009422EA">
            <w:pPr>
              <w:pStyle w:val="TableParagraph"/>
              <w:spacing w:before="123"/>
              <w:ind w:left="141"/>
              <w:rPr>
                <w:b/>
                <w:bCs/>
                <w:iCs/>
              </w:rPr>
            </w:pPr>
            <w:r w:rsidRPr="00884730">
              <w:rPr>
                <w:b/>
                <w:bCs/>
                <w:iCs/>
              </w:rPr>
              <w:t>Risku pazeminoši faktori</w:t>
            </w:r>
          </w:p>
        </w:tc>
      </w:tr>
      <w:tr w:rsidR="00AC61AC" w:rsidRPr="00DF05D3" w14:paraId="058D2E5F" w14:textId="77777777" w:rsidTr="00F91F4C">
        <w:trPr>
          <w:trHeight w:val="511"/>
        </w:trPr>
        <w:tc>
          <w:tcPr>
            <w:tcW w:w="663" w:type="dxa"/>
            <w:shd w:val="clear" w:color="auto" w:fill="auto"/>
            <w:vAlign w:val="center"/>
          </w:tcPr>
          <w:p w14:paraId="11772D9C" w14:textId="77777777" w:rsidR="00AC61AC" w:rsidRPr="00DF05D3" w:rsidRDefault="00AC61AC" w:rsidP="009422EA">
            <w:pPr>
              <w:pStyle w:val="TableParagraph"/>
              <w:jc w:val="center"/>
              <w:rPr>
                <w:b/>
              </w:rPr>
            </w:pPr>
            <w:r>
              <w:rPr>
                <w:b/>
              </w:rPr>
              <w:t>4.1.</w:t>
            </w:r>
          </w:p>
        </w:tc>
        <w:tc>
          <w:tcPr>
            <w:tcW w:w="4607" w:type="dxa"/>
            <w:tcBorders>
              <w:right w:val="single" w:sz="4" w:space="0" w:color="auto"/>
            </w:tcBorders>
            <w:shd w:val="clear" w:color="auto" w:fill="auto"/>
            <w:vAlign w:val="center"/>
          </w:tcPr>
          <w:p w14:paraId="241D6834" w14:textId="77777777" w:rsidR="00AC61AC" w:rsidRPr="00034EA4" w:rsidRDefault="00AC61AC" w:rsidP="009422EA">
            <w:pPr>
              <w:pStyle w:val="TableParagraph"/>
              <w:ind w:left="143" w:right="142"/>
              <w:jc w:val="both"/>
            </w:pPr>
            <w:r w:rsidRPr="00034EA4">
              <w:t>Klienta rezidences vai reģistrācijas valsts ir Eiropas Savienības dalībvalsts.</w:t>
            </w:r>
          </w:p>
        </w:tc>
        <w:tc>
          <w:tcPr>
            <w:tcW w:w="1276" w:type="dxa"/>
            <w:tcBorders>
              <w:left w:val="single" w:sz="4" w:space="0" w:color="auto"/>
              <w:right w:val="single" w:sz="4" w:space="0" w:color="auto"/>
            </w:tcBorders>
            <w:shd w:val="clear" w:color="auto" w:fill="auto"/>
            <w:vAlign w:val="center"/>
          </w:tcPr>
          <w:p w14:paraId="17336504"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shd w:val="clear" w:color="auto" w:fill="auto"/>
            <w:vAlign w:val="center"/>
          </w:tcPr>
          <w:p w14:paraId="29B700ED" w14:textId="77777777" w:rsidR="00AC61AC" w:rsidRPr="00DF05D3" w:rsidRDefault="00AC61AC" w:rsidP="009422EA">
            <w:pPr>
              <w:pStyle w:val="TableParagraph"/>
              <w:spacing w:before="1"/>
              <w:ind w:left="220" w:right="204"/>
              <w:jc w:val="center"/>
              <w:rPr>
                <w:bCs/>
              </w:rP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shd w:val="clear" w:color="auto" w:fill="auto"/>
          </w:tcPr>
          <w:p w14:paraId="6CAB5FF5" w14:textId="77777777" w:rsidR="00AC61AC" w:rsidRPr="00DF05D3" w:rsidRDefault="00AC61AC" w:rsidP="009422EA">
            <w:pPr>
              <w:pStyle w:val="TableParagraph"/>
              <w:spacing w:before="123"/>
              <w:rPr>
                <w:b/>
                <w:bCs/>
                <w:i/>
                <w:u w:val="single"/>
              </w:rPr>
            </w:pPr>
          </w:p>
        </w:tc>
      </w:tr>
      <w:tr w:rsidR="00AC61AC" w:rsidRPr="00DF05D3" w14:paraId="410971EC" w14:textId="77777777" w:rsidTr="00F91F4C">
        <w:trPr>
          <w:trHeight w:val="511"/>
        </w:trPr>
        <w:tc>
          <w:tcPr>
            <w:tcW w:w="663" w:type="dxa"/>
            <w:shd w:val="clear" w:color="auto" w:fill="auto"/>
            <w:vAlign w:val="center"/>
          </w:tcPr>
          <w:p w14:paraId="1438A970" w14:textId="77777777" w:rsidR="00AC61AC" w:rsidRDefault="00AC61AC" w:rsidP="009422EA">
            <w:pPr>
              <w:pStyle w:val="TableParagraph"/>
              <w:jc w:val="center"/>
              <w:rPr>
                <w:b/>
              </w:rPr>
            </w:pPr>
            <w:r>
              <w:rPr>
                <w:b/>
              </w:rPr>
              <w:t>4.2.</w:t>
            </w:r>
          </w:p>
        </w:tc>
        <w:tc>
          <w:tcPr>
            <w:tcW w:w="4607" w:type="dxa"/>
            <w:tcBorders>
              <w:right w:val="single" w:sz="4" w:space="0" w:color="auto"/>
            </w:tcBorders>
            <w:shd w:val="clear" w:color="auto" w:fill="auto"/>
            <w:vAlign w:val="center"/>
          </w:tcPr>
          <w:p w14:paraId="5CC8E6A2" w14:textId="77777777" w:rsidR="00AC61AC" w:rsidRPr="00034EA4" w:rsidRDefault="00AC61AC" w:rsidP="009422EA">
            <w:pPr>
              <w:pStyle w:val="TableParagraph"/>
              <w:ind w:left="143" w:right="142"/>
              <w:jc w:val="both"/>
            </w:pPr>
            <w:r w:rsidRPr="00034EA4">
              <w:t>Klienta saimnieciskā vai personiskā darbība, kā arī sniegtie pakalpojumi un produkti kopš tā dibināšanas nav mainījušies.</w:t>
            </w:r>
          </w:p>
        </w:tc>
        <w:tc>
          <w:tcPr>
            <w:tcW w:w="1276" w:type="dxa"/>
            <w:tcBorders>
              <w:left w:val="single" w:sz="4" w:space="0" w:color="auto"/>
              <w:right w:val="single" w:sz="4" w:space="0" w:color="auto"/>
            </w:tcBorders>
            <w:shd w:val="clear" w:color="auto" w:fill="auto"/>
            <w:vAlign w:val="center"/>
          </w:tcPr>
          <w:p w14:paraId="2244B07E"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shd w:val="clear" w:color="auto" w:fill="auto"/>
            <w:vAlign w:val="center"/>
          </w:tcPr>
          <w:p w14:paraId="40338ADE"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shd w:val="clear" w:color="auto" w:fill="auto"/>
          </w:tcPr>
          <w:p w14:paraId="1463503A" w14:textId="77777777" w:rsidR="00AC61AC" w:rsidRPr="00DF05D3" w:rsidRDefault="00AC61AC" w:rsidP="009422EA">
            <w:pPr>
              <w:pStyle w:val="TableParagraph"/>
              <w:spacing w:before="123"/>
              <w:rPr>
                <w:b/>
                <w:bCs/>
                <w:i/>
                <w:u w:val="single"/>
              </w:rPr>
            </w:pPr>
          </w:p>
        </w:tc>
      </w:tr>
      <w:tr w:rsidR="00AC61AC" w:rsidRPr="00DF05D3" w14:paraId="6B9D4E66" w14:textId="77777777" w:rsidTr="00F91F4C">
        <w:trPr>
          <w:trHeight w:val="1064"/>
        </w:trPr>
        <w:tc>
          <w:tcPr>
            <w:tcW w:w="663" w:type="dxa"/>
            <w:shd w:val="clear" w:color="auto" w:fill="auto"/>
            <w:vAlign w:val="center"/>
          </w:tcPr>
          <w:p w14:paraId="2264550F" w14:textId="77777777" w:rsidR="00AC61AC" w:rsidRDefault="00AC61AC" w:rsidP="009422EA">
            <w:pPr>
              <w:pStyle w:val="TableParagraph"/>
              <w:jc w:val="center"/>
              <w:rPr>
                <w:b/>
              </w:rPr>
            </w:pPr>
            <w:r>
              <w:rPr>
                <w:b/>
              </w:rPr>
              <w:t>4.3.</w:t>
            </w:r>
          </w:p>
        </w:tc>
        <w:tc>
          <w:tcPr>
            <w:tcW w:w="4607" w:type="dxa"/>
            <w:tcBorders>
              <w:right w:val="single" w:sz="4" w:space="0" w:color="auto"/>
            </w:tcBorders>
            <w:shd w:val="clear" w:color="auto" w:fill="auto"/>
            <w:vAlign w:val="center"/>
          </w:tcPr>
          <w:p w14:paraId="7E1FF09E" w14:textId="77777777" w:rsidR="00AC61AC" w:rsidRPr="00034EA4" w:rsidRDefault="00AC61AC" w:rsidP="009422EA">
            <w:pPr>
              <w:ind w:left="143" w:right="142"/>
              <w:contextualSpacing/>
              <w:jc w:val="both"/>
              <w:rPr>
                <w:rFonts w:ascii="Times New Roman" w:hAnsi="Times New Roman" w:cs="Times New Roman"/>
              </w:rPr>
            </w:pPr>
            <w:r w:rsidRPr="00034EA4">
              <w:rPr>
                <w:rFonts w:ascii="Times New Roman" w:hAnsi="Times New Roman" w:cs="Times New Roman"/>
              </w:rPr>
              <w:t>Klienta pakalpojumu un produktu piegādes kanāli kopš tā dibināšanas nav mainījušies (piemēram, darbība notiek tikai Latvijas vai ES teritorijā).</w:t>
            </w:r>
          </w:p>
        </w:tc>
        <w:tc>
          <w:tcPr>
            <w:tcW w:w="1276" w:type="dxa"/>
            <w:tcBorders>
              <w:left w:val="single" w:sz="4" w:space="0" w:color="auto"/>
              <w:right w:val="single" w:sz="4" w:space="0" w:color="auto"/>
            </w:tcBorders>
            <w:shd w:val="clear" w:color="auto" w:fill="auto"/>
            <w:vAlign w:val="center"/>
          </w:tcPr>
          <w:p w14:paraId="2A5EEB3D"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shd w:val="clear" w:color="auto" w:fill="auto"/>
            <w:vAlign w:val="center"/>
          </w:tcPr>
          <w:p w14:paraId="16735728"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shd w:val="clear" w:color="auto" w:fill="auto"/>
          </w:tcPr>
          <w:p w14:paraId="61E364C2" w14:textId="77777777" w:rsidR="00AC61AC" w:rsidRPr="00DF05D3" w:rsidRDefault="00AC61AC" w:rsidP="009422EA">
            <w:pPr>
              <w:pStyle w:val="TableParagraph"/>
              <w:spacing w:before="123"/>
              <w:rPr>
                <w:b/>
                <w:bCs/>
                <w:i/>
                <w:u w:val="single"/>
              </w:rPr>
            </w:pPr>
          </w:p>
        </w:tc>
      </w:tr>
      <w:tr w:rsidR="00AC61AC" w:rsidRPr="00DF05D3" w14:paraId="3590BFB7" w14:textId="77777777" w:rsidTr="00F91F4C">
        <w:trPr>
          <w:trHeight w:val="511"/>
        </w:trPr>
        <w:tc>
          <w:tcPr>
            <w:tcW w:w="663" w:type="dxa"/>
            <w:shd w:val="clear" w:color="auto" w:fill="auto"/>
            <w:vAlign w:val="center"/>
          </w:tcPr>
          <w:p w14:paraId="0CD59CCA" w14:textId="77777777" w:rsidR="00AC61AC" w:rsidRDefault="00AC61AC" w:rsidP="009422EA">
            <w:pPr>
              <w:pStyle w:val="TableParagraph"/>
              <w:jc w:val="center"/>
              <w:rPr>
                <w:b/>
              </w:rPr>
            </w:pPr>
            <w:r>
              <w:rPr>
                <w:b/>
              </w:rPr>
              <w:t>4.4.</w:t>
            </w:r>
          </w:p>
        </w:tc>
        <w:tc>
          <w:tcPr>
            <w:tcW w:w="4607" w:type="dxa"/>
            <w:tcBorders>
              <w:right w:val="single" w:sz="4" w:space="0" w:color="auto"/>
            </w:tcBorders>
            <w:shd w:val="clear" w:color="auto" w:fill="auto"/>
            <w:vAlign w:val="center"/>
          </w:tcPr>
          <w:p w14:paraId="79EC9D10" w14:textId="77777777" w:rsidR="00AC61AC" w:rsidRPr="00034EA4" w:rsidRDefault="00AC61AC" w:rsidP="009422EA">
            <w:pPr>
              <w:pStyle w:val="TableParagraph"/>
              <w:ind w:left="143" w:right="142"/>
              <w:jc w:val="both"/>
            </w:pPr>
            <w:bookmarkStart w:id="15" w:name="_Hlk161403632"/>
            <w:r w:rsidRPr="00034EA4">
              <w:t>Klients nekad nav veicis darījumus un maksājumus uz un no Latvijai saistošajām sankcijām pakļautajām valstīm vai jurisdikcijām, kas nenoteic sankcijas pret tām (piemēram, Kazahstāna, Uzbekistāna, Serbija, Turcija, Āfrikas valstis, Kirgizstāna u.tml.</w:t>
            </w:r>
            <w:bookmarkEnd w:id="15"/>
            <w:r w:rsidRPr="00034EA4">
              <w:t>).</w:t>
            </w:r>
          </w:p>
        </w:tc>
        <w:tc>
          <w:tcPr>
            <w:tcW w:w="1276" w:type="dxa"/>
            <w:tcBorders>
              <w:left w:val="single" w:sz="4" w:space="0" w:color="auto"/>
              <w:right w:val="single" w:sz="4" w:space="0" w:color="auto"/>
            </w:tcBorders>
            <w:shd w:val="clear" w:color="auto" w:fill="auto"/>
            <w:vAlign w:val="center"/>
          </w:tcPr>
          <w:p w14:paraId="05526B0C" w14:textId="77777777" w:rsidR="00AC61AC" w:rsidRPr="00DF05D3" w:rsidRDefault="00AC61AC" w:rsidP="00E9059F">
            <w:pPr>
              <w:pStyle w:val="TableParagraph"/>
              <w:spacing w:before="1"/>
              <w:ind w:left="-1" w:firstLine="1"/>
              <w:jc w:val="center"/>
              <w:rPr>
                <w:b/>
              </w:rPr>
            </w:pPr>
            <w:r w:rsidRPr="00DF05D3">
              <w:rPr>
                <w:b/>
              </w:rPr>
              <w:t>Risku pazeminošs</w:t>
            </w:r>
          </w:p>
        </w:tc>
        <w:tc>
          <w:tcPr>
            <w:tcW w:w="1417" w:type="dxa"/>
            <w:tcBorders>
              <w:left w:val="single" w:sz="4" w:space="0" w:color="auto"/>
              <w:right w:val="single" w:sz="4" w:space="0" w:color="auto"/>
            </w:tcBorders>
            <w:shd w:val="clear" w:color="auto" w:fill="auto"/>
            <w:vAlign w:val="center"/>
          </w:tcPr>
          <w:p w14:paraId="45E16521" w14:textId="77777777" w:rsidR="00AC61AC" w:rsidRPr="00DF05D3" w:rsidRDefault="00AC61AC" w:rsidP="009422EA">
            <w:pPr>
              <w:pStyle w:val="TableParagraph"/>
              <w:spacing w:before="1"/>
              <w:ind w:left="220" w:right="204"/>
              <w:jc w:val="center"/>
            </w:pPr>
            <w:r w:rsidRPr="00DF05D3">
              <w:t xml:space="preserve">Jā </w:t>
            </w:r>
            <w:r w:rsidRPr="00DF05D3">
              <w:rPr>
                <w:rFonts w:ascii="Segoe UI Symbol" w:hAnsi="Segoe UI Symbol" w:cs="Segoe UI Symbol"/>
              </w:rPr>
              <w:t>☐</w:t>
            </w:r>
            <w:r w:rsidRPr="00DF05D3">
              <w:rPr>
                <w:rFonts w:ascii="AoyagiKouzanFontT" w:hAnsi="AoyagiKouzanFontT"/>
              </w:rPr>
              <w:t xml:space="preserve"> </w:t>
            </w:r>
            <w:r w:rsidRPr="00DF05D3">
              <w:t xml:space="preserve">Nē </w:t>
            </w:r>
            <w:r w:rsidRPr="00DF05D3">
              <w:rPr>
                <w:rFonts w:ascii="Segoe UI Symbol" w:hAnsi="Segoe UI Symbol" w:cs="Segoe UI Symbol"/>
              </w:rPr>
              <w:t>☐</w:t>
            </w:r>
          </w:p>
        </w:tc>
        <w:tc>
          <w:tcPr>
            <w:tcW w:w="1166" w:type="dxa"/>
            <w:tcBorders>
              <w:left w:val="single" w:sz="4" w:space="0" w:color="auto"/>
            </w:tcBorders>
            <w:shd w:val="clear" w:color="auto" w:fill="auto"/>
          </w:tcPr>
          <w:p w14:paraId="72F17E8C" w14:textId="77777777" w:rsidR="00AC61AC" w:rsidRPr="00DF05D3" w:rsidRDefault="00AC61AC" w:rsidP="009422EA">
            <w:pPr>
              <w:pStyle w:val="TableParagraph"/>
              <w:spacing w:before="123"/>
              <w:rPr>
                <w:b/>
                <w:bCs/>
                <w:i/>
                <w:u w:val="single"/>
              </w:rPr>
            </w:pPr>
          </w:p>
        </w:tc>
      </w:tr>
    </w:tbl>
    <w:p w14:paraId="0D1796E4" w14:textId="77777777" w:rsidR="00AC61AC" w:rsidRPr="00DF05D3" w:rsidRDefault="00AC61AC" w:rsidP="00AC61AC">
      <w:pPr>
        <w:pStyle w:val="Pamatteksts"/>
        <w:spacing w:before="70"/>
        <w:ind w:left="143" w:right="678"/>
      </w:pPr>
    </w:p>
    <w:p w14:paraId="5D046046" w14:textId="77777777" w:rsidR="00AC61AC" w:rsidRPr="00DF05D3" w:rsidRDefault="00AC61AC" w:rsidP="00AC61AC">
      <w:pPr>
        <w:pStyle w:val="Pamatteksts"/>
        <w:spacing w:before="70"/>
        <w:ind w:right="678"/>
      </w:pPr>
    </w:p>
    <w:p w14:paraId="17E57544" w14:textId="158BB15A" w:rsidR="00E9059F" w:rsidRDefault="00E9059F" w:rsidP="00E9059F">
      <w:pPr>
        <w:pStyle w:val="Pamatteksts"/>
        <w:spacing w:before="70"/>
        <w:ind w:right="-1"/>
      </w:pPr>
      <w:r>
        <w:t>____.____. ________.</w:t>
      </w:r>
      <w:r>
        <w:tab/>
      </w:r>
      <w:r>
        <w:tab/>
      </w:r>
      <w:r>
        <w:tab/>
        <w:t>Administrators       __________________________________</w:t>
      </w:r>
    </w:p>
    <w:p w14:paraId="58D076DC" w14:textId="77777777" w:rsidR="00E9059F" w:rsidRDefault="00E9059F" w:rsidP="00E9059F">
      <w:pPr>
        <w:pStyle w:val="Pamatteksts"/>
        <w:spacing w:before="70"/>
        <w:ind w:right="678"/>
      </w:pPr>
      <w:r>
        <w:t>(diena, mēnesis, gads)</w:t>
      </w:r>
    </w:p>
    <w:p w14:paraId="506CC8DC" w14:textId="77777777" w:rsidR="00E9059F" w:rsidRDefault="00E9059F" w:rsidP="00E9059F">
      <w:pPr>
        <w:pStyle w:val="Pamatteksts"/>
        <w:spacing w:before="70"/>
        <w:ind w:right="678"/>
      </w:pPr>
    </w:p>
    <w:p w14:paraId="7862922F" w14:textId="77777777" w:rsidR="00E9059F" w:rsidRDefault="00E9059F" w:rsidP="00E9059F">
      <w:pPr>
        <w:pStyle w:val="Pamatteksts"/>
        <w:spacing w:before="70"/>
        <w:ind w:right="-1"/>
        <w:jc w:val="right"/>
      </w:pPr>
      <w:r>
        <w:t>__________________________________</w:t>
      </w:r>
    </w:p>
    <w:p w14:paraId="300434C4" w14:textId="2432F656" w:rsidR="00AC61AC" w:rsidRDefault="00E9059F" w:rsidP="00E9059F">
      <w:pPr>
        <w:pStyle w:val="Pamatteksts"/>
        <w:spacing w:before="70"/>
        <w:ind w:right="991"/>
        <w:jc w:val="right"/>
      </w:pPr>
      <w:r>
        <w:tab/>
        <w:t xml:space="preserve">                    /personiskais paraksts/</w:t>
      </w:r>
    </w:p>
    <w:p w14:paraId="2C690BF6" w14:textId="77777777" w:rsidR="00AC61AC" w:rsidRPr="005937C7" w:rsidRDefault="00AC61AC" w:rsidP="00AC61AC">
      <w:pPr>
        <w:pStyle w:val="Pamatteksts"/>
        <w:spacing w:before="70"/>
        <w:ind w:right="678"/>
      </w:pPr>
    </w:p>
    <w:p w14:paraId="5B39989B" w14:textId="77777777" w:rsidR="004341CA" w:rsidRPr="00D96194" w:rsidRDefault="004341CA" w:rsidP="00AC61AC">
      <w:pPr>
        <w:pStyle w:val="Sarakstarindkopa"/>
        <w:spacing w:after="0" w:line="360" w:lineRule="auto"/>
        <w:ind w:left="1440"/>
        <w:jc w:val="both"/>
        <w:rPr>
          <w:rFonts w:ascii="Times New Roman" w:hAnsi="Times New Roman" w:cs="Times New Roman"/>
          <w:sz w:val="24"/>
          <w:szCs w:val="24"/>
        </w:rPr>
      </w:pPr>
    </w:p>
    <w:sectPr w:rsidR="004341CA" w:rsidRPr="00D96194" w:rsidSect="00D313CF">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B7B78" w14:textId="77777777" w:rsidR="004A0B57" w:rsidRDefault="004A0B57" w:rsidP="00E04DB0">
      <w:pPr>
        <w:spacing w:after="0" w:line="240" w:lineRule="auto"/>
      </w:pPr>
      <w:r>
        <w:separator/>
      </w:r>
    </w:p>
  </w:endnote>
  <w:endnote w:type="continuationSeparator" w:id="0">
    <w:p w14:paraId="243A83FD" w14:textId="77777777" w:rsidR="004A0B57" w:rsidRDefault="004A0B57" w:rsidP="00E0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oyagiKouzanFontT">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50737"/>
      <w:docPartObj>
        <w:docPartGallery w:val="Page Numbers (Bottom of Page)"/>
        <w:docPartUnique/>
      </w:docPartObj>
    </w:sdtPr>
    <w:sdtEndPr>
      <w:rPr>
        <w:rFonts w:ascii="Times New Roman" w:hAnsi="Times New Roman" w:cs="Times New Roman"/>
        <w:sz w:val="20"/>
        <w:szCs w:val="20"/>
      </w:rPr>
    </w:sdtEndPr>
    <w:sdtContent>
      <w:p w14:paraId="5B4B9859" w14:textId="0CF21CE1" w:rsidR="000C28DC" w:rsidRPr="00D96194" w:rsidRDefault="000C28DC">
        <w:pPr>
          <w:pStyle w:val="Kjene"/>
          <w:jc w:val="center"/>
          <w:rPr>
            <w:rFonts w:ascii="Times New Roman" w:hAnsi="Times New Roman" w:cs="Times New Roman"/>
            <w:sz w:val="20"/>
            <w:szCs w:val="20"/>
          </w:rPr>
        </w:pPr>
        <w:r w:rsidRPr="00D96194">
          <w:rPr>
            <w:rFonts w:ascii="Times New Roman" w:hAnsi="Times New Roman" w:cs="Times New Roman"/>
            <w:sz w:val="20"/>
            <w:szCs w:val="20"/>
          </w:rPr>
          <w:fldChar w:fldCharType="begin"/>
        </w:r>
        <w:r w:rsidRPr="00D96194">
          <w:rPr>
            <w:rFonts w:ascii="Times New Roman" w:hAnsi="Times New Roman" w:cs="Times New Roman"/>
            <w:sz w:val="20"/>
            <w:szCs w:val="20"/>
          </w:rPr>
          <w:instrText>PAGE   \* MERGEFORMAT</w:instrText>
        </w:r>
        <w:r w:rsidRPr="00D96194">
          <w:rPr>
            <w:rFonts w:ascii="Times New Roman" w:hAnsi="Times New Roman" w:cs="Times New Roman"/>
            <w:sz w:val="20"/>
            <w:szCs w:val="20"/>
          </w:rPr>
          <w:fldChar w:fldCharType="separate"/>
        </w:r>
        <w:r w:rsidRPr="00D96194">
          <w:rPr>
            <w:rFonts w:ascii="Times New Roman" w:hAnsi="Times New Roman" w:cs="Times New Roman"/>
            <w:sz w:val="20"/>
            <w:szCs w:val="20"/>
          </w:rPr>
          <w:t>2</w:t>
        </w:r>
        <w:r w:rsidRPr="00D96194">
          <w:rPr>
            <w:rFonts w:ascii="Times New Roman" w:hAnsi="Times New Roman" w:cs="Times New Roman"/>
            <w:sz w:val="20"/>
            <w:szCs w:val="20"/>
          </w:rPr>
          <w:fldChar w:fldCharType="end"/>
        </w:r>
      </w:p>
    </w:sdtContent>
  </w:sdt>
  <w:p w14:paraId="545FF5C4" w14:textId="77777777" w:rsidR="00E04DB0" w:rsidRDefault="00E04D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63E2" w14:textId="77777777" w:rsidR="004A0B57" w:rsidRDefault="004A0B57" w:rsidP="00E04DB0">
      <w:pPr>
        <w:spacing w:after="0" w:line="240" w:lineRule="auto"/>
      </w:pPr>
      <w:r>
        <w:separator/>
      </w:r>
    </w:p>
  </w:footnote>
  <w:footnote w:type="continuationSeparator" w:id="0">
    <w:p w14:paraId="726ACD0D" w14:textId="77777777" w:rsidR="004A0B57" w:rsidRDefault="004A0B57" w:rsidP="00E04DB0">
      <w:pPr>
        <w:spacing w:after="0" w:line="240" w:lineRule="auto"/>
      </w:pPr>
      <w:r>
        <w:continuationSeparator/>
      </w:r>
    </w:p>
  </w:footnote>
  <w:footnote w:id="1">
    <w:p w14:paraId="2B6ECEB8" w14:textId="32ECB84C" w:rsidR="00C60CED" w:rsidRDefault="00C60CED" w:rsidP="00C60CED">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Informācija aktualizēta 202</w:t>
      </w:r>
      <w:r>
        <w:rPr>
          <w:rFonts w:ascii="Times New Roman" w:hAnsi="Times New Roman" w:cs="Times New Roman"/>
        </w:rPr>
        <w:t>4</w:t>
      </w:r>
      <w:r w:rsidRPr="009F7D33">
        <w:rPr>
          <w:rFonts w:ascii="Times New Roman" w:hAnsi="Times New Roman" w:cs="Times New Roman"/>
        </w:rPr>
        <w:t>.</w:t>
      </w:r>
      <w:r>
        <w:rPr>
          <w:rFonts w:ascii="Times New Roman" w:hAnsi="Times New Roman" w:cs="Times New Roman"/>
        </w:rPr>
        <w:t> </w:t>
      </w:r>
      <w:r w:rsidRPr="009F7D33">
        <w:rPr>
          <w:rFonts w:ascii="Times New Roman" w:hAnsi="Times New Roman" w:cs="Times New Roman"/>
        </w:rPr>
        <w:t xml:space="preserve">gada </w:t>
      </w:r>
      <w:r w:rsidR="003B5B61">
        <w:rPr>
          <w:rFonts w:ascii="Times New Roman" w:hAnsi="Times New Roman" w:cs="Times New Roman"/>
        </w:rPr>
        <w:t>18</w:t>
      </w:r>
      <w:r w:rsidRPr="009F7D33">
        <w:rPr>
          <w:rFonts w:ascii="Times New Roman" w:hAnsi="Times New Roman" w:cs="Times New Roman"/>
        </w:rPr>
        <w:t>.</w:t>
      </w:r>
      <w:r>
        <w:rPr>
          <w:rFonts w:ascii="Times New Roman" w:hAnsi="Times New Roman" w:cs="Times New Roman"/>
        </w:rPr>
        <w:t> oktobrī</w:t>
      </w:r>
      <w:r w:rsidR="003B5B61">
        <w:rPr>
          <w:rFonts w:ascii="Times New Roman" w:hAnsi="Times New Roman" w:cs="Times New Roman"/>
        </w:rPr>
        <w:t>.</w:t>
      </w:r>
    </w:p>
  </w:footnote>
  <w:footnote w:id="2">
    <w:p w14:paraId="6EF82C0C" w14:textId="7E8A33BF" w:rsidR="001F6D75" w:rsidRPr="00E86ACD" w:rsidRDefault="001F6D75" w:rsidP="002C097E">
      <w:pPr>
        <w:pStyle w:val="Vresteksts"/>
        <w:jc w:val="both"/>
        <w:rPr>
          <w:rFonts w:ascii="Times New Roman" w:hAnsi="Times New Roman" w:cs="Times New Roman"/>
          <w:sz w:val="18"/>
          <w:szCs w:val="18"/>
        </w:rPr>
      </w:pPr>
      <w:r w:rsidRPr="00E86ACD">
        <w:rPr>
          <w:rStyle w:val="Vresatsauce"/>
          <w:rFonts w:ascii="Times New Roman" w:hAnsi="Times New Roman" w:cs="Times New Roman"/>
          <w:sz w:val="18"/>
          <w:szCs w:val="18"/>
        </w:rPr>
        <w:footnoteRef/>
      </w:r>
      <w:r w:rsidRPr="00E86ACD">
        <w:rPr>
          <w:rFonts w:ascii="Times New Roman" w:hAnsi="Times New Roman" w:cs="Times New Roman"/>
          <w:sz w:val="18"/>
          <w:szCs w:val="18"/>
        </w:rPr>
        <w:t xml:space="preserve"> Piemēram, vērtējot NILLTPF novēršanas riskus, valstij, kas atrodas sankcijām pakļautas valsts pierobežā, nepiemitīs paaugstināts risks (tā netiek uzskatīta, piemēram, par valsti ar augstu korupcijas risku vai augstu noziedzīgu nodarījumu risku), savukārt vērtējot sankciju riskus, šai pašai valstij, ņemot vērā tās atrašanās vietu, būs paaugstināts ģeogrāfiskais risks, kas saistīts ar sankciju risku.</w:t>
      </w:r>
    </w:p>
  </w:footnote>
  <w:footnote w:id="3">
    <w:p w14:paraId="2C39B0E7" w14:textId="77777777" w:rsidR="00483866" w:rsidRDefault="006F22F6" w:rsidP="006F22F6">
      <w:pPr>
        <w:pStyle w:val="Vresteksts"/>
        <w:jc w:val="both"/>
        <w:rPr>
          <w:rFonts w:ascii="Times New Roman" w:hAnsi="Times New Roman" w:cs="Times New Roman"/>
          <w:sz w:val="18"/>
          <w:szCs w:val="18"/>
        </w:rPr>
      </w:pPr>
      <w:r w:rsidRPr="00E86ACD">
        <w:rPr>
          <w:rStyle w:val="Vresatsauce"/>
          <w:rFonts w:ascii="Times New Roman" w:hAnsi="Times New Roman" w:cs="Times New Roman"/>
          <w:sz w:val="18"/>
          <w:szCs w:val="18"/>
        </w:rPr>
        <w:footnoteRef/>
      </w:r>
      <w:r w:rsidRPr="00E86ACD">
        <w:rPr>
          <w:rFonts w:ascii="Times New Roman" w:hAnsi="Times New Roman" w:cs="Times New Roman"/>
          <w:sz w:val="18"/>
          <w:szCs w:val="18"/>
        </w:rPr>
        <w:t xml:space="preserve"> Sīkā</w:t>
      </w:r>
      <w:r w:rsidR="003931E3" w:rsidRPr="00E86ACD">
        <w:rPr>
          <w:rFonts w:ascii="Times New Roman" w:hAnsi="Times New Roman" w:cs="Times New Roman"/>
          <w:sz w:val="18"/>
          <w:szCs w:val="18"/>
        </w:rPr>
        <w:t>k</w:t>
      </w:r>
      <w:r w:rsidRPr="00E86ACD">
        <w:rPr>
          <w:rFonts w:ascii="Times New Roman" w:hAnsi="Times New Roman" w:cs="Times New Roman"/>
          <w:sz w:val="18"/>
          <w:szCs w:val="18"/>
        </w:rPr>
        <w:t xml:space="preserve"> par sankciju riska novērtējumu skatīt Maksātnespējas kontroles dienesta informatīvo materiālu “Par sankciju piemērošanu maksātnespējas procesa administratora darbībā”. </w:t>
      </w:r>
    </w:p>
    <w:p w14:paraId="21C936CF" w14:textId="15A9C00F" w:rsidR="006F22F6" w:rsidRPr="00E86ACD" w:rsidRDefault="006F22F6" w:rsidP="006F22F6">
      <w:pPr>
        <w:pStyle w:val="Vresteksts"/>
        <w:jc w:val="both"/>
        <w:rPr>
          <w:rFonts w:ascii="Times New Roman" w:hAnsi="Times New Roman" w:cs="Times New Roman"/>
          <w:sz w:val="18"/>
          <w:szCs w:val="18"/>
        </w:rPr>
      </w:pPr>
      <w:r w:rsidRPr="00E86ACD">
        <w:rPr>
          <w:rFonts w:ascii="Times New Roman" w:hAnsi="Times New Roman" w:cs="Times New Roman"/>
          <w:sz w:val="18"/>
          <w:szCs w:val="18"/>
        </w:rPr>
        <w:t xml:space="preserve">Pieejams tiešsaistē: </w:t>
      </w:r>
      <w:hyperlink r:id="rId1" w:history="1">
        <w:r w:rsidRPr="00E86ACD">
          <w:rPr>
            <w:rStyle w:val="Hipersaite"/>
            <w:rFonts w:ascii="Times New Roman" w:hAnsi="Times New Roman" w:cs="Times New Roman"/>
            <w:sz w:val="18"/>
            <w:szCs w:val="18"/>
          </w:rPr>
          <w:t>https://www.mkd.gov.lv/lv/media/2790/download?attachment</w:t>
        </w:r>
      </w:hyperlink>
      <w:r w:rsidRPr="00E86ACD">
        <w:rPr>
          <w:rFonts w:ascii="Times New Roman" w:hAnsi="Times New Roman" w:cs="Times New Roman"/>
          <w:sz w:val="18"/>
          <w:szCs w:val="18"/>
        </w:rPr>
        <w:t xml:space="preserve">. </w:t>
      </w:r>
    </w:p>
    <w:p w14:paraId="3F485494" w14:textId="77777777" w:rsidR="006F22F6" w:rsidRPr="00E86ACD" w:rsidRDefault="006F22F6" w:rsidP="006F22F6">
      <w:pPr>
        <w:pStyle w:val="Vresteksts"/>
        <w:jc w:val="both"/>
        <w:rPr>
          <w:rFonts w:ascii="Times New Roman" w:hAnsi="Times New Roman" w:cs="Times New Roman"/>
          <w:sz w:val="18"/>
          <w:szCs w:val="18"/>
        </w:rPr>
      </w:pPr>
    </w:p>
  </w:footnote>
  <w:footnote w:id="4">
    <w:p w14:paraId="15F9AA1B" w14:textId="77777777" w:rsidR="00B16450" w:rsidRPr="00E86ACD" w:rsidRDefault="00B16450" w:rsidP="00B16450">
      <w:pPr>
        <w:pStyle w:val="Vresteksts"/>
        <w:jc w:val="both"/>
        <w:rPr>
          <w:rFonts w:ascii="Times New Roman" w:hAnsi="Times New Roman" w:cs="Times New Roman"/>
          <w:sz w:val="18"/>
          <w:szCs w:val="18"/>
        </w:rPr>
      </w:pPr>
      <w:r w:rsidRPr="00E86ACD">
        <w:rPr>
          <w:rStyle w:val="Vresatsauce"/>
          <w:rFonts w:ascii="Times New Roman" w:hAnsi="Times New Roman" w:cs="Times New Roman"/>
          <w:sz w:val="18"/>
          <w:szCs w:val="18"/>
        </w:rPr>
        <w:footnoteRef/>
      </w:r>
      <w:r w:rsidRPr="00E86ACD">
        <w:rPr>
          <w:rFonts w:ascii="Times New Roman" w:hAnsi="Times New Roman" w:cs="Times New Roman"/>
          <w:sz w:val="18"/>
          <w:szCs w:val="18"/>
        </w:rPr>
        <w:t xml:space="preserve"> Valsts drošības dienestam un/vai FID.</w:t>
      </w:r>
    </w:p>
  </w:footnote>
  <w:footnote w:id="5">
    <w:p w14:paraId="68AB625C" w14:textId="6F13AB7E" w:rsidR="003D0CC0" w:rsidRPr="00E86ACD" w:rsidRDefault="003D0CC0" w:rsidP="00593F61">
      <w:pPr>
        <w:pStyle w:val="Vresteksts"/>
        <w:jc w:val="both"/>
        <w:rPr>
          <w:rFonts w:ascii="Times New Roman" w:hAnsi="Times New Roman" w:cs="Times New Roman"/>
          <w:sz w:val="18"/>
          <w:szCs w:val="18"/>
        </w:rPr>
      </w:pPr>
      <w:r w:rsidRPr="00E86ACD">
        <w:rPr>
          <w:rStyle w:val="Vresatsauce"/>
          <w:rFonts w:ascii="Times New Roman" w:hAnsi="Times New Roman" w:cs="Times New Roman"/>
        </w:rPr>
        <w:footnoteRef/>
      </w:r>
      <w:r w:rsidR="00E86ACD">
        <w:rPr>
          <w:rFonts w:ascii="Times New Roman" w:hAnsi="Times New Roman" w:cs="Times New Roman"/>
        </w:rPr>
        <w:t xml:space="preserve"> </w:t>
      </w:r>
      <w:r w:rsidRPr="00E86ACD">
        <w:rPr>
          <w:rFonts w:ascii="Times New Roman" w:hAnsi="Times New Roman" w:cs="Times New Roman"/>
        </w:rPr>
        <w:t>Sīkāk</w:t>
      </w:r>
      <w:r w:rsidR="00785AC5" w:rsidRPr="00E86ACD">
        <w:rPr>
          <w:rFonts w:ascii="Times New Roman" w:hAnsi="Times New Roman" w:cs="Times New Roman"/>
        </w:rPr>
        <w:t xml:space="preserve"> </w:t>
      </w:r>
      <w:r w:rsidRPr="00E86ACD">
        <w:rPr>
          <w:rFonts w:ascii="Times New Roman" w:hAnsi="Times New Roman" w:cs="Times New Roman"/>
        </w:rPr>
        <w:t>skatīt:</w:t>
      </w:r>
      <w:r w:rsidR="00785AC5" w:rsidRPr="00E86ACD">
        <w:rPr>
          <w:rFonts w:ascii="Times New Roman" w:hAnsi="Times New Roman" w:cs="Times New Roman"/>
        </w:rPr>
        <w:t xml:space="preserve"> </w:t>
      </w:r>
      <w:r w:rsidRPr="00E86ACD">
        <w:rPr>
          <w:rFonts w:ascii="Times New Roman" w:hAnsi="Times New Roman" w:cs="Times New Roman"/>
          <w:sz w:val="18"/>
          <w:szCs w:val="18"/>
        </w:rPr>
        <w:t>https://www.fid.gov.lv/uploads/files/2022/Pret_Krieviju_noteikto_sankciju_apiesanas_indikatori.pdf</w:t>
      </w:r>
    </w:p>
  </w:footnote>
  <w:footnote w:id="6">
    <w:p w14:paraId="483151F7" w14:textId="2DC7C4B4" w:rsidR="00E86ACD" w:rsidRPr="00E86ACD" w:rsidRDefault="00E86ACD" w:rsidP="00593F61">
      <w:pPr>
        <w:pStyle w:val="Vresteksts"/>
        <w:jc w:val="both"/>
        <w:rPr>
          <w:rFonts w:ascii="Times New Roman" w:hAnsi="Times New Roman" w:cs="Times New Roman"/>
          <w:sz w:val="18"/>
          <w:szCs w:val="18"/>
        </w:rPr>
      </w:pPr>
      <w:r w:rsidRPr="00E86ACD">
        <w:rPr>
          <w:rStyle w:val="Vresatsauce"/>
          <w:rFonts w:ascii="Times New Roman" w:hAnsi="Times New Roman" w:cs="Times New Roman"/>
          <w:sz w:val="18"/>
          <w:szCs w:val="18"/>
        </w:rPr>
        <w:footnoteRef/>
      </w:r>
      <w:r w:rsidRPr="00E86ACD">
        <w:rPr>
          <w:rFonts w:ascii="Times New Roman" w:hAnsi="Times New Roman" w:cs="Times New Roman"/>
          <w:sz w:val="18"/>
          <w:szCs w:val="18"/>
        </w:rPr>
        <w:t xml:space="preserve"> </w:t>
      </w:r>
      <w:bookmarkStart w:id="9" w:name="_Hlk162013495"/>
      <w:r w:rsidRPr="00E86ACD">
        <w:rPr>
          <w:rFonts w:ascii="Times New Roman" w:hAnsi="Times New Roman" w:cs="Times New Roman"/>
          <w:sz w:val="18"/>
          <w:szCs w:val="18"/>
        </w:rPr>
        <w:t xml:space="preserve">Klients veic un saņem maksājumus no personām, </w:t>
      </w:r>
      <w:r w:rsidR="008064AF" w:rsidRPr="00E86ACD">
        <w:rPr>
          <w:rFonts w:ascii="Times New Roman" w:hAnsi="Times New Roman" w:cs="Times New Roman"/>
          <w:sz w:val="18"/>
          <w:szCs w:val="18"/>
        </w:rPr>
        <w:t>k</w:t>
      </w:r>
      <w:r w:rsidR="008064AF">
        <w:rPr>
          <w:rFonts w:ascii="Times New Roman" w:hAnsi="Times New Roman" w:cs="Times New Roman"/>
          <w:sz w:val="18"/>
          <w:szCs w:val="18"/>
        </w:rPr>
        <w:t>uru</w:t>
      </w:r>
      <w:r w:rsidR="008064AF" w:rsidRPr="00E86ACD">
        <w:rPr>
          <w:rFonts w:ascii="Times New Roman" w:hAnsi="Times New Roman" w:cs="Times New Roman"/>
          <w:sz w:val="18"/>
          <w:szCs w:val="18"/>
        </w:rPr>
        <w:t xml:space="preserve"> </w:t>
      </w:r>
      <w:r w:rsidRPr="00E86ACD">
        <w:rPr>
          <w:rFonts w:ascii="Times New Roman" w:hAnsi="Times New Roman" w:cs="Times New Roman"/>
          <w:sz w:val="18"/>
          <w:szCs w:val="18"/>
        </w:rPr>
        <w:t>rezidences vai reģistrācijas valsts ir Latvijai saistošajām sankcijām pakļaut</w:t>
      </w:r>
      <w:r w:rsidR="008579D3">
        <w:rPr>
          <w:rFonts w:ascii="Times New Roman" w:hAnsi="Times New Roman" w:cs="Times New Roman"/>
          <w:sz w:val="18"/>
          <w:szCs w:val="18"/>
        </w:rPr>
        <w:t>a valsts</w:t>
      </w:r>
      <w:r w:rsidR="008579D3" w:rsidRPr="00E86ACD">
        <w:rPr>
          <w:rFonts w:ascii="Times New Roman" w:hAnsi="Times New Roman" w:cs="Times New Roman"/>
          <w:sz w:val="18"/>
          <w:szCs w:val="18"/>
        </w:rPr>
        <w:t xml:space="preserve"> </w:t>
      </w:r>
      <w:r w:rsidRPr="00E86ACD">
        <w:rPr>
          <w:rFonts w:ascii="Times New Roman" w:hAnsi="Times New Roman" w:cs="Times New Roman"/>
          <w:sz w:val="18"/>
          <w:szCs w:val="18"/>
        </w:rPr>
        <w:t xml:space="preserve">vai jurisdikcija, kas nenoteic sankcijas pret Latvijai saistošajām sankcijām pakļauto </w:t>
      </w:r>
      <w:r w:rsidR="008579D3">
        <w:rPr>
          <w:rFonts w:ascii="Times New Roman" w:hAnsi="Times New Roman" w:cs="Times New Roman"/>
          <w:sz w:val="18"/>
          <w:szCs w:val="18"/>
        </w:rPr>
        <w:t>valsti</w:t>
      </w:r>
      <w:r w:rsidRPr="00E86ACD">
        <w:rPr>
          <w:rFonts w:ascii="Times New Roman" w:hAnsi="Times New Roman" w:cs="Times New Roman"/>
          <w:sz w:val="18"/>
          <w:szCs w:val="18"/>
        </w:rPr>
        <w:t>, vai ar to tieši vai netieši saistīto personu</w:t>
      </w:r>
      <w:bookmarkEnd w:id="9"/>
      <w:r w:rsidRPr="00E86ACD">
        <w:rPr>
          <w:rFonts w:ascii="Times New Roman" w:hAnsi="Times New Roman" w:cs="Times New Roman"/>
          <w:sz w:val="18"/>
          <w:szCs w:val="18"/>
        </w:rPr>
        <w:t>.</w:t>
      </w:r>
    </w:p>
  </w:footnote>
  <w:footnote w:id="7">
    <w:p w14:paraId="69D8BA4F" w14:textId="1A2FF56C" w:rsidR="00AF0A83" w:rsidRDefault="00AF0A83" w:rsidP="00AF0A83">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Informācija aktualizēta 202</w:t>
      </w:r>
      <w:r>
        <w:rPr>
          <w:rFonts w:ascii="Times New Roman" w:hAnsi="Times New Roman" w:cs="Times New Roman"/>
        </w:rPr>
        <w:t>4</w:t>
      </w:r>
      <w:r w:rsidRPr="009F7D33">
        <w:rPr>
          <w:rFonts w:ascii="Times New Roman" w:hAnsi="Times New Roman" w:cs="Times New Roman"/>
        </w:rPr>
        <w:t>.</w:t>
      </w:r>
      <w:r>
        <w:rPr>
          <w:rFonts w:ascii="Times New Roman" w:hAnsi="Times New Roman" w:cs="Times New Roman"/>
        </w:rPr>
        <w:t> </w:t>
      </w:r>
      <w:r w:rsidRPr="009F7D33">
        <w:rPr>
          <w:rFonts w:ascii="Times New Roman" w:hAnsi="Times New Roman" w:cs="Times New Roman"/>
        </w:rPr>
        <w:t xml:space="preserve">gada </w:t>
      </w:r>
      <w:r w:rsidR="001162C2">
        <w:rPr>
          <w:rFonts w:ascii="Times New Roman" w:hAnsi="Times New Roman" w:cs="Times New Roman"/>
        </w:rPr>
        <w:t>18</w:t>
      </w:r>
      <w:r w:rsidRPr="009F7D33">
        <w:rPr>
          <w:rFonts w:ascii="Times New Roman" w:hAnsi="Times New Roman" w:cs="Times New Roman"/>
        </w:rPr>
        <w:t>.</w:t>
      </w:r>
      <w:r>
        <w:rPr>
          <w:rFonts w:ascii="Times New Roman" w:hAnsi="Times New Roman" w:cs="Times New Roman"/>
        </w:rPr>
        <w:t> oktobrī</w:t>
      </w:r>
      <w:r w:rsidRPr="009F7D33">
        <w:rPr>
          <w:rFonts w:ascii="Times New Roman" w:hAnsi="Times New Roman" w:cs="Times New Roman"/>
        </w:rPr>
        <w:t>.</w:t>
      </w:r>
    </w:p>
  </w:footnote>
  <w:footnote w:id="8">
    <w:p w14:paraId="368540DD" w14:textId="5CDDF39D" w:rsidR="00270BCF" w:rsidRDefault="00270BCF" w:rsidP="00270BCF">
      <w:pPr>
        <w:pStyle w:val="Vresteksts"/>
        <w:jc w:val="both"/>
      </w:pPr>
      <w:r w:rsidRPr="009F7D33">
        <w:rPr>
          <w:rFonts w:ascii="Times New Roman" w:hAnsi="Times New Roman" w:cs="Times New Roman"/>
          <w:vertAlign w:val="superscript"/>
        </w:rPr>
        <w:footnoteRef/>
      </w:r>
      <w:r w:rsidRPr="009F7D33">
        <w:rPr>
          <w:rFonts w:ascii="Times New Roman" w:hAnsi="Times New Roman" w:cs="Times New Roman"/>
        </w:rPr>
        <w:t xml:space="preserve"> </w:t>
      </w:r>
      <w:bookmarkStart w:id="11" w:name="_Hlk107562537"/>
      <w:r w:rsidRPr="009F7D33">
        <w:rPr>
          <w:rFonts w:ascii="Times New Roman" w:hAnsi="Times New Roman" w:cs="Times New Roman"/>
        </w:rPr>
        <w:t>Informācija aktualizēta 202</w:t>
      </w:r>
      <w:r>
        <w:rPr>
          <w:rFonts w:ascii="Times New Roman" w:hAnsi="Times New Roman" w:cs="Times New Roman"/>
        </w:rPr>
        <w:t>4</w:t>
      </w:r>
      <w:r w:rsidRPr="009F7D33">
        <w:rPr>
          <w:rFonts w:ascii="Times New Roman" w:hAnsi="Times New Roman" w:cs="Times New Roman"/>
        </w:rPr>
        <w:t>.</w:t>
      </w:r>
      <w:r>
        <w:rPr>
          <w:rFonts w:ascii="Times New Roman" w:hAnsi="Times New Roman" w:cs="Times New Roman"/>
        </w:rPr>
        <w:t> </w:t>
      </w:r>
      <w:r w:rsidRPr="009F7D33">
        <w:rPr>
          <w:rFonts w:ascii="Times New Roman" w:hAnsi="Times New Roman" w:cs="Times New Roman"/>
        </w:rPr>
        <w:t xml:space="preserve">gada </w:t>
      </w:r>
      <w:r w:rsidR="001162C2">
        <w:rPr>
          <w:rFonts w:ascii="Times New Roman" w:hAnsi="Times New Roman" w:cs="Times New Roman"/>
        </w:rPr>
        <w:t>18</w:t>
      </w:r>
      <w:r w:rsidRPr="009F7D33">
        <w:rPr>
          <w:rFonts w:ascii="Times New Roman" w:hAnsi="Times New Roman" w:cs="Times New Roman"/>
        </w:rPr>
        <w:t>.</w:t>
      </w:r>
      <w:r>
        <w:rPr>
          <w:rFonts w:ascii="Times New Roman" w:hAnsi="Times New Roman" w:cs="Times New Roman"/>
        </w:rPr>
        <w:t> oktobrī</w:t>
      </w:r>
      <w:r w:rsidRPr="009F7D33">
        <w:rPr>
          <w:rFonts w:ascii="Times New Roman" w:hAnsi="Times New Roman" w:cs="Times New Roman"/>
        </w:rPr>
        <w:t>.</w:t>
      </w:r>
      <w:bookmarkEnd w:id="11"/>
    </w:p>
  </w:footnote>
  <w:footnote w:id="9">
    <w:p w14:paraId="02F647E1" w14:textId="195C64DE" w:rsidR="001B6F29" w:rsidRPr="001B6F29" w:rsidRDefault="001B6F29" w:rsidP="001B6F29">
      <w:pPr>
        <w:pStyle w:val="Vresteksts"/>
        <w:jc w:val="both"/>
        <w:rPr>
          <w:rFonts w:ascii="Times New Roman" w:hAnsi="Times New Roman" w:cs="Times New Roman"/>
          <w:sz w:val="18"/>
          <w:szCs w:val="18"/>
        </w:rPr>
      </w:pPr>
      <w:r w:rsidRPr="00D96194">
        <w:rPr>
          <w:rStyle w:val="Vresatsauce"/>
          <w:rFonts w:ascii="Times New Roman" w:hAnsi="Times New Roman" w:cs="Times New Roman"/>
          <w:sz w:val="18"/>
          <w:szCs w:val="18"/>
        </w:rPr>
        <w:footnoteRef/>
      </w:r>
      <w:r w:rsidRPr="00D96194">
        <w:rPr>
          <w:rFonts w:ascii="Times New Roman" w:hAnsi="Times New Roman" w:cs="Times New Roman"/>
          <w:sz w:val="18"/>
          <w:szCs w:val="18"/>
        </w:rPr>
        <w:t xml:space="preserve"> Piemēram, ja tiek atceltas pret personu noteiktās sankcijas vai mainās sankciju subjekta īpašumtiesības vai kontrole, bet līdzekļi un saimnieciskie resursi nav atbrīvoti no iesaldēšanas.</w:t>
      </w:r>
      <w:r w:rsidRPr="001B6F29">
        <w:rPr>
          <w:rFonts w:ascii="Times New Roman" w:hAnsi="Times New Roman" w:cs="Times New Roman"/>
          <w:sz w:val="18"/>
          <w:szCs w:val="18"/>
        </w:rPr>
        <w:t xml:space="preserve"> </w:t>
      </w:r>
    </w:p>
  </w:footnote>
  <w:footnote w:id="10">
    <w:p w14:paraId="191456FD" w14:textId="094FF40E" w:rsidR="001B6F29" w:rsidRPr="00D96194" w:rsidRDefault="001B6F29" w:rsidP="001B6F29">
      <w:pPr>
        <w:pStyle w:val="Vresteksts"/>
        <w:jc w:val="both"/>
        <w:rPr>
          <w:rFonts w:ascii="Times New Roman" w:hAnsi="Times New Roman" w:cs="Times New Roman"/>
          <w:sz w:val="18"/>
          <w:szCs w:val="18"/>
        </w:rPr>
      </w:pPr>
      <w:r w:rsidRPr="00D96194">
        <w:rPr>
          <w:rStyle w:val="Vresatsauce"/>
          <w:rFonts w:ascii="Times New Roman" w:hAnsi="Times New Roman" w:cs="Times New Roman"/>
          <w:sz w:val="18"/>
          <w:szCs w:val="18"/>
        </w:rPr>
        <w:footnoteRef/>
      </w:r>
      <w:r w:rsidRPr="00D96194">
        <w:rPr>
          <w:rFonts w:ascii="Times New Roman" w:hAnsi="Times New Roman" w:cs="Times New Roman"/>
          <w:sz w:val="18"/>
          <w:szCs w:val="18"/>
        </w:rPr>
        <w:t xml:space="preserve"> Sankciju likuma 17. panta 1. punkts.</w:t>
      </w:r>
    </w:p>
  </w:footnote>
  <w:footnote w:id="11">
    <w:p w14:paraId="26B40439" w14:textId="2EC2FC25" w:rsidR="001B6F29" w:rsidRPr="001B6F29" w:rsidRDefault="001B6F29" w:rsidP="001B6F29">
      <w:pPr>
        <w:pStyle w:val="Vresteksts"/>
        <w:jc w:val="both"/>
        <w:rPr>
          <w:rFonts w:ascii="Times New Roman" w:hAnsi="Times New Roman" w:cs="Times New Roman"/>
          <w:sz w:val="18"/>
          <w:szCs w:val="18"/>
        </w:rPr>
      </w:pPr>
      <w:r w:rsidRPr="00D96194">
        <w:rPr>
          <w:rStyle w:val="Vresatsauce"/>
          <w:rFonts w:ascii="Times New Roman" w:hAnsi="Times New Roman" w:cs="Times New Roman"/>
          <w:sz w:val="18"/>
          <w:szCs w:val="18"/>
        </w:rPr>
        <w:footnoteRef/>
      </w:r>
      <w:r w:rsidRPr="00D96194">
        <w:rPr>
          <w:rFonts w:ascii="Times New Roman" w:hAnsi="Times New Roman" w:cs="Times New Roman"/>
          <w:sz w:val="18"/>
          <w:szCs w:val="18"/>
        </w:rPr>
        <w:t xml:space="preserve"> Sankciju likuma 17. panta 2. punkts.</w:t>
      </w:r>
    </w:p>
  </w:footnote>
  <w:footnote w:id="12">
    <w:p w14:paraId="54FCB528" w14:textId="77777777" w:rsidR="00AC61AC" w:rsidRDefault="00AC61AC" w:rsidP="00AC61AC">
      <w:pPr>
        <w:pStyle w:val="Vresteksts"/>
        <w:ind w:right="-143"/>
        <w:jc w:val="both"/>
      </w:pPr>
      <w:r>
        <w:rPr>
          <w:rStyle w:val="Vresatsauce"/>
        </w:rPr>
        <w:footnoteRef/>
      </w:r>
      <w:r>
        <w:t xml:space="preserve"> </w:t>
      </w:r>
      <w:r w:rsidRPr="00AC61AC">
        <w:rPr>
          <w:rFonts w:ascii="Times New Roman" w:hAnsi="Times New Roman" w:cs="Times New Roman"/>
        </w:rPr>
        <w:t>Klients veic un saņem maksājumus no personām, kā rezidences vai reģistrācijas valsts ir Latvijai saistošajām sankcijām pakļauta valsts vai jurisdikcija, kas nenoteic sankcijas pret Latvijai saistošajām sankcijām pakļauto valsti, vai ar to tieši vai netieši saistīto personu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3FE"/>
    <w:multiLevelType w:val="hybridMultilevel"/>
    <w:tmpl w:val="3504669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03534930"/>
    <w:multiLevelType w:val="hybridMultilevel"/>
    <w:tmpl w:val="0EF4E660"/>
    <w:lvl w:ilvl="0" w:tplc="04260001">
      <w:start w:val="1"/>
      <w:numFmt w:val="bullet"/>
      <w:lvlText w:val=""/>
      <w:lvlJc w:val="left"/>
      <w:pPr>
        <w:ind w:left="2487" w:hanging="360"/>
      </w:pPr>
      <w:rPr>
        <w:rFonts w:ascii="Symbol" w:hAnsi="Symbol" w:hint="default"/>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2" w15:restartNumberingAfterBreak="0">
    <w:nsid w:val="049C0ED0"/>
    <w:multiLevelType w:val="hybridMultilevel"/>
    <w:tmpl w:val="F65A9A3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 w15:restartNumberingAfterBreak="0">
    <w:nsid w:val="125D1D1F"/>
    <w:multiLevelType w:val="hybridMultilevel"/>
    <w:tmpl w:val="A4DC0E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5854256"/>
    <w:multiLevelType w:val="hybridMultilevel"/>
    <w:tmpl w:val="61160BC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5" w15:restartNumberingAfterBreak="0">
    <w:nsid w:val="1C5A51F4"/>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DFF2BF2"/>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F2B2062"/>
    <w:multiLevelType w:val="hybridMultilevel"/>
    <w:tmpl w:val="29ACFF9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42CB1EAA"/>
    <w:multiLevelType w:val="hybridMultilevel"/>
    <w:tmpl w:val="215E7C88"/>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 w15:restartNumberingAfterBreak="0">
    <w:nsid w:val="45447333"/>
    <w:multiLevelType w:val="hybridMultilevel"/>
    <w:tmpl w:val="701EB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6D2A99"/>
    <w:multiLevelType w:val="multilevel"/>
    <w:tmpl w:val="3B0A45A0"/>
    <w:lvl w:ilvl="0">
      <w:start w:val="1"/>
      <w:numFmt w:val="decimal"/>
      <w:lvlText w:val="%1."/>
      <w:lvlJc w:val="left"/>
      <w:pPr>
        <w:ind w:left="720" w:hanging="360"/>
      </w:pPr>
      <w:rPr>
        <w:b/>
        <w:bCs/>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46450FD6"/>
    <w:multiLevelType w:val="hybridMultilevel"/>
    <w:tmpl w:val="874267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B07263"/>
    <w:multiLevelType w:val="hybridMultilevel"/>
    <w:tmpl w:val="2970FEF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3" w15:restartNumberingAfterBreak="0">
    <w:nsid w:val="48D968A0"/>
    <w:multiLevelType w:val="hybridMultilevel"/>
    <w:tmpl w:val="65969288"/>
    <w:lvl w:ilvl="0" w:tplc="54DE60B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4" w15:restartNumberingAfterBreak="0">
    <w:nsid w:val="4B3F73F3"/>
    <w:multiLevelType w:val="hybridMultilevel"/>
    <w:tmpl w:val="1F72A330"/>
    <w:lvl w:ilvl="0" w:tplc="04260001">
      <w:start w:val="1"/>
      <w:numFmt w:val="bullet"/>
      <w:lvlText w:val=""/>
      <w:lvlJc w:val="left"/>
      <w:pPr>
        <w:ind w:left="3130" w:hanging="360"/>
      </w:pPr>
      <w:rPr>
        <w:rFonts w:ascii="Symbol" w:hAnsi="Symbol" w:hint="default"/>
      </w:rPr>
    </w:lvl>
    <w:lvl w:ilvl="1" w:tplc="04260003" w:tentative="1">
      <w:start w:val="1"/>
      <w:numFmt w:val="bullet"/>
      <w:lvlText w:val="o"/>
      <w:lvlJc w:val="left"/>
      <w:pPr>
        <w:ind w:left="3850" w:hanging="360"/>
      </w:pPr>
      <w:rPr>
        <w:rFonts w:ascii="Courier New" w:hAnsi="Courier New" w:cs="Courier New" w:hint="default"/>
      </w:rPr>
    </w:lvl>
    <w:lvl w:ilvl="2" w:tplc="04260005" w:tentative="1">
      <w:start w:val="1"/>
      <w:numFmt w:val="bullet"/>
      <w:lvlText w:val=""/>
      <w:lvlJc w:val="left"/>
      <w:pPr>
        <w:ind w:left="4570" w:hanging="360"/>
      </w:pPr>
      <w:rPr>
        <w:rFonts w:ascii="Wingdings" w:hAnsi="Wingdings" w:hint="default"/>
      </w:rPr>
    </w:lvl>
    <w:lvl w:ilvl="3" w:tplc="04260001" w:tentative="1">
      <w:start w:val="1"/>
      <w:numFmt w:val="bullet"/>
      <w:lvlText w:val=""/>
      <w:lvlJc w:val="left"/>
      <w:pPr>
        <w:ind w:left="5290" w:hanging="360"/>
      </w:pPr>
      <w:rPr>
        <w:rFonts w:ascii="Symbol" w:hAnsi="Symbol" w:hint="default"/>
      </w:rPr>
    </w:lvl>
    <w:lvl w:ilvl="4" w:tplc="04260003" w:tentative="1">
      <w:start w:val="1"/>
      <w:numFmt w:val="bullet"/>
      <w:lvlText w:val="o"/>
      <w:lvlJc w:val="left"/>
      <w:pPr>
        <w:ind w:left="6010" w:hanging="360"/>
      </w:pPr>
      <w:rPr>
        <w:rFonts w:ascii="Courier New" w:hAnsi="Courier New" w:cs="Courier New" w:hint="default"/>
      </w:rPr>
    </w:lvl>
    <w:lvl w:ilvl="5" w:tplc="04260005" w:tentative="1">
      <w:start w:val="1"/>
      <w:numFmt w:val="bullet"/>
      <w:lvlText w:val=""/>
      <w:lvlJc w:val="left"/>
      <w:pPr>
        <w:ind w:left="6730" w:hanging="360"/>
      </w:pPr>
      <w:rPr>
        <w:rFonts w:ascii="Wingdings" w:hAnsi="Wingdings" w:hint="default"/>
      </w:rPr>
    </w:lvl>
    <w:lvl w:ilvl="6" w:tplc="04260001" w:tentative="1">
      <w:start w:val="1"/>
      <w:numFmt w:val="bullet"/>
      <w:lvlText w:val=""/>
      <w:lvlJc w:val="left"/>
      <w:pPr>
        <w:ind w:left="7450" w:hanging="360"/>
      </w:pPr>
      <w:rPr>
        <w:rFonts w:ascii="Symbol" w:hAnsi="Symbol" w:hint="default"/>
      </w:rPr>
    </w:lvl>
    <w:lvl w:ilvl="7" w:tplc="04260003" w:tentative="1">
      <w:start w:val="1"/>
      <w:numFmt w:val="bullet"/>
      <w:lvlText w:val="o"/>
      <w:lvlJc w:val="left"/>
      <w:pPr>
        <w:ind w:left="8170" w:hanging="360"/>
      </w:pPr>
      <w:rPr>
        <w:rFonts w:ascii="Courier New" w:hAnsi="Courier New" w:cs="Courier New" w:hint="default"/>
      </w:rPr>
    </w:lvl>
    <w:lvl w:ilvl="8" w:tplc="04260005" w:tentative="1">
      <w:start w:val="1"/>
      <w:numFmt w:val="bullet"/>
      <w:lvlText w:val=""/>
      <w:lvlJc w:val="left"/>
      <w:pPr>
        <w:ind w:left="8890" w:hanging="360"/>
      </w:pPr>
      <w:rPr>
        <w:rFonts w:ascii="Wingdings" w:hAnsi="Wingdings" w:hint="default"/>
      </w:rPr>
    </w:lvl>
  </w:abstractNum>
  <w:abstractNum w:abstractNumId="15" w15:restartNumberingAfterBreak="0">
    <w:nsid w:val="545B61D9"/>
    <w:multiLevelType w:val="hybridMultilevel"/>
    <w:tmpl w:val="374A910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57BB724C"/>
    <w:multiLevelType w:val="hybridMultilevel"/>
    <w:tmpl w:val="4FE44C9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5FC308EA"/>
    <w:multiLevelType w:val="hybridMultilevel"/>
    <w:tmpl w:val="2F16D71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62164423"/>
    <w:multiLevelType w:val="hybridMultilevel"/>
    <w:tmpl w:val="4C32690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9" w15:restartNumberingAfterBreak="0">
    <w:nsid w:val="69EE2F87"/>
    <w:multiLevelType w:val="hybridMultilevel"/>
    <w:tmpl w:val="5246D7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03C79"/>
    <w:multiLevelType w:val="hybridMultilevel"/>
    <w:tmpl w:val="6816A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862B67"/>
    <w:multiLevelType w:val="multilevel"/>
    <w:tmpl w:val="9ADA10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CA64AF1"/>
    <w:multiLevelType w:val="hybridMultilevel"/>
    <w:tmpl w:val="6EECC4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num w:numId="1" w16cid:durableId="292712586">
    <w:abstractNumId w:val="5"/>
  </w:num>
  <w:num w:numId="2" w16cid:durableId="1407190590">
    <w:abstractNumId w:val="19"/>
  </w:num>
  <w:num w:numId="3" w16cid:durableId="31154207">
    <w:abstractNumId w:val="11"/>
  </w:num>
  <w:num w:numId="4" w16cid:durableId="715735983">
    <w:abstractNumId w:val="21"/>
  </w:num>
  <w:num w:numId="5" w16cid:durableId="942804106">
    <w:abstractNumId w:val="6"/>
  </w:num>
  <w:num w:numId="6" w16cid:durableId="791823746">
    <w:abstractNumId w:val="15"/>
  </w:num>
  <w:num w:numId="7" w16cid:durableId="692003427">
    <w:abstractNumId w:val="16"/>
  </w:num>
  <w:num w:numId="8" w16cid:durableId="1991865896">
    <w:abstractNumId w:val="10"/>
  </w:num>
  <w:num w:numId="9" w16cid:durableId="2002847910">
    <w:abstractNumId w:val="22"/>
  </w:num>
  <w:num w:numId="10" w16cid:durableId="282149455">
    <w:abstractNumId w:val="4"/>
  </w:num>
  <w:num w:numId="11" w16cid:durableId="280649160">
    <w:abstractNumId w:val="2"/>
  </w:num>
  <w:num w:numId="12" w16cid:durableId="1173446344">
    <w:abstractNumId w:val="17"/>
  </w:num>
  <w:num w:numId="13" w16cid:durableId="2039428850">
    <w:abstractNumId w:val="3"/>
  </w:num>
  <w:num w:numId="14" w16cid:durableId="1800958002">
    <w:abstractNumId w:val="0"/>
  </w:num>
  <w:num w:numId="15" w16cid:durableId="262109994">
    <w:abstractNumId w:val="7"/>
  </w:num>
  <w:num w:numId="16" w16cid:durableId="1066033126">
    <w:abstractNumId w:val="12"/>
  </w:num>
  <w:num w:numId="17" w16cid:durableId="2133554038">
    <w:abstractNumId w:val="9"/>
  </w:num>
  <w:num w:numId="18" w16cid:durableId="1643805189">
    <w:abstractNumId w:val="18"/>
  </w:num>
  <w:num w:numId="19" w16cid:durableId="1447042162">
    <w:abstractNumId w:val="1"/>
  </w:num>
  <w:num w:numId="20" w16cid:durableId="1534492459">
    <w:abstractNumId w:val="20"/>
  </w:num>
  <w:num w:numId="21" w16cid:durableId="1696274781">
    <w:abstractNumId w:val="14"/>
  </w:num>
  <w:num w:numId="22" w16cid:durableId="1364868891">
    <w:abstractNumId w:val="13"/>
  </w:num>
  <w:num w:numId="23" w16cid:durableId="874661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C"/>
    <w:rsid w:val="00007748"/>
    <w:rsid w:val="000266FB"/>
    <w:rsid w:val="00032F05"/>
    <w:rsid w:val="000347A7"/>
    <w:rsid w:val="00034EA4"/>
    <w:rsid w:val="00035488"/>
    <w:rsid w:val="00035F8D"/>
    <w:rsid w:val="000453E4"/>
    <w:rsid w:val="00055C65"/>
    <w:rsid w:val="0006153F"/>
    <w:rsid w:val="00076323"/>
    <w:rsid w:val="00077CFA"/>
    <w:rsid w:val="00083F95"/>
    <w:rsid w:val="000852CF"/>
    <w:rsid w:val="00093C9D"/>
    <w:rsid w:val="000A006C"/>
    <w:rsid w:val="000B070B"/>
    <w:rsid w:val="000C16E6"/>
    <w:rsid w:val="000C28DC"/>
    <w:rsid w:val="000D4C1B"/>
    <w:rsid w:val="000E65AC"/>
    <w:rsid w:val="000E7CD4"/>
    <w:rsid w:val="000F3701"/>
    <w:rsid w:val="000F4587"/>
    <w:rsid w:val="000F7515"/>
    <w:rsid w:val="001007ED"/>
    <w:rsid w:val="00103D45"/>
    <w:rsid w:val="001072B2"/>
    <w:rsid w:val="00110F86"/>
    <w:rsid w:val="00114564"/>
    <w:rsid w:val="001162C2"/>
    <w:rsid w:val="00120E63"/>
    <w:rsid w:val="00121B8B"/>
    <w:rsid w:val="00125B48"/>
    <w:rsid w:val="00133A64"/>
    <w:rsid w:val="0014176F"/>
    <w:rsid w:val="001419B5"/>
    <w:rsid w:val="00157CE7"/>
    <w:rsid w:val="0016121E"/>
    <w:rsid w:val="001654BC"/>
    <w:rsid w:val="001937BA"/>
    <w:rsid w:val="001B6F29"/>
    <w:rsid w:val="001E5862"/>
    <w:rsid w:val="001E5BCF"/>
    <w:rsid w:val="001F225C"/>
    <w:rsid w:val="001F6D75"/>
    <w:rsid w:val="001F7E64"/>
    <w:rsid w:val="00214532"/>
    <w:rsid w:val="00217473"/>
    <w:rsid w:val="00225EB4"/>
    <w:rsid w:val="00233076"/>
    <w:rsid w:val="00237167"/>
    <w:rsid w:val="00253A56"/>
    <w:rsid w:val="00270BCF"/>
    <w:rsid w:val="00281D4B"/>
    <w:rsid w:val="00292750"/>
    <w:rsid w:val="002C097E"/>
    <w:rsid w:val="002D14BB"/>
    <w:rsid w:val="002D6708"/>
    <w:rsid w:val="002D696B"/>
    <w:rsid w:val="002E198A"/>
    <w:rsid w:val="002F002E"/>
    <w:rsid w:val="002F6676"/>
    <w:rsid w:val="003163CC"/>
    <w:rsid w:val="00353A2A"/>
    <w:rsid w:val="00363D87"/>
    <w:rsid w:val="00366CBB"/>
    <w:rsid w:val="00367171"/>
    <w:rsid w:val="00392215"/>
    <w:rsid w:val="00392A63"/>
    <w:rsid w:val="003931E3"/>
    <w:rsid w:val="003A2D40"/>
    <w:rsid w:val="003B110E"/>
    <w:rsid w:val="003B5B61"/>
    <w:rsid w:val="003C07F8"/>
    <w:rsid w:val="003D0CC0"/>
    <w:rsid w:val="003D33C2"/>
    <w:rsid w:val="003D6849"/>
    <w:rsid w:val="003E0904"/>
    <w:rsid w:val="003E4DB5"/>
    <w:rsid w:val="003E58DD"/>
    <w:rsid w:val="003F2080"/>
    <w:rsid w:val="00403516"/>
    <w:rsid w:val="0041398E"/>
    <w:rsid w:val="00417B94"/>
    <w:rsid w:val="004304DA"/>
    <w:rsid w:val="00432A92"/>
    <w:rsid w:val="004341CA"/>
    <w:rsid w:val="00443730"/>
    <w:rsid w:val="00443B7D"/>
    <w:rsid w:val="004538DF"/>
    <w:rsid w:val="0045426F"/>
    <w:rsid w:val="00475772"/>
    <w:rsid w:val="004765A1"/>
    <w:rsid w:val="00483866"/>
    <w:rsid w:val="0048409E"/>
    <w:rsid w:val="00487831"/>
    <w:rsid w:val="00496AF7"/>
    <w:rsid w:val="004A0790"/>
    <w:rsid w:val="004A0B57"/>
    <w:rsid w:val="004C2E0D"/>
    <w:rsid w:val="004E74EA"/>
    <w:rsid w:val="004E75D9"/>
    <w:rsid w:val="004F47F2"/>
    <w:rsid w:val="0050240A"/>
    <w:rsid w:val="00511310"/>
    <w:rsid w:val="0052452F"/>
    <w:rsid w:val="00531637"/>
    <w:rsid w:val="0054350E"/>
    <w:rsid w:val="005452F5"/>
    <w:rsid w:val="005517FF"/>
    <w:rsid w:val="00582D4D"/>
    <w:rsid w:val="00583644"/>
    <w:rsid w:val="00593F61"/>
    <w:rsid w:val="005A33E6"/>
    <w:rsid w:val="005B1A83"/>
    <w:rsid w:val="005C2BBE"/>
    <w:rsid w:val="0061655A"/>
    <w:rsid w:val="00634A29"/>
    <w:rsid w:val="006400A4"/>
    <w:rsid w:val="00641EFB"/>
    <w:rsid w:val="00650CA8"/>
    <w:rsid w:val="006533E9"/>
    <w:rsid w:val="00657C27"/>
    <w:rsid w:val="00664479"/>
    <w:rsid w:val="00667AB3"/>
    <w:rsid w:val="00673214"/>
    <w:rsid w:val="00677F5C"/>
    <w:rsid w:val="00681F64"/>
    <w:rsid w:val="00691AA3"/>
    <w:rsid w:val="006963A4"/>
    <w:rsid w:val="00697E58"/>
    <w:rsid w:val="006A19FE"/>
    <w:rsid w:val="006B070E"/>
    <w:rsid w:val="006C70DB"/>
    <w:rsid w:val="006D03E3"/>
    <w:rsid w:val="006D1803"/>
    <w:rsid w:val="006F0BA7"/>
    <w:rsid w:val="006F22F6"/>
    <w:rsid w:val="006F5896"/>
    <w:rsid w:val="006F708F"/>
    <w:rsid w:val="00712D00"/>
    <w:rsid w:val="00713A7D"/>
    <w:rsid w:val="00717748"/>
    <w:rsid w:val="00727E26"/>
    <w:rsid w:val="00731431"/>
    <w:rsid w:val="00740C3B"/>
    <w:rsid w:val="00746786"/>
    <w:rsid w:val="007503A8"/>
    <w:rsid w:val="00764B7C"/>
    <w:rsid w:val="00770AE1"/>
    <w:rsid w:val="00771530"/>
    <w:rsid w:val="00781E35"/>
    <w:rsid w:val="007847D2"/>
    <w:rsid w:val="00785AC5"/>
    <w:rsid w:val="0079622F"/>
    <w:rsid w:val="007A237D"/>
    <w:rsid w:val="007B0E53"/>
    <w:rsid w:val="007D6B45"/>
    <w:rsid w:val="007D6B62"/>
    <w:rsid w:val="007F3726"/>
    <w:rsid w:val="008064AF"/>
    <w:rsid w:val="00815512"/>
    <w:rsid w:val="00847C8E"/>
    <w:rsid w:val="00855D52"/>
    <w:rsid w:val="008579D3"/>
    <w:rsid w:val="008650D0"/>
    <w:rsid w:val="00881FD9"/>
    <w:rsid w:val="00895FA2"/>
    <w:rsid w:val="00897125"/>
    <w:rsid w:val="008A1412"/>
    <w:rsid w:val="008C6688"/>
    <w:rsid w:val="008D2026"/>
    <w:rsid w:val="008D211A"/>
    <w:rsid w:val="008D3153"/>
    <w:rsid w:val="008F6402"/>
    <w:rsid w:val="008F7A51"/>
    <w:rsid w:val="00901B8C"/>
    <w:rsid w:val="00906EE3"/>
    <w:rsid w:val="00922FAF"/>
    <w:rsid w:val="00923049"/>
    <w:rsid w:val="009278B9"/>
    <w:rsid w:val="00931866"/>
    <w:rsid w:val="00931E64"/>
    <w:rsid w:val="00934264"/>
    <w:rsid w:val="00955D1E"/>
    <w:rsid w:val="009628CD"/>
    <w:rsid w:val="00965BE3"/>
    <w:rsid w:val="00974232"/>
    <w:rsid w:val="009753D8"/>
    <w:rsid w:val="00981D3A"/>
    <w:rsid w:val="00985D31"/>
    <w:rsid w:val="00986644"/>
    <w:rsid w:val="00986E75"/>
    <w:rsid w:val="00997DAF"/>
    <w:rsid w:val="009A1DDB"/>
    <w:rsid w:val="009B1621"/>
    <w:rsid w:val="009B1844"/>
    <w:rsid w:val="009B7AB8"/>
    <w:rsid w:val="009C1575"/>
    <w:rsid w:val="009D106A"/>
    <w:rsid w:val="009D20B2"/>
    <w:rsid w:val="00A16AE1"/>
    <w:rsid w:val="00A305D0"/>
    <w:rsid w:val="00A36CD7"/>
    <w:rsid w:val="00A42B50"/>
    <w:rsid w:val="00A545FD"/>
    <w:rsid w:val="00A54CB7"/>
    <w:rsid w:val="00A75DD4"/>
    <w:rsid w:val="00A8078F"/>
    <w:rsid w:val="00A8493A"/>
    <w:rsid w:val="00AB31F7"/>
    <w:rsid w:val="00AC4366"/>
    <w:rsid w:val="00AC61AC"/>
    <w:rsid w:val="00AE3075"/>
    <w:rsid w:val="00AE4DA6"/>
    <w:rsid w:val="00AE7BDB"/>
    <w:rsid w:val="00AF0A83"/>
    <w:rsid w:val="00B16450"/>
    <w:rsid w:val="00B54510"/>
    <w:rsid w:val="00B546BB"/>
    <w:rsid w:val="00B63F21"/>
    <w:rsid w:val="00B718B2"/>
    <w:rsid w:val="00B85F08"/>
    <w:rsid w:val="00BB4F5A"/>
    <w:rsid w:val="00BB4FCA"/>
    <w:rsid w:val="00BC604D"/>
    <w:rsid w:val="00BD717E"/>
    <w:rsid w:val="00BE00FC"/>
    <w:rsid w:val="00BE017A"/>
    <w:rsid w:val="00BE1ABF"/>
    <w:rsid w:val="00BE3EB5"/>
    <w:rsid w:val="00BF5DCE"/>
    <w:rsid w:val="00C1146B"/>
    <w:rsid w:val="00C144B4"/>
    <w:rsid w:val="00C145F7"/>
    <w:rsid w:val="00C164DC"/>
    <w:rsid w:val="00C36463"/>
    <w:rsid w:val="00C50776"/>
    <w:rsid w:val="00C5196E"/>
    <w:rsid w:val="00C60CED"/>
    <w:rsid w:val="00C747CD"/>
    <w:rsid w:val="00C80062"/>
    <w:rsid w:val="00C81063"/>
    <w:rsid w:val="00CA7C2B"/>
    <w:rsid w:val="00CB3058"/>
    <w:rsid w:val="00CC142D"/>
    <w:rsid w:val="00CC4A46"/>
    <w:rsid w:val="00CD3204"/>
    <w:rsid w:val="00CE0A54"/>
    <w:rsid w:val="00CE4712"/>
    <w:rsid w:val="00CE7A60"/>
    <w:rsid w:val="00CF12D0"/>
    <w:rsid w:val="00D02F39"/>
    <w:rsid w:val="00D043D7"/>
    <w:rsid w:val="00D27E07"/>
    <w:rsid w:val="00D313CF"/>
    <w:rsid w:val="00D363DF"/>
    <w:rsid w:val="00D37A26"/>
    <w:rsid w:val="00D42655"/>
    <w:rsid w:val="00D449AF"/>
    <w:rsid w:val="00D57D2D"/>
    <w:rsid w:val="00D6397E"/>
    <w:rsid w:val="00D66211"/>
    <w:rsid w:val="00D7082E"/>
    <w:rsid w:val="00D760E6"/>
    <w:rsid w:val="00D777E1"/>
    <w:rsid w:val="00D830A3"/>
    <w:rsid w:val="00D849AE"/>
    <w:rsid w:val="00D96194"/>
    <w:rsid w:val="00DA243C"/>
    <w:rsid w:val="00DF136D"/>
    <w:rsid w:val="00E04DB0"/>
    <w:rsid w:val="00E11C0E"/>
    <w:rsid w:val="00E24551"/>
    <w:rsid w:val="00E261F3"/>
    <w:rsid w:val="00E27E7E"/>
    <w:rsid w:val="00E304D3"/>
    <w:rsid w:val="00E32406"/>
    <w:rsid w:val="00E32BBD"/>
    <w:rsid w:val="00E36C16"/>
    <w:rsid w:val="00E40DAF"/>
    <w:rsid w:val="00E527F7"/>
    <w:rsid w:val="00E56A44"/>
    <w:rsid w:val="00E60031"/>
    <w:rsid w:val="00E61AC0"/>
    <w:rsid w:val="00E645F3"/>
    <w:rsid w:val="00E86ACD"/>
    <w:rsid w:val="00E9059F"/>
    <w:rsid w:val="00E93E1C"/>
    <w:rsid w:val="00EA71E6"/>
    <w:rsid w:val="00EB1C82"/>
    <w:rsid w:val="00EB5E26"/>
    <w:rsid w:val="00EB6D61"/>
    <w:rsid w:val="00EC0635"/>
    <w:rsid w:val="00EE4694"/>
    <w:rsid w:val="00EF2928"/>
    <w:rsid w:val="00EF3634"/>
    <w:rsid w:val="00F14865"/>
    <w:rsid w:val="00F22E7A"/>
    <w:rsid w:val="00F436A6"/>
    <w:rsid w:val="00F467CC"/>
    <w:rsid w:val="00F70114"/>
    <w:rsid w:val="00F837EB"/>
    <w:rsid w:val="00F911EF"/>
    <w:rsid w:val="00F91F4C"/>
    <w:rsid w:val="00F95FC4"/>
    <w:rsid w:val="00F965B9"/>
    <w:rsid w:val="00FB69CB"/>
    <w:rsid w:val="00FB78B9"/>
    <w:rsid w:val="00FD0CC9"/>
    <w:rsid w:val="00FD4924"/>
    <w:rsid w:val="00FF6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782D"/>
  <w15:chartTrackingRefBased/>
  <w15:docId w15:val="{DFF50B14-DE52-4E95-A8E7-4C3F3626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9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E9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93E1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93E1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93E1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93E1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93E1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93E1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93E1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3E1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sid w:val="00E93E1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93E1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93E1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93E1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93E1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93E1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93E1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93E1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93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93E1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93E1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93E1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93E1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93E1C"/>
    <w:rPr>
      <w:i/>
      <w:iCs/>
      <w:color w:val="404040" w:themeColor="text1" w:themeTint="BF"/>
    </w:rPr>
  </w:style>
  <w:style w:type="paragraph" w:styleId="Sarakstarindkopa">
    <w:name w:val="List Paragraph"/>
    <w:basedOn w:val="Parasts"/>
    <w:uiPriority w:val="34"/>
    <w:qFormat/>
    <w:rsid w:val="00E93E1C"/>
    <w:pPr>
      <w:ind w:left="720"/>
      <w:contextualSpacing/>
    </w:pPr>
  </w:style>
  <w:style w:type="character" w:styleId="Intensvsizclums">
    <w:name w:val="Intense Emphasis"/>
    <w:basedOn w:val="Noklusjumarindkopasfonts"/>
    <w:uiPriority w:val="21"/>
    <w:qFormat/>
    <w:rsid w:val="00E93E1C"/>
    <w:rPr>
      <w:i/>
      <w:iCs/>
      <w:color w:val="0F4761" w:themeColor="accent1" w:themeShade="BF"/>
    </w:rPr>
  </w:style>
  <w:style w:type="paragraph" w:styleId="Intensvscitts">
    <w:name w:val="Intense Quote"/>
    <w:basedOn w:val="Parasts"/>
    <w:next w:val="Parasts"/>
    <w:link w:val="IntensvscittsRakstz"/>
    <w:uiPriority w:val="30"/>
    <w:qFormat/>
    <w:rsid w:val="00E9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93E1C"/>
    <w:rPr>
      <w:i/>
      <w:iCs/>
      <w:color w:val="0F4761" w:themeColor="accent1" w:themeShade="BF"/>
    </w:rPr>
  </w:style>
  <w:style w:type="character" w:styleId="Intensvaatsauce">
    <w:name w:val="Intense Reference"/>
    <w:basedOn w:val="Noklusjumarindkopasfonts"/>
    <w:uiPriority w:val="32"/>
    <w:qFormat/>
    <w:rsid w:val="00E93E1C"/>
    <w:rPr>
      <w:b/>
      <w:bCs/>
      <w:smallCaps/>
      <w:color w:val="0F4761" w:themeColor="accent1" w:themeShade="BF"/>
      <w:spacing w:val="5"/>
    </w:rPr>
  </w:style>
  <w:style w:type="paragraph" w:styleId="Galvene">
    <w:name w:val="header"/>
    <w:basedOn w:val="Parasts"/>
    <w:link w:val="GalveneRakstz"/>
    <w:uiPriority w:val="99"/>
    <w:unhideWhenUsed/>
    <w:rsid w:val="00E04D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4DB0"/>
  </w:style>
  <w:style w:type="paragraph" w:styleId="Kjene">
    <w:name w:val="footer"/>
    <w:basedOn w:val="Parasts"/>
    <w:link w:val="KjeneRakstz"/>
    <w:uiPriority w:val="99"/>
    <w:unhideWhenUsed/>
    <w:rsid w:val="00E04D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4DB0"/>
  </w:style>
  <w:style w:type="paragraph" w:styleId="Vresteksts">
    <w:name w:val="footnote text"/>
    <w:basedOn w:val="Parasts"/>
    <w:link w:val="VrestekstsRakstz"/>
    <w:uiPriority w:val="99"/>
    <w:unhideWhenUsed/>
    <w:rsid w:val="001F6D75"/>
    <w:pPr>
      <w:spacing w:after="0" w:line="240" w:lineRule="auto"/>
    </w:pPr>
    <w:rPr>
      <w:sz w:val="20"/>
      <w:szCs w:val="20"/>
    </w:rPr>
  </w:style>
  <w:style w:type="character" w:customStyle="1" w:styleId="VrestekstsRakstz">
    <w:name w:val="Vēres teksts Rakstz."/>
    <w:basedOn w:val="Noklusjumarindkopasfonts"/>
    <w:link w:val="Vresteksts"/>
    <w:uiPriority w:val="99"/>
    <w:rsid w:val="001F6D75"/>
    <w:rPr>
      <w:sz w:val="20"/>
      <w:szCs w:val="20"/>
    </w:rPr>
  </w:style>
  <w:style w:type="character" w:styleId="Vresatsauce">
    <w:name w:val="footnote reference"/>
    <w:basedOn w:val="Noklusjumarindkopasfonts"/>
    <w:uiPriority w:val="99"/>
    <w:unhideWhenUsed/>
    <w:rsid w:val="001F6D75"/>
    <w:rPr>
      <w:vertAlign w:val="superscript"/>
    </w:rPr>
  </w:style>
  <w:style w:type="character" w:styleId="Hipersaite">
    <w:name w:val="Hyperlink"/>
    <w:basedOn w:val="Noklusjumarindkopasfonts"/>
    <w:uiPriority w:val="99"/>
    <w:unhideWhenUsed/>
    <w:rsid w:val="002C097E"/>
    <w:rPr>
      <w:color w:val="467886" w:themeColor="hyperlink"/>
      <w:u w:val="single"/>
    </w:rPr>
  </w:style>
  <w:style w:type="character" w:styleId="Neatrisintapieminana">
    <w:name w:val="Unresolved Mention"/>
    <w:basedOn w:val="Noklusjumarindkopasfonts"/>
    <w:uiPriority w:val="99"/>
    <w:semiHidden/>
    <w:unhideWhenUsed/>
    <w:rsid w:val="002C097E"/>
    <w:rPr>
      <w:color w:val="605E5C"/>
      <w:shd w:val="clear" w:color="auto" w:fill="E1DFDD"/>
    </w:rPr>
  </w:style>
  <w:style w:type="character" w:styleId="Komentraatsauce">
    <w:name w:val="annotation reference"/>
    <w:basedOn w:val="Noklusjumarindkopasfonts"/>
    <w:uiPriority w:val="99"/>
    <w:semiHidden/>
    <w:unhideWhenUsed/>
    <w:rsid w:val="004341CA"/>
    <w:rPr>
      <w:sz w:val="16"/>
      <w:szCs w:val="16"/>
    </w:rPr>
  </w:style>
  <w:style w:type="paragraph" w:styleId="Komentrateksts">
    <w:name w:val="annotation text"/>
    <w:basedOn w:val="Parasts"/>
    <w:link w:val="KomentratekstsRakstz"/>
    <w:uiPriority w:val="99"/>
    <w:unhideWhenUsed/>
    <w:rsid w:val="004341CA"/>
    <w:pPr>
      <w:spacing w:line="240" w:lineRule="auto"/>
    </w:pPr>
    <w:rPr>
      <w:sz w:val="20"/>
      <w:szCs w:val="20"/>
    </w:rPr>
  </w:style>
  <w:style w:type="character" w:customStyle="1" w:styleId="KomentratekstsRakstz">
    <w:name w:val="Komentāra teksts Rakstz."/>
    <w:basedOn w:val="Noklusjumarindkopasfonts"/>
    <w:link w:val="Komentrateksts"/>
    <w:uiPriority w:val="99"/>
    <w:rsid w:val="004341CA"/>
    <w:rPr>
      <w:sz w:val="20"/>
      <w:szCs w:val="20"/>
    </w:rPr>
  </w:style>
  <w:style w:type="paragraph" w:styleId="Komentratma">
    <w:name w:val="annotation subject"/>
    <w:basedOn w:val="Komentrateksts"/>
    <w:next w:val="Komentrateksts"/>
    <w:link w:val="KomentratmaRakstz"/>
    <w:uiPriority w:val="99"/>
    <w:semiHidden/>
    <w:unhideWhenUsed/>
    <w:rsid w:val="004341CA"/>
    <w:rPr>
      <w:b/>
      <w:bCs/>
    </w:rPr>
  </w:style>
  <w:style w:type="character" w:customStyle="1" w:styleId="KomentratmaRakstz">
    <w:name w:val="Komentāra tēma Rakstz."/>
    <w:basedOn w:val="KomentratekstsRakstz"/>
    <w:link w:val="Komentratma"/>
    <w:uiPriority w:val="99"/>
    <w:semiHidden/>
    <w:rsid w:val="004341CA"/>
    <w:rPr>
      <w:b/>
      <w:bCs/>
      <w:sz w:val="20"/>
      <w:szCs w:val="20"/>
    </w:rPr>
  </w:style>
  <w:style w:type="paragraph" w:styleId="Saturardtjavirsraksts">
    <w:name w:val="TOC Heading"/>
    <w:basedOn w:val="Virsraksts1"/>
    <w:next w:val="Parasts"/>
    <w:uiPriority w:val="39"/>
    <w:unhideWhenUsed/>
    <w:qFormat/>
    <w:rsid w:val="00923049"/>
    <w:pPr>
      <w:spacing w:before="240" w:after="0"/>
      <w:outlineLvl w:val="9"/>
    </w:pPr>
    <w:rPr>
      <w:sz w:val="32"/>
      <w:szCs w:val="32"/>
      <w:lang w:eastAsia="lv-LV"/>
    </w:rPr>
  </w:style>
  <w:style w:type="paragraph" w:styleId="Saturs1">
    <w:name w:val="toc 1"/>
    <w:basedOn w:val="Parasts"/>
    <w:next w:val="Parasts"/>
    <w:autoRedefine/>
    <w:uiPriority w:val="39"/>
    <w:unhideWhenUsed/>
    <w:rsid w:val="00923049"/>
    <w:pPr>
      <w:spacing w:after="100"/>
    </w:pPr>
  </w:style>
  <w:style w:type="paragraph" w:styleId="Saturs2">
    <w:name w:val="toc 2"/>
    <w:basedOn w:val="Parasts"/>
    <w:next w:val="Parasts"/>
    <w:autoRedefine/>
    <w:uiPriority w:val="39"/>
    <w:unhideWhenUsed/>
    <w:rsid w:val="00923049"/>
    <w:pPr>
      <w:spacing w:after="100"/>
      <w:ind w:left="220"/>
    </w:pPr>
  </w:style>
  <w:style w:type="paragraph" w:styleId="Prskatjums">
    <w:name w:val="Revision"/>
    <w:hidden/>
    <w:uiPriority w:val="99"/>
    <w:semiHidden/>
    <w:rsid w:val="005452F5"/>
    <w:pPr>
      <w:spacing w:after="0" w:line="240" w:lineRule="auto"/>
    </w:pPr>
  </w:style>
  <w:style w:type="character" w:styleId="Izmantotahipersaite">
    <w:name w:val="FollowedHyperlink"/>
    <w:basedOn w:val="Noklusjumarindkopasfonts"/>
    <w:uiPriority w:val="99"/>
    <w:semiHidden/>
    <w:unhideWhenUsed/>
    <w:rsid w:val="009B1844"/>
    <w:rPr>
      <w:color w:val="96607D" w:themeColor="followedHyperlink"/>
      <w:u w:val="single"/>
    </w:rPr>
  </w:style>
  <w:style w:type="paragraph" w:customStyle="1" w:styleId="TableParagraph">
    <w:name w:val="Table Paragraph"/>
    <w:basedOn w:val="Parasts"/>
    <w:uiPriority w:val="1"/>
    <w:qFormat/>
    <w:rsid w:val="00133A64"/>
    <w:pPr>
      <w:widowControl w:val="0"/>
      <w:autoSpaceDE w:val="0"/>
      <w:autoSpaceDN w:val="0"/>
      <w:spacing w:after="0" w:line="240" w:lineRule="auto"/>
    </w:pPr>
    <w:rPr>
      <w:rFonts w:ascii="Times New Roman" w:eastAsia="Times New Roman" w:hAnsi="Times New Roman" w:cs="Times New Roman"/>
    </w:rPr>
  </w:style>
  <w:style w:type="paragraph" w:styleId="Pamatteksts">
    <w:name w:val="Body Text"/>
    <w:basedOn w:val="Parasts"/>
    <w:link w:val="PamattekstsRakstz"/>
    <w:uiPriority w:val="1"/>
    <w:qFormat/>
    <w:rsid w:val="00AC61AC"/>
    <w:pPr>
      <w:widowControl w:val="0"/>
      <w:autoSpaceDE w:val="0"/>
      <w:autoSpaceDN w:val="0"/>
      <w:spacing w:after="0" w:line="240" w:lineRule="auto"/>
      <w:jc w:val="both"/>
    </w:pPr>
    <w:rPr>
      <w:rFonts w:ascii="Times New Roman" w:eastAsia="Times New Roman" w:hAnsi="Times New Roman" w:cs="Times New Roman"/>
      <w:szCs w:val="20"/>
    </w:rPr>
  </w:style>
  <w:style w:type="character" w:customStyle="1" w:styleId="PamattekstsRakstz">
    <w:name w:val="Pamatteksts Rakstz."/>
    <w:basedOn w:val="Noklusjumarindkopasfonts"/>
    <w:link w:val="Pamatteksts"/>
    <w:uiPriority w:val="1"/>
    <w:rsid w:val="00AC61AC"/>
    <w:rPr>
      <w:rFonts w:ascii="Times New Roman" w:eastAsia="Times New Roman" w:hAnsi="Times New Roman" w:cs="Times New Roman"/>
      <w:szCs w:val="20"/>
    </w:rPr>
  </w:style>
  <w:style w:type="paragraph" w:styleId="Bezatstarpm">
    <w:name w:val="No Spacing"/>
    <w:uiPriority w:val="1"/>
    <w:qFormat/>
    <w:rsid w:val="00AC6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ctionsmap.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kcijas.lursoft.lv/site/index" TargetMode="External"/><Relationship Id="rId4" Type="http://schemas.openxmlformats.org/officeDocument/2006/relationships/settings" Target="settings.xml"/><Relationship Id="rId9" Type="http://schemas.openxmlformats.org/officeDocument/2006/relationships/hyperlink" Target="https://sankcijas.fid.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kd.gov.lv/lv/media/279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3226-CE13-4D95-A112-E119DC29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17917</Words>
  <Characters>10214</Characters>
  <Application>Microsoft Office Word</Application>
  <DocSecurity>4</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Viļuma</dc:creator>
  <cp:keywords/>
  <dc:description/>
  <cp:lastModifiedBy>Digna Matuzala</cp:lastModifiedBy>
  <cp:revision>2</cp:revision>
  <dcterms:created xsi:type="dcterms:W3CDTF">2024-10-22T13:24:00Z</dcterms:created>
  <dcterms:modified xsi:type="dcterms:W3CDTF">2024-10-22T13:24:00Z</dcterms:modified>
</cp:coreProperties>
</file>