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CA21" w14:textId="571991B1" w:rsidR="00081A4C" w:rsidRDefault="00081A4C" w:rsidP="00081A4C">
      <w:r w:rsidRPr="00081A4C">
        <w:rPr>
          <w:rFonts w:asciiTheme="majorHAnsi" w:hAnsiTheme="majorHAnsi" w:cstheme="majorHAnsi"/>
          <w:noProof/>
          <w:sz w:val="24"/>
          <w:szCs w:val="24"/>
        </w:rPr>
        <mc:AlternateContent>
          <mc:Choice Requires="wps">
            <w:drawing>
              <wp:anchor distT="45720" distB="45720" distL="114300" distR="114300" simplePos="0" relativeHeight="251663364" behindDoc="0" locked="0" layoutInCell="1" allowOverlap="1" wp14:anchorId="283D87E8" wp14:editId="6A7656A0">
                <wp:simplePos x="0" y="0"/>
                <wp:positionH relativeFrom="margin">
                  <wp:align>left</wp:align>
                </wp:positionH>
                <wp:positionV relativeFrom="paragraph">
                  <wp:posOffset>8458038</wp:posOffset>
                </wp:positionV>
                <wp:extent cx="711835" cy="1404620"/>
                <wp:effectExtent l="0" t="0" r="0" b="0"/>
                <wp:wrapSquare wrapText="bothSides"/>
                <wp:docPr id="135403027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4620"/>
                        </a:xfrm>
                        <a:prstGeom prst="rect">
                          <a:avLst/>
                        </a:prstGeom>
                        <a:noFill/>
                        <a:ln w="9525">
                          <a:noFill/>
                          <a:miter lim="800000"/>
                          <a:headEnd/>
                          <a:tailEnd/>
                        </a:ln>
                      </wps:spPr>
                      <wps:txbx>
                        <w:txbxContent>
                          <w:p w14:paraId="6B159394" w14:textId="21C84A05" w:rsidR="00081A4C" w:rsidRPr="00081A4C" w:rsidRDefault="00081A4C">
                            <w:pPr>
                              <w:rPr>
                                <w:rFonts w:asciiTheme="majorHAnsi" w:hAnsiTheme="majorHAnsi" w:cstheme="majorHAnsi"/>
                                <w:b/>
                                <w:bCs/>
                                <w:color w:val="2F5496" w:themeColor="accent1" w:themeShade="BF"/>
                                <w:sz w:val="24"/>
                                <w:szCs w:val="24"/>
                              </w:rPr>
                            </w:pPr>
                            <w:r w:rsidRPr="00081A4C">
                              <w:rPr>
                                <w:rFonts w:asciiTheme="majorHAnsi" w:hAnsiTheme="majorHAnsi" w:cstheme="majorHAnsi"/>
                                <w:b/>
                                <w:bCs/>
                                <w:color w:val="2F5496" w:themeColor="accent1" w:themeShade="BF"/>
                                <w:sz w:val="24"/>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D87E8" id="_x0000_t202" coordsize="21600,21600" o:spt="202" path="m,l,21600r21600,l21600,xe">
                <v:stroke joinstyle="miter"/>
                <v:path gradientshapeok="t" o:connecttype="rect"/>
              </v:shapetype>
              <v:shape id="Tekstlodziņš 2" o:spid="_x0000_s1026" type="#_x0000_t202" style="position:absolute;margin-left:0;margin-top:666pt;width:56.05pt;height:110.6pt;z-index:2516633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vy+gEAAM0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" filled="f" stroked="f">
                <v:textbox style="mso-fit-shape-to-text:t">
                  <w:txbxContent>
                    <w:p w14:paraId="6B159394" w14:textId="21C84A05" w:rsidR="00081A4C" w:rsidRPr="00081A4C" w:rsidRDefault="00081A4C">
                      <w:pPr>
                        <w:rPr>
                          <w:rFonts w:asciiTheme="majorHAnsi" w:hAnsiTheme="majorHAnsi" w:cstheme="majorHAnsi"/>
                          <w:b/>
                          <w:bCs/>
                          <w:color w:val="2F5496" w:themeColor="accent1" w:themeShade="BF"/>
                          <w:sz w:val="24"/>
                          <w:szCs w:val="24"/>
                        </w:rPr>
                      </w:pPr>
                      <w:r w:rsidRPr="00081A4C">
                        <w:rPr>
                          <w:rFonts w:asciiTheme="majorHAnsi" w:hAnsiTheme="majorHAnsi" w:cstheme="majorHAnsi"/>
                          <w:b/>
                          <w:bCs/>
                          <w:color w:val="2F5496" w:themeColor="accent1" w:themeShade="BF"/>
                          <w:sz w:val="24"/>
                          <w:szCs w:val="24"/>
                        </w:rPr>
                        <w:t>2023</w:t>
                      </w:r>
                    </w:p>
                  </w:txbxContent>
                </v:textbox>
                <w10:wrap type="square" anchorx="margin"/>
              </v:shape>
            </w:pict>
          </mc:Fallback>
        </mc:AlternateContent>
      </w:r>
      <w:r>
        <w:rPr>
          <w:rFonts w:asciiTheme="majorHAnsi" w:hAnsiTheme="majorHAnsi" w:cstheme="majorHAnsi"/>
          <w:noProof/>
          <w:sz w:val="24"/>
          <w:szCs w:val="24"/>
        </w:rPr>
        <w:drawing>
          <wp:anchor distT="0" distB="0" distL="114300" distR="114300" simplePos="0" relativeHeight="251659268" behindDoc="0" locked="0" layoutInCell="1" allowOverlap="1" wp14:anchorId="4D3F94D5" wp14:editId="58E62778">
            <wp:simplePos x="0" y="0"/>
            <wp:positionH relativeFrom="margin">
              <wp:align>center</wp:align>
            </wp:positionH>
            <wp:positionV relativeFrom="margin">
              <wp:posOffset>-563880</wp:posOffset>
            </wp:positionV>
            <wp:extent cx="2073275" cy="2073275"/>
            <wp:effectExtent l="0" t="0" r="0" b="0"/>
            <wp:wrapSquare wrapText="bothSides"/>
            <wp:docPr id="1069891519" name="Attēls 1069891519" descr="Attēls, kurā ir melns, ekrānuzņēmum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91519" name="Attēls 5" descr="Attēls, kurā ir melns, ekrānuzņēmums, dizains&#10;&#10;Apraksts ģenerēts automātiski"/>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275" cy="20732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rPr>
        <mc:AlternateContent>
          <mc:Choice Requires="wps">
            <w:drawing>
              <wp:anchor distT="0" distB="0" distL="114300" distR="114300" simplePos="0" relativeHeight="251658244" behindDoc="0" locked="0" layoutInCell="1" allowOverlap="1" wp14:anchorId="6FE07392" wp14:editId="21892065">
                <wp:simplePos x="0" y="0"/>
                <wp:positionH relativeFrom="column">
                  <wp:posOffset>-611372</wp:posOffset>
                </wp:positionH>
                <wp:positionV relativeFrom="paragraph">
                  <wp:posOffset>1988288</wp:posOffset>
                </wp:positionV>
                <wp:extent cx="6535420" cy="7269200"/>
                <wp:effectExtent l="0" t="0" r="0" b="8255"/>
                <wp:wrapNone/>
                <wp:docPr id="885264650" name="Taisnleņķa trīsstūris 885264650"/>
                <wp:cNvGraphicFramePr/>
                <a:graphic xmlns:a="http://schemas.openxmlformats.org/drawingml/2006/main">
                  <a:graphicData uri="http://schemas.microsoft.com/office/word/2010/wordprocessingShape">
                    <wps:wsp>
                      <wps:cNvSpPr/>
                      <wps:spPr>
                        <a:xfrm>
                          <a:off x="0" y="0"/>
                          <a:ext cx="6535420" cy="7269200"/>
                        </a:xfrm>
                        <a:prstGeom prst="rtTriangl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C0AE3" id="_x0000_t6" coordsize="21600,21600" o:spt="6" path="m,l,21600r21600,xe">
                <v:stroke joinstyle="miter"/>
                <v:path gradientshapeok="t" o:connecttype="custom" o:connectlocs="0,0;0,10800;0,21600;10800,21600;21600,21600;10800,10800" textboxrect="1800,12600,12600,19800"/>
              </v:shapetype>
              <v:shape id="Taisnleņķa trīsstūris 885264650" o:spid="_x0000_s1026" type="#_x0000_t6" style="position:absolute;margin-left:-48.15pt;margin-top:156.55pt;width:514.6pt;height:57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" fillcolor="#deeaf6 [664]" stroked="f" strokeweight="1pt"/>
            </w:pict>
          </mc:Fallback>
        </mc:AlternateContent>
      </w:r>
      <w:r w:rsidR="00BE7BE9" w:rsidRPr="00BE7BE9">
        <w:rPr>
          <w:rFonts w:asciiTheme="majorHAnsi" w:hAnsiTheme="majorHAnsi" w:cstheme="majorHAnsi"/>
          <w:noProof/>
          <w:sz w:val="24"/>
          <w:szCs w:val="24"/>
        </w:rPr>
        <mc:AlternateContent>
          <mc:Choice Requires="wps">
            <w:drawing>
              <wp:anchor distT="45720" distB="45720" distL="114300" distR="114300" simplePos="0" relativeHeight="251661316" behindDoc="0" locked="0" layoutInCell="1" allowOverlap="1" wp14:anchorId="7F32F01E" wp14:editId="6B231482">
                <wp:simplePos x="0" y="0"/>
                <wp:positionH relativeFrom="margin">
                  <wp:align>center</wp:align>
                </wp:positionH>
                <wp:positionV relativeFrom="paragraph">
                  <wp:posOffset>3901573</wp:posOffset>
                </wp:positionV>
                <wp:extent cx="3050540" cy="1404620"/>
                <wp:effectExtent l="0" t="0" r="0" b="4445"/>
                <wp:wrapSquare wrapText="bothSides"/>
                <wp:docPr id="89148787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1404620"/>
                        </a:xfrm>
                        <a:prstGeom prst="rect">
                          <a:avLst/>
                        </a:prstGeom>
                        <a:solidFill>
                          <a:schemeClr val="bg1"/>
                        </a:solidFill>
                        <a:ln w="9525">
                          <a:noFill/>
                          <a:miter lim="800000"/>
                          <a:headEnd/>
                          <a:tailEnd/>
                        </a:ln>
                      </wps:spPr>
                      <wps:txbx>
                        <w:txbxContent>
                          <w:p w14:paraId="4A320BF2" w14:textId="2F170D19" w:rsidR="00BE7BE9" w:rsidRPr="0018034A" w:rsidRDefault="00BE7BE9" w:rsidP="0018034A">
                            <w:pPr>
                              <w:jc w:val="center"/>
                              <w:rPr>
                                <w:rFonts w:asciiTheme="majorHAnsi" w:hAnsiTheme="majorHAnsi" w:cstheme="majorHAnsi"/>
                                <w:b/>
                                <w:bCs/>
                                <w:color w:val="2F5496" w:themeColor="accent1" w:themeShade="BF"/>
                                <w:sz w:val="72"/>
                                <w:szCs w:val="72"/>
                              </w:rPr>
                            </w:pPr>
                            <w:r w:rsidRPr="0018034A">
                              <w:rPr>
                                <w:rFonts w:asciiTheme="majorHAnsi" w:hAnsiTheme="majorHAnsi" w:cstheme="majorHAnsi"/>
                                <w:b/>
                                <w:bCs/>
                                <w:color w:val="2F5496" w:themeColor="accent1" w:themeShade="BF"/>
                                <w:sz w:val="72"/>
                                <w:szCs w:val="72"/>
                              </w:rPr>
                              <w:t>U</w:t>
                            </w:r>
                            <w:r w:rsidR="003515BA" w:rsidRPr="0018034A">
                              <w:rPr>
                                <w:rFonts w:asciiTheme="majorHAnsi" w:hAnsiTheme="majorHAnsi" w:cstheme="majorHAnsi"/>
                                <w:b/>
                                <w:bCs/>
                                <w:color w:val="2F5496" w:themeColor="accent1" w:themeShade="BF"/>
                                <w:sz w:val="72"/>
                                <w:szCs w:val="72"/>
                              </w:rPr>
                              <w:t>ZRAUDZĪBAS STRATĒĢIJA</w:t>
                            </w:r>
                          </w:p>
                          <w:p w14:paraId="16432A60" w14:textId="2EE51C9A" w:rsidR="003515BA" w:rsidRPr="0018034A" w:rsidRDefault="003515BA" w:rsidP="0018034A">
                            <w:pPr>
                              <w:jc w:val="center"/>
                              <w:rPr>
                                <w:rFonts w:asciiTheme="majorHAnsi" w:hAnsiTheme="majorHAnsi" w:cstheme="majorHAnsi"/>
                                <w:b/>
                                <w:bCs/>
                                <w:color w:val="2F5496" w:themeColor="accent1" w:themeShade="BF"/>
                                <w:sz w:val="72"/>
                                <w:szCs w:val="72"/>
                              </w:rPr>
                            </w:pPr>
                            <w:r w:rsidRPr="0018034A">
                              <w:rPr>
                                <w:rFonts w:asciiTheme="majorHAnsi" w:hAnsiTheme="majorHAnsi" w:cstheme="majorHAnsi"/>
                                <w:b/>
                                <w:bCs/>
                                <w:color w:val="2F5496" w:themeColor="accent1" w:themeShade="BF"/>
                                <w:sz w:val="72"/>
                                <w:szCs w:val="72"/>
                              </w:rPr>
                              <w:t>2024</w:t>
                            </w:r>
                            <w:r w:rsidR="00081A4C">
                              <w:rPr>
                                <w:rFonts w:asciiTheme="majorHAnsi" w:hAnsiTheme="majorHAnsi" w:cstheme="majorHAnsi"/>
                                <w:b/>
                                <w:bCs/>
                                <w:color w:val="2F5496" w:themeColor="accent1" w:themeShade="BF"/>
                                <w:sz w:val="72"/>
                                <w:szCs w:val="72"/>
                              </w:rPr>
                              <w:t xml:space="preserve"> </w:t>
                            </w:r>
                            <w:r w:rsidRPr="0018034A">
                              <w:rPr>
                                <w:rFonts w:asciiTheme="majorHAnsi" w:hAnsiTheme="majorHAnsi" w:cstheme="majorHAnsi"/>
                                <w:b/>
                                <w:bCs/>
                                <w:color w:val="2F5496" w:themeColor="accent1" w:themeShade="BF"/>
                                <w:sz w:val="72"/>
                                <w:szCs w:val="72"/>
                              </w:rPr>
                              <w:t xml:space="preserve"> - 2025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2F01E" id="_x0000_s1027" type="#_x0000_t202" style="position:absolute;margin-left:0;margin-top:307.2pt;width:240.2pt;height:110.6pt;z-index:2516613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" fillcolor="white [3212]" stroked="f">
                <v:textbox style="mso-fit-shape-to-text:t">
                  <w:txbxContent>
                    <w:p w14:paraId="4A320BF2" w14:textId="2F170D19" w:rsidR="00BE7BE9" w:rsidRPr="0018034A" w:rsidRDefault="00BE7BE9" w:rsidP="0018034A">
                      <w:pPr>
                        <w:jc w:val="center"/>
                        <w:rPr>
                          <w:rFonts w:asciiTheme="majorHAnsi" w:hAnsiTheme="majorHAnsi" w:cstheme="majorHAnsi"/>
                          <w:b/>
                          <w:bCs/>
                          <w:color w:val="2F5496" w:themeColor="accent1" w:themeShade="BF"/>
                          <w:sz w:val="72"/>
                          <w:szCs w:val="72"/>
                        </w:rPr>
                      </w:pPr>
                      <w:r w:rsidRPr="0018034A">
                        <w:rPr>
                          <w:rFonts w:asciiTheme="majorHAnsi" w:hAnsiTheme="majorHAnsi" w:cstheme="majorHAnsi"/>
                          <w:b/>
                          <w:bCs/>
                          <w:color w:val="2F5496" w:themeColor="accent1" w:themeShade="BF"/>
                          <w:sz w:val="72"/>
                          <w:szCs w:val="72"/>
                        </w:rPr>
                        <w:t>U</w:t>
                      </w:r>
                      <w:r w:rsidR="003515BA" w:rsidRPr="0018034A">
                        <w:rPr>
                          <w:rFonts w:asciiTheme="majorHAnsi" w:hAnsiTheme="majorHAnsi" w:cstheme="majorHAnsi"/>
                          <w:b/>
                          <w:bCs/>
                          <w:color w:val="2F5496" w:themeColor="accent1" w:themeShade="BF"/>
                          <w:sz w:val="72"/>
                          <w:szCs w:val="72"/>
                        </w:rPr>
                        <w:t>ZRAUDZĪBAS STRATĒĢIJA</w:t>
                      </w:r>
                    </w:p>
                    <w:p w14:paraId="16432A60" w14:textId="2EE51C9A" w:rsidR="003515BA" w:rsidRPr="0018034A" w:rsidRDefault="003515BA" w:rsidP="0018034A">
                      <w:pPr>
                        <w:jc w:val="center"/>
                        <w:rPr>
                          <w:rFonts w:asciiTheme="majorHAnsi" w:hAnsiTheme="majorHAnsi" w:cstheme="majorHAnsi"/>
                          <w:b/>
                          <w:bCs/>
                          <w:color w:val="2F5496" w:themeColor="accent1" w:themeShade="BF"/>
                          <w:sz w:val="72"/>
                          <w:szCs w:val="72"/>
                        </w:rPr>
                      </w:pPr>
                      <w:r w:rsidRPr="0018034A">
                        <w:rPr>
                          <w:rFonts w:asciiTheme="majorHAnsi" w:hAnsiTheme="majorHAnsi" w:cstheme="majorHAnsi"/>
                          <w:b/>
                          <w:bCs/>
                          <w:color w:val="2F5496" w:themeColor="accent1" w:themeShade="BF"/>
                          <w:sz w:val="72"/>
                          <w:szCs w:val="72"/>
                        </w:rPr>
                        <w:t>2024</w:t>
                      </w:r>
                      <w:r w:rsidR="00081A4C">
                        <w:rPr>
                          <w:rFonts w:asciiTheme="majorHAnsi" w:hAnsiTheme="majorHAnsi" w:cstheme="majorHAnsi"/>
                          <w:b/>
                          <w:bCs/>
                          <w:color w:val="2F5496" w:themeColor="accent1" w:themeShade="BF"/>
                          <w:sz w:val="72"/>
                          <w:szCs w:val="72"/>
                        </w:rPr>
                        <w:t xml:space="preserve"> </w:t>
                      </w:r>
                      <w:r w:rsidRPr="0018034A">
                        <w:rPr>
                          <w:rFonts w:asciiTheme="majorHAnsi" w:hAnsiTheme="majorHAnsi" w:cstheme="majorHAnsi"/>
                          <w:b/>
                          <w:bCs/>
                          <w:color w:val="2F5496" w:themeColor="accent1" w:themeShade="BF"/>
                          <w:sz w:val="72"/>
                          <w:szCs w:val="72"/>
                        </w:rPr>
                        <w:t xml:space="preserve"> - 2025</w:t>
                      </w:r>
                    </w:p>
                  </w:txbxContent>
                </v:textbox>
                <w10:wrap type="square" anchorx="margin"/>
              </v:shape>
            </w:pict>
          </mc:Fallback>
        </mc:AlternateContent>
      </w:r>
      <w:r w:rsidR="00CE1D76" w:rsidRPr="0083189D">
        <w:rPr>
          <w:rFonts w:asciiTheme="majorHAnsi" w:hAnsiTheme="majorHAnsi" w:cstheme="majorHAnsi"/>
          <w:sz w:val="24"/>
          <w:szCs w:val="24"/>
        </w:rPr>
        <w:br w:type="page"/>
      </w:r>
    </w:p>
    <w:sdt>
      <w:sdtPr>
        <w:rPr>
          <w:rFonts w:asciiTheme="minorHAnsi" w:eastAsiaTheme="minorHAnsi" w:hAnsiTheme="minorHAnsi" w:cstheme="majorHAnsi"/>
          <w:color w:val="auto"/>
          <w:kern w:val="2"/>
          <w:sz w:val="22"/>
          <w:szCs w:val="22"/>
          <w:lang w:eastAsia="en-US"/>
          <w14:ligatures w14:val="standardContextual"/>
        </w:rPr>
        <w:id w:val="1674914214"/>
        <w:docPartObj>
          <w:docPartGallery w:val="Table of Contents"/>
          <w:docPartUnique/>
        </w:docPartObj>
      </w:sdtPr>
      <w:sdtEndPr>
        <w:rPr>
          <w:b/>
          <w:bCs/>
        </w:rPr>
      </w:sdtEndPr>
      <w:sdtContent>
        <w:p w14:paraId="71A56169" w14:textId="77777777" w:rsidR="0083189D" w:rsidRPr="0083189D" w:rsidRDefault="0083189D" w:rsidP="00627C36">
          <w:pPr>
            <w:pStyle w:val="Saturardtjavirsraksts"/>
            <w:spacing w:line="276" w:lineRule="auto"/>
            <w:rPr>
              <w:rFonts w:cstheme="majorHAnsi"/>
              <w:b/>
              <w:bCs/>
            </w:rPr>
          </w:pPr>
          <w:r w:rsidRPr="0083189D">
            <w:rPr>
              <w:rFonts w:cstheme="majorHAnsi"/>
              <w:b/>
              <w:bCs/>
            </w:rPr>
            <w:t>Saturs</w:t>
          </w:r>
        </w:p>
        <w:p w14:paraId="7096F6CC" w14:textId="389915CA" w:rsidR="0083189D" w:rsidRPr="0083189D" w:rsidRDefault="0083189D" w:rsidP="00627C36">
          <w:pPr>
            <w:pStyle w:val="Saturs1"/>
            <w:tabs>
              <w:tab w:val="right" w:leader="dot" w:pos="8296"/>
            </w:tabs>
            <w:spacing w:line="276" w:lineRule="auto"/>
            <w:rPr>
              <w:rFonts w:asciiTheme="majorHAnsi" w:eastAsiaTheme="minorEastAsia" w:hAnsiTheme="majorHAnsi" w:cstheme="majorHAnsi"/>
              <w:noProof/>
              <w:sz w:val="24"/>
              <w:szCs w:val="24"/>
              <w:lang w:eastAsia="lv-LV"/>
            </w:rPr>
          </w:pPr>
          <w:r w:rsidRPr="0083189D">
            <w:rPr>
              <w:rFonts w:asciiTheme="majorHAnsi" w:hAnsiTheme="majorHAnsi" w:cstheme="majorHAnsi"/>
            </w:rPr>
            <w:fldChar w:fldCharType="begin"/>
          </w:r>
          <w:r w:rsidRPr="0083189D">
            <w:rPr>
              <w:rFonts w:asciiTheme="majorHAnsi" w:hAnsiTheme="majorHAnsi" w:cstheme="majorHAnsi"/>
            </w:rPr>
            <w:instrText xml:space="preserve"> TOC \o "1-3" \h \z \u </w:instrText>
          </w:r>
          <w:r w:rsidRPr="0083189D">
            <w:rPr>
              <w:rFonts w:asciiTheme="majorHAnsi" w:hAnsiTheme="majorHAnsi" w:cstheme="majorHAnsi"/>
            </w:rPr>
            <w:fldChar w:fldCharType="separate"/>
          </w:r>
          <w:hyperlink w:anchor="_Toc154665196" w:history="1">
            <w:r w:rsidRPr="0083189D">
              <w:rPr>
                <w:rStyle w:val="Hipersaite"/>
                <w:rFonts w:asciiTheme="majorHAnsi" w:hAnsiTheme="majorHAnsi" w:cstheme="majorHAnsi"/>
                <w:noProof/>
                <w:sz w:val="24"/>
                <w:szCs w:val="24"/>
              </w:rPr>
              <w:t>Ievads</w:t>
            </w:r>
            <w:r w:rsidRPr="0083189D">
              <w:rPr>
                <w:rFonts w:asciiTheme="majorHAnsi" w:hAnsiTheme="majorHAnsi" w:cstheme="majorHAnsi"/>
                <w:noProof/>
                <w:webHidden/>
                <w:sz w:val="24"/>
                <w:szCs w:val="24"/>
              </w:rPr>
              <w:tab/>
            </w:r>
            <w:r w:rsidRPr="0083189D">
              <w:rPr>
                <w:rFonts w:asciiTheme="majorHAnsi" w:hAnsiTheme="majorHAnsi" w:cstheme="majorHAnsi"/>
                <w:noProof/>
                <w:webHidden/>
                <w:sz w:val="24"/>
                <w:szCs w:val="24"/>
              </w:rPr>
              <w:fldChar w:fldCharType="begin"/>
            </w:r>
            <w:r w:rsidRPr="0083189D">
              <w:rPr>
                <w:rFonts w:asciiTheme="majorHAnsi" w:hAnsiTheme="majorHAnsi" w:cstheme="majorHAnsi"/>
                <w:noProof/>
                <w:webHidden/>
                <w:sz w:val="24"/>
                <w:szCs w:val="24"/>
              </w:rPr>
              <w:instrText xml:space="preserve"> PAGEREF _Toc154665196 \h </w:instrText>
            </w:r>
            <w:r w:rsidRPr="0083189D">
              <w:rPr>
                <w:rFonts w:asciiTheme="majorHAnsi" w:hAnsiTheme="majorHAnsi" w:cstheme="majorHAnsi"/>
                <w:noProof/>
                <w:webHidden/>
                <w:sz w:val="24"/>
                <w:szCs w:val="24"/>
              </w:rPr>
            </w:r>
            <w:r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3</w:t>
            </w:r>
            <w:r w:rsidRPr="0083189D">
              <w:rPr>
                <w:rFonts w:asciiTheme="majorHAnsi" w:hAnsiTheme="majorHAnsi" w:cstheme="majorHAnsi"/>
                <w:noProof/>
                <w:webHidden/>
                <w:sz w:val="24"/>
                <w:szCs w:val="24"/>
              </w:rPr>
              <w:fldChar w:fldCharType="end"/>
            </w:r>
          </w:hyperlink>
        </w:p>
        <w:p w14:paraId="6A86E179" w14:textId="7C3AC859" w:rsidR="0083189D" w:rsidRPr="0083189D" w:rsidRDefault="0045187F" w:rsidP="00627C36">
          <w:pPr>
            <w:pStyle w:val="Saturs1"/>
            <w:tabs>
              <w:tab w:val="left" w:pos="440"/>
              <w:tab w:val="right" w:leader="dot" w:pos="8296"/>
            </w:tabs>
            <w:spacing w:line="276" w:lineRule="auto"/>
            <w:rPr>
              <w:rFonts w:asciiTheme="majorHAnsi" w:eastAsiaTheme="minorEastAsia" w:hAnsiTheme="majorHAnsi" w:cstheme="majorHAnsi"/>
              <w:noProof/>
              <w:sz w:val="24"/>
              <w:szCs w:val="24"/>
              <w:lang w:eastAsia="lv-LV"/>
            </w:rPr>
          </w:pPr>
          <w:hyperlink w:anchor="_Toc154665197" w:history="1">
            <w:r w:rsidR="0083189D" w:rsidRPr="0083189D">
              <w:rPr>
                <w:rStyle w:val="Hipersaite"/>
                <w:rFonts w:asciiTheme="majorHAnsi" w:hAnsiTheme="majorHAnsi" w:cstheme="majorHAnsi"/>
                <w:noProof/>
                <w:sz w:val="24"/>
                <w:szCs w:val="24"/>
              </w:rPr>
              <w:t>1.</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Uzraudzības mērķis un principi</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_Toc154665197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4</w:t>
            </w:r>
            <w:r w:rsidR="0083189D" w:rsidRPr="0083189D">
              <w:rPr>
                <w:rFonts w:asciiTheme="majorHAnsi" w:hAnsiTheme="majorHAnsi" w:cstheme="majorHAnsi"/>
                <w:noProof/>
                <w:webHidden/>
                <w:sz w:val="24"/>
                <w:szCs w:val="24"/>
              </w:rPr>
              <w:fldChar w:fldCharType="end"/>
            </w:r>
          </w:hyperlink>
        </w:p>
        <w:p w14:paraId="5384D86A" w14:textId="0176FFDA" w:rsidR="0083189D" w:rsidRPr="0083189D" w:rsidRDefault="0045187F" w:rsidP="00627C36">
          <w:pPr>
            <w:pStyle w:val="Saturs1"/>
            <w:tabs>
              <w:tab w:val="left" w:pos="440"/>
              <w:tab w:val="right" w:leader="dot" w:pos="8296"/>
            </w:tabs>
            <w:spacing w:line="276" w:lineRule="auto"/>
            <w:rPr>
              <w:rFonts w:asciiTheme="majorHAnsi" w:eastAsiaTheme="minorEastAsia" w:hAnsiTheme="majorHAnsi" w:cstheme="majorHAnsi"/>
              <w:noProof/>
              <w:sz w:val="24"/>
              <w:szCs w:val="24"/>
              <w:lang w:eastAsia="lv-LV"/>
            </w:rPr>
          </w:pPr>
          <w:hyperlink w:anchor="_Toc154665198" w:history="1">
            <w:r w:rsidR="0083189D" w:rsidRPr="0083189D">
              <w:rPr>
                <w:rStyle w:val="Hipersaite"/>
                <w:rFonts w:asciiTheme="majorHAnsi" w:hAnsiTheme="majorHAnsi" w:cstheme="majorHAnsi"/>
                <w:noProof/>
                <w:sz w:val="24"/>
                <w:szCs w:val="24"/>
              </w:rPr>
              <w:t>2.</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Identificētie riski</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_Toc154665198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5</w:t>
            </w:r>
            <w:r w:rsidR="0083189D" w:rsidRPr="0083189D">
              <w:rPr>
                <w:rFonts w:asciiTheme="majorHAnsi" w:hAnsiTheme="majorHAnsi" w:cstheme="majorHAnsi"/>
                <w:noProof/>
                <w:webHidden/>
                <w:sz w:val="24"/>
                <w:szCs w:val="24"/>
              </w:rPr>
              <w:fldChar w:fldCharType="end"/>
            </w:r>
          </w:hyperlink>
        </w:p>
        <w:p w14:paraId="2A6F4535" w14:textId="786F3358" w:rsidR="0083189D" w:rsidRPr="0083189D" w:rsidRDefault="0045187F" w:rsidP="00627C36">
          <w:pPr>
            <w:pStyle w:val="Saturs2"/>
            <w:tabs>
              <w:tab w:val="left" w:pos="880"/>
              <w:tab w:val="right" w:leader="dot" w:pos="8296"/>
            </w:tabs>
            <w:spacing w:line="276" w:lineRule="auto"/>
            <w:rPr>
              <w:rFonts w:asciiTheme="majorHAnsi" w:eastAsiaTheme="minorEastAsia" w:hAnsiTheme="majorHAnsi" w:cstheme="majorHAnsi"/>
              <w:noProof/>
              <w:sz w:val="24"/>
              <w:szCs w:val="24"/>
              <w:lang w:eastAsia="lv-LV"/>
            </w:rPr>
          </w:pPr>
          <w:hyperlink w:anchor="_Toc154665199" w:history="1">
            <w:r w:rsidR="0083189D" w:rsidRPr="0083189D">
              <w:rPr>
                <w:rStyle w:val="Hipersaite"/>
                <w:rFonts w:asciiTheme="majorHAnsi" w:hAnsiTheme="majorHAnsi" w:cstheme="majorHAnsi"/>
                <w:noProof/>
                <w:sz w:val="24"/>
                <w:szCs w:val="24"/>
              </w:rPr>
              <w:t>2.1.</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Uzraudzības pasākumu rezultātā identificētie riski</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_Toc154665199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5</w:t>
            </w:r>
            <w:r w:rsidR="0083189D" w:rsidRPr="0083189D">
              <w:rPr>
                <w:rFonts w:asciiTheme="majorHAnsi" w:hAnsiTheme="majorHAnsi" w:cstheme="majorHAnsi"/>
                <w:noProof/>
                <w:webHidden/>
                <w:sz w:val="24"/>
                <w:szCs w:val="24"/>
              </w:rPr>
              <w:fldChar w:fldCharType="end"/>
            </w:r>
          </w:hyperlink>
        </w:p>
        <w:p w14:paraId="09BECEE9" w14:textId="0A6DD304" w:rsidR="0083189D" w:rsidRPr="0083189D" w:rsidRDefault="0045187F" w:rsidP="00627C36">
          <w:pPr>
            <w:pStyle w:val="Saturs3"/>
            <w:tabs>
              <w:tab w:val="left" w:pos="1320"/>
              <w:tab w:val="right" w:leader="dot" w:pos="8296"/>
            </w:tabs>
            <w:spacing w:line="276" w:lineRule="auto"/>
            <w:rPr>
              <w:rFonts w:asciiTheme="majorHAnsi" w:eastAsiaTheme="minorEastAsia" w:hAnsiTheme="majorHAnsi" w:cstheme="majorHAnsi"/>
              <w:noProof/>
              <w:sz w:val="24"/>
              <w:szCs w:val="24"/>
              <w:lang w:eastAsia="lv-LV"/>
            </w:rPr>
          </w:pPr>
          <w:hyperlink w:anchor="_Toc154665200" w:history="1">
            <w:r w:rsidR="0083189D" w:rsidRPr="0083189D">
              <w:rPr>
                <w:rStyle w:val="Hipersaite"/>
                <w:rFonts w:asciiTheme="majorHAnsi" w:hAnsiTheme="majorHAnsi" w:cstheme="majorHAnsi"/>
                <w:noProof/>
                <w:sz w:val="24"/>
                <w:szCs w:val="24"/>
              </w:rPr>
              <w:t>2.1.1.</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Uzraudzība saskaņā ar Maksātnespējas likumu</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_Toc154665200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5</w:t>
            </w:r>
            <w:r w:rsidR="0083189D" w:rsidRPr="0083189D">
              <w:rPr>
                <w:rFonts w:asciiTheme="majorHAnsi" w:hAnsiTheme="majorHAnsi" w:cstheme="majorHAnsi"/>
                <w:noProof/>
                <w:webHidden/>
                <w:sz w:val="24"/>
                <w:szCs w:val="24"/>
              </w:rPr>
              <w:fldChar w:fldCharType="end"/>
            </w:r>
          </w:hyperlink>
        </w:p>
        <w:p w14:paraId="78146D26" w14:textId="19CD68F5" w:rsidR="0083189D" w:rsidRPr="0083189D" w:rsidRDefault="0045187F" w:rsidP="00627C36">
          <w:pPr>
            <w:pStyle w:val="Saturs3"/>
            <w:tabs>
              <w:tab w:val="right" w:leader="dot" w:pos="8296"/>
            </w:tabs>
            <w:spacing w:line="276" w:lineRule="auto"/>
            <w:rPr>
              <w:rFonts w:asciiTheme="majorHAnsi" w:eastAsiaTheme="minorEastAsia" w:hAnsiTheme="majorHAnsi" w:cstheme="majorHAnsi"/>
              <w:noProof/>
              <w:sz w:val="24"/>
              <w:szCs w:val="24"/>
              <w:lang w:eastAsia="lv-LV"/>
            </w:rPr>
          </w:pPr>
          <w:hyperlink w:anchor="_Toc154665201" w:history="1">
            <w:r w:rsidR="0083189D" w:rsidRPr="0083189D">
              <w:rPr>
                <w:rStyle w:val="Hipersaite"/>
                <w:rFonts w:asciiTheme="majorHAnsi" w:hAnsiTheme="majorHAnsi" w:cstheme="majorHAnsi"/>
                <w:noProof/>
                <w:sz w:val="24"/>
                <w:szCs w:val="24"/>
              </w:rPr>
              <w:t>2.1.2. Uzraudzība saskaņā ar Novēršanas likumu</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_Toc154665201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7</w:t>
            </w:r>
            <w:r w:rsidR="0083189D" w:rsidRPr="0083189D">
              <w:rPr>
                <w:rFonts w:asciiTheme="majorHAnsi" w:hAnsiTheme="majorHAnsi" w:cstheme="majorHAnsi"/>
                <w:noProof/>
                <w:webHidden/>
                <w:sz w:val="24"/>
                <w:szCs w:val="24"/>
              </w:rPr>
              <w:fldChar w:fldCharType="end"/>
            </w:r>
          </w:hyperlink>
        </w:p>
        <w:p w14:paraId="42AC46F6" w14:textId="50D7D620" w:rsidR="0083189D" w:rsidRPr="0083189D" w:rsidRDefault="0045187F" w:rsidP="00627C36">
          <w:pPr>
            <w:pStyle w:val="Saturs2"/>
            <w:tabs>
              <w:tab w:val="left" w:pos="880"/>
              <w:tab w:val="right" w:leader="dot" w:pos="8296"/>
            </w:tabs>
            <w:spacing w:line="276" w:lineRule="auto"/>
            <w:rPr>
              <w:rFonts w:asciiTheme="majorHAnsi" w:eastAsiaTheme="minorEastAsia" w:hAnsiTheme="majorHAnsi" w:cstheme="majorHAnsi"/>
              <w:noProof/>
              <w:sz w:val="24"/>
              <w:szCs w:val="24"/>
              <w:lang w:eastAsia="lv-LV"/>
            </w:rPr>
          </w:pPr>
          <w:hyperlink w:anchor="_Toc154665202" w:history="1">
            <w:r w:rsidR="0083189D" w:rsidRPr="0083189D">
              <w:rPr>
                <w:rStyle w:val="Hipersaite"/>
                <w:rFonts w:asciiTheme="majorHAnsi" w:hAnsiTheme="majorHAnsi" w:cstheme="majorHAnsi"/>
                <w:noProof/>
                <w:sz w:val="24"/>
                <w:szCs w:val="24"/>
              </w:rPr>
              <w:t>2.2.</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Ārējo faktoru ietekmē radušies riski</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_Toc154665202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9</w:t>
            </w:r>
            <w:r w:rsidR="0083189D" w:rsidRPr="0083189D">
              <w:rPr>
                <w:rFonts w:asciiTheme="majorHAnsi" w:hAnsiTheme="majorHAnsi" w:cstheme="majorHAnsi"/>
                <w:noProof/>
                <w:webHidden/>
                <w:sz w:val="24"/>
                <w:szCs w:val="24"/>
              </w:rPr>
              <w:fldChar w:fldCharType="end"/>
            </w:r>
          </w:hyperlink>
        </w:p>
        <w:p w14:paraId="662B2474" w14:textId="0A21AD6D" w:rsidR="0083189D" w:rsidRPr="0083189D" w:rsidRDefault="0045187F" w:rsidP="00627C36">
          <w:pPr>
            <w:pStyle w:val="Saturs3"/>
            <w:tabs>
              <w:tab w:val="left" w:pos="1320"/>
              <w:tab w:val="right" w:leader="dot" w:pos="8296"/>
            </w:tabs>
            <w:spacing w:line="276" w:lineRule="auto"/>
            <w:rPr>
              <w:rFonts w:asciiTheme="majorHAnsi" w:eastAsiaTheme="minorEastAsia" w:hAnsiTheme="majorHAnsi" w:cstheme="majorHAnsi"/>
              <w:noProof/>
              <w:sz w:val="24"/>
              <w:szCs w:val="24"/>
              <w:lang w:eastAsia="lv-LV"/>
            </w:rPr>
          </w:pPr>
          <w:hyperlink w:anchor="_Toc154665203" w:history="1">
            <w:r w:rsidR="0083189D" w:rsidRPr="0083189D">
              <w:rPr>
                <w:rStyle w:val="Hipersaite"/>
                <w:rFonts w:asciiTheme="majorHAnsi" w:hAnsiTheme="majorHAnsi" w:cstheme="majorHAnsi"/>
                <w:noProof/>
                <w:sz w:val="24"/>
                <w:szCs w:val="24"/>
              </w:rPr>
              <w:t>2.2.1.</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Sankciju risku pārvaldība</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_Toc154665203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9</w:t>
            </w:r>
            <w:r w:rsidR="0083189D" w:rsidRPr="0083189D">
              <w:rPr>
                <w:rFonts w:asciiTheme="majorHAnsi" w:hAnsiTheme="majorHAnsi" w:cstheme="majorHAnsi"/>
                <w:noProof/>
                <w:webHidden/>
                <w:sz w:val="24"/>
                <w:szCs w:val="24"/>
              </w:rPr>
              <w:fldChar w:fldCharType="end"/>
            </w:r>
          </w:hyperlink>
        </w:p>
        <w:p w14:paraId="20227539" w14:textId="2769A396" w:rsidR="0083189D" w:rsidRPr="0083189D" w:rsidRDefault="0045187F" w:rsidP="00627C36">
          <w:pPr>
            <w:pStyle w:val="Saturs3"/>
            <w:tabs>
              <w:tab w:val="left" w:pos="1320"/>
              <w:tab w:val="right" w:leader="dot" w:pos="8296"/>
            </w:tabs>
            <w:spacing w:line="276" w:lineRule="auto"/>
            <w:rPr>
              <w:rFonts w:asciiTheme="majorHAnsi" w:eastAsiaTheme="minorEastAsia" w:hAnsiTheme="majorHAnsi" w:cstheme="majorHAnsi"/>
              <w:noProof/>
              <w:sz w:val="24"/>
              <w:szCs w:val="24"/>
              <w:lang w:eastAsia="lv-LV"/>
            </w:rPr>
          </w:pPr>
          <w:hyperlink w:anchor="_Toc154665204" w:history="1">
            <w:r w:rsidR="0083189D" w:rsidRPr="0083189D">
              <w:rPr>
                <w:rStyle w:val="Hipersaite"/>
                <w:rFonts w:asciiTheme="majorHAnsi" w:hAnsiTheme="majorHAnsi" w:cstheme="majorHAnsi"/>
                <w:noProof/>
                <w:sz w:val="24"/>
                <w:szCs w:val="24"/>
              </w:rPr>
              <w:t>2.2.2.</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T.s. "Zombijuzņēmumi"</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_Toc154665204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10</w:t>
            </w:r>
            <w:r w:rsidR="0083189D" w:rsidRPr="0083189D">
              <w:rPr>
                <w:rFonts w:asciiTheme="majorHAnsi" w:hAnsiTheme="majorHAnsi" w:cstheme="majorHAnsi"/>
                <w:noProof/>
                <w:webHidden/>
                <w:sz w:val="24"/>
                <w:szCs w:val="24"/>
              </w:rPr>
              <w:fldChar w:fldCharType="end"/>
            </w:r>
          </w:hyperlink>
        </w:p>
        <w:p w14:paraId="64F7C194" w14:textId="41C32CA5" w:rsidR="0083189D" w:rsidRPr="0083189D" w:rsidRDefault="0045187F" w:rsidP="00627C36">
          <w:pPr>
            <w:pStyle w:val="Saturs3"/>
            <w:tabs>
              <w:tab w:val="left" w:pos="1320"/>
              <w:tab w:val="right" w:leader="dot" w:pos="8296"/>
            </w:tabs>
            <w:spacing w:line="276" w:lineRule="auto"/>
            <w:rPr>
              <w:rFonts w:asciiTheme="majorHAnsi" w:eastAsiaTheme="minorEastAsia" w:hAnsiTheme="majorHAnsi" w:cstheme="majorHAnsi"/>
              <w:noProof/>
              <w:sz w:val="24"/>
              <w:szCs w:val="24"/>
              <w:lang w:eastAsia="lv-LV"/>
            </w:rPr>
          </w:pPr>
          <w:hyperlink w:anchor="_Toc154665205" w:history="1">
            <w:r w:rsidR="0083189D" w:rsidRPr="0083189D">
              <w:rPr>
                <w:rStyle w:val="Hipersaite"/>
                <w:rFonts w:asciiTheme="majorHAnsi" w:hAnsiTheme="majorHAnsi" w:cstheme="majorHAnsi"/>
                <w:noProof/>
                <w:sz w:val="24"/>
                <w:szCs w:val="24"/>
              </w:rPr>
              <w:t>2.2.3.</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TAP</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_Toc154665205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11</w:t>
            </w:r>
            <w:r w:rsidR="0083189D" w:rsidRPr="0083189D">
              <w:rPr>
                <w:rFonts w:asciiTheme="majorHAnsi" w:hAnsiTheme="majorHAnsi" w:cstheme="majorHAnsi"/>
                <w:noProof/>
                <w:webHidden/>
                <w:sz w:val="24"/>
                <w:szCs w:val="24"/>
              </w:rPr>
              <w:fldChar w:fldCharType="end"/>
            </w:r>
          </w:hyperlink>
        </w:p>
        <w:p w14:paraId="0FCA3B9C" w14:textId="1AB88DAF" w:rsidR="0083189D" w:rsidRPr="0083189D" w:rsidRDefault="0045187F" w:rsidP="00627C36">
          <w:pPr>
            <w:pStyle w:val="Saturs3"/>
            <w:tabs>
              <w:tab w:val="left" w:pos="1320"/>
              <w:tab w:val="right" w:leader="dot" w:pos="8296"/>
            </w:tabs>
            <w:spacing w:line="276" w:lineRule="auto"/>
            <w:rPr>
              <w:rFonts w:asciiTheme="majorHAnsi" w:eastAsiaTheme="minorEastAsia" w:hAnsiTheme="majorHAnsi" w:cstheme="majorHAnsi"/>
              <w:noProof/>
              <w:sz w:val="24"/>
              <w:szCs w:val="24"/>
              <w:lang w:eastAsia="lv-LV"/>
            </w:rPr>
          </w:pPr>
          <w:hyperlink w:anchor="_Toc154665206" w:history="1">
            <w:r w:rsidR="0083189D" w:rsidRPr="0083189D">
              <w:rPr>
                <w:rStyle w:val="Hipersaite"/>
                <w:rFonts w:asciiTheme="majorHAnsi" w:hAnsiTheme="majorHAnsi" w:cstheme="majorHAnsi"/>
                <w:noProof/>
                <w:sz w:val="24"/>
                <w:szCs w:val="24"/>
              </w:rPr>
              <w:t>2.2.4.</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Fizisko personu godprātība</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_Toc154665206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13</w:t>
            </w:r>
            <w:r w:rsidR="0083189D" w:rsidRPr="0083189D">
              <w:rPr>
                <w:rFonts w:asciiTheme="majorHAnsi" w:hAnsiTheme="majorHAnsi" w:cstheme="majorHAnsi"/>
                <w:noProof/>
                <w:webHidden/>
                <w:sz w:val="24"/>
                <w:szCs w:val="24"/>
              </w:rPr>
              <w:fldChar w:fldCharType="end"/>
            </w:r>
          </w:hyperlink>
        </w:p>
        <w:p w14:paraId="5C5D9847" w14:textId="2D5512EA" w:rsidR="0083189D" w:rsidRPr="0083189D" w:rsidRDefault="0045187F" w:rsidP="00627C36">
          <w:pPr>
            <w:pStyle w:val="Saturs1"/>
            <w:tabs>
              <w:tab w:val="left" w:pos="440"/>
              <w:tab w:val="right" w:leader="dot" w:pos="8296"/>
            </w:tabs>
            <w:spacing w:line="276" w:lineRule="auto"/>
            <w:rPr>
              <w:rFonts w:asciiTheme="majorHAnsi" w:eastAsiaTheme="minorEastAsia" w:hAnsiTheme="majorHAnsi" w:cstheme="majorHAnsi"/>
              <w:noProof/>
              <w:lang w:eastAsia="lv-LV"/>
            </w:rPr>
          </w:pPr>
          <w:hyperlink w:anchor="_Toc154665207" w:history="1">
            <w:r w:rsidR="0083189D" w:rsidRPr="0083189D">
              <w:rPr>
                <w:rStyle w:val="Hipersaite"/>
                <w:rFonts w:asciiTheme="majorHAnsi" w:hAnsiTheme="majorHAnsi" w:cstheme="majorHAnsi"/>
                <w:noProof/>
                <w:sz w:val="24"/>
                <w:szCs w:val="24"/>
              </w:rPr>
              <w:t>3.</w:t>
            </w:r>
            <w:r w:rsidR="0083189D" w:rsidRPr="0083189D">
              <w:rPr>
                <w:rFonts w:asciiTheme="majorHAnsi" w:eastAsiaTheme="minorEastAsia" w:hAnsiTheme="majorHAnsi" w:cstheme="majorHAnsi"/>
                <w:noProof/>
                <w:sz w:val="24"/>
                <w:szCs w:val="24"/>
                <w:lang w:eastAsia="lv-LV"/>
              </w:rPr>
              <w:tab/>
            </w:r>
            <w:r w:rsidR="0083189D" w:rsidRPr="0083189D">
              <w:rPr>
                <w:rStyle w:val="Hipersaite"/>
                <w:rFonts w:asciiTheme="majorHAnsi" w:hAnsiTheme="majorHAnsi" w:cstheme="majorHAnsi"/>
                <w:noProof/>
                <w:sz w:val="24"/>
                <w:szCs w:val="24"/>
              </w:rPr>
              <w:t>Prioritātes</w:t>
            </w:r>
            <w:r w:rsidR="0083189D" w:rsidRPr="0083189D">
              <w:rPr>
                <w:rFonts w:asciiTheme="majorHAnsi" w:hAnsiTheme="majorHAnsi" w:cstheme="majorHAnsi"/>
                <w:noProof/>
                <w:webHidden/>
                <w:sz w:val="24"/>
                <w:szCs w:val="24"/>
              </w:rPr>
              <w:tab/>
            </w:r>
            <w:r w:rsidR="0083189D" w:rsidRPr="0083189D">
              <w:rPr>
                <w:rFonts w:asciiTheme="majorHAnsi" w:hAnsiTheme="majorHAnsi" w:cstheme="majorHAnsi"/>
                <w:noProof/>
                <w:webHidden/>
                <w:sz w:val="24"/>
                <w:szCs w:val="24"/>
              </w:rPr>
              <w:fldChar w:fldCharType="begin"/>
            </w:r>
            <w:r w:rsidR="0083189D" w:rsidRPr="0083189D">
              <w:rPr>
                <w:rFonts w:asciiTheme="majorHAnsi" w:hAnsiTheme="majorHAnsi" w:cstheme="majorHAnsi"/>
                <w:noProof/>
                <w:webHidden/>
                <w:sz w:val="24"/>
                <w:szCs w:val="24"/>
              </w:rPr>
              <w:instrText xml:space="preserve"> PAGEREF _Toc154665207 \h </w:instrText>
            </w:r>
            <w:r w:rsidR="0083189D" w:rsidRPr="0083189D">
              <w:rPr>
                <w:rFonts w:asciiTheme="majorHAnsi" w:hAnsiTheme="majorHAnsi" w:cstheme="majorHAnsi"/>
                <w:noProof/>
                <w:webHidden/>
                <w:sz w:val="24"/>
                <w:szCs w:val="24"/>
              </w:rPr>
            </w:r>
            <w:r w:rsidR="0083189D" w:rsidRPr="0083189D">
              <w:rPr>
                <w:rFonts w:asciiTheme="majorHAnsi" w:hAnsiTheme="majorHAnsi" w:cstheme="majorHAnsi"/>
                <w:noProof/>
                <w:webHidden/>
                <w:sz w:val="24"/>
                <w:szCs w:val="24"/>
              </w:rPr>
              <w:fldChar w:fldCharType="separate"/>
            </w:r>
            <w:r w:rsidR="00360AEF">
              <w:rPr>
                <w:rFonts w:asciiTheme="majorHAnsi" w:hAnsiTheme="majorHAnsi" w:cstheme="majorHAnsi"/>
                <w:noProof/>
                <w:webHidden/>
                <w:sz w:val="24"/>
                <w:szCs w:val="24"/>
              </w:rPr>
              <w:t>14</w:t>
            </w:r>
            <w:r w:rsidR="0083189D" w:rsidRPr="0083189D">
              <w:rPr>
                <w:rFonts w:asciiTheme="majorHAnsi" w:hAnsiTheme="majorHAnsi" w:cstheme="majorHAnsi"/>
                <w:noProof/>
                <w:webHidden/>
                <w:sz w:val="24"/>
                <w:szCs w:val="24"/>
              </w:rPr>
              <w:fldChar w:fldCharType="end"/>
            </w:r>
          </w:hyperlink>
        </w:p>
        <w:p w14:paraId="2B803CB3" w14:textId="32488BC1" w:rsidR="0083189D" w:rsidRPr="0083189D" w:rsidRDefault="0083189D" w:rsidP="00627C36">
          <w:pPr>
            <w:spacing w:line="276" w:lineRule="auto"/>
            <w:rPr>
              <w:rFonts w:asciiTheme="majorHAnsi" w:hAnsiTheme="majorHAnsi" w:cstheme="majorHAnsi"/>
              <w:b/>
              <w:bCs/>
            </w:rPr>
          </w:pPr>
          <w:r w:rsidRPr="0083189D">
            <w:rPr>
              <w:rFonts w:asciiTheme="majorHAnsi" w:hAnsiTheme="majorHAnsi" w:cstheme="majorHAnsi"/>
              <w:b/>
              <w:bCs/>
            </w:rPr>
            <w:fldChar w:fldCharType="end"/>
          </w:r>
        </w:p>
      </w:sdtContent>
    </w:sdt>
    <w:p w14:paraId="73388632" w14:textId="0CB58A1D" w:rsidR="003A1723" w:rsidRPr="0083189D" w:rsidRDefault="003A1723" w:rsidP="00627C36">
      <w:pPr>
        <w:spacing w:after="0" w:line="276" w:lineRule="auto"/>
        <w:jc w:val="both"/>
        <w:rPr>
          <w:rFonts w:asciiTheme="majorHAnsi" w:hAnsiTheme="majorHAnsi" w:cstheme="majorHAnsi"/>
          <w:b/>
          <w:bCs/>
          <w:color w:val="2F5496" w:themeColor="accent1" w:themeShade="BF"/>
          <w:sz w:val="32"/>
          <w:szCs w:val="32"/>
        </w:rPr>
      </w:pPr>
      <w:r w:rsidRPr="0083189D">
        <w:rPr>
          <w:rFonts w:asciiTheme="majorHAnsi" w:hAnsiTheme="majorHAnsi" w:cstheme="majorHAnsi"/>
          <w:b/>
          <w:bCs/>
          <w:color w:val="2F5496" w:themeColor="accent1" w:themeShade="BF"/>
          <w:sz w:val="32"/>
          <w:szCs w:val="32"/>
        </w:rPr>
        <w:t>Izmantotie saīsinājumi:</w:t>
      </w:r>
    </w:p>
    <w:p w14:paraId="7E832837" w14:textId="77777777" w:rsidR="003A1723" w:rsidRPr="0083189D" w:rsidRDefault="003A1723" w:rsidP="00627C36">
      <w:pPr>
        <w:spacing w:after="0" w:line="276" w:lineRule="auto"/>
        <w:ind w:firstLine="720"/>
        <w:jc w:val="both"/>
        <w:rPr>
          <w:rFonts w:asciiTheme="majorHAnsi" w:hAnsiTheme="majorHAnsi" w:cstheme="majorHAnsi"/>
          <w:sz w:val="24"/>
          <w:szCs w:val="24"/>
        </w:rPr>
      </w:pPr>
    </w:p>
    <w:p w14:paraId="7AF389C6" w14:textId="77777777" w:rsidR="0083189D" w:rsidRDefault="00FD4F1F"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Administrators</w:t>
      </w:r>
      <w:r w:rsidRPr="0083189D">
        <w:rPr>
          <w:rFonts w:asciiTheme="majorHAnsi" w:hAnsiTheme="majorHAnsi" w:cstheme="majorHAnsi"/>
          <w:sz w:val="24"/>
          <w:szCs w:val="24"/>
        </w:rPr>
        <w:t xml:space="preserve"> – maksātnespējas procesa administrators</w:t>
      </w:r>
      <w:r w:rsidR="0083189D" w:rsidRPr="0083189D">
        <w:rPr>
          <w:rFonts w:asciiTheme="majorHAnsi" w:hAnsiTheme="majorHAnsi" w:cstheme="majorHAnsi"/>
          <w:sz w:val="24"/>
          <w:szCs w:val="24"/>
        </w:rPr>
        <w:t xml:space="preserve"> </w:t>
      </w:r>
    </w:p>
    <w:p w14:paraId="7A296DBD" w14:textId="13D8B063" w:rsidR="0083189D"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Direktīva par pārstrukturēšanu un maksātnespēju</w:t>
      </w:r>
      <w:r w:rsidRPr="0083189D">
        <w:rPr>
          <w:rFonts w:asciiTheme="majorHAnsi" w:hAnsiTheme="majorHAnsi" w:cstheme="majorHAnsi"/>
          <w:sz w:val="24"/>
          <w:szCs w:val="24"/>
        </w:rPr>
        <w:t xml:space="preserve"> – Eiropas Parlamenta un Padomes Direktīva (ES) 2019/1023 (2019. gada 20. jūnijs)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 (Dokuments attiecas uz EEZ.)</w:t>
      </w:r>
    </w:p>
    <w:p w14:paraId="13E1E105" w14:textId="77777777" w:rsidR="0083189D"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EMUS</w:t>
      </w:r>
      <w:r w:rsidRPr="0083189D">
        <w:rPr>
          <w:rFonts w:asciiTheme="majorHAnsi" w:hAnsiTheme="majorHAnsi" w:cstheme="majorHAnsi"/>
          <w:sz w:val="24"/>
          <w:szCs w:val="24"/>
        </w:rPr>
        <w:t xml:space="preserve"> – Elektroniskā maksātnespējas uzskaites sistēma</w:t>
      </w:r>
    </w:p>
    <w:p w14:paraId="79420C5E" w14:textId="77777777" w:rsidR="0083189D"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FID</w:t>
      </w:r>
      <w:r w:rsidRPr="0083189D">
        <w:rPr>
          <w:rFonts w:asciiTheme="majorHAnsi" w:hAnsiTheme="majorHAnsi" w:cstheme="majorHAnsi"/>
          <w:sz w:val="24"/>
          <w:szCs w:val="24"/>
        </w:rPr>
        <w:t xml:space="preserve"> – Finanšu izlūkošanas dienests</w:t>
      </w:r>
    </w:p>
    <w:p w14:paraId="2C6829C2" w14:textId="77777777" w:rsid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IKS</w:t>
      </w:r>
      <w:r w:rsidRPr="0083189D">
        <w:rPr>
          <w:rFonts w:asciiTheme="majorHAnsi" w:hAnsiTheme="majorHAnsi" w:cstheme="majorHAnsi"/>
          <w:sz w:val="24"/>
          <w:szCs w:val="24"/>
        </w:rPr>
        <w:t xml:space="preserve"> – iekšējās kontroles sistēma</w:t>
      </w:r>
    </w:p>
    <w:p w14:paraId="5E7D865D" w14:textId="073DC0D1" w:rsidR="0083189D"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MKD</w:t>
      </w:r>
      <w:r w:rsidRPr="0083189D">
        <w:rPr>
          <w:rFonts w:asciiTheme="majorHAnsi" w:hAnsiTheme="majorHAnsi" w:cstheme="majorHAnsi"/>
          <w:sz w:val="24"/>
          <w:szCs w:val="24"/>
        </w:rPr>
        <w:t xml:space="preserve"> – maksātnespējas kontroles dienests</w:t>
      </w:r>
    </w:p>
    <w:p w14:paraId="46FD56CD" w14:textId="77777777" w:rsidR="0083189D"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NILLTPFN</w:t>
      </w:r>
      <w:r w:rsidRPr="0083189D">
        <w:rPr>
          <w:rFonts w:asciiTheme="majorHAnsi" w:hAnsiTheme="majorHAnsi" w:cstheme="majorHAnsi"/>
          <w:sz w:val="24"/>
          <w:szCs w:val="24"/>
        </w:rPr>
        <w:t xml:space="preserve"> – Noziedzīgi iegūtu līdzekļu legalizācijas un terorisma un </w:t>
      </w:r>
      <w:proofErr w:type="spellStart"/>
      <w:r w:rsidRPr="0083189D">
        <w:rPr>
          <w:rFonts w:asciiTheme="majorHAnsi" w:hAnsiTheme="majorHAnsi" w:cstheme="majorHAnsi"/>
          <w:sz w:val="24"/>
          <w:szCs w:val="24"/>
        </w:rPr>
        <w:t>proliferācijas</w:t>
      </w:r>
      <w:proofErr w:type="spellEnd"/>
      <w:r w:rsidRPr="0083189D">
        <w:rPr>
          <w:rFonts w:asciiTheme="majorHAnsi" w:hAnsiTheme="majorHAnsi" w:cstheme="majorHAnsi"/>
          <w:sz w:val="24"/>
          <w:szCs w:val="24"/>
        </w:rPr>
        <w:t xml:space="preserve"> finansēšanas novēršana</w:t>
      </w:r>
    </w:p>
    <w:p w14:paraId="6AE50F14" w14:textId="77777777" w:rsidR="0083189D"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Novēršanas likums</w:t>
      </w:r>
      <w:r w:rsidRPr="0083189D">
        <w:rPr>
          <w:rFonts w:asciiTheme="majorHAnsi" w:hAnsiTheme="majorHAnsi" w:cstheme="majorHAnsi"/>
          <w:sz w:val="24"/>
          <w:szCs w:val="24"/>
        </w:rPr>
        <w:t xml:space="preserve"> – Noziedzīgi iegūtu līdzekļu legalizācijas un terorisma un </w:t>
      </w:r>
      <w:proofErr w:type="spellStart"/>
      <w:r w:rsidRPr="0083189D">
        <w:rPr>
          <w:rFonts w:asciiTheme="majorHAnsi" w:hAnsiTheme="majorHAnsi" w:cstheme="majorHAnsi"/>
          <w:sz w:val="24"/>
          <w:szCs w:val="24"/>
        </w:rPr>
        <w:t>proliferācijas</w:t>
      </w:r>
      <w:proofErr w:type="spellEnd"/>
      <w:r w:rsidRPr="0083189D">
        <w:rPr>
          <w:rFonts w:asciiTheme="majorHAnsi" w:hAnsiTheme="majorHAnsi" w:cstheme="majorHAnsi"/>
          <w:sz w:val="24"/>
          <w:szCs w:val="24"/>
        </w:rPr>
        <w:t xml:space="preserve"> finansēšanas novēršanas likums</w:t>
      </w:r>
    </w:p>
    <w:p w14:paraId="51F241B1" w14:textId="53D34C20" w:rsidR="00FD4F1F" w:rsidRPr="0083189D" w:rsidRDefault="0083189D"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Sankciju likums</w:t>
      </w:r>
      <w:r w:rsidRPr="0083189D">
        <w:rPr>
          <w:rFonts w:asciiTheme="majorHAnsi" w:hAnsiTheme="majorHAnsi" w:cstheme="majorHAnsi"/>
          <w:sz w:val="24"/>
          <w:szCs w:val="24"/>
        </w:rPr>
        <w:t xml:space="preserve"> – Starptautisko un Latvijas Republikas nacionālo sankciju likums</w:t>
      </w:r>
    </w:p>
    <w:p w14:paraId="271D4C79" w14:textId="4FCBD545" w:rsidR="00FD4F1F" w:rsidRPr="0083189D" w:rsidRDefault="00FD4F1F"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TAP</w:t>
      </w:r>
      <w:r w:rsidRPr="0083189D">
        <w:rPr>
          <w:rFonts w:asciiTheme="majorHAnsi" w:hAnsiTheme="majorHAnsi" w:cstheme="majorHAnsi"/>
          <w:sz w:val="24"/>
          <w:szCs w:val="24"/>
        </w:rPr>
        <w:t xml:space="preserve"> – tiesiskās aizsardzības process</w:t>
      </w:r>
    </w:p>
    <w:p w14:paraId="3113D6C9" w14:textId="3D7CB9C2" w:rsidR="001C4546" w:rsidRPr="0083189D" w:rsidRDefault="001C4546" w:rsidP="00627C36">
      <w:pPr>
        <w:spacing w:after="0" w:line="276" w:lineRule="auto"/>
        <w:jc w:val="both"/>
        <w:rPr>
          <w:rFonts w:asciiTheme="majorHAnsi" w:hAnsiTheme="majorHAnsi" w:cstheme="majorHAnsi"/>
          <w:sz w:val="24"/>
          <w:szCs w:val="24"/>
        </w:rPr>
      </w:pPr>
      <w:r w:rsidRPr="0083189D">
        <w:rPr>
          <w:rFonts w:asciiTheme="majorHAnsi" w:hAnsiTheme="majorHAnsi" w:cstheme="majorHAnsi"/>
          <w:b/>
          <w:bCs/>
          <w:sz w:val="24"/>
          <w:szCs w:val="24"/>
        </w:rPr>
        <w:t>Uzraugošā persona</w:t>
      </w:r>
      <w:r w:rsidRPr="0083189D">
        <w:rPr>
          <w:rFonts w:asciiTheme="majorHAnsi" w:hAnsiTheme="majorHAnsi" w:cstheme="majorHAnsi"/>
          <w:sz w:val="24"/>
          <w:szCs w:val="24"/>
        </w:rPr>
        <w:t xml:space="preserve"> – tiesiskās aizsardzības procesa uzraugošā persona</w:t>
      </w:r>
    </w:p>
    <w:p w14:paraId="20C3B017" w14:textId="704BC8C4" w:rsidR="00850906" w:rsidRPr="0083189D" w:rsidRDefault="00850906" w:rsidP="00627C36">
      <w:pPr>
        <w:spacing w:line="276" w:lineRule="auto"/>
        <w:rPr>
          <w:rFonts w:asciiTheme="majorHAnsi" w:hAnsiTheme="majorHAnsi" w:cstheme="majorHAnsi"/>
        </w:rPr>
      </w:pPr>
    </w:p>
    <w:p w14:paraId="1B6F341F" w14:textId="0C0C59AF" w:rsidR="00FD4F1F" w:rsidRPr="000525E5" w:rsidRDefault="007E3AA8" w:rsidP="00627C36">
      <w:pPr>
        <w:pStyle w:val="Virsraksts1"/>
        <w:spacing w:line="276" w:lineRule="auto"/>
        <w:jc w:val="center"/>
        <w:rPr>
          <w:rFonts w:cstheme="majorHAnsi"/>
          <w:b/>
          <w:bCs/>
        </w:rPr>
      </w:pPr>
      <w:bookmarkStart w:id="0" w:name="_Toc154665196"/>
      <w:r w:rsidRPr="000525E5">
        <w:rPr>
          <w:rFonts w:cstheme="majorHAnsi"/>
          <w:b/>
          <w:bCs/>
        </w:rPr>
        <w:lastRenderedPageBreak/>
        <w:t>Ievads</w:t>
      </w:r>
      <w:bookmarkEnd w:id="0"/>
    </w:p>
    <w:p w14:paraId="3D2EB736" w14:textId="77777777" w:rsidR="007E3AA8" w:rsidRPr="0083189D" w:rsidRDefault="007E3AA8" w:rsidP="00627C36">
      <w:pPr>
        <w:spacing w:after="0" w:line="276" w:lineRule="auto"/>
        <w:ind w:firstLine="720"/>
        <w:jc w:val="both"/>
        <w:rPr>
          <w:rFonts w:asciiTheme="majorHAnsi" w:hAnsiTheme="majorHAnsi" w:cstheme="majorHAnsi"/>
          <w:sz w:val="24"/>
          <w:szCs w:val="24"/>
        </w:rPr>
      </w:pPr>
    </w:p>
    <w:p w14:paraId="27AAF530" w14:textId="50D958C1" w:rsidR="00544BA5" w:rsidRPr="0083189D" w:rsidRDefault="00FD4F1F" w:rsidP="00627C3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MKD</w:t>
      </w:r>
      <w:r w:rsidR="00CE1D76" w:rsidRPr="0083189D">
        <w:rPr>
          <w:rFonts w:asciiTheme="majorHAnsi" w:hAnsiTheme="majorHAnsi" w:cstheme="majorHAnsi"/>
          <w:sz w:val="24"/>
          <w:szCs w:val="24"/>
        </w:rPr>
        <w:t xml:space="preserve">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w:t>
      </w:r>
      <w:r w:rsidRPr="0083189D">
        <w:rPr>
          <w:rFonts w:asciiTheme="majorHAnsi" w:hAnsiTheme="majorHAnsi" w:cstheme="majorHAnsi"/>
          <w:sz w:val="24"/>
          <w:szCs w:val="24"/>
        </w:rPr>
        <w:t>TAP</w:t>
      </w:r>
      <w:r w:rsidR="00CE1D76" w:rsidRPr="0083189D">
        <w:rPr>
          <w:rFonts w:asciiTheme="majorHAnsi" w:hAnsiTheme="majorHAnsi" w:cstheme="majorHAnsi"/>
          <w:sz w:val="24"/>
          <w:szCs w:val="24"/>
        </w:rPr>
        <w:t xml:space="preserve"> un maksātnespējas procesa jautājumos.</w:t>
      </w:r>
      <w:r w:rsidRPr="0083189D">
        <w:rPr>
          <w:rStyle w:val="Vresatsauce"/>
          <w:rFonts w:asciiTheme="majorHAnsi" w:hAnsiTheme="majorHAnsi" w:cstheme="majorHAnsi"/>
          <w:sz w:val="24"/>
          <w:szCs w:val="24"/>
        </w:rPr>
        <w:footnoteReference w:id="2"/>
      </w:r>
    </w:p>
    <w:p w14:paraId="1F216F67" w14:textId="4CC5B347" w:rsidR="003B592D" w:rsidRPr="003B592D" w:rsidRDefault="00AF4803" w:rsidP="00627C36">
      <w:pPr>
        <w:spacing w:after="0" w:line="276" w:lineRule="auto"/>
        <w:ind w:firstLine="720"/>
        <w:jc w:val="both"/>
        <w:rPr>
          <w:rFonts w:asciiTheme="majorHAnsi" w:hAnsiTheme="majorHAnsi" w:cstheme="majorHAnsi"/>
          <w:sz w:val="24"/>
          <w:szCs w:val="24"/>
        </w:rPr>
      </w:pPr>
      <w:r w:rsidRPr="00AF4803">
        <w:rPr>
          <w:rFonts w:asciiTheme="majorHAnsi" w:hAnsiTheme="majorHAnsi" w:cstheme="majorHAnsi"/>
          <w:noProof/>
          <w:sz w:val="24"/>
          <w:szCs w:val="24"/>
        </w:rPr>
        <mc:AlternateContent>
          <mc:Choice Requires="wps">
            <w:drawing>
              <wp:anchor distT="45720" distB="45720" distL="114300" distR="114300" simplePos="0" relativeHeight="251658240" behindDoc="0" locked="0" layoutInCell="1" allowOverlap="1" wp14:anchorId="0BAB4C9C" wp14:editId="58DA45F2">
                <wp:simplePos x="0" y="0"/>
                <wp:positionH relativeFrom="margin">
                  <wp:align>right</wp:align>
                </wp:positionH>
                <wp:positionV relativeFrom="paragraph">
                  <wp:posOffset>1056861</wp:posOffset>
                </wp:positionV>
                <wp:extent cx="5255260" cy="981075"/>
                <wp:effectExtent l="0" t="0" r="21590" b="28575"/>
                <wp:wrapSquare wrapText="bothSides"/>
                <wp:docPr id="217" name="Tekstlodziņš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981075"/>
                        </a:xfrm>
                        <a:prstGeom prst="rect">
                          <a:avLst/>
                        </a:prstGeom>
                        <a:noFill/>
                        <a:ln>
                          <a:solidFill>
                            <a:schemeClr val="accent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6F05D957" w14:textId="77777777" w:rsidR="00AF4803" w:rsidRPr="00B072D0" w:rsidRDefault="00AF4803" w:rsidP="004557EC">
                            <w:pPr>
                              <w:spacing w:after="0" w:line="276" w:lineRule="auto"/>
                              <w:ind w:firstLine="720"/>
                              <w:jc w:val="both"/>
                              <w:rPr>
                                <w:rFonts w:asciiTheme="majorHAnsi" w:hAnsiTheme="majorHAnsi" w:cstheme="majorHAnsi"/>
                                <w:b/>
                                <w:bCs/>
                                <w:color w:val="2F5496" w:themeColor="accent1" w:themeShade="BF"/>
                                <w:sz w:val="24"/>
                                <w:szCs w:val="24"/>
                              </w:rPr>
                            </w:pPr>
                            <w:r w:rsidRPr="00B072D0">
                              <w:rPr>
                                <w:rFonts w:asciiTheme="majorHAnsi" w:hAnsiTheme="majorHAnsi" w:cstheme="majorHAnsi"/>
                                <w:b/>
                                <w:bCs/>
                                <w:color w:val="2F5496" w:themeColor="accent1" w:themeShade="BF"/>
                                <w:sz w:val="24"/>
                                <w:szCs w:val="24"/>
                              </w:rPr>
                              <w:t xml:space="preserve">Stratēģijas mērķis ir definēt MKD veiktās uzraudzības mērķi un izvirzīt prioritātes, uzraudzības virzienus un piemērojamos pasākumus 2024. – 2025. gadā, tādējādi veicinot MKD darbības atklātību un resursu efektīvu un lietderīgu izlietojumu. </w:t>
                            </w:r>
                          </w:p>
                          <w:p w14:paraId="4E0A997F" w14:textId="6B0C33E6" w:rsidR="00AF4803" w:rsidRDefault="00AF4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4C9C" id="_x0000_t202" coordsize="21600,21600" o:spt="202" path="m,l,21600r21600,l21600,xe">
                <v:stroke joinstyle="miter"/>
                <v:path gradientshapeok="t" o:connecttype="rect"/>
              </v:shapetype>
              <v:shape id="Tekstlodziņš 217" o:spid="_x0000_s1028" type="#_x0000_t202" style="position:absolute;left:0;text-align:left;margin-left:362.6pt;margin-top:83.2pt;width:413.8pt;height:77.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" filled="f" strokecolor="#4472c4 [3204]" strokeweight="1pt">
                <v:stroke dashstyle="dash"/>
                <v:textbox>
                  <w:txbxContent>
                    <w:p w14:paraId="6F05D957" w14:textId="77777777" w:rsidR="00AF4803" w:rsidRPr="00B072D0" w:rsidRDefault="00AF4803" w:rsidP="004557EC">
                      <w:pPr>
                        <w:spacing w:after="0" w:line="276" w:lineRule="auto"/>
                        <w:ind w:firstLine="720"/>
                        <w:jc w:val="both"/>
                        <w:rPr>
                          <w:rFonts w:asciiTheme="majorHAnsi" w:hAnsiTheme="majorHAnsi" w:cstheme="majorHAnsi"/>
                          <w:b/>
                          <w:bCs/>
                          <w:color w:val="2F5496" w:themeColor="accent1" w:themeShade="BF"/>
                          <w:sz w:val="24"/>
                          <w:szCs w:val="24"/>
                        </w:rPr>
                      </w:pPr>
                      <w:r w:rsidRPr="00B072D0">
                        <w:rPr>
                          <w:rFonts w:asciiTheme="majorHAnsi" w:hAnsiTheme="majorHAnsi" w:cstheme="majorHAnsi"/>
                          <w:b/>
                          <w:bCs/>
                          <w:color w:val="2F5496" w:themeColor="accent1" w:themeShade="BF"/>
                          <w:sz w:val="24"/>
                          <w:szCs w:val="24"/>
                        </w:rPr>
                        <w:t xml:space="preserve">Stratēģijas mērķis ir definēt MKD veiktās uzraudzības mērķi un izvirzīt prioritātes, uzraudzības virzienus un piemērojamos pasākumus 2024. – 2025. gadā, tādējādi veicinot MKD darbības atklātību un resursu efektīvu un lietderīgu izlietojumu. </w:t>
                      </w:r>
                    </w:p>
                    <w:p w14:paraId="4E0A997F" w14:textId="6B0C33E6" w:rsidR="00AF4803" w:rsidRDefault="00AF4803"/>
                  </w:txbxContent>
                </v:textbox>
                <w10:wrap type="square" anchorx="margin"/>
              </v:shape>
            </w:pict>
          </mc:Fallback>
        </mc:AlternateContent>
      </w:r>
      <w:r w:rsidR="005B701E" w:rsidRPr="0083189D">
        <w:rPr>
          <w:rFonts w:asciiTheme="majorHAnsi" w:hAnsiTheme="majorHAnsi" w:cstheme="majorHAnsi"/>
          <w:sz w:val="24"/>
          <w:szCs w:val="24"/>
        </w:rPr>
        <w:t xml:space="preserve">Lai īstenotu </w:t>
      </w:r>
      <w:r w:rsidR="00F73C90" w:rsidRPr="0083189D">
        <w:rPr>
          <w:rFonts w:asciiTheme="majorHAnsi" w:hAnsiTheme="majorHAnsi" w:cstheme="majorHAnsi"/>
          <w:sz w:val="24"/>
          <w:szCs w:val="24"/>
        </w:rPr>
        <w:t>normatīvajā regulējumā</w:t>
      </w:r>
      <w:r w:rsidR="005B701E" w:rsidRPr="0083189D">
        <w:rPr>
          <w:rFonts w:asciiTheme="majorHAnsi" w:hAnsiTheme="majorHAnsi" w:cstheme="majorHAnsi"/>
          <w:sz w:val="24"/>
          <w:szCs w:val="24"/>
        </w:rPr>
        <w:t xml:space="preserve"> noteiktās funkcijas, viens no </w:t>
      </w:r>
      <w:r w:rsidR="00117B08" w:rsidRPr="0083189D">
        <w:rPr>
          <w:rFonts w:asciiTheme="majorHAnsi" w:hAnsiTheme="majorHAnsi" w:cstheme="majorHAnsi"/>
          <w:sz w:val="24"/>
          <w:szCs w:val="24"/>
        </w:rPr>
        <w:t>MKD</w:t>
      </w:r>
      <w:r w:rsidR="005B701E" w:rsidRPr="0083189D">
        <w:rPr>
          <w:rFonts w:asciiTheme="majorHAnsi" w:hAnsiTheme="majorHAnsi" w:cstheme="majorHAnsi"/>
          <w:sz w:val="24"/>
          <w:szCs w:val="24"/>
        </w:rPr>
        <w:t xml:space="preserve"> uzdevumiem ir veikt administratoru un uzraugošo </w:t>
      </w:r>
      <w:r w:rsidR="007B4275" w:rsidRPr="0083189D">
        <w:rPr>
          <w:rFonts w:asciiTheme="majorHAnsi" w:hAnsiTheme="majorHAnsi" w:cstheme="majorHAnsi"/>
          <w:sz w:val="24"/>
          <w:szCs w:val="24"/>
        </w:rPr>
        <w:t>uzraudzību</w:t>
      </w:r>
      <w:r w:rsidR="005B701E" w:rsidRPr="0083189D">
        <w:rPr>
          <w:rFonts w:asciiTheme="majorHAnsi" w:hAnsiTheme="majorHAnsi" w:cstheme="majorHAnsi"/>
          <w:sz w:val="24"/>
          <w:szCs w:val="24"/>
        </w:rPr>
        <w:t>,</w:t>
      </w:r>
      <w:r w:rsidR="00161760" w:rsidRPr="0083189D">
        <w:rPr>
          <w:rStyle w:val="Vresatsauce"/>
          <w:rFonts w:asciiTheme="majorHAnsi" w:hAnsiTheme="majorHAnsi" w:cstheme="majorHAnsi"/>
          <w:sz w:val="24"/>
          <w:szCs w:val="24"/>
        </w:rPr>
        <w:footnoteReference w:id="3"/>
      </w:r>
      <w:r w:rsidR="005B701E" w:rsidRPr="0083189D">
        <w:rPr>
          <w:rFonts w:asciiTheme="majorHAnsi" w:hAnsiTheme="majorHAnsi" w:cstheme="majorHAnsi"/>
          <w:sz w:val="24"/>
          <w:szCs w:val="24"/>
        </w:rPr>
        <w:t xml:space="preserve"> tai skaitā veikt uzraudzības un kontroles pasākumus pār administratoru darbībām </w:t>
      </w:r>
      <w:r w:rsidR="003E35B1" w:rsidRPr="0083189D">
        <w:rPr>
          <w:rFonts w:asciiTheme="majorHAnsi" w:hAnsiTheme="majorHAnsi" w:cstheme="majorHAnsi"/>
          <w:sz w:val="24"/>
          <w:szCs w:val="24"/>
        </w:rPr>
        <w:t>Novēršanas likuma</w:t>
      </w:r>
      <w:r w:rsidR="00F6113F" w:rsidRPr="0083189D">
        <w:rPr>
          <w:rStyle w:val="Vresatsauce"/>
          <w:rFonts w:asciiTheme="majorHAnsi" w:hAnsiTheme="majorHAnsi" w:cstheme="majorHAnsi"/>
          <w:sz w:val="24"/>
          <w:szCs w:val="24"/>
        </w:rPr>
        <w:footnoteReference w:id="4"/>
      </w:r>
      <w:r w:rsidR="003E35B1" w:rsidRPr="0083189D">
        <w:rPr>
          <w:rFonts w:asciiTheme="majorHAnsi" w:hAnsiTheme="majorHAnsi" w:cstheme="majorHAnsi"/>
          <w:sz w:val="24"/>
          <w:szCs w:val="24"/>
        </w:rPr>
        <w:t xml:space="preserve"> izpildē</w:t>
      </w:r>
      <w:r w:rsidR="00962384" w:rsidRPr="0083189D">
        <w:rPr>
          <w:rFonts w:asciiTheme="majorHAnsi" w:hAnsiTheme="majorHAnsi" w:cstheme="majorHAnsi"/>
          <w:sz w:val="24"/>
          <w:szCs w:val="24"/>
        </w:rPr>
        <w:t xml:space="preserve"> un Sankciju likuma</w:t>
      </w:r>
      <w:r w:rsidR="00962384" w:rsidRPr="0083189D">
        <w:rPr>
          <w:rStyle w:val="Vresatsauce"/>
          <w:rFonts w:asciiTheme="majorHAnsi" w:hAnsiTheme="majorHAnsi" w:cstheme="majorHAnsi"/>
          <w:sz w:val="24"/>
          <w:szCs w:val="24"/>
        </w:rPr>
        <w:footnoteReference w:id="5"/>
      </w:r>
      <w:r w:rsidR="00962384" w:rsidRPr="0083189D">
        <w:rPr>
          <w:rFonts w:asciiTheme="majorHAnsi" w:hAnsiTheme="majorHAnsi" w:cstheme="majorHAnsi"/>
          <w:sz w:val="24"/>
          <w:szCs w:val="24"/>
        </w:rPr>
        <w:t xml:space="preserve"> izpildē</w:t>
      </w:r>
      <w:r w:rsidR="005B701E" w:rsidRPr="0083189D">
        <w:rPr>
          <w:rFonts w:asciiTheme="majorHAnsi" w:hAnsiTheme="majorHAnsi" w:cstheme="majorHAnsi"/>
          <w:sz w:val="24"/>
          <w:szCs w:val="24"/>
        </w:rPr>
        <w:t>.</w:t>
      </w:r>
    </w:p>
    <w:p w14:paraId="1386C614" w14:textId="77777777" w:rsidR="008D21FA" w:rsidRDefault="008D21FA" w:rsidP="00627C36">
      <w:pPr>
        <w:spacing w:after="0" w:line="276" w:lineRule="auto"/>
        <w:ind w:firstLine="720"/>
        <w:jc w:val="both"/>
        <w:rPr>
          <w:rFonts w:asciiTheme="majorHAnsi" w:hAnsiTheme="majorHAnsi" w:cstheme="majorHAnsi"/>
          <w:sz w:val="24"/>
          <w:szCs w:val="24"/>
        </w:rPr>
      </w:pPr>
    </w:p>
    <w:p w14:paraId="213BD2AC" w14:textId="35F8594E" w:rsidR="000D4836" w:rsidRPr="0083189D" w:rsidRDefault="00A636EE" w:rsidP="00627C3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S</w:t>
      </w:r>
      <w:r w:rsidR="00F509F0" w:rsidRPr="0083189D">
        <w:rPr>
          <w:rFonts w:asciiTheme="majorHAnsi" w:hAnsiTheme="majorHAnsi" w:cstheme="majorHAnsi"/>
          <w:sz w:val="24"/>
          <w:szCs w:val="24"/>
        </w:rPr>
        <w:t>tratēģija (tajā noteikt</w:t>
      </w:r>
      <w:r w:rsidR="00036F01" w:rsidRPr="0083189D">
        <w:rPr>
          <w:rFonts w:asciiTheme="majorHAnsi" w:hAnsiTheme="majorHAnsi" w:cstheme="majorHAnsi"/>
          <w:sz w:val="24"/>
          <w:szCs w:val="24"/>
        </w:rPr>
        <w:t>ās</w:t>
      </w:r>
      <w:r w:rsidR="00F509F0" w:rsidRPr="0083189D">
        <w:rPr>
          <w:rFonts w:asciiTheme="majorHAnsi" w:hAnsiTheme="majorHAnsi" w:cstheme="majorHAnsi"/>
          <w:sz w:val="24"/>
          <w:szCs w:val="24"/>
        </w:rPr>
        <w:t xml:space="preserve"> iestādes prioritātes</w:t>
      </w:r>
      <w:r w:rsidR="00036F01" w:rsidRPr="0083189D">
        <w:rPr>
          <w:rFonts w:asciiTheme="majorHAnsi" w:hAnsiTheme="majorHAnsi" w:cstheme="majorHAnsi"/>
          <w:sz w:val="24"/>
          <w:szCs w:val="24"/>
        </w:rPr>
        <w:t xml:space="preserve"> un rīcības virzieni</w:t>
      </w:r>
      <w:r w:rsidR="00F509F0" w:rsidRPr="0083189D">
        <w:rPr>
          <w:rFonts w:asciiTheme="majorHAnsi" w:hAnsiTheme="majorHAnsi" w:cstheme="majorHAnsi"/>
          <w:sz w:val="24"/>
          <w:szCs w:val="24"/>
        </w:rPr>
        <w:t xml:space="preserve">) ir paredzēta </w:t>
      </w:r>
      <w:r w:rsidR="003B53B1" w:rsidRPr="0083189D">
        <w:rPr>
          <w:rFonts w:asciiTheme="majorHAnsi" w:hAnsiTheme="majorHAnsi" w:cstheme="majorHAnsi"/>
          <w:sz w:val="24"/>
          <w:szCs w:val="24"/>
        </w:rPr>
        <w:t>MKD</w:t>
      </w:r>
      <w:r w:rsidR="00F509F0" w:rsidRPr="0083189D">
        <w:rPr>
          <w:rFonts w:asciiTheme="majorHAnsi" w:hAnsiTheme="majorHAnsi" w:cstheme="majorHAnsi"/>
          <w:sz w:val="24"/>
          <w:szCs w:val="24"/>
        </w:rPr>
        <w:t xml:space="preserve"> iekšējai lietošanai, plānojot uzraudzības pasākumus, tiktāl, ciktāl to neierobežo Maksātnespējas likuma 176.</w:t>
      </w:r>
      <w:r w:rsidR="00711AE7">
        <w:rPr>
          <w:rFonts w:asciiTheme="majorHAnsi" w:hAnsiTheme="majorHAnsi" w:cstheme="majorHAnsi"/>
          <w:sz w:val="24"/>
          <w:szCs w:val="24"/>
        </w:rPr>
        <w:t> </w:t>
      </w:r>
      <w:r w:rsidR="00F509F0" w:rsidRPr="0083189D">
        <w:rPr>
          <w:rFonts w:asciiTheme="majorHAnsi" w:hAnsiTheme="majorHAnsi" w:cstheme="majorHAnsi"/>
          <w:sz w:val="24"/>
          <w:szCs w:val="24"/>
        </w:rPr>
        <w:t xml:space="preserve">pantā noteiktās personas tiesības iesniegt sūdzību par administratora un uzraugošās personas rīcību un </w:t>
      </w:r>
      <w:r w:rsidR="003B53B1" w:rsidRPr="0083189D">
        <w:rPr>
          <w:rFonts w:asciiTheme="majorHAnsi" w:hAnsiTheme="majorHAnsi" w:cstheme="majorHAnsi"/>
          <w:sz w:val="24"/>
          <w:szCs w:val="24"/>
        </w:rPr>
        <w:t>MKD</w:t>
      </w:r>
      <w:r w:rsidR="00F509F0" w:rsidRPr="0083189D">
        <w:rPr>
          <w:rFonts w:asciiTheme="majorHAnsi" w:hAnsiTheme="majorHAnsi" w:cstheme="majorHAnsi"/>
          <w:sz w:val="24"/>
          <w:szCs w:val="24"/>
        </w:rPr>
        <w:t xml:space="preserve"> pienākums pieņemt lēmumu par to. </w:t>
      </w:r>
    </w:p>
    <w:p w14:paraId="1FB5F3F0" w14:textId="360E2D25" w:rsidR="000D4836" w:rsidRPr="0083189D" w:rsidRDefault="00D3063A" w:rsidP="00627C3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S</w:t>
      </w:r>
      <w:r w:rsidR="00F509F0" w:rsidRPr="0083189D">
        <w:rPr>
          <w:rFonts w:asciiTheme="majorHAnsi" w:hAnsiTheme="majorHAnsi" w:cstheme="majorHAnsi"/>
          <w:sz w:val="24"/>
          <w:szCs w:val="24"/>
        </w:rPr>
        <w:t xml:space="preserve">tratēģija ir izstrādāta, ievērojot </w:t>
      </w:r>
      <w:r w:rsidR="003B53B1" w:rsidRPr="0083189D">
        <w:rPr>
          <w:rFonts w:asciiTheme="majorHAnsi" w:hAnsiTheme="majorHAnsi" w:cstheme="majorHAnsi"/>
          <w:sz w:val="24"/>
          <w:szCs w:val="24"/>
        </w:rPr>
        <w:t>MKD</w:t>
      </w:r>
      <w:r w:rsidR="00F509F0" w:rsidRPr="0083189D">
        <w:rPr>
          <w:rFonts w:asciiTheme="majorHAnsi" w:hAnsiTheme="majorHAnsi" w:cstheme="majorHAnsi"/>
          <w:sz w:val="24"/>
          <w:szCs w:val="24"/>
        </w:rPr>
        <w:t xml:space="preserve"> darbības stratēģijā 2021.</w:t>
      </w:r>
      <w:r w:rsidR="00BC6449" w:rsidRPr="0083189D">
        <w:rPr>
          <w:rFonts w:asciiTheme="majorHAnsi" w:hAnsiTheme="majorHAnsi" w:cstheme="majorHAnsi"/>
          <w:sz w:val="24"/>
          <w:szCs w:val="24"/>
        </w:rPr>
        <w:t xml:space="preserve"> – </w:t>
      </w:r>
      <w:r w:rsidR="00F509F0" w:rsidRPr="0083189D">
        <w:rPr>
          <w:rFonts w:asciiTheme="majorHAnsi" w:hAnsiTheme="majorHAnsi" w:cstheme="majorHAnsi"/>
          <w:sz w:val="24"/>
          <w:szCs w:val="24"/>
        </w:rPr>
        <w:t>2025. gadam</w:t>
      </w:r>
      <w:r w:rsidR="003B53B1" w:rsidRPr="0083189D">
        <w:rPr>
          <w:rStyle w:val="Vresatsauce"/>
          <w:rFonts w:asciiTheme="majorHAnsi" w:hAnsiTheme="majorHAnsi" w:cstheme="majorHAnsi"/>
          <w:sz w:val="24"/>
          <w:szCs w:val="24"/>
        </w:rPr>
        <w:footnoteReference w:id="6"/>
      </w:r>
      <w:r w:rsidR="00F509F0" w:rsidRPr="0083189D">
        <w:rPr>
          <w:rFonts w:asciiTheme="majorHAnsi" w:hAnsiTheme="majorHAnsi" w:cstheme="majorHAnsi"/>
          <w:sz w:val="24"/>
          <w:szCs w:val="24"/>
        </w:rPr>
        <w:t xml:space="preserve"> izvirzīto prioritāti – tiesiskuma un uzraudzības stiprināšana maksātnespējas jomā, un izpildot tajā noteikto uzdevumu – izstrādāt uzraudzības stratēģiju. </w:t>
      </w:r>
    </w:p>
    <w:p w14:paraId="5C6BED88" w14:textId="0F0DCE74" w:rsidR="00CB7A6E" w:rsidRPr="0083189D" w:rsidRDefault="00F509F0" w:rsidP="00627C3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Izstrādājot stratēģiju, ņemtas vērā Ekonomikas ministrijas izstrādātās vadlīnijas par "Konsultē vispirms" principa piemērošanu valsts iestāžu darbā (2017), OECD </w:t>
      </w:r>
      <w:r w:rsidRPr="0083189D">
        <w:rPr>
          <w:rFonts w:asciiTheme="majorHAnsi" w:hAnsiTheme="majorHAnsi" w:cstheme="majorHAnsi"/>
          <w:i/>
          <w:iCs/>
          <w:sz w:val="24"/>
          <w:szCs w:val="24"/>
        </w:rPr>
        <w:t xml:space="preserve">Best </w:t>
      </w:r>
      <w:proofErr w:type="spellStart"/>
      <w:r w:rsidRPr="0083189D">
        <w:rPr>
          <w:rFonts w:asciiTheme="majorHAnsi" w:hAnsiTheme="majorHAnsi" w:cstheme="majorHAnsi"/>
          <w:i/>
          <w:iCs/>
          <w:sz w:val="24"/>
          <w:szCs w:val="24"/>
        </w:rPr>
        <w:t>Practice</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Principles</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for</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Regulatory</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Enforcement</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Regulatory</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Enforcement</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and</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Inspections</w:t>
      </w:r>
      <w:proofErr w:type="spellEnd"/>
      <w:r w:rsidRPr="0083189D">
        <w:rPr>
          <w:rFonts w:asciiTheme="majorHAnsi" w:hAnsiTheme="majorHAnsi" w:cstheme="majorHAnsi"/>
          <w:sz w:val="24"/>
          <w:szCs w:val="24"/>
        </w:rPr>
        <w:t xml:space="preserve"> (2014) un FATF </w:t>
      </w:r>
      <w:proofErr w:type="spellStart"/>
      <w:r w:rsidRPr="0083189D">
        <w:rPr>
          <w:rFonts w:asciiTheme="majorHAnsi" w:hAnsiTheme="majorHAnsi" w:cstheme="majorHAnsi"/>
          <w:i/>
          <w:iCs/>
          <w:sz w:val="24"/>
          <w:szCs w:val="24"/>
        </w:rPr>
        <w:t>Guidance</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on</w:t>
      </w:r>
      <w:proofErr w:type="spellEnd"/>
      <w:r w:rsidRPr="0083189D">
        <w:rPr>
          <w:rFonts w:asciiTheme="majorHAnsi" w:hAnsiTheme="majorHAnsi" w:cstheme="majorHAnsi"/>
          <w:i/>
          <w:iCs/>
          <w:sz w:val="24"/>
          <w:szCs w:val="24"/>
        </w:rPr>
        <w:t xml:space="preserve"> Risk-</w:t>
      </w:r>
      <w:proofErr w:type="spellStart"/>
      <w:r w:rsidRPr="0083189D">
        <w:rPr>
          <w:rFonts w:asciiTheme="majorHAnsi" w:hAnsiTheme="majorHAnsi" w:cstheme="majorHAnsi"/>
          <w:i/>
          <w:iCs/>
          <w:sz w:val="24"/>
          <w:szCs w:val="24"/>
        </w:rPr>
        <w:t>Based</w:t>
      </w:r>
      <w:proofErr w:type="spellEnd"/>
      <w:r w:rsidRPr="0083189D">
        <w:rPr>
          <w:rFonts w:asciiTheme="majorHAnsi" w:hAnsiTheme="majorHAnsi" w:cstheme="majorHAnsi"/>
          <w:i/>
          <w:iCs/>
          <w:sz w:val="24"/>
          <w:szCs w:val="24"/>
        </w:rPr>
        <w:t xml:space="preserve"> </w:t>
      </w:r>
      <w:proofErr w:type="spellStart"/>
      <w:r w:rsidRPr="0083189D">
        <w:rPr>
          <w:rFonts w:asciiTheme="majorHAnsi" w:hAnsiTheme="majorHAnsi" w:cstheme="majorHAnsi"/>
          <w:i/>
          <w:iCs/>
          <w:sz w:val="24"/>
          <w:szCs w:val="24"/>
        </w:rPr>
        <w:t>Supervision</w:t>
      </w:r>
      <w:proofErr w:type="spellEnd"/>
      <w:r w:rsidRPr="0083189D">
        <w:rPr>
          <w:rFonts w:asciiTheme="majorHAnsi" w:hAnsiTheme="majorHAnsi" w:cstheme="majorHAnsi"/>
          <w:sz w:val="24"/>
          <w:szCs w:val="24"/>
        </w:rPr>
        <w:t xml:space="preserve"> (2021) ietvertie principi un ieteikumi tiktāl, ciktāl to pieļauj spēkā esošie normatīvie akti.</w:t>
      </w:r>
    </w:p>
    <w:p w14:paraId="74E2FDEC" w14:textId="36238C53" w:rsidR="00DA19D7" w:rsidRPr="0083189D" w:rsidRDefault="00DA19D7"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Izstrādājot stratēģiju </w:t>
      </w:r>
      <w:r w:rsidR="00711AE7">
        <w:rPr>
          <w:rFonts w:asciiTheme="majorHAnsi" w:hAnsiTheme="majorHAnsi" w:cstheme="majorHAnsi"/>
          <w:sz w:val="24"/>
          <w:szCs w:val="24"/>
        </w:rPr>
        <w:t>ņemts</w:t>
      </w:r>
      <w:r w:rsidRPr="0083189D">
        <w:rPr>
          <w:rFonts w:asciiTheme="majorHAnsi" w:hAnsiTheme="majorHAnsi" w:cstheme="majorHAnsi"/>
          <w:sz w:val="24"/>
          <w:szCs w:val="24"/>
        </w:rPr>
        <w:t xml:space="preserve"> vērā nevalstisko organizāciju – Ārvalstu investoru padomes Latvijā, Latvijas Tirdzniecības un rūpniecības kameras un Latvijas Finanšu nozares asociācijas, viedoklis par </w:t>
      </w:r>
      <w:r w:rsidR="001116D1" w:rsidRPr="0083189D">
        <w:rPr>
          <w:rFonts w:asciiTheme="majorHAnsi" w:hAnsiTheme="majorHAnsi" w:cstheme="majorHAnsi"/>
          <w:sz w:val="24"/>
          <w:szCs w:val="24"/>
        </w:rPr>
        <w:t>prioritātēm maksātnespējas nozares uzraudzībā</w:t>
      </w:r>
      <w:r w:rsidRPr="0083189D">
        <w:rPr>
          <w:rFonts w:asciiTheme="majorHAnsi" w:hAnsiTheme="majorHAnsi" w:cstheme="majorHAnsi"/>
          <w:sz w:val="24"/>
          <w:szCs w:val="24"/>
        </w:rPr>
        <w:t>.</w:t>
      </w:r>
    </w:p>
    <w:p w14:paraId="523C7861" w14:textId="77777777" w:rsidR="00DA19D7" w:rsidRPr="0083189D" w:rsidRDefault="00DA19D7" w:rsidP="00627C36">
      <w:pPr>
        <w:spacing w:after="0" w:line="276" w:lineRule="auto"/>
        <w:ind w:firstLine="720"/>
        <w:jc w:val="both"/>
        <w:rPr>
          <w:rFonts w:asciiTheme="majorHAnsi" w:hAnsiTheme="majorHAnsi" w:cstheme="majorHAnsi"/>
          <w:sz w:val="24"/>
          <w:szCs w:val="24"/>
        </w:rPr>
      </w:pPr>
    </w:p>
    <w:p w14:paraId="6D18AC2B" w14:textId="6305222D" w:rsidR="000D4836" w:rsidRPr="00140C65" w:rsidRDefault="00B0050F" w:rsidP="00627C36">
      <w:pPr>
        <w:pStyle w:val="Virsraksts1"/>
        <w:numPr>
          <w:ilvl w:val="0"/>
          <w:numId w:val="1"/>
        </w:numPr>
        <w:spacing w:line="276" w:lineRule="auto"/>
        <w:jc w:val="center"/>
        <w:rPr>
          <w:rFonts w:cstheme="majorHAnsi"/>
          <w:b/>
          <w:bCs/>
        </w:rPr>
      </w:pPr>
      <w:bookmarkStart w:id="1" w:name="_Toc154665197"/>
      <w:r w:rsidRPr="00140C65">
        <w:rPr>
          <w:rFonts w:cstheme="majorHAnsi"/>
          <w:b/>
          <w:bCs/>
        </w:rPr>
        <w:t>Uzraudzības mērķis un principi</w:t>
      </w:r>
      <w:bookmarkEnd w:id="1"/>
    </w:p>
    <w:p w14:paraId="19444316" w14:textId="56FD0345" w:rsidR="001B338B" w:rsidRDefault="001B338B" w:rsidP="00627C36">
      <w:pPr>
        <w:spacing w:line="276" w:lineRule="auto"/>
        <w:ind w:firstLine="720"/>
        <w:jc w:val="both"/>
        <w:rPr>
          <w:rFonts w:asciiTheme="majorHAnsi" w:hAnsiTheme="majorHAnsi" w:cstheme="majorHAnsi"/>
          <w:sz w:val="24"/>
          <w:szCs w:val="24"/>
        </w:rPr>
      </w:pPr>
      <w:r w:rsidRPr="00AF4803">
        <w:rPr>
          <w:rFonts w:asciiTheme="majorHAnsi" w:hAnsiTheme="majorHAnsi" w:cstheme="majorHAnsi"/>
          <w:noProof/>
          <w:sz w:val="24"/>
          <w:szCs w:val="24"/>
        </w:rPr>
        <mc:AlternateContent>
          <mc:Choice Requires="wps">
            <w:drawing>
              <wp:anchor distT="45720" distB="45720" distL="114300" distR="114300" simplePos="0" relativeHeight="251658241" behindDoc="0" locked="0" layoutInCell="1" allowOverlap="1" wp14:anchorId="6C23FB74" wp14:editId="1D4F4D16">
                <wp:simplePos x="0" y="0"/>
                <wp:positionH relativeFrom="margin">
                  <wp:align>right</wp:align>
                </wp:positionH>
                <wp:positionV relativeFrom="paragraph">
                  <wp:posOffset>395329</wp:posOffset>
                </wp:positionV>
                <wp:extent cx="5263515" cy="1407160"/>
                <wp:effectExtent l="0" t="0" r="13335" b="21590"/>
                <wp:wrapSquare wrapText="bothSides"/>
                <wp:docPr id="643188017" name="Tekstlodziņš 643188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7381"/>
                        </a:xfrm>
                        <a:prstGeom prst="rect">
                          <a:avLst/>
                        </a:prstGeom>
                        <a:noFill/>
                        <a:ln>
                          <a:solidFill>
                            <a:schemeClr val="accent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7101A712" w14:textId="792B4D9E" w:rsidR="00140C65" w:rsidRDefault="00140C65" w:rsidP="008D21FA">
                            <w:pPr>
                              <w:spacing w:line="276" w:lineRule="auto"/>
                              <w:ind w:firstLine="720"/>
                              <w:jc w:val="both"/>
                            </w:pPr>
                            <w:r w:rsidRPr="00140C65">
                              <w:rPr>
                                <w:rFonts w:asciiTheme="majorHAnsi" w:hAnsiTheme="majorHAnsi" w:cstheme="majorHAnsi"/>
                                <w:b/>
                                <w:bCs/>
                                <w:color w:val="2F5496" w:themeColor="accent1" w:themeShade="BF"/>
                                <w:sz w:val="24"/>
                                <w:szCs w:val="24"/>
                              </w:rPr>
                              <w:t xml:space="preserve">Uzraudzības mērķis ir panākt administratora un uzraugošās personas rīcības atbilstību normatīvo aktu prasībām, kā arī novērst to, ka maksātnespējas procesi tiek izmantoti noziedzīgi iegūtu līdzekļu legalizācijā un terorisma un </w:t>
                            </w:r>
                            <w:proofErr w:type="spellStart"/>
                            <w:r w:rsidRPr="00140C65">
                              <w:rPr>
                                <w:rFonts w:asciiTheme="majorHAnsi" w:hAnsiTheme="majorHAnsi" w:cstheme="majorHAnsi"/>
                                <w:b/>
                                <w:bCs/>
                                <w:color w:val="2F5496" w:themeColor="accent1" w:themeShade="BF"/>
                                <w:sz w:val="24"/>
                                <w:szCs w:val="24"/>
                              </w:rPr>
                              <w:t>proliferācijas</w:t>
                            </w:r>
                            <w:proofErr w:type="spellEnd"/>
                            <w:r w:rsidRPr="00140C65">
                              <w:rPr>
                                <w:rFonts w:asciiTheme="majorHAnsi" w:hAnsiTheme="majorHAnsi" w:cstheme="majorHAnsi"/>
                                <w:b/>
                                <w:bCs/>
                                <w:color w:val="2F5496" w:themeColor="accent1" w:themeShade="BF"/>
                                <w:sz w:val="24"/>
                                <w:szCs w:val="24"/>
                              </w:rPr>
                              <w:t xml:space="preserve"> finansēšanā, kā arī starptautisko un nacionālo sankciju apiešanā un pārkāpšanā. Tādējādi veicinot maksātnespējas procedūru tiesiskumu un efektivitāti un, secīgi, sekmējot pievilcīgas uzņēmējdarbības vides veidošanu un investīciju piesaisti</w:t>
                            </w:r>
                            <w:r>
                              <w:rPr>
                                <w:rFonts w:asciiTheme="majorHAnsi" w:hAnsiTheme="majorHAnsi" w:cstheme="majorHAnsi"/>
                                <w:b/>
                                <w:bCs/>
                                <w:color w:val="2F5496" w:themeColor="accent1" w:themeShade="B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3FB74" id="Tekstlodziņš 643188017" o:spid="_x0000_s1029" type="#_x0000_t202" style="position:absolute;left:0;text-align:left;margin-left:363.25pt;margin-top:31.15pt;width:414.45pt;height:110.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" filled="f" strokecolor="#4472c4 [3204]" strokeweight="1pt">
                <v:stroke dashstyle="dash"/>
                <v:textbox>
                  <w:txbxContent>
                    <w:p w14:paraId="7101A712" w14:textId="792B4D9E" w:rsidR="00140C65" w:rsidRDefault="00140C65" w:rsidP="008D21FA">
                      <w:pPr>
                        <w:spacing w:line="276" w:lineRule="auto"/>
                        <w:ind w:firstLine="720"/>
                        <w:jc w:val="both"/>
                      </w:pPr>
                      <w:r w:rsidRPr="00140C65">
                        <w:rPr>
                          <w:rFonts w:asciiTheme="majorHAnsi" w:hAnsiTheme="majorHAnsi" w:cstheme="majorHAnsi"/>
                          <w:b/>
                          <w:bCs/>
                          <w:color w:val="2F5496" w:themeColor="accent1" w:themeShade="BF"/>
                          <w:sz w:val="24"/>
                          <w:szCs w:val="24"/>
                        </w:rPr>
                        <w:t xml:space="preserve">Uzraudzības mērķis ir panākt administratora un uzraugošās personas rīcības atbilstību normatīvo aktu prasībām, kā arī novērst to, ka maksātnespējas procesi tiek izmantoti noziedzīgi iegūtu līdzekļu legalizācijā un terorisma un </w:t>
                      </w:r>
                      <w:proofErr w:type="spellStart"/>
                      <w:r w:rsidRPr="00140C65">
                        <w:rPr>
                          <w:rFonts w:asciiTheme="majorHAnsi" w:hAnsiTheme="majorHAnsi" w:cstheme="majorHAnsi"/>
                          <w:b/>
                          <w:bCs/>
                          <w:color w:val="2F5496" w:themeColor="accent1" w:themeShade="BF"/>
                          <w:sz w:val="24"/>
                          <w:szCs w:val="24"/>
                        </w:rPr>
                        <w:t>proliferācijas</w:t>
                      </w:r>
                      <w:proofErr w:type="spellEnd"/>
                      <w:r w:rsidRPr="00140C65">
                        <w:rPr>
                          <w:rFonts w:asciiTheme="majorHAnsi" w:hAnsiTheme="majorHAnsi" w:cstheme="majorHAnsi"/>
                          <w:b/>
                          <w:bCs/>
                          <w:color w:val="2F5496" w:themeColor="accent1" w:themeShade="BF"/>
                          <w:sz w:val="24"/>
                          <w:szCs w:val="24"/>
                        </w:rPr>
                        <w:t xml:space="preserve"> finansēšanā, kā arī starptautisko un nacionālo sankciju apiešanā un pārkāpšanā. Tādējādi veicinot maksātnespējas procedūru tiesiskumu un efektivitāti un, secīgi, sekmējot pievilcīgas uzņēmējdarbības vides veidošanu un investīciju piesaisti</w:t>
                      </w:r>
                      <w:r>
                        <w:rPr>
                          <w:rFonts w:asciiTheme="majorHAnsi" w:hAnsiTheme="majorHAnsi" w:cstheme="majorHAnsi"/>
                          <w:b/>
                          <w:bCs/>
                          <w:color w:val="2F5496" w:themeColor="accent1" w:themeShade="BF"/>
                          <w:sz w:val="24"/>
                          <w:szCs w:val="24"/>
                        </w:rPr>
                        <w:t>.</w:t>
                      </w:r>
                    </w:p>
                  </w:txbxContent>
                </v:textbox>
                <w10:wrap type="square" anchorx="margin"/>
              </v:shape>
            </w:pict>
          </mc:Fallback>
        </mc:AlternateContent>
      </w:r>
    </w:p>
    <w:p w14:paraId="09B8412F" w14:textId="77777777" w:rsidR="001B338B" w:rsidRDefault="001B338B" w:rsidP="00627C36">
      <w:pPr>
        <w:spacing w:line="276" w:lineRule="auto"/>
        <w:ind w:firstLine="720"/>
        <w:jc w:val="both"/>
        <w:rPr>
          <w:rFonts w:asciiTheme="majorHAnsi" w:hAnsiTheme="majorHAnsi" w:cstheme="majorHAnsi"/>
          <w:sz w:val="24"/>
          <w:szCs w:val="24"/>
        </w:rPr>
      </w:pPr>
    </w:p>
    <w:p w14:paraId="43372E78" w14:textId="6ACE5C4F" w:rsidR="005673A7" w:rsidRPr="0083189D" w:rsidRDefault="396CC418"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Lai sekmētu to, ka MKD rīcība ir vērsta uz </w:t>
      </w:r>
      <w:r w:rsidR="00023D0F" w:rsidRPr="0083189D">
        <w:rPr>
          <w:rFonts w:asciiTheme="majorHAnsi" w:hAnsiTheme="majorHAnsi" w:cstheme="majorHAnsi"/>
          <w:sz w:val="24"/>
          <w:szCs w:val="24"/>
        </w:rPr>
        <w:t xml:space="preserve">minētā </w:t>
      </w:r>
      <w:r w:rsidRPr="0083189D">
        <w:rPr>
          <w:rFonts w:asciiTheme="majorHAnsi" w:hAnsiTheme="majorHAnsi" w:cstheme="majorHAnsi"/>
          <w:sz w:val="24"/>
          <w:szCs w:val="24"/>
        </w:rPr>
        <w:t xml:space="preserve">mērķa sasniegšanu, iestāde savā darbībā ievēro šādus </w:t>
      </w:r>
      <w:r w:rsidRPr="00F91707">
        <w:rPr>
          <w:rFonts w:asciiTheme="majorHAnsi" w:hAnsiTheme="majorHAnsi" w:cstheme="majorHAnsi"/>
          <w:b/>
          <w:bCs/>
          <w:sz w:val="24"/>
          <w:szCs w:val="24"/>
        </w:rPr>
        <w:t>uzraudzības principus</w:t>
      </w:r>
      <w:r w:rsidRPr="0083189D">
        <w:rPr>
          <w:rFonts w:asciiTheme="majorHAnsi" w:hAnsiTheme="majorHAnsi" w:cstheme="majorHAnsi"/>
          <w:sz w:val="24"/>
          <w:szCs w:val="24"/>
        </w:rPr>
        <w:t>:</w:t>
      </w:r>
    </w:p>
    <w:p w14:paraId="472984FC" w14:textId="12BB825F" w:rsidR="00633B94" w:rsidRPr="0083189D" w:rsidRDefault="00C703ED" w:rsidP="00627C36">
      <w:pPr>
        <w:pStyle w:val="Sarakstarindkopa"/>
        <w:numPr>
          <w:ilvl w:val="0"/>
          <w:numId w:val="2"/>
        </w:numPr>
        <w:spacing w:line="276" w:lineRule="auto"/>
        <w:jc w:val="both"/>
        <w:rPr>
          <w:rFonts w:asciiTheme="majorHAnsi" w:hAnsiTheme="majorHAnsi" w:cstheme="majorHAnsi"/>
          <w:sz w:val="24"/>
          <w:szCs w:val="24"/>
        </w:rPr>
      </w:pPr>
      <w:r w:rsidRPr="0083189D">
        <w:rPr>
          <w:rFonts w:asciiTheme="majorHAnsi" w:hAnsiTheme="majorHAnsi" w:cstheme="majorHAnsi"/>
          <w:b/>
          <w:sz w:val="24"/>
          <w:szCs w:val="24"/>
        </w:rPr>
        <w:t>Uz risku vadību balstītas, taisnīgas un proporcionālas uzraudzības darbības</w:t>
      </w:r>
      <w:r w:rsidRPr="0083189D">
        <w:rPr>
          <w:rFonts w:asciiTheme="majorHAnsi" w:hAnsiTheme="majorHAnsi" w:cstheme="majorHAnsi"/>
          <w:sz w:val="24"/>
          <w:szCs w:val="24"/>
        </w:rPr>
        <w:t xml:space="preserve">. Plānojot un veicot uzraudzības pasākumus, MKD izmanto uz risku </w:t>
      </w:r>
      <w:proofErr w:type="spellStart"/>
      <w:r w:rsidRPr="0083189D">
        <w:rPr>
          <w:rFonts w:asciiTheme="majorHAnsi" w:hAnsiTheme="majorHAnsi" w:cstheme="majorHAnsi"/>
          <w:sz w:val="24"/>
          <w:szCs w:val="24"/>
        </w:rPr>
        <w:t>izvērtējumu</w:t>
      </w:r>
      <w:proofErr w:type="spellEnd"/>
      <w:r w:rsidRPr="0083189D">
        <w:rPr>
          <w:rFonts w:asciiTheme="majorHAnsi" w:hAnsiTheme="majorHAnsi" w:cstheme="majorHAnsi"/>
          <w:sz w:val="24"/>
          <w:szCs w:val="24"/>
        </w:rPr>
        <w:t xml:space="preserve"> balstītu pieeju un vadās pēc proporcionalitātes principa – jo zemāks risks, jo mazāk resursu tiek veltīts tā uzraudzībai.</w:t>
      </w:r>
    </w:p>
    <w:p w14:paraId="19407733" w14:textId="18014C22" w:rsidR="00C703ED" w:rsidRPr="0083189D" w:rsidRDefault="00FF0B40" w:rsidP="00627C36">
      <w:pPr>
        <w:pStyle w:val="Sarakstarindkopa"/>
        <w:numPr>
          <w:ilvl w:val="0"/>
          <w:numId w:val="2"/>
        </w:numPr>
        <w:spacing w:line="276" w:lineRule="auto"/>
        <w:jc w:val="both"/>
        <w:rPr>
          <w:rFonts w:asciiTheme="majorHAnsi" w:hAnsiTheme="majorHAnsi" w:cstheme="majorHAnsi"/>
          <w:sz w:val="24"/>
          <w:szCs w:val="24"/>
        </w:rPr>
      </w:pPr>
      <w:r w:rsidRPr="0083189D">
        <w:rPr>
          <w:rFonts w:asciiTheme="majorHAnsi" w:hAnsiTheme="majorHAnsi" w:cstheme="majorHAnsi"/>
          <w:b/>
          <w:sz w:val="24"/>
          <w:szCs w:val="24"/>
        </w:rPr>
        <w:t>Taisnīgi un proporcionāli lēmumi, kas vērsti uz atbilstības panākšanu</w:t>
      </w:r>
      <w:r w:rsidRPr="0083189D">
        <w:rPr>
          <w:rFonts w:asciiTheme="majorHAnsi" w:hAnsiTheme="majorHAnsi" w:cstheme="majorHAnsi"/>
          <w:sz w:val="24"/>
          <w:szCs w:val="24"/>
        </w:rPr>
        <w:t xml:space="preserve">. Piemērojot uzraudzības instrumentus, iestāde izvēlas to instrumentu, kas vērsts uz uzraudzības mērķa sasniegšanu un vislabāk sekmē atbilstības panākšanu, kā arī ievēro vienlīdzību un proporcionalitātes principu – jo </w:t>
      </w:r>
      <w:r w:rsidR="0056567E" w:rsidRPr="0083189D">
        <w:rPr>
          <w:rFonts w:asciiTheme="majorHAnsi" w:hAnsiTheme="majorHAnsi" w:cstheme="majorHAnsi"/>
          <w:sz w:val="24"/>
          <w:szCs w:val="24"/>
        </w:rPr>
        <w:t>būtiskāks</w:t>
      </w:r>
      <w:r w:rsidRPr="0083189D">
        <w:rPr>
          <w:rFonts w:asciiTheme="majorHAnsi" w:hAnsiTheme="majorHAnsi" w:cstheme="majorHAnsi"/>
          <w:sz w:val="24"/>
          <w:szCs w:val="24"/>
        </w:rPr>
        <w:t xml:space="preserve"> pārkāpums, jo </w:t>
      </w:r>
      <w:r w:rsidR="0056567E" w:rsidRPr="0083189D">
        <w:rPr>
          <w:rFonts w:asciiTheme="majorHAnsi" w:hAnsiTheme="majorHAnsi" w:cstheme="majorHAnsi"/>
          <w:sz w:val="24"/>
          <w:szCs w:val="24"/>
        </w:rPr>
        <w:t>smagākas</w:t>
      </w:r>
      <w:r w:rsidRPr="0083189D">
        <w:rPr>
          <w:rFonts w:asciiTheme="majorHAnsi" w:hAnsiTheme="majorHAnsi" w:cstheme="majorHAnsi"/>
          <w:sz w:val="24"/>
          <w:szCs w:val="24"/>
        </w:rPr>
        <w:t xml:space="preserve"> sekas.</w:t>
      </w:r>
    </w:p>
    <w:p w14:paraId="7642F44A" w14:textId="0DEC559B" w:rsidR="0056567E" w:rsidRPr="0083189D" w:rsidRDefault="00225652" w:rsidP="00627C36">
      <w:pPr>
        <w:pStyle w:val="Sarakstarindkopa"/>
        <w:numPr>
          <w:ilvl w:val="0"/>
          <w:numId w:val="2"/>
        </w:numPr>
        <w:spacing w:line="276" w:lineRule="auto"/>
        <w:jc w:val="both"/>
        <w:rPr>
          <w:rFonts w:asciiTheme="majorHAnsi" w:hAnsiTheme="majorHAnsi" w:cstheme="majorHAnsi"/>
          <w:sz w:val="24"/>
          <w:szCs w:val="24"/>
        </w:rPr>
      </w:pPr>
      <w:r w:rsidRPr="0083189D">
        <w:rPr>
          <w:rFonts w:asciiTheme="majorHAnsi" w:hAnsiTheme="majorHAnsi" w:cstheme="majorHAnsi"/>
          <w:b/>
          <w:sz w:val="24"/>
          <w:szCs w:val="24"/>
        </w:rPr>
        <w:t>Atbalsts uzraugāmajiem subjektiem normatīvo aktu prasību izpildē</w:t>
      </w:r>
      <w:r w:rsidRPr="0083189D">
        <w:rPr>
          <w:rFonts w:asciiTheme="majorHAnsi" w:hAnsiTheme="majorHAnsi" w:cstheme="majorHAnsi"/>
          <w:sz w:val="24"/>
          <w:szCs w:val="24"/>
        </w:rPr>
        <w:t>. MKD informē uzraugāmos subjektus par normatīvo aktu prasībām un iestādes viedokli to piemērošanas jautājumos (piemēram, skaidrojumi, viedokļi, vadlīnijas u.c., katrā konkrētā gadījumā izvēloties efektīvāko saziņas veidu)</w:t>
      </w:r>
      <w:r w:rsidR="00D655DF" w:rsidRPr="0083189D">
        <w:rPr>
          <w:rFonts w:asciiTheme="majorHAnsi" w:hAnsiTheme="majorHAnsi" w:cstheme="majorHAnsi"/>
          <w:sz w:val="24"/>
          <w:szCs w:val="24"/>
        </w:rPr>
        <w:t>.</w:t>
      </w:r>
    </w:p>
    <w:p w14:paraId="21BB5AED" w14:textId="4E5AC992" w:rsidR="00D655DF" w:rsidRPr="0083189D" w:rsidRDefault="00D655DF" w:rsidP="00627C36">
      <w:pPr>
        <w:pStyle w:val="Sarakstarindkopa"/>
        <w:numPr>
          <w:ilvl w:val="0"/>
          <w:numId w:val="2"/>
        </w:numPr>
        <w:spacing w:line="276" w:lineRule="auto"/>
        <w:jc w:val="both"/>
        <w:rPr>
          <w:rFonts w:asciiTheme="majorHAnsi" w:hAnsiTheme="majorHAnsi" w:cstheme="majorHAnsi"/>
          <w:sz w:val="24"/>
          <w:szCs w:val="24"/>
        </w:rPr>
      </w:pPr>
      <w:r w:rsidRPr="0083189D">
        <w:rPr>
          <w:rFonts w:asciiTheme="majorHAnsi" w:hAnsiTheme="majorHAnsi" w:cstheme="majorHAnsi"/>
          <w:b/>
          <w:sz w:val="24"/>
          <w:szCs w:val="24"/>
        </w:rPr>
        <w:t>Sadarbība ar uzraugāmajiem subjektiem, nevalstiskajām organizācijām un citām uzraudzības iestādēm</w:t>
      </w:r>
      <w:r w:rsidRPr="0083189D">
        <w:rPr>
          <w:rFonts w:asciiTheme="majorHAnsi" w:hAnsiTheme="majorHAnsi" w:cstheme="majorHAnsi"/>
          <w:sz w:val="24"/>
          <w:szCs w:val="24"/>
        </w:rPr>
        <w:t>. Iestāde ir vērsta uz sadarbību, regulāri sniedz informāciju par uzraudzības rezultātiem, kā arī uzklausa un izvērtē saņemtos priekšlikumus.</w:t>
      </w:r>
    </w:p>
    <w:p w14:paraId="53AF7D9D" w14:textId="0E72D711" w:rsidR="00073953" w:rsidRPr="0083189D" w:rsidRDefault="00073953" w:rsidP="00627C36">
      <w:pPr>
        <w:spacing w:line="276" w:lineRule="auto"/>
        <w:rPr>
          <w:rFonts w:asciiTheme="majorHAnsi" w:hAnsiTheme="majorHAnsi" w:cstheme="majorHAnsi"/>
          <w:sz w:val="24"/>
          <w:szCs w:val="24"/>
        </w:rPr>
      </w:pPr>
      <w:r w:rsidRPr="0083189D">
        <w:rPr>
          <w:rFonts w:asciiTheme="majorHAnsi" w:hAnsiTheme="majorHAnsi" w:cstheme="majorHAnsi"/>
          <w:sz w:val="24"/>
          <w:szCs w:val="24"/>
        </w:rPr>
        <w:br w:type="page"/>
      </w:r>
    </w:p>
    <w:p w14:paraId="66B15149" w14:textId="458CF24F" w:rsidR="00073953" w:rsidRPr="00F91707" w:rsidRDefault="005B5543" w:rsidP="00627C36">
      <w:pPr>
        <w:pStyle w:val="Virsraksts1"/>
        <w:numPr>
          <w:ilvl w:val="0"/>
          <w:numId w:val="1"/>
        </w:numPr>
        <w:spacing w:line="276" w:lineRule="auto"/>
        <w:jc w:val="center"/>
        <w:rPr>
          <w:rFonts w:cstheme="majorHAnsi"/>
          <w:b/>
          <w:bCs/>
        </w:rPr>
      </w:pPr>
      <w:bookmarkStart w:id="2" w:name="_Toc154665198"/>
      <w:r w:rsidRPr="00F91707">
        <w:rPr>
          <w:rFonts w:cstheme="majorHAnsi"/>
          <w:b/>
          <w:bCs/>
        </w:rPr>
        <w:lastRenderedPageBreak/>
        <w:t>Identificētie</w:t>
      </w:r>
      <w:r w:rsidR="00482396" w:rsidRPr="00F91707">
        <w:rPr>
          <w:rFonts w:cstheme="majorHAnsi"/>
          <w:b/>
          <w:bCs/>
        </w:rPr>
        <w:t xml:space="preserve"> riski</w:t>
      </w:r>
      <w:bookmarkEnd w:id="2"/>
    </w:p>
    <w:p w14:paraId="70135519" w14:textId="77777777" w:rsidR="0074709A" w:rsidRPr="0083189D" w:rsidRDefault="0074709A" w:rsidP="00627C36">
      <w:pPr>
        <w:spacing w:line="276" w:lineRule="auto"/>
        <w:rPr>
          <w:rFonts w:asciiTheme="majorHAnsi" w:hAnsiTheme="majorHAnsi" w:cstheme="majorHAnsi"/>
        </w:rPr>
      </w:pPr>
    </w:p>
    <w:p w14:paraId="2D804FFA" w14:textId="3557C12E" w:rsidR="00197AED" w:rsidRPr="0083189D" w:rsidRDefault="00E83727" w:rsidP="00627C3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MKD</w:t>
      </w:r>
      <w:r w:rsidR="0074709A" w:rsidRPr="0083189D">
        <w:rPr>
          <w:rFonts w:asciiTheme="majorHAnsi" w:hAnsiTheme="majorHAnsi" w:cstheme="majorHAnsi"/>
          <w:sz w:val="24"/>
          <w:szCs w:val="24"/>
        </w:rPr>
        <w:t xml:space="preserve"> rīcībai uzraudzības jomā ir jābūt tieši un koncentrēti vērstai uz </w:t>
      </w:r>
      <w:r w:rsidR="009858F0" w:rsidRPr="0083189D">
        <w:rPr>
          <w:rFonts w:asciiTheme="majorHAnsi" w:hAnsiTheme="majorHAnsi" w:cstheme="majorHAnsi"/>
          <w:sz w:val="24"/>
          <w:szCs w:val="24"/>
        </w:rPr>
        <w:t xml:space="preserve">uzraudzības </w:t>
      </w:r>
      <w:r w:rsidR="0074709A" w:rsidRPr="0083189D">
        <w:rPr>
          <w:rFonts w:asciiTheme="majorHAnsi" w:hAnsiTheme="majorHAnsi" w:cstheme="majorHAnsi"/>
          <w:sz w:val="24"/>
          <w:szCs w:val="24"/>
        </w:rPr>
        <w:t>mērķa sasniegšanu.</w:t>
      </w:r>
      <w:r w:rsidR="00094495" w:rsidRPr="0083189D">
        <w:rPr>
          <w:rFonts w:asciiTheme="majorHAnsi" w:hAnsiTheme="majorHAnsi" w:cstheme="majorHAnsi"/>
          <w:sz w:val="24"/>
          <w:szCs w:val="24"/>
        </w:rPr>
        <w:t xml:space="preserve"> Vienlaikus jāņem vērā, ka MKD </w:t>
      </w:r>
      <w:r w:rsidR="00FC24B8" w:rsidRPr="0083189D">
        <w:rPr>
          <w:rFonts w:asciiTheme="majorHAnsi" w:hAnsiTheme="majorHAnsi" w:cstheme="majorHAnsi"/>
          <w:sz w:val="24"/>
          <w:szCs w:val="24"/>
        </w:rPr>
        <w:t xml:space="preserve">uzraudzībai </w:t>
      </w:r>
      <w:r w:rsidR="00FB1F8B" w:rsidRPr="0083189D">
        <w:rPr>
          <w:rFonts w:asciiTheme="majorHAnsi" w:hAnsiTheme="majorHAnsi" w:cstheme="majorHAnsi"/>
          <w:sz w:val="24"/>
          <w:szCs w:val="24"/>
        </w:rPr>
        <w:t xml:space="preserve">paredzētie </w:t>
      </w:r>
      <w:r w:rsidR="00094495" w:rsidRPr="0083189D">
        <w:rPr>
          <w:rFonts w:asciiTheme="majorHAnsi" w:hAnsiTheme="majorHAnsi" w:cstheme="majorHAnsi"/>
          <w:sz w:val="24"/>
          <w:szCs w:val="24"/>
        </w:rPr>
        <w:t xml:space="preserve">resursi </w:t>
      </w:r>
      <w:r w:rsidR="00FB1F8B" w:rsidRPr="0083189D">
        <w:rPr>
          <w:rFonts w:asciiTheme="majorHAnsi" w:hAnsiTheme="majorHAnsi" w:cstheme="majorHAnsi"/>
          <w:sz w:val="24"/>
          <w:szCs w:val="24"/>
        </w:rPr>
        <w:t xml:space="preserve">ir ierobežoti iepretim uzraugāmo subjektu un </w:t>
      </w:r>
      <w:r w:rsidR="00DB79E9" w:rsidRPr="0083189D">
        <w:rPr>
          <w:rFonts w:asciiTheme="majorHAnsi" w:hAnsiTheme="majorHAnsi" w:cstheme="majorHAnsi"/>
          <w:sz w:val="24"/>
          <w:szCs w:val="24"/>
        </w:rPr>
        <w:t>procesu skaitam.</w:t>
      </w:r>
      <w:r w:rsidR="00DB79E9" w:rsidRPr="0083189D">
        <w:rPr>
          <w:rStyle w:val="Vresatsauce"/>
          <w:rFonts w:asciiTheme="majorHAnsi" w:hAnsiTheme="majorHAnsi" w:cstheme="majorHAnsi"/>
          <w:sz w:val="24"/>
          <w:szCs w:val="24"/>
        </w:rPr>
        <w:footnoteReference w:id="7"/>
      </w:r>
      <w:r w:rsidR="00DB79E9" w:rsidRPr="0083189D">
        <w:rPr>
          <w:rFonts w:asciiTheme="majorHAnsi" w:hAnsiTheme="majorHAnsi" w:cstheme="majorHAnsi"/>
          <w:sz w:val="24"/>
          <w:szCs w:val="24"/>
        </w:rPr>
        <w:t xml:space="preserve"> </w:t>
      </w:r>
      <w:r w:rsidR="00E95802" w:rsidRPr="0083189D">
        <w:rPr>
          <w:rFonts w:asciiTheme="majorHAnsi" w:hAnsiTheme="majorHAnsi" w:cstheme="majorHAnsi"/>
          <w:sz w:val="24"/>
          <w:szCs w:val="24"/>
        </w:rPr>
        <w:t xml:space="preserve">Turklāt MKD īsteno uzraudzību </w:t>
      </w:r>
      <w:r w:rsidR="006C328D" w:rsidRPr="0083189D">
        <w:rPr>
          <w:rFonts w:asciiTheme="majorHAnsi" w:hAnsiTheme="majorHAnsi" w:cstheme="majorHAnsi"/>
          <w:sz w:val="24"/>
          <w:szCs w:val="24"/>
        </w:rPr>
        <w:t>trīs dažādos virzienos</w:t>
      </w:r>
      <w:r w:rsidR="00197AED" w:rsidRPr="0083189D">
        <w:rPr>
          <w:rFonts w:asciiTheme="majorHAnsi" w:hAnsiTheme="majorHAnsi" w:cstheme="majorHAnsi"/>
          <w:sz w:val="24"/>
          <w:szCs w:val="24"/>
        </w:rPr>
        <w:t xml:space="preserve"> atbilstoši</w:t>
      </w:r>
      <w:r w:rsidR="006C328D" w:rsidRPr="0083189D">
        <w:rPr>
          <w:rFonts w:asciiTheme="majorHAnsi" w:hAnsiTheme="majorHAnsi" w:cstheme="majorHAnsi"/>
          <w:sz w:val="24"/>
          <w:szCs w:val="24"/>
        </w:rPr>
        <w:t xml:space="preserve">: </w:t>
      </w:r>
    </w:p>
    <w:p w14:paraId="1A97C43F" w14:textId="5EBACB7B" w:rsidR="00197AED" w:rsidRPr="00627C36" w:rsidRDefault="006C328D" w:rsidP="00627C36">
      <w:pPr>
        <w:pStyle w:val="Sarakstarindkopa"/>
        <w:numPr>
          <w:ilvl w:val="0"/>
          <w:numId w:val="30"/>
        </w:numPr>
        <w:spacing w:after="0" w:line="276" w:lineRule="auto"/>
        <w:jc w:val="both"/>
        <w:rPr>
          <w:rFonts w:asciiTheme="majorHAnsi" w:hAnsiTheme="majorHAnsi" w:cstheme="majorHAnsi"/>
          <w:sz w:val="24"/>
          <w:szCs w:val="24"/>
        </w:rPr>
      </w:pPr>
      <w:r w:rsidRPr="00627C36">
        <w:rPr>
          <w:rFonts w:asciiTheme="majorHAnsi" w:hAnsiTheme="majorHAnsi" w:cstheme="majorHAnsi"/>
          <w:sz w:val="24"/>
          <w:szCs w:val="24"/>
        </w:rPr>
        <w:t xml:space="preserve">Maksātnespējas likumā noteiktajai kompetencei, </w:t>
      </w:r>
    </w:p>
    <w:p w14:paraId="1F8A2E2A" w14:textId="7F655962" w:rsidR="00197AED" w:rsidRPr="00627C36" w:rsidRDefault="006C328D" w:rsidP="00627C36">
      <w:pPr>
        <w:pStyle w:val="Sarakstarindkopa"/>
        <w:numPr>
          <w:ilvl w:val="0"/>
          <w:numId w:val="30"/>
        </w:numPr>
        <w:spacing w:after="0" w:line="276" w:lineRule="auto"/>
        <w:jc w:val="both"/>
        <w:rPr>
          <w:rFonts w:asciiTheme="majorHAnsi" w:hAnsiTheme="majorHAnsi" w:cstheme="majorHAnsi"/>
          <w:sz w:val="24"/>
          <w:szCs w:val="24"/>
        </w:rPr>
      </w:pPr>
      <w:r w:rsidRPr="00627C36">
        <w:rPr>
          <w:rFonts w:asciiTheme="majorHAnsi" w:hAnsiTheme="majorHAnsi" w:cstheme="majorHAnsi"/>
          <w:sz w:val="24"/>
          <w:szCs w:val="24"/>
        </w:rPr>
        <w:t>Novēršanas likumā noteiktajai kompetencei</w:t>
      </w:r>
      <w:r w:rsidR="00197AED" w:rsidRPr="00627C36">
        <w:rPr>
          <w:rFonts w:asciiTheme="majorHAnsi" w:hAnsiTheme="majorHAnsi" w:cstheme="majorHAnsi"/>
          <w:sz w:val="24"/>
          <w:szCs w:val="24"/>
        </w:rPr>
        <w:t>;</w:t>
      </w:r>
    </w:p>
    <w:p w14:paraId="6D8EB1E3" w14:textId="61097A54" w:rsidR="00197AED" w:rsidRPr="00627C36" w:rsidRDefault="006C328D" w:rsidP="00627C36">
      <w:pPr>
        <w:pStyle w:val="Sarakstarindkopa"/>
        <w:numPr>
          <w:ilvl w:val="0"/>
          <w:numId w:val="30"/>
        </w:numPr>
        <w:spacing w:after="0" w:line="276" w:lineRule="auto"/>
        <w:jc w:val="both"/>
        <w:rPr>
          <w:rFonts w:asciiTheme="majorHAnsi" w:hAnsiTheme="majorHAnsi" w:cstheme="majorHAnsi"/>
          <w:sz w:val="24"/>
          <w:szCs w:val="24"/>
        </w:rPr>
      </w:pPr>
      <w:r w:rsidRPr="00627C36">
        <w:rPr>
          <w:rFonts w:asciiTheme="majorHAnsi" w:hAnsiTheme="majorHAnsi" w:cstheme="majorHAnsi"/>
          <w:sz w:val="24"/>
          <w:szCs w:val="24"/>
        </w:rPr>
        <w:t>Sankciju likumā noteiktajai kompetencei</w:t>
      </w:r>
      <w:r w:rsidRPr="0083189D">
        <w:rPr>
          <w:rStyle w:val="Vresatsauce"/>
          <w:rFonts w:asciiTheme="majorHAnsi" w:hAnsiTheme="majorHAnsi" w:cstheme="majorHAnsi"/>
          <w:sz w:val="24"/>
          <w:szCs w:val="24"/>
        </w:rPr>
        <w:footnoteReference w:id="8"/>
      </w:r>
      <w:r w:rsidRPr="00627C36">
        <w:rPr>
          <w:rFonts w:asciiTheme="majorHAnsi" w:hAnsiTheme="majorHAnsi" w:cstheme="majorHAnsi"/>
          <w:sz w:val="24"/>
          <w:szCs w:val="24"/>
        </w:rPr>
        <w:t>.</w:t>
      </w:r>
      <w:r w:rsidR="00947795" w:rsidRPr="00627C36">
        <w:rPr>
          <w:rFonts w:asciiTheme="majorHAnsi" w:hAnsiTheme="majorHAnsi" w:cstheme="majorHAnsi"/>
          <w:sz w:val="24"/>
          <w:szCs w:val="24"/>
        </w:rPr>
        <w:t xml:space="preserve"> </w:t>
      </w:r>
    </w:p>
    <w:p w14:paraId="7A5E2C5E" w14:textId="4A681679" w:rsidR="002E77ED" w:rsidRPr="0083189D" w:rsidRDefault="000547AC" w:rsidP="00627C3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Līdz ar to </w:t>
      </w:r>
      <w:r w:rsidR="008B1A16" w:rsidRPr="0083189D">
        <w:rPr>
          <w:rFonts w:asciiTheme="majorHAnsi" w:hAnsiTheme="majorHAnsi" w:cstheme="majorHAnsi"/>
          <w:sz w:val="24"/>
          <w:szCs w:val="24"/>
        </w:rPr>
        <w:t>MKD nevar</w:t>
      </w:r>
      <w:r w:rsidR="00EA4825" w:rsidRPr="0083189D">
        <w:rPr>
          <w:rFonts w:asciiTheme="majorHAnsi" w:hAnsiTheme="majorHAnsi" w:cstheme="majorHAnsi"/>
          <w:sz w:val="24"/>
          <w:szCs w:val="24"/>
        </w:rPr>
        <w:t xml:space="preserve"> </w:t>
      </w:r>
      <w:r w:rsidR="006A0112" w:rsidRPr="0083189D">
        <w:rPr>
          <w:rFonts w:asciiTheme="majorHAnsi" w:hAnsiTheme="majorHAnsi" w:cstheme="majorHAnsi"/>
          <w:sz w:val="24"/>
          <w:szCs w:val="24"/>
        </w:rPr>
        <w:t xml:space="preserve">uzraudzīt katra administratora rīcību </w:t>
      </w:r>
      <w:r w:rsidR="007C4C1C" w:rsidRPr="0083189D">
        <w:rPr>
          <w:rFonts w:asciiTheme="majorHAnsi" w:hAnsiTheme="majorHAnsi" w:cstheme="majorHAnsi"/>
          <w:sz w:val="24"/>
          <w:szCs w:val="24"/>
        </w:rPr>
        <w:t>katrā</w:t>
      </w:r>
      <w:r w:rsidR="00950969" w:rsidRPr="0083189D">
        <w:rPr>
          <w:rFonts w:asciiTheme="majorHAnsi" w:hAnsiTheme="majorHAnsi" w:cstheme="majorHAnsi"/>
          <w:sz w:val="24"/>
          <w:szCs w:val="24"/>
        </w:rPr>
        <w:t xml:space="preserve"> maksātnespējas proces</w:t>
      </w:r>
      <w:r w:rsidR="007C4C1C" w:rsidRPr="0083189D">
        <w:rPr>
          <w:rFonts w:asciiTheme="majorHAnsi" w:hAnsiTheme="majorHAnsi" w:cstheme="majorHAnsi"/>
          <w:sz w:val="24"/>
          <w:szCs w:val="24"/>
        </w:rPr>
        <w:t xml:space="preserve">ā, </w:t>
      </w:r>
      <w:r w:rsidR="00AE0EA5" w:rsidRPr="0083189D">
        <w:rPr>
          <w:rFonts w:asciiTheme="majorHAnsi" w:hAnsiTheme="majorHAnsi" w:cstheme="majorHAnsi"/>
          <w:sz w:val="24"/>
          <w:szCs w:val="24"/>
        </w:rPr>
        <w:t xml:space="preserve">kā arī katras uzraugošās personas rīcību katrā </w:t>
      </w:r>
      <w:r w:rsidR="007C4C1C" w:rsidRPr="0083189D">
        <w:rPr>
          <w:rFonts w:asciiTheme="majorHAnsi" w:hAnsiTheme="majorHAnsi" w:cstheme="majorHAnsi"/>
          <w:sz w:val="24"/>
          <w:szCs w:val="24"/>
        </w:rPr>
        <w:t>TAP.</w:t>
      </w:r>
      <w:r w:rsidR="00627C36">
        <w:rPr>
          <w:rFonts w:asciiTheme="majorHAnsi" w:hAnsiTheme="majorHAnsi" w:cstheme="majorHAnsi"/>
          <w:sz w:val="24"/>
          <w:szCs w:val="24"/>
        </w:rPr>
        <w:t xml:space="preserve"> </w:t>
      </w:r>
      <w:r w:rsidR="00640D90" w:rsidRPr="0083189D">
        <w:rPr>
          <w:rFonts w:asciiTheme="majorHAnsi" w:hAnsiTheme="majorHAnsi" w:cstheme="majorHAnsi"/>
          <w:sz w:val="24"/>
          <w:szCs w:val="24"/>
        </w:rPr>
        <w:t xml:space="preserve">Šādos apstākļos efektīva, uz mērķi vērsta un sabiedrības interesēm atbilstoša uzraudzība ir iespējama tikai pamatojoties uz risku vadības un </w:t>
      </w:r>
      <w:proofErr w:type="spellStart"/>
      <w:r w:rsidR="00640D90" w:rsidRPr="0083189D">
        <w:rPr>
          <w:rFonts w:asciiTheme="majorHAnsi" w:hAnsiTheme="majorHAnsi" w:cstheme="majorHAnsi"/>
          <w:sz w:val="24"/>
          <w:szCs w:val="24"/>
        </w:rPr>
        <w:t>prioritizācijas</w:t>
      </w:r>
      <w:proofErr w:type="spellEnd"/>
      <w:r w:rsidR="00640D90" w:rsidRPr="0083189D">
        <w:rPr>
          <w:rFonts w:asciiTheme="majorHAnsi" w:hAnsiTheme="majorHAnsi" w:cstheme="majorHAnsi"/>
          <w:sz w:val="24"/>
          <w:szCs w:val="24"/>
        </w:rPr>
        <w:t xml:space="preserve"> principiem. Tāpēc </w:t>
      </w:r>
      <w:r w:rsidRPr="0083189D">
        <w:rPr>
          <w:rFonts w:asciiTheme="majorHAnsi" w:hAnsiTheme="majorHAnsi" w:cstheme="majorHAnsi"/>
          <w:sz w:val="24"/>
          <w:szCs w:val="24"/>
        </w:rPr>
        <w:t>MKD</w:t>
      </w:r>
      <w:r w:rsidR="00640D90" w:rsidRPr="0083189D">
        <w:rPr>
          <w:rFonts w:asciiTheme="majorHAnsi" w:hAnsiTheme="majorHAnsi" w:cstheme="majorHAnsi"/>
          <w:sz w:val="24"/>
          <w:szCs w:val="24"/>
        </w:rPr>
        <w:t xml:space="preserve"> pienākums ir apzināt riskus uzraudzības jomā un noteikt prioritātes.</w:t>
      </w:r>
    </w:p>
    <w:p w14:paraId="1CC41564" w14:textId="10F51B85" w:rsidR="00B47C87" w:rsidRPr="00627C36" w:rsidRDefault="00640D90" w:rsidP="00627C36">
      <w:pPr>
        <w:spacing w:after="0" w:line="276" w:lineRule="auto"/>
        <w:ind w:firstLine="720"/>
        <w:jc w:val="both"/>
        <w:rPr>
          <w:rFonts w:asciiTheme="majorHAnsi" w:hAnsiTheme="majorHAnsi" w:cstheme="majorHAnsi"/>
          <w:b/>
          <w:bCs/>
          <w:sz w:val="24"/>
          <w:szCs w:val="24"/>
        </w:rPr>
      </w:pPr>
      <w:r w:rsidRPr="00627C36">
        <w:rPr>
          <w:rFonts w:asciiTheme="majorHAnsi" w:hAnsiTheme="majorHAnsi" w:cstheme="majorHAnsi"/>
          <w:b/>
          <w:bCs/>
          <w:sz w:val="24"/>
          <w:szCs w:val="24"/>
        </w:rPr>
        <w:t xml:space="preserve">Nemainīgi </w:t>
      </w:r>
      <w:r w:rsidR="000F2BA3" w:rsidRPr="00627C36">
        <w:rPr>
          <w:rFonts w:asciiTheme="majorHAnsi" w:hAnsiTheme="majorHAnsi" w:cstheme="majorHAnsi"/>
          <w:b/>
          <w:bCs/>
          <w:sz w:val="24"/>
          <w:szCs w:val="24"/>
        </w:rPr>
        <w:t>MKD</w:t>
      </w:r>
      <w:r w:rsidRPr="00627C36">
        <w:rPr>
          <w:rFonts w:asciiTheme="majorHAnsi" w:hAnsiTheme="majorHAnsi" w:cstheme="majorHAnsi"/>
          <w:b/>
          <w:bCs/>
          <w:sz w:val="24"/>
          <w:szCs w:val="24"/>
        </w:rPr>
        <w:t xml:space="preserve"> prioritāte ir ekonomikā nozīmīgi maksātnespējas procesi un </w:t>
      </w:r>
      <w:r w:rsidR="00483984" w:rsidRPr="00627C36">
        <w:rPr>
          <w:rFonts w:asciiTheme="majorHAnsi" w:hAnsiTheme="majorHAnsi" w:cstheme="majorHAnsi"/>
          <w:b/>
          <w:bCs/>
          <w:sz w:val="24"/>
          <w:szCs w:val="24"/>
        </w:rPr>
        <w:t>TAP</w:t>
      </w:r>
      <w:r w:rsidRPr="00627C36">
        <w:rPr>
          <w:rFonts w:asciiTheme="majorHAnsi" w:hAnsiTheme="majorHAnsi" w:cstheme="majorHAnsi"/>
          <w:b/>
          <w:bCs/>
          <w:sz w:val="24"/>
          <w:szCs w:val="24"/>
        </w:rPr>
        <w:t xml:space="preserve">, kuru uzraudzībai tiek veltīti pastiprināti iestādes resursi. </w:t>
      </w:r>
    </w:p>
    <w:p w14:paraId="3CA27AC2" w14:textId="77777777" w:rsidR="008D21FA" w:rsidRDefault="00281464" w:rsidP="008D21FA">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T</w:t>
      </w:r>
      <w:r w:rsidR="00640D90" w:rsidRPr="0083189D">
        <w:rPr>
          <w:rFonts w:asciiTheme="majorHAnsi" w:hAnsiTheme="majorHAnsi" w:cstheme="majorHAnsi"/>
          <w:sz w:val="24"/>
          <w:szCs w:val="24"/>
        </w:rPr>
        <w:t xml:space="preserve">urpmāk tiks analizēti riski, kas izriet no </w:t>
      </w:r>
      <w:r w:rsidR="005F328B" w:rsidRPr="0083189D">
        <w:rPr>
          <w:rFonts w:asciiTheme="majorHAnsi" w:hAnsiTheme="majorHAnsi" w:cstheme="majorHAnsi"/>
          <w:sz w:val="24"/>
          <w:szCs w:val="24"/>
        </w:rPr>
        <w:t>202</w:t>
      </w:r>
      <w:r w:rsidR="00CE0C7B" w:rsidRPr="0083189D">
        <w:rPr>
          <w:rFonts w:asciiTheme="majorHAnsi" w:hAnsiTheme="majorHAnsi" w:cstheme="majorHAnsi"/>
          <w:sz w:val="24"/>
          <w:szCs w:val="24"/>
        </w:rPr>
        <w:t>2. – 2023. gadā veiktās uzraudzības rezultātiem</w:t>
      </w:r>
      <w:r w:rsidR="003A4E57" w:rsidRPr="0083189D">
        <w:rPr>
          <w:rFonts w:asciiTheme="majorHAnsi" w:hAnsiTheme="majorHAnsi" w:cstheme="majorHAnsi"/>
          <w:sz w:val="24"/>
          <w:szCs w:val="24"/>
        </w:rPr>
        <w:t xml:space="preserve"> (riski, ko rada </w:t>
      </w:r>
      <w:r w:rsidR="0001731E" w:rsidRPr="0083189D">
        <w:rPr>
          <w:rFonts w:asciiTheme="majorHAnsi" w:hAnsiTheme="majorHAnsi" w:cstheme="majorHAnsi"/>
          <w:sz w:val="24"/>
          <w:szCs w:val="24"/>
        </w:rPr>
        <w:t>uzraugāmie subjekti)</w:t>
      </w:r>
      <w:r w:rsidR="00640D90" w:rsidRPr="0083189D">
        <w:rPr>
          <w:rFonts w:asciiTheme="majorHAnsi" w:hAnsiTheme="majorHAnsi" w:cstheme="majorHAnsi"/>
          <w:sz w:val="24"/>
          <w:szCs w:val="24"/>
        </w:rPr>
        <w:t>,</w:t>
      </w:r>
      <w:r w:rsidR="0001731E" w:rsidRPr="0083189D">
        <w:rPr>
          <w:rFonts w:asciiTheme="majorHAnsi" w:hAnsiTheme="majorHAnsi" w:cstheme="majorHAnsi"/>
          <w:sz w:val="24"/>
          <w:szCs w:val="24"/>
        </w:rPr>
        <w:t xml:space="preserve"> </w:t>
      </w:r>
      <w:r w:rsidR="00D11DE8" w:rsidRPr="0083189D">
        <w:rPr>
          <w:rFonts w:asciiTheme="majorHAnsi" w:hAnsiTheme="majorHAnsi" w:cstheme="majorHAnsi"/>
          <w:sz w:val="24"/>
          <w:szCs w:val="24"/>
        </w:rPr>
        <w:t xml:space="preserve">un citi faktori, kas var ietekmēt </w:t>
      </w:r>
      <w:r w:rsidR="0024640B" w:rsidRPr="0083189D">
        <w:rPr>
          <w:rFonts w:asciiTheme="majorHAnsi" w:hAnsiTheme="majorHAnsi" w:cstheme="majorHAnsi"/>
          <w:sz w:val="24"/>
          <w:szCs w:val="24"/>
        </w:rPr>
        <w:t xml:space="preserve">maksātnespējas procedūru tiesiskumu un efektivitāti un </w:t>
      </w:r>
      <w:r w:rsidR="00293EE6" w:rsidRPr="0083189D">
        <w:rPr>
          <w:rFonts w:asciiTheme="majorHAnsi" w:hAnsiTheme="majorHAnsi" w:cstheme="majorHAnsi"/>
          <w:sz w:val="24"/>
          <w:szCs w:val="24"/>
        </w:rPr>
        <w:t>kurus ir iespējams ietekmēt ar MKD veiktās uzraudzības starpniecību (</w:t>
      </w:r>
      <w:r w:rsidR="00ED2666" w:rsidRPr="0083189D">
        <w:rPr>
          <w:rFonts w:asciiTheme="majorHAnsi" w:hAnsiTheme="majorHAnsi" w:cstheme="majorHAnsi"/>
          <w:sz w:val="24"/>
          <w:szCs w:val="24"/>
        </w:rPr>
        <w:t>riski, ko rada ārējās vides faktori</w:t>
      </w:r>
      <w:r w:rsidR="00DF1B7C" w:rsidRPr="0083189D">
        <w:rPr>
          <w:rFonts w:asciiTheme="majorHAnsi" w:hAnsiTheme="majorHAnsi" w:cstheme="majorHAnsi"/>
          <w:sz w:val="24"/>
          <w:szCs w:val="24"/>
        </w:rPr>
        <w:t>, piemēram, grozījumi normatīvajā regulējumā</w:t>
      </w:r>
      <w:r w:rsidR="00EA0A03" w:rsidRPr="0083189D">
        <w:rPr>
          <w:rFonts w:asciiTheme="majorHAnsi" w:hAnsiTheme="majorHAnsi" w:cstheme="majorHAnsi"/>
          <w:sz w:val="24"/>
          <w:szCs w:val="24"/>
        </w:rPr>
        <w:t>, notikumi, kas ietekmē uzņēmējdarbību u.c.</w:t>
      </w:r>
      <w:r w:rsidR="00ED2666" w:rsidRPr="0083189D">
        <w:rPr>
          <w:rFonts w:asciiTheme="majorHAnsi" w:hAnsiTheme="majorHAnsi" w:cstheme="majorHAnsi"/>
          <w:sz w:val="24"/>
          <w:szCs w:val="24"/>
        </w:rPr>
        <w:t>)</w:t>
      </w:r>
      <w:r w:rsidR="00A57052" w:rsidRPr="0083189D">
        <w:rPr>
          <w:rFonts w:asciiTheme="majorHAnsi" w:hAnsiTheme="majorHAnsi" w:cstheme="majorHAnsi"/>
          <w:sz w:val="24"/>
          <w:szCs w:val="24"/>
        </w:rPr>
        <w:t>.</w:t>
      </w:r>
    </w:p>
    <w:p w14:paraId="4E2B1663" w14:textId="5E92B123" w:rsidR="00CE0C7B" w:rsidRPr="0083189D" w:rsidRDefault="00640D90" w:rsidP="008D21FA">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 </w:t>
      </w:r>
    </w:p>
    <w:p w14:paraId="5E5901D8" w14:textId="7176AAA7" w:rsidR="00760649" w:rsidRDefault="00760649" w:rsidP="008D21FA">
      <w:pPr>
        <w:pStyle w:val="Virsraksts2"/>
        <w:numPr>
          <w:ilvl w:val="1"/>
          <w:numId w:val="1"/>
        </w:numPr>
        <w:spacing w:line="276" w:lineRule="auto"/>
        <w:jc w:val="center"/>
        <w:rPr>
          <w:rFonts w:cstheme="majorHAnsi"/>
          <w:b/>
          <w:bCs/>
          <w:sz w:val="24"/>
          <w:szCs w:val="24"/>
        </w:rPr>
      </w:pPr>
      <w:bookmarkStart w:id="3" w:name="_Toc154665199"/>
      <w:r w:rsidRPr="008D21FA">
        <w:rPr>
          <w:rFonts w:cstheme="majorHAnsi"/>
          <w:b/>
          <w:bCs/>
          <w:sz w:val="24"/>
          <w:szCs w:val="24"/>
        </w:rPr>
        <w:t>Uzraudzības pasākumu rezultātā identificētie riski</w:t>
      </w:r>
      <w:bookmarkEnd w:id="3"/>
    </w:p>
    <w:p w14:paraId="65285A2C" w14:textId="77777777" w:rsidR="008D21FA" w:rsidRPr="008D21FA" w:rsidRDefault="008D21FA" w:rsidP="008D21FA">
      <w:pPr>
        <w:spacing w:after="0"/>
      </w:pPr>
    </w:p>
    <w:p w14:paraId="492672A6" w14:textId="28F8A874" w:rsidR="004F45FC" w:rsidRDefault="00EA0A03" w:rsidP="00E00313">
      <w:pPr>
        <w:pStyle w:val="Virsraksts3"/>
        <w:numPr>
          <w:ilvl w:val="2"/>
          <w:numId w:val="1"/>
        </w:numPr>
        <w:spacing w:before="0" w:line="276" w:lineRule="auto"/>
        <w:ind w:left="720"/>
        <w:jc w:val="both"/>
        <w:rPr>
          <w:rFonts w:cstheme="majorHAnsi"/>
          <w:color w:val="2F5496" w:themeColor="accent1" w:themeShade="BF"/>
        </w:rPr>
      </w:pPr>
      <w:bookmarkStart w:id="4" w:name="_Toc154665200"/>
      <w:r w:rsidRPr="008D21FA">
        <w:rPr>
          <w:rFonts w:cstheme="majorHAnsi"/>
          <w:color w:val="2F5496" w:themeColor="accent1" w:themeShade="BF"/>
        </w:rPr>
        <w:t>Uzraudzība saskaņā ar Maksātnespējas likumu</w:t>
      </w:r>
      <w:bookmarkEnd w:id="4"/>
    </w:p>
    <w:p w14:paraId="61582EFA" w14:textId="77777777" w:rsidR="008D21FA" w:rsidRPr="008D21FA" w:rsidRDefault="008D21FA" w:rsidP="008D21FA">
      <w:pPr>
        <w:spacing w:after="0"/>
      </w:pPr>
    </w:p>
    <w:p w14:paraId="46D86A68" w14:textId="7D3EBA0E" w:rsidR="0073167C" w:rsidRPr="0083189D" w:rsidRDefault="00B6114C" w:rsidP="008D21FA">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N</w:t>
      </w:r>
      <w:r w:rsidR="002A113C" w:rsidRPr="0083189D">
        <w:rPr>
          <w:rFonts w:asciiTheme="majorHAnsi" w:hAnsiTheme="majorHAnsi" w:cstheme="majorHAnsi"/>
          <w:sz w:val="24"/>
          <w:szCs w:val="24"/>
        </w:rPr>
        <w:t>o 2022. gada 1. janvāra līdz 2023. gada 30. septembrim</w:t>
      </w:r>
      <w:r w:rsidR="000752B1" w:rsidRPr="0083189D">
        <w:rPr>
          <w:rFonts w:asciiTheme="majorHAnsi" w:hAnsiTheme="majorHAnsi" w:cstheme="majorHAnsi"/>
          <w:sz w:val="24"/>
          <w:szCs w:val="24"/>
        </w:rPr>
        <w:t xml:space="preserve">, veicot uzraudzību saskaņā ar Maksātnespējas likumu, MKD </w:t>
      </w:r>
      <w:r w:rsidR="00EB47C4" w:rsidRPr="0083189D">
        <w:rPr>
          <w:rFonts w:asciiTheme="majorHAnsi" w:hAnsiTheme="majorHAnsi" w:cstheme="majorHAnsi"/>
          <w:sz w:val="24"/>
          <w:szCs w:val="24"/>
        </w:rPr>
        <w:t>ir konstatējis 236 pārkāpumus</w:t>
      </w:r>
      <w:r w:rsidR="00CD4BFD" w:rsidRPr="0083189D">
        <w:rPr>
          <w:rFonts w:asciiTheme="majorHAnsi" w:hAnsiTheme="majorHAnsi" w:cstheme="majorHAnsi"/>
          <w:sz w:val="24"/>
          <w:szCs w:val="24"/>
        </w:rPr>
        <w:t xml:space="preserve"> administratoru rīcībā</w:t>
      </w:r>
      <w:r w:rsidR="001A2672" w:rsidRPr="0083189D">
        <w:rPr>
          <w:rFonts w:asciiTheme="majorHAnsi" w:hAnsiTheme="majorHAnsi" w:cstheme="majorHAnsi"/>
          <w:sz w:val="24"/>
          <w:szCs w:val="24"/>
        </w:rPr>
        <w:t>.</w:t>
      </w:r>
    </w:p>
    <w:p w14:paraId="2100CD5E" w14:textId="6EB54C47" w:rsidR="00A1004E" w:rsidRPr="0083189D" w:rsidRDefault="00A1004E"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Analizējot konstatēto pārkāpumu būtību</w:t>
      </w:r>
      <w:r w:rsidR="00220263" w:rsidRPr="0083189D">
        <w:rPr>
          <w:rFonts w:asciiTheme="majorHAnsi" w:hAnsiTheme="majorHAnsi" w:cstheme="majorHAnsi"/>
          <w:sz w:val="24"/>
          <w:szCs w:val="24"/>
        </w:rPr>
        <w:t xml:space="preserve"> (grafiks Nr.</w:t>
      </w:r>
      <w:r w:rsidR="008D21FA">
        <w:rPr>
          <w:rFonts w:asciiTheme="majorHAnsi" w:hAnsiTheme="majorHAnsi" w:cstheme="majorHAnsi"/>
          <w:sz w:val="24"/>
          <w:szCs w:val="24"/>
        </w:rPr>
        <w:t> 1</w:t>
      </w:r>
      <w:r w:rsidR="00220263" w:rsidRPr="0083189D">
        <w:rPr>
          <w:rFonts w:asciiTheme="majorHAnsi" w:hAnsiTheme="majorHAnsi" w:cstheme="majorHAnsi"/>
          <w:sz w:val="24"/>
          <w:szCs w:val="24"/>
        </w:rPr>
        <w:t>)</w:t>
      </w:r>
      <w:r w:rsidR="00570BF0" w:rsidRPr="0083189D">
        <w:rPr>
          <w:rFonts w:asciiTheme="majorHAnsi" w:hAnsiTheme="majorHAnsi" w:cstheme="majorHAnsi"/>
          <w:sz w:val="24"/>
          <w:szCs w:val="24"/>
        </w:rPr>
        <w:t xml:space="preserve"> </w:t>
      </w:r>
      <w:r w:rsidR="009C4D87" w:rsidRPr="0083189D">
        <w:rPr>
          <w:rFonts w:asciiTheme="majorHAnsi" w:hAnsiTheme="majorHAnsi" w:cstheme="majorHAnsi"/>
          <w:sz w:val="24"/>
          <w:szCs w:val="24"/>
        </w:rPr>
        <w:t>secināms</w:t>
      </w:r>
      <w:r w:rsidR="00D44038" w:rsidRPr="0083189D">
        <w:rPr>
          <w:rFonts w:asciiTheme="majorHAnsi" w:hAnsiTheme="majorHAnsi" w:cstheme="majorHAnsi"/>
          <w:sz w:val="24"/>
          <w:szCs w:val="24"/>
        </w:rPr>
        <w:t xml:space="preserve">, ka </w:t>
      </w:r>
      <w:r w:rsidR="00D44038" w:rsidRPr="008D21FA">
        <w:rPr>
          <w:rFonts w:asciiTheme="majorHAnsi" w:hAnsiTheme="majorHAnsi" w:cstheme="majorHAnsi"/>
          <w:b/>
          <w:bCs/>
          <w:sz w:val="24"/>
          <w:szCs w:val="24"/>
        </w:rPr>
        <w:t xml:space="preserve">biežāk pieļautie pārkāpumi </w:t>
      </w:r>
      <w:r w:rsidR="00D44038" w:rsidRPr="0083189D">
        <w:rPr>
          <w:rFonts w:asciiTheme="majorHAnsi" w:hAnsiTheme="majorHAnsi" w:cstheme="majorHAnsi"/>
          <w:sz w:val="24"/>
          <w:szCs w:val="24"/>
        </w:rPr>
        <w:t>saistīti ar:</w:t>
      </w:r>
    </w:p>
    <w:p w14:paraId="48BDDA67" w14:textId="09E38396" w:rsidR="00D44038" w:rsidRPr="0083189D" w:rsidRDefault="006709F1" w:rsidP="00DC4798">
      <w:pPr>
        <w:pStyle w:val="Sarakstarindkopa"/>
        <w:numPr>
          <w:ilvl w:val="0"/>
          <w:numId w:val="32"/>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i</w:t>
      </w:r>
      <w:r w:rsidR="009C4D87" w:rsidRPr="0083189D">
        <w:rPr>
          <w:rFonts w:asciiTheme="majorHAnsi" w:hAnsiTheme="majorHAnsi" w:cstheme="majorHAnsi"/>
          <w:sz w:val="24"/>
          <w:szCs w:val="24"/>
        </w:rPr>
        <w:t>nformācijas nesniegšanu maksātnespējas procesā iesaistītajām personām (</w:t>
      </w:r>
      <w:r w:rsidR="004B395D" w:rsidRPr="0083189D">
        <w:rPr>
          <w:rFonts w:asciiTheme="majorHAnsi" w:hAnsiTheme="majorHAnsi" w:cstheme="majorHAnsi"/>
          <w:sz w:val="24"/>
          <w:szCs w:val="24"/>
        </w:rPr>
        <w:t>46 pārkāpumi);</w:t>
      </w:r>
    </w:p>
    <w:p w14:paraId="1866D07D" w14:textId="0805418A" w:rsidR="004B395D" w:rsidRPr="0083189D" w:rsidRDefault="006709F1" w:rsidP="00DC4798">
      <w:pPr>
        <w:pStyle w:val="Sarakstarindkopa"/>
        <w:numPr>
          <w:ilvl w:val="0"/>
          <w:numId w:val="32"/>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parādnieka mantas apzināšan</w:t>
      </w:r>
      <w:r w:rsidR="00AE16BC" w:rsidRPr="0083189D">
        <w:rPr>
          <w:rFonts w:asciiTheme="majorHAnsi" w:hAnsiTheme="majorHAnsi" w:cstheme="majorHAnsi"/>
          <w:sz w:val="24"/>
          <w:szCs w:val="24"/>
        </w:rPr>
        <w:t>as</w:t>
      </w:r>
      <w:r w:rsidRPr="0083189D">
        <w:rPr>
          <w:rFonts w:asciiTheme="majorHAnsi" w:hAnsiTheme="majorHAnsi" w:cstheme="majorHAnsi"/>
          <w:sz w:val="24"/>
          <w:szCs w:val="24"/>
        </w:rPr>
        <w:t>, atgūšan</w:t>
      </w:r>
      <w:r w:rsidR="00AE16BC" w:rsidRPr="0083189D">
        <w:rPr>
          <w:rFonts w:asciiTheme="majorHAnsi" w:hAnsiTheme="majorHAnsi" w:cstheme="majorHAnsi"/>
          <w:sz w:val="24"/>
          <w:szCs w:val="24"/>
        </w:rPr>
        <w:t>as</w:t>
      </w:r>
      <w:r w:rsidRPr="0083189D">
        <w:rPr>
          <w:rFonts w:asciiTheme="majorHAnsi" w:hAnsiTheme="majorHAnsi" w:cstheme="majorHAnsi"/>
          <w:sz w:val="24"/>
          <w:szCs w:val="24"/>
        </w:rPr>
        <w:t>, pārdošan</w:t>
      </w:r>
      <w:r w:rsidR="00AE16BC" w:rsidRPr="0083189D">
        <w:rPr>
          <w:rFonts w:asciiTheme="majorHAnsi" w:hAnsiTheme="majorHAnsi" w:cstheme="majorHAnsi"/>
          <w:sz w:val="24"/>
          <w:szCs w:val="24"/>
        </w:rPr>
        <w:t xml:space="preserve">as procesa neatbilstību </w:t>
      </w:r>
      <w:r w:rsidR="00506FAD" w:rsidRPr="0083189D">
        <w:rPr>
          <w:rFonts w:asciiTheme="majorHAnsi" w:hAnsiTheme="majorHAnsi" w:cstheme="majorHAnsi"/>
          <w:sz w:val="24"/>
          <w:szCs w:val="24"/>
        </w:rPr>
        <w:t>Maksātnespējas likumā noteiktajai kārtībai</w:t>
      </w:r>
      <w:r w:rsidRPr="0083189D">
        <w:rPr>
          <w:rFonts w:asciiTheme="majorHAnsi" w:hAnsiTheme="majorHAnsi" w:cstheme="majorHAnsi"/>
          <w:sz w:val="24"/>
          <w:szCs w:val="24"/>
        </w:rPr>
        <w:t xml:space="preserve"> (</w:t>
      </w:r>
      <w:r w:rsidR="00CB2263" w:rsidRPr="0083189D">
        <w:rPr>
          <w:rFonts w:asciiTheme="majorHAnsi" w:hAnsiTheme="majorHAnsi" w:cstheme="majorHAnsi"/>
          <w:sz w:val="24"/>
          <w:szCs w:val="24"/>
        </w:rPr>
        <w:t>30 pārkāpumi)</w:t>
      </w:r>
      <w:r w:rsidR="0037617F" w:rsidRPr="0083189D">
        <w:rPr>
          <w:rFonts w:asciiTheme="majorHAnsi" w:hAnsiTheme="majorHAnsi" w:cstheme="majorHAnsi"/>
          <w:sz w:val="24"/>
          <w:szCs w:val="24"/>
        </w:rPr>
        <w:t>;</w:t>
      </w:r>
    </w:p>
    <w:p w14:paraId="7BC4E951" w14:textId="47169AA6" w:rsidR="0037617F" w:rsidRPr="0083189D" w:rsidRDefault="0037617F" w:rsidP="00DC4798">
      <w:pPr>
        <w:pStyle w:val="Sarakstarindkopa"/>
        <w:numPr>
          <w:ilvl w:val="0"/>
          <w:numId w:val="32"/>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lastRenderedPageBreak/>
        <w:t>mantas pārdošanas plāna un ziņojuma par parādnieka mantas neesamību satur</w:t>
      </w:r>
      <w:r w:rsidR="00506FAD" w:rsidRPr="0083189D">
        <w:rPr>
          <w:rFonts w:asciiTheme="majorHAnsi" w:hAnsiTheme="majorHAnsi" w:cstheme="majorHAnsi"/>
          <w:sz w:val="24"/>
          <w:szCs w:val="24"/>
        </w:rPr>
        <w:t>a</w:t>
      </w:r>
      <w:r w:rsidRPr="0083189D">
        <w:rPr>
          <w:rFonts w:asciiTheme="majorHAnsi" w:hAnsiTheme="majorHAnsi" w:cstheme="majorHAnsi"/>
          <w:sz w:val="24"/>
          <w:szCs w:val="24"/>
        </w:rPr>
        <w:t>, termiņ</w:t>
      </w:r>
      <w:r w:rsidR="00506FAD" w:rsidRPr="0083189D">
        <w:rPr>
          <w:rFonts w:asciiTheme="majorHAnsi" w:hAnsiTheme="majorHAnsi" w:cstheme="majorHAnsi"/>
          <w:sz w:val="24"/>
          <w:szCs w:val="24"/>
        </w:rPr>
        <w:t>u</w:t>
      </w:r>
      <w:r w:rsidRPr="0083189D">
        <w:rPr>
          <w:rFonts w:asciiTheme="majorHAnsi" w:hAnsiTheme="majorHAnsi" w:cstheme="majorHAnsi"/>
          <w:sz w:val="24"/>
          <w:szCs w:val="24"/>
        </w:rPr>
        <w:t xml:space="preserve"> un iebildum</w:t>
      </w:r>
      <w:r w:rsidR="00506FAD" w:rsidRPr="0083189D">
        <w:rPr>
          <w:rFonts w:asciiTheme="majorHAnsi" w:hAnsiTheme="majorHAnsi" w:cstheme="majorHAnsi"/>
          <w:sz w:val="24"/>
          <w:szCs w:val="24"/>
        </w:rPr>
        <w:t xml:space="preserve">u izvērtēšanas </w:t>
      </w:r>
      <w:r w:rsidR="006641DF" w:rsidRPr="0083189D">
        <w:rPr>
          <w:rFonts w:asciiTheme="majorHAnsi" w:hAnsiTheme="majorHAnsi" w:cstheme="majorHAnsi"/>
          <w:sz w:val="24"/>
          <w:szCs w:val="24"/>
        </w:rPr>
        <w:t>procesa neatbilstību Maksātnespējas likumā noteiktajai kārtībai</w:t>
      </w:r>
      <w:r w:rsidR="00D735FD" w:rsidRPr="0083189D">
        <w:rPr>
          <w:rFonts w:asciiTheme="majorHAnsi" w:hAnsiTheme="majorHAnsi" w:cstheme="majorHAnsi"/>
          <w:sz w:val="24"/>
          <w:szCs w:val="24"/>
        </w:rPr>
        <w:t xml:space="preserve"> (24 pārkāpumi)</w:t>
      </w:r>
      <w:r w:rsidRPr="0083189D">
        <w:rPr>
          <w:rFonts w:asciiTheme="majorHAnsi" w:hAnsiTheme="majorHAnsi" w:cstheme="majorHAnsi"/>
          <w:sz w:val="24"/>
          <w:szCs w:val="24"/>
        </w:rPr>
        <w:t>;</w:t>
      </w:r>
    </w:p>
    <w:p w14:paraId="1265E974" w14:textId="66B90422" w:rsidR="0037617F" w:rsidRPr="0083189D" w:rsidRDefault="00190283" w:rsidP="00DC4798">
      <w:pPr>
        <w:pStyle w:val="Sarakstarindkopa"/>
        <w:numPr>
          <w:ilvl w:val="0"/>
          <w:numId w:val="32"/>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 xml:space="preserve">savlaicīgu, vispusīgu un </w:t>
      </w:r>
      <w:r w:rsidR="00ED02ED" w:rsidRPr="0083189D">
        <w:rPr>
          <w:rFonts w:asciiTheme="majorHAnsi" w:hAnsiTheme="majorHAnsi" w:cstheme="majorHAnsi"/>
          <w:sz w:val="24"/>
          <w:szCs w:val="24"/>
        </w:rPr>
        <w:t xml:space="preserve">pilnvērtīgu parādnieka </w:t>
      </w:r>
      <w:r w:rsidR="00D735FD" w:rsidRPr="0083189D">
        <w:rPr>
          <w:rFonts w:asciiTheme="majorHAnsi" w:hAnsiTheme="majorHAnsi" w:cstheme="majorHAnsi"/>
          <w:sz w:val="24"/>
          <w:szCs w:val="24"/>
        </w:rPr>
        <w:t xml:space="preserve">darījumu </w:t>
      </w:r>
      <w:r w:rsidR="006641DF" w:rsidRPr="0083189D">
        <w:rPr>
          <w:rFonts w:asciiTheme="majorHAnsi" w:hAnsiTheme="majorHAnsi" w:cstheme="majorHAnsi"/>
          <w:sz w:val="24"/>
          <w:szCs w:val="24"/>
        </w:rPr>
        <w:t>ne</w:t>
      </w:r>
      <w:r w:rsidR="00D735FD" w:rsidRPr="0083189D">
        <w:rPr>
          <w:rFonts w:asciiTheme="majorHAnsi" w:hAnsiTheme="majorHAnsi" w:cstheme="majorHAnsi"/>
          <w:sz w:val="24"/>
          <w:szCs w:val="24"/>
        </w:rPr>
        <w:t>izvērtēšanu (</w:t>
      </w:r>
      <w:r w:rsidR="006B463F" w:rsidRPr="0083189D">
        <w:rPr>
          <w:rFonts w:asciiTheme="majorHAnsi" w:hAnsiTheme="majorHAnsi" w:cstheme="majorHAnsi"/>
          <w:sz w:val="24"/>
          <w:szCs w:val="24"/>
        </w:rPr>
        <w:t>22 pārkāpumi);</w:t>
      </w:r>
    </w:p>
    <w:p w14:paraId="55788D95" w14:textId="5E316C41" w:rsidR="006B463F" w:rsidRPr="0083189D" w:rsidRDefault="006B463F" w:rsidP="00DC4798">
      <w:pPr>
        <w:pStyle w:val="Sarakstarindkopa"/>
        <w:numPr>
          <w:ilvl w:val="0"/>
          <w:numId w:val="32"/>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 xml:space="preserve">EMUS </w:t>
      </w:r>
      <w:r w:rsidR="00965FBF" w:rsidRPr="0083189D">
        <w:rPr>
          <w:rFonts w:asciiTheme="majorHAnsi" w:hAnsiTheme="majorHAnsi" w:cstheme="majorHAnsi"/>
          <w:sz w:val="24"/>
          <w:szCs w:val="24"/>
        </w:rPr>
        <w:t>nelietošanu atbilstoši normatīvo aktu prasībām (22 pārkāpumi)</w:t>
      </w:r>
      <w:r w:rsidR="00AE16BC" w:rsidRPr="0083189D">
        <w:rPr>
          <w:rFonts w:asciiTheme="majorHAnsi" w:hAnsiTheme="majorHAnsi" w:cstheme="majorHAnsi"/>
          <w:sz w:val="24"/>
          <w:szCs w:val="24"/>
        </w:rPr>
        <w:t>.</w:t>
      </w:r>
    </w:p>
    <w:p w14:paraId="5602E9E4" w14:textId="77777777" w:rsidR="00D05848" w:rsidRPr="0083189D" w:rsidRDefault="00BD2717" w:rsidP="005A24A2">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Šie pārkāpumi ne tikai ietekmē maksātnespējas procesa likumīgu norisi, bet rada tiešu ietekmi uz t</w:t>
      </w:r>
      <w:r w:rsidR="004D5F01" w:rsidRPr="0083189D">
        <w:rPr>
          <w:rFonts w:asciiTheme="majorHAnsi" w:hAnsiTheme="majorHAnsi" w:cstheme="majorHAnsi"/>
          <w:sz w:val="24"/>
          <w:szCs w:val="24"/>
        </w:rPr>
        <w:t>ā efektivitātes rādītājiem – izmaks</w:t>
      </w:r>
      <w:r w:rsidR="00804523" w:rsidRPr="0083189D">
        <w:rPr>
          <w:rFonts w:asciiTheme="majorHAnsi" w:hAnsiTheme="majorHAnsi" w:cstheme="majorHAnsi"/>
          <w:sz w:val="24"/>
          <w:szCs w:val="24"/>
        </w:rPr>
        <w:t xml:space="preserve">u apmēru, maksātnespējas procesa ilgumu un kreditoru </w:t>
      </w:r>
      <w:proofErr w:type="spellStart"/>
      <w:r w:rsidR="00804523" w:rsidRPr="0083189D">
        <w:rPr>
          <w:rFonts w:asciiTheme="majorHAnsi" w:hAnsiTheme="majorHAnsi" w:cstheme="majorHAnsi"/>
          <w:sz w:val="24"/>
          <w:szCs w:val="24"/>
        </w:rPr>
        <w:t>atgūstamības</w:t>
      </w:r>
      <w:proofErr w:type="spellEnd"/>
      <w:r w:rsidR="00804523" w:rsidRPr="0083189D">
        <w:rPr>
          <w:rFonts w:asciiTheme="majorHAnsi" w:hAnsiTheme="majorHAnsi" w:cstheme="majorHAnsi"/>
          <w:sz w:val="24"/>
          <w:szCs w:val="24"/>
        </w:rPr>
        <w:t xml:space="preserve"> rādītāju (t.s. </w:t>
      </w:r>
      <w:proofErr w:type="spellStart"/>
      <w:r w:rsidR="00804523" w:rsidRPr="0083189D">
        <w:rPr>
          <w:rFonts w:asciiTheme="majorHAnsi" w:hAnsiTheme="majorHAnsi" w:cstheme="majorHAnsi"/>
          <w:i/>
          <w:iCs/>
          <w:sz w:val="24"/>
          <w:szCs w:val="24"/>
        </w:rPr>
        <w:t>recovery</w:t>
      </w:r>
      <w:proofErr w:type="spellEnd"/>
      <w:r w:rsidR="00804523" w:rsidRPr="0083189D">
        <w:rPr>
          <w:rFonts w:asciiTheme="majorHAnsi" w:hAnsiTheme="majorHAnsi" w:cstheme="majorHAnsi"/>
          <w:i/>
          <w:iCs/>
          <w:sz w:val="24"/>
          <w:szCs w:val="24"/>
        </w:rPr>
        <w:t xml:space="preserve"> </w:t>
      </w:r>
      <w:proofErr w:type="spellStart"/>
      <w:r w:rsidR="00804523" w:rsidRPr="0083189D">
        <w:rPr>
          <w:rFonts w:asciiTheme="majorHAnsi" w:hAnsiTheme="majorHAnsi" w:cstheme="majorHAnsi"/>
          <w:i/>
          <w:iCs/>
          <w:sz w:val="24"/>
          <w:szCs w:val="24"/>
        </w:rPr>
        <w:t>rate</w:t>
      </w:r>
      <w:proofErr w:type="spellEnd"/>
      <w:r w:rsidR="00804523" w:rsidRPr="0083189D">
        <w:rPr>
          <w:rFonts w:asciiTheme="majorHAnsi" w:hAnsiTheme="majorHAnsi" w:cstheme="majorHAnsi"/>
          <w:sz w:val="24"/>
          <w:szCs w:val="24"/>
        </w:rPr>
        <w:t>)</w:t>
      </w:r>
      <w:r w:rsidR="00086A1B" w:rsidRPr="0083189D">
        <w:rPr>
          <w:rFonts w:asciiTheme="majorHAnsi" w:hAnsiTheme="majorHAnsi" w:cstheme="majorHAnsi"/>
          <w:sz w:val="24"/>
          <w:szCs w:val="24"/>
        </w:rPr>
        <w:t>.</w:t>
      </w:r>
      <w:r w:rsidR="006A7B22" w:rsidRPr="0083189D">
        <w:rPr>
          <w:rFonts w:asciiTheme="majorHAnsi" w:hAnsiTheme="majorHAnsi" w:cstheme="majorHAnsi"/>
          <w:sz w:val="24"/>
          <w:szCs w:val="24"/>
        </w:rPr>
        <w:t xml:space="preserve"> </w:t>
      </w:r>
    </w:p>
    <w:p w14:paraId="6BB43E82" w14:textId="37BC0A64" w:rsidR="007702B6" w:rsidRPr="0083189D" w:rsidRDefault="006A7B22" w:rsidP="005A24A2">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P</w:t>
      </w:r>
      <w:r w:rsidR="002B633D" w:rsidRPr="0083189D">
        <w:rPr>
          <w:rFonts w:asciiTheme="majorHAnsi" w:hAnsiTheme="majorHAnsi" w:cstheme="majorHAnsi"/>
          <w:sz w:val="24"/>
          <w:szCs w:val="24"/>
        </w:rPr>
        <w:t xml:space="preserve">ārkāpumi, kas saistīti ar darījumu </w:t>
      </w:r>
      <w:r w:rsidR="00C52B72" w:rsidRPr="0083189D">
        <w:rPr>
          <w:rFonts w:asciiTheme="majorHAnsi" w:hAnsiTheme="majorHAnsi" w:cstheme="majorHAnsi"/>
          <w:sz w:val="24"/>
          <w:szCs w:val="24"/>
        </w:rPr>
        <w:t>iz</w:t>
      </w:r>
      <w:r w:rsidR="002B633D" w:rsidRPr="0083189D">
        <w:rPr>
          <w:rFonts w:asciiTheme="majorHAnsi" w:hAnsiTheme="majorHAnsi" w:cstheme="majorHAnsi"/>
          <w:sz w:val="24"/>
          <w:szCs w:val="24"/>
        </w:rPr>
        <w:t>vērtēšan</w:t>
      </w:r>
      <w:r w:rsidR="00C52B72" w:rsidRPr="0083189D">
        <w:rPr>
          <w:rFonts w:asciiTheme="majorHAnsi" w:hAnsiTheme="majorHAnsi" w:cstheme="majorHAnsi"/>
          <w:sz w:val="24"/>
          <w:szCs w:val="24"/>
        </w:rPr>
        <w:t>as pienākumu,</w:t>
      </w:r>
      <w:r w:rsidR="002B633D" w:rsidRPr="0083189D">
        <w:rPr>
          <w:rFonts w:asciiTheme="majorHAnsi" w:hAnsiTheme="majorHAnsi" w:cstheme="majorHAnsi"/>
          <w:sz w:val="24"/>
          <w:szCs w:val="24"/>
        </w:rPr>
        <w:t xml:space="preserve"> papildus rada </w:t>
      </w:r>
      <w:r w:rsidR="00557951" w:rsidRPr="0083189D">
        <w:rPr>
          <w:rFonts w:asciiTheme="majorHAnsi" w:hAnsiTheme="majorHAnsi" w:cstheme="majorHAnsi"/>
          <w:sz w:val="24"/>
          <w:szCs w:val="24"/>
        </w:rPr>
        <w:t xml:space="preserve">risku </w:t>
      </w:r>
      <w:proofErr w:type="spellStart"/>
      <w:r w:rsidR="00557951" w:rsidRPr="0083189D">
        <w:rPr>
          <w:rFonts w:asciiTheme="majorHAnsi" w:hAnsiTheme="majorHAnsi" w:cstheme="majorHAnsi"/>
          <w:sz w:val="24"/>
          <w:szCs w:val="24"/>
        </w:rPr>
        <w:t>korup</w:t>
      </w:r>
      <w:r w:rsidR="00247458" w:rsidRPr="0083189D">
        <w:rPr>
          <w:rFonts w:asciiTheme="majorHAnsi" w:hAnsiTheme="majorHAnsi" w:cstheme="majorHAnsi"/>
          <w:sz w:val="24"/>
          <w:szCs w:val="24"/>
        </w:rPr>
        <w:t>tīvām</w:t>
      </w:r>
      <w:proofErr w:type="spellEnd"/>
      <w:r w:rsidR="00247458" w:rsidRPr="0083189D">
        <w:rPr>
          <w:rFonts w:asciiTheme="majorHAnsi" w:hAnsiTheme="majorHAnsi" w:cstheme="majorHAnsi"/>
          <w:sz w:val="24"/>
          <w:szCs w:val="24"/>
        </w:rPr>
        <w:t xml:space="preserve"> darbībām no administratora puses</w:t>
      </w:r>
      <w:r w:rsidR="002B633D" w:rsidRPr="0083189D">
        <w:rPr>
          <w:rFonts w:asciiTheme="majorHAnsi" w:hAnsiTheme="majorHAnsi" w:cstheme="majorHAnsi"/>
          <w:sz w:val="24"/>
          <w:szCs w:val="24"/>
        </w:rPr>
        <w:t xml:space="preserve">, jo </w:t>
      </w:r>
      <w:r w:rsidR="00247458" w:rsidRPr="0083189D">
        <w:rPr>
          <w:rFonts w:asciiTheme="majorHAnsi" w:hAnsiTheme="majorHAnsi" w:cstheme="majorHAnsi"/>
          <w:sz w:val="24"/>
          <w:szCs w:val="24"/>
        </w:rPr>
        <w:t>darījumu izvērtēšana</w:t>
      </w:r>
      <w:r w:rsidR="002B633D" w:rsidRPr="0083189D">
        <w:rPr>
          <w:rFonts w:asciiTheme="majorHAnsi" w:hAnsiTheme="majorHAnsi" w:cstheme="majorHAnsi"/>
          <w:sz w:val="24"/>
          <w:szCs w:val="24"/>
        </w:rPr>
        <w:t xml:space="preserve"> saistīt</w:t>
      </w:r>
      <w:r w:rsidR="00247458" w:rsidRPr="0083189D">
        <w:rPr>
          <w:rFonts w:asciiTheme="majorHAnsi" w:hAnsiTheme="majorHAnsi" w:cstheme="majorHAnsi"/>
          <w:sz w:val="24"/>
          <w:szCs w:val="24"/>
        </w:rPr>
        <w:t>a</w:t>
      </w:r>
      <w:r w:rsidR="002B633D" w:rsidRPr="0083189D">
        <w:rPr>
          <w:rFonts w:asciiTheme="majorHAnsi" w:hAnsiTheme="majorHAnsi" w:cstheme="majorHAnsi"/>
          <w:sz w:val="24"/>
          <w:szCs w:val="24"/>
        </w:rPr>
        <w:t xml:space="preserve"> ar </w:t>
      </w:r>
      <w:r w:rsidR="001D499D" w:rsidRPr="0083189D">
        <w:rPr>
          <w:rFonts w:asciiTheme="majorHAnsi" w:hAnsiTheme="majorHAnsi" w:cstheme="majorHAnsi"/>
          <w:sz w:val="24"/>
          <w:szCs w:val="24"/>
        </w:rPr>
        <w:t>lielu administratora rīcības brīvību</w:t>
      </w:r>
      <w:r w:rsidR="002E5874" w:rsidRPr="0083189D">
        <w:rPr>
          <w:rFonts w:asciiTheme="majorHAnsi" w:hAnsiTheme="majorHAnsi" w:cstheme="majorHAnsi"/>
          <w:sz w:val="24"/>
          <w:szCs w:val="24"/>
        </w:rPr>
        <w:t xml:space="preserve"> un ierobežotām uzraudzības iespējām.</w:t>
      </w:r>
      <w:r w:rsidR="001515C7" w:rsidRPr="0083189D">
        <w:rPr>
          <w:rFonts w:asciiTheme="majorHAnsi" w:hAnsiTheme="majorHAnsi" w:cstheme="majorHAnsi"/>
          <w:sz w:val="24"/>
          <w:szCs w:val="24"/>
        </w:rPr>
        <w:t xml:space="preserve"> </w:t>
      </w:r>
    </w:p>
    <w:p w14:paraId="5A3BFC6F" w14:textId="0BF1F174" w:rsidR="001366C0" w:rsidRDefault="00EB411F"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Attiecībā uz </w:t>
      </w:r>
      <w:r w:rsidR="00D92819" w:rsidRPr="0083189D">
        <w:rPr>
          <w:rFonts w:asciiTheme="majorHAnsi" w:hAnsiTheme="majorHAnsi" w:cstheme="majorHAnsi"/>
          <w:sz w:val="24"/>
          <w:szCs w:val="24"/>
        </w:rPr>
        <w:t xml:space="preserve">pārkāpumiem, kas saistīti ar EMUS </w:t>
      </w:r>
      <w:r w:rsidR="00AB2513" w:rsidRPr="0083189D">
        <w:rPr>
          <w:rFonts w:asciiTheme="majorHAnsi" w:hAnsiTheme="majorHAnsi" w:cstheme="majorHAnsi"/>
          <w:sz w:val="24"/>
          <w:szCs w:val="24"/>
        </w:rPr>
        <w:t xml:space="preserve">lietošanu </w:t>
      </w:r>
      <w:r w:rsidR="00E00CB8" w:rsidRPr="0083189D">
        <w:rPr>
          <w:rFonts w:asciiTheme="majorHAnsi" w:hAnsiTheme="majorHAnsi" w:cstheme="majorHAnsi"/>
          <w:sz w:val="24"/>
          <w:szCs w:val="24"/>
        </w:rPr>
        <w:t>neatbilstoši normatīvajiem aktiem</w:t>
      </w:r>
      <w:r w:rsidR="00D92819" w:rsidRPr="0083189D">
        <w:rPr>
          <w:rFonts w:asciiTheme="majorHAnsi" w:hAnsiTheme="majorHAnsi" w:cstheme="majorHAnsi"/>
          <w:sz w:val="24"/>
          <w:szCs w:val="24"/>
        </w:rPr>
        <w:t xml:space="preserve"> </w:t>
      </w:r>
      <w:r w:rsidR="009A78F0" w:rsidRPr="0083189D">
        <w:rPr>
          <w:rFonts w:asciiTheme="majorHAnsi" w:hAnsiTheme="majorHAnsi" w:cstheme="majorHAnsi"/>
          <w:sz w:val="24"/>
          <w:szCs w:val="24"/>
        </w:rPr>
        <w:t>–</w:t>
      </w:r>
      <w:r w:rsidR="001366C0" w:rsidRPr="0083189D">
        <w:rPr>
          <w:rFonts w:asciiTheme="majorHAnsi" w:hAnsiTheme="majorHAnsi" w:cstheme="majorHAnsi"/>
          <w:sz w:val="24"/>
          <w:szCs w:val="24"/>
        </w:rPr>
        <w:t xml:space="preserve"> EMUS kā informācijas sistēma, kas satur </w:t>
      </w:r>
      <w:r w:rsidR="00CD55F7" w:rsidRPr="0083189D">
        <w:rPr>
          <w:rFonts w:asciiTheme="majorHAnsi" w:hAnsiTheme="majorHAnsi" w:cstheme="majorHAnsi"/>
          <w:sz w:val="24"/>
          <w:szCs w:val="24"/>
        </w:rPr>
        <w:t xml:space="preserve">datus </w:t>
      </w:r>
      <w:r w:rsidR="001366C0" w:rsidRPr="0083189D">
        <w:rPr>
          <w:rFonts w:asciiTheme="majorHAnsi" w:hAnsiTheme="majorHAnsi" w:cstheme="majorHAnsi"/>
          <w:sz w:val="24"/>
          <w:szCs w:val="24"/>
        </w:rPr>
        <w:t xml:space="preserve">par maksātnespējas procedūru norisi un administratoru un uzraugošo personu lietvedību, ir būtiskākais </w:t>
      </w:r>
      <w:r w:rsidR="009A78F0" w:rsidRPr="0083189D">
        <w:rPr>
          <w:rFonts w:asciiTheme="majorHAnsi" w:hAnsiTheme="majorHAnsi" w:cstheme="majorHAnsi"/>
          <w:sz w:val="24"/>
          <w:szCs w:val="24"/>
        </w:rPr>
        <w:t>MKD informācijas avots</w:t>
      </w:r>
      <w:r w:rsidR="00F54316" w:rsidRPr="0083189D">
        <w:rPr>
          <w:rFonts w:asciiTheme="majorHAnsi" w:hAnsiTheme="majorHAnsi" w:cstheme="majorHAnsi"/>
          <w:sz w:val="24"/>
          <w:szCs w:val="24"/>
        </w:rPr>
        <w:t>,</w:t>
      </w:r>
      <w:r w:rsidR="00DA5BCC" w:rsidRPr="0083189D">
        <w:rPr>
          <w:rFonts w:asciiTheme="majorHAnsi" w:hAnsiTheme="majorHAnsi" w:cstheme="majorHAnsi"/>
          <w:sz w:val="24"/>
          <w:szCs w:val="24"/>
        </w:rPr>
        <w:t xml:space="preserve"> plānojot un</w:t>
      </w:r>
      <w:r w:rsidR="00F54316" w:rsidRPr="0083189D">
        <w:rPr>
          <w:rFonts w:asciiTheme="majorHAnsi" w:hAnsiTheme="majorHAnsi" w:cstheme="majorHAnsi"/>
          <w:sz w:val="24"/>
          <w:szCs w:val="24"/>
        </w:rPr>
        <w:t xml:space="preserve"> veicot uzraudzību. </w:t>
      </w:r>
      <w:r w:rsidR="00B11321" w:rsidRPr="0083189D">
        <w:rPr>
          <w:rFonts w:asciiTheme="majorHAnsi" w:hAnsiTheme="majorHAnsi" w:cstheme="majorHAnsi"/>
          <w:sz w:val="24"/>
          <w:szCs w:val="24"/>
        </w:rPr>
        <w:t>Attiecīgi</w:t>
      </w:r>
      <w:r w:rsidR="00DA5BCC" w:rsidRPr="0083189D">
        <w:rPr>
          <w:rFonts w:asciiTheme="majorHAnsi" w:hAnsiTheme="majorHAnsi" w:cstheme="majorHAnsi"/>
          <w:sz w:val="24"/>
          <w:szCs w:val="24"/>
        </w:rPr>
        <w:t xml:space="preserve"> kvalitatīvas un pilnīgas</w:t>
      </w:r>
      <w:r w:rsidR="007D4E60" w:rsidRPr="0083189D">
        <w:rPr>
          <w:rFonts w:asciiTheme="majorHAnsi" w:hAnsiTheme="majorHAnsi" w:cstheme="majorHAnsi"/>
          <w:sz w:val="24"/>
          <w:szCs w:val="24"/>
        </w:rPr>
        <w:t xml:space="preserve"> informācijas pieejamība ir priekšnoteikums </w:t>
      </w:r>
      <w:r w:rsidR="00B75340" w:rsidRPr="0083189D">
        <w:rPr>
          <w:rFonts w:asciiTheme="majorHAnsi" w:hAnsiTheme="majorHAnsi" w:cstheme="majorHAnsi"/>
          <w:sz w:val="24"/>
          <w:szCs w:val="24"/>
        </w:rPr>
        <w:t xml:space="preserve">efektīvas un mērķtiecīgas </w:t>
      </w:r>
      <w:r w:rsidR="007D4E60" w:rsidRPr="0083189D">
        <w:rPr>
          <w:rFonts w:asciiTheme="majorHAnsi" w:hAnsiTheme="majorHAnsi" w:cstheme="majorHAnsi"/>
          <w:sz w:val="24"/>
          <w:szCs w:val="24"/>
        </w:rPr>
        <w:t>uzraudzības plānošanai un veikšanai</w:t>
      </w:r>
      <w:r w:rsidR="00DA5BCC" w:rsidRPr="0083189D">
        <w:rPr>
          <w:rFonts w:asciiTheme="majorHAnsi" w:hAnsiTheme="majorHAnsi" w:cstheme="majorHAnsi"/>
          <w:sz w:val="24"/>
          <w:szCs w:val="24"/>
        </w:rPr>
        <w:t xml:space="preserve">. </w:t>
      </w:r>
      <w:r w:rsidR="00ED3160" w:rsidRPr="0083189D">
        <w:rPr>
          <w:rFonts w:asciiTheme="majorHAnsi" w:hAnsiTheme="majorHAnsi" w:cstheme="majorHAnsi"/>
          <w:sz w:val="24"/>
          <w:szCs w:val="24"/>
        </w:rPr>
        <w:t>Līdz ar to minētā pārkāpumu kategorija rada tiešu ietekmi uz MKD spējām veikt efektīvu uzraudzību.</w:t>
      </w:r>
    </w:p>
    <w:p w14:paraId="65851B34" w14:textId="106942BE" w:rsidR="007C7FD3" w:rsidRPr="007C7FD3" w:rsidRDefault="007C7FD3" w:rsidP="007C7FD3">
      <w:pPr>
        <w:spacing w:line="276" w:lineRule="auto"/>
        <w:ind w:firstLine="720"/>
        <w:jc w:val="right"/>
        <w:rPr>
          <w:rFonts w:asciiTheme="majorHAnsi" w:hAnsiTheme="majorHAnsi" w:cstheme="majorHAnsi"/>
          <w:i/>
          <w:iCs/>
          <w:sz w:val="20"/>
          <w:szCs w:val="20"/>
        </w:rPr>
      </w:pPr>
      <w:r w:rsidRPr="007C7FD3">
        <w:rPr>
          <w:rFonts w:asciiTheme="majorHAnsi" w:hAnsiTheme="majorHAnsi" w:cstheme="majorHAnsi"/>
          <w:i/>
          <w:iCs/>
          <w:sz w:val="20"/>
          <w:szCs w:val="20"/>
        </w:rPr>
        <w:t>Grafiks Nr. 1</w:t>
      </w:r>
    </w:p>
    <w:p w14:paraId="5587A12F" w14:textId="543D3C6D" w:rsidR="007C7FD3" w:rsidRPr="0083189D" w:rsidRDefault="007C7FD3" w:rsidP="00627C36">
      <w:pPr>
        <w:spacing w:line="276" w:lineRule="auto"/>
        <w:rPr>
          <w:rFonts w:asciiTheme="majorHAnsi" w:hAnsiTheme="majorHAnsi" w:cstheme="majorHAnsi"/>
          <w:noProof/>
        </w:rPr>
      </w:pPr>
      <w:r w:rsidRPr="0083189D">
        <w:rPr>
          <w:rFonts w:asciiTheme="majorHAnsi" w:hAnsiTheme="majorHAnsi" w:cstheme="majorHAnsi"/>
          <w:noProof/>
        </w:rPr>
        <w:drawing>
          <wp:inline distT="0" distB="0" distL="0" distR="0" wp14:anchorId="35B5EBF8" wp14:editId="4494B5BC">
            <wp:extent cx="5274310" cy="3686175"/>
            <wp:effectExtent l="0" t="0" r="2540" b="9525"/>
            <wp:docPr id="48348468" name="Diagramma 1">
              <a:extLst xmlns:a="http://schemas.openxmlformats.org/drawingml/2006/main">
                <a:ext uri="{FF2B5EF4-FFF2-40B4-BE49-F238E27FC236}">
                  <a16:creationId xmlns:a16="http://schemas.microsoft.com/office/drawing/2014/main" id="{F3F16EDD-1E40-DCF9-75C8-1983B845F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C81917" w14:textId="042E9DFE" w:rsidR="000F13DB" w:rsidRPr="0083189D" w:rsidRDefault="000F13DB"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ab/>
      </w:r>
      <w:r w:rsidR="00716D51" w:rsidRPr="0083189D">
        <w:rPr>
          <w:rFonts w:asciiTheme="majorHAnsi" w:hAnsiTheme="majorHAnsi" w:cstheme="majorHAnsi"/>
          <w:sz w:val="24"/>
          <w:szCs w:val="24"/>
        </w:rPr>
        <w:t xml:space="preserve">Papildus </w:t>
      </w:r>
      <w:r w:rsidR="00E00CB8" w:rsidRPr="0083189D">
        <w:rPr>
          <w:rFonts w:asciiTheme="majorHAnsi" w:hAnsiTheme="majorHAnsi" w:cstheme="majorHAnsi"/>
          <w:sz w:val="24"/>
          <w:szCs w:val="24"/>
        </w:rPr>
        <w:t xml:space="preserve">no 2022. gada 1. janvāra līdz 2023. gada </w:t>
      </w:r>
      <w:r w:rsidR="00354023" w:rsidRPr="0083189D">
        <w:rPr>
          <w:rFonts w:asciiTheme="majorHAnsi" w:hAnsiTheme="majorHAnsi" w:cstheme="majorHAnsi"/>
          <w:sz w:val="24"/>
          <w:szCs w:val="24"/>
        </w:rPr>
        <w:t xml:space="preserve">30. septembrim </w:t>
      </w:r>
      <w:r w:rsidR="00BF13AA" w:rsidRPr="0083189D">
        <w:rPr>
          <w:rFonts w:asciiTheme="majorHAnsi" w:hAnsiTheme="majorHAnsi" w:cstheme="majorHAnsi"/>
          <w:sz w:val="24"/>
          <w:szCs w:val="24"/>
        </w:rPr>
        <w:t xml:space="preserve">veiktajās pārbaudes konstatēti 3 gadījumi, kad administratori </w:t>
      </w:r>
      <w:r w:rsidR="00891B53" w:rsidRPr="0083189D">
        <w:rPr>
          <w:rFonts w:asciiTheme="majorHAnsi" w:hAnsiTheme="majorHAnsi" w:cstheme="majorHAnsi"/>
          <w:sz w:val="24"/>
          <w:szCs w:val="24"/>
        </w:rPr>
        <w:t xml:space="preserve">bija veikuši prettiesiskas darbības </w:t>
      </w:r>
      <w:r w:rsidR="00891B53" w:rsidRPr="0083189D">
        <w:rPr>
          <w:rFonts w:asciiTheme="majorHAnsi" w:hAnsiTheme="majorHAnsi" w:cstheme="majorHAnsi"/>
          <w:sz w:val="24"/>
          <w:szCs w:val="24"/>
        </w:rPr>
        <w:lastRenderedPageBreak/>
        <w:t xml:space="preserve">ar parādnieka naudas līdzekļiem, pārskaitot tos uz savu norēķinu kontu bez likumīga pamata. </w:t>
      </w:r>
      <w:r w:rsidR="00DE1E9A" w:rsidRPr="0083189D">
        <w:rPr>
          <w:rFonts w:asciiTheme="majorHAnsi" w:hAnsiTheme="majorHAnsi" w:cstheme="majorHAnsi"/>
          <w:sz w:val="24"/>
          <w:szCs w:val="24"/>
        </w:rPr>
        <w:t xml:space="preserve">Šāda rīcība ne tikai apdraud kreditoru likumīgās intereses </w:t>
      </w:r>
      <w:r w:rsidR="005300A2" w:rsidRPr="0083189D">
        <w:rPr>
          <w:rFonts w:asciiTheme="majorHAnsi" w:hAnsiTheme="majorHAnsi" w:cstheme="majorHAnsi"/>
          <w:sz w:val="24"/>
          <w:szCs w:val="24"/>
        </w:rPr>
        <w:t xml:space="preserve">uz parādnieka naudas līdzekļiem, bet </w:t>
      </w:r>
      <w:r w:rsidR="00532BA9" w:rsidRPr="0083189D">
        <w:rPr>
          <w:rFonts w:asciiTheme="majorHAnsi" w:hAnsiTheme="majorHAnsi" w:cstheme="majorHAnsi"/>
          <w:sz w:val="24"/>
          <w:szCs w:val="24"/>
        </w:rPr>
        <w:t>ir</w:t>
      </w:r>
      <w:r w:rsidR="001A0C21" w:rsidRPr="0083189D">
        <w:rPr>
          <w:rFonts w:asciiTheme="majorHAnsi" w:hAnsiTheme="majorHAnsi" w:cstheme="majorHAnsi"/>
          <w:sz w:val="24"/>
          <w:szCs w:val="24"/>
        </w:rPr>
        <w:t xml:space="preserve"> saistāma ar </w:t>
      </w:r>
      <w:r w:rsidR="00EC43F9" w:rsidRPr="0083189D">
        <w:rPr>
          <w:rFonts w:asciiTheme="majorHAnsi" w:hAnsiTheme="majorHAnsi" w:cstheme="majorHAnsi"/>
          <w:sz w:val="24"/>
          <w:szCs w:val="24"/>
        </w:rPr>
        <w:t xml:space="preserve">administratora </w:t>
      </w:r>
      <w:r w:rsidR="00E36F66" w:rsidRPr="0083189D">
        <w:rPr>
          <w:rFonts w:asciiTheme="majorHAnsi" w:hAnsiTheme="majorHAnsi" w:cstheme="majorHAnsi"/>
          <w:sz w:val="24"/>
          <w:szCs w:val="24"/>
        </w:rPr>
        <w:t xml:space="preserve">kā </w:t>
      </w:r>
      <w:r w:rsidR="00F774C7" w:rsidRPr="0083189D">
        <w:rPr>
          <w:rFonts w:asciiTheme="majorHAnsi" w:hAnsiTheme="majorHAnsi" w:cstheme="majorHAnsi"/>
          <w:sz w:val="24"/>
          <w:szCs w:val="24"/>
        </w:rPr>
        <w:t>valsts amatpersonas</w:t>
      </w:r>
      <w:r w:rsidR="001A0C21" w:rsidRPr="0083189D">
        <w:rPr>
          <w:rFonts w:asciiTheme="majorHAnsi" w:hAnsiTheme="majorHAnsi" w:cstheme="majorHAnsi"/>
          <w:sz w:val="24"/>
          <w:szCs w:val="24"/>
        </w:rPr>
        <w:t xml:space="preserve"> </w:t>
      </w:r>
      <w:r w:rsidR="00EC43F9" w:rsidRPr="0083189D">
        <w:rPr>
          <w:rFonts w:asciiTheme="majorHAnsi" w:hAnsiTheme="majorHAnsi" w:cstheme="majorHAnsi"/>
          <w:sz w:val="24"/>
          <w:szCs w:val="24"/>
        </w:rPr>
        <w:t xml:space="preserve">pilnvaru </w:t>
      </w:r>
      <w:r w:rsidR="00E36F66" w:rsidRPr="0083189D">
        <w:rPr>
          <w:rFonts w:asciiTheme="majorHAnsi" w:hAnsiTheme="majorHAnsi" w:cstheme="majorHAnsi"/>
          <w:sz w:val="24"/>
          <w:szCs w:val="24"/>
        </w:rPr>
        <w:t xml:space="preserve">ļaunprātīgu </w:t>
      </w:r>
      <w:r w:rsidR="007C7FD3" w:rsidRPr="00AF4803">
        <w:rPr>
          <w:rFonts w:asciiTheme="majorHAnsi" w:hAnsiTheme="majorHAnsi" w:cstheme="majorHAnsi"/>
          <w:noProof/>
          <w:sz w:val="24"/>
          <w:szCs w:val="24"/>
        </w:rPr>
        <mc:AlternateContent>
          <mc:Choice Requires="wps">
            <w:drawing>
              <wp:anchor distT="45720" distB="45720" distL="114300" distR="114300" simplePos="0" relativeHeight="251658242" behindDoc="0" locked="0" layoutInCell="1" allowOverlap="1" wp14:anchorId="1C044C55" wp14:editId="0C6F3C30">
                <wp:simplePos x="0" y="0"/>
                <wp:positionH relativeFrom="margin">
                  <wp:align>left</wp:align>
                </wp:positionH>
                <wp:positionV relativeFrom="paragraph">
                  <wp:posOffset>957304</wp:posOffset>
                </wp:positionV>
                <wp:extent cx="5263515" cy="2981325"/>
                <wp:effectExtent l="0" t="0" r="13335" b="28575"/>
                <wp:wrapSquare wrapText="bothSides"/>
                <wp:docPr id="1578660498" name="Tekstlodziņš 1578660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2981325"/>
                        </a:xfrm>
                        <a:prstGeom prst="rect">
                          <a:avLst/>
                        </a:prstGeom>
                        <a:noFill/>
                        <a:ln>
                          <a:solidFill>
                            <a:schemeClr val="accent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40CDA176" w14:textId="77777777" w:rsidR="00E542A1" w:rsidRPr="00B75BC7" w:rsidRDefault="00E542A1" w:rsidP="00E542A1">
                            <w:pPr>
                              <w:spacing w:line="276" w:lineRule="auto"/>
                              <w:ind w:firstLine="720"/>
                              <w:jc w:val="both"/>
                              <w:rPr>
                                <w:rFonts w:asciiTheme="majorHAnsi" w:hAnsiTheme="majorHAnsi" w:cstheme="majorHAnsi"/>
                                <w:b/>
                                <w:bCs/>
                                <w:color w:val="2F5496" w:themeColor="accent1" w:themeShade="BF"/>
                                <w:sz w:val="24"/>
                                <w:szCs w:val="24"/>
                              </w:rPr>
                            </w:pPr>
                            <w:r w:rsidRPr="00B75BC7">
                              <w:rPr>
                                <w:rFonts w:asciiTheme="majorHAnsi" w:hAnsiTheme="majorHAnsi" w:cstheme="majorHAnsi"/>
                                <w:b/>
                                <w:bCs/>
                                <w:color w:val="2F5496" w:themeColor="accent1" w:themeShade="BF"/>
                                <w:sz w:val="24"/>
                                <w:szCs w:val="24"/>
                              </w:rPr>
                              <w:t>Apkopojot minēto, lai mazinātu riskus, ko rada uzraugāmie subjekti, MKD stratēģijas darbības periodā, veicot uzraudzību saskaņā ar Maksātnespējas likumu, prioritāri pārbaudīs vai administrators (uzraugošā persona, ja attiecināms) ir veicis šādas darbības:</w:t>
                            </w:r>
                          </w:p>
                          <w:p w14:paraId="2BB800EA" w14:textId="77777777" w:rsidR="00E542A1" w:rsidRPr="00B75BC7" w:rsidRDefault="00E542A1" w:rsidP="00E542A1">
                            <w:pPr>
                              <w:pStyle w:val="Sarakstarindkopa"/>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savlaicīgi, vispusīgi un pilnvērtīgi izvērtējis parādnieka pirms maksātnespējas procesa slēgtos darījumus;</w:t>
                            </w:r>
                          </w:p>
                          <w:p w14:paraId="4D07CAB4" w14:textId="77777777" w:rsidR="00E542A1" w:rsidRPr="00B75BC7" w:rsidRDefault="00E542A1" w:rsidP="00E542A1">
                            <w:pPr>
                              <w:pStyle w:val="Sarakstarindkopa"/>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ar parādnieka naudas līdzekļiem ir rīkojies likumīgi un godprātīgi;</w:t>
                            </w:r>
                          </w:p>
                          <w:p w14:paraId="3EF82FFC" w14:textId="77777777" w:rsidR="00E542A1" w:rsidRPr="00B75BC7" w:rsidRDefault="00E542A1" w:rsidP="00E542A1">
                            <w:pPr>
                              <w:pStyle w:val="Sarakstarindkopa"/>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ir nodrošinājis atklātības principa prasības pret maksātnespējas procesā iesaistītajām personām;</w:t>
                            </w:r>
                          </w:p>
                          <w:p w14:paraId="5255B328" w14:textId="09B04894" w:rsidR="00E542A1" w:rsidRPr="00B75BC7" w:rsidRDefault="00E542A1" w:rsidP="00E542A1">
                            <w:pPr>
                              <w:pStyle w:val="Sarakstarindkopa"/>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parādnieka mantas apzināšanas, pārņemšanas, atgūšanas, novērtēšanas un pārdošanas procesā ir rīkojies likumīgi un efektīvi</w:t>
                            </w:r>
                            <w:r w:rsidR="00755267">
                              <w:rPr>
                                <w:rFonts w:asciiTheme="majorHAnsi" w:hAnsiTheme="majorHAnsi" w:cstheme="majorHAnsi"/>
                                <w:sz w:val="24"/>
                                <w:szCs w:val="24"/>
                              </w:rPr>
                              <w:t>;</w:t>
                            </w:r>
                          </w:p>
                          <w:p w14:paraId="3CC6F2DA" w14:textId="77777777" w:rsidR="00E542A1" w:rsidRPr="00B75BC7" w:rsidRDefault="00E542A1" w:rsidP="00E542A1">
                            <w:pPr>
                              <w:pStyle w:val="Sarakstarindkopa"/>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lieto EMUS atbilstoši normatīvo aktu prasībām, un vai ievadīto datu kvalitāte atbilst faktiskajai situācijai.</w:t>
                            </w:r>
                          </w:p>
                          <w:p w14:paraId="46F2A4E0" w14:textId="759DC64E" w:rsidR="00E542A1" w:rsidRDefault="00E542A1" w:rsidP="00E542A1">
                            <w:pPr>
                              <w:spacing w:line="276" w:lineRule="auto"/>
                              <w:ind w:firstLine="72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44C55" id="Tekstlodziņš 1578660498" o:spid="_x0000_s1030" type="#_x0000_t202" style="position:absolute;left:0;text-align:left;margin-left:0;margin-top:75.4pt;width:414.45pt;height:234.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" filled="f" strokecolor="#4472c4 [3204]" strokeweight="1pt">
                <v:stroke dashstyle="dash"/>
                <v:textbox>
                  <w:txbxContent>
                    <w:p w14:paraId="40CDA176" w14:textId="77777777" w:rsidR="00E542A1" w:rsidRPr="00B75BC7" w:rsidRDefault="00E542A1" w:rsidP="00E542A1">
                      <w:pPr>
                        <w:spacing w:line="276" w:lineRule="auto"/>
                        <w:ind w:firstLine="720"/>
                        <w:jc w:val="both"/>
                        <w:rPr>
                          <w:rFonts w:asciiTheme="majorHAnsi" w:hAnsiTheme="majorHAnsi" w:cstheme="majorHAnsi"/>
                          <w:b/>
                          <w:bCs/>
                          <w:color w:val="2F5496" w:themeColor="accent1" w:themeShade="BF"/>
                          <w:sz w:val="24"/>
                          <w:szCs w:val="24"/>
                        </w:rPr>
                      </w:pPr>
                      <w:r w:rsidRPr="00B75BC7">
                        <w:rPr>
                          <w:rFonts w:asciiTheme="majorHAnsi" w:hAnsiTheme="majorHAnsi" w:cstheme="majorHAnsi"/>
                          <w:b/>
                          <w:bCs/>
                          <w:color w:val="2F5496" w:themeColor="accent1" w:themeShade="BF"/>
                          <w:sz w:val="24"/>
                          <w:szCs w:val="24"/>
                        </w:rPr>
                        <w:t>Apkopojot minēto, lai mazinātu riskus, ko rada uzraugāmie subjekti, MKD stratēģijas darbības periodā, veicot uzraudzību saskaņā ar Maksātnespējas likumu, prioritāri pārbaudīs vai administrators (uzraugošā persona, ja attiecināms) ir veicis šādas darbības:</w:t>
                      </w:r>
                    </w:p>
                    <w:p w14:paraId="2BB800EA" w14:textId="77777777" w:rsidR="00E542A1" w:rsidRPr="00B75BC7" w:rsidRDefault="00E542A1" w:rsidP="00E542A1">
                      <w:pPr>
                        <w:pStyle w:val="ListParagraph"/>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savlaicīgi, vispusīgi un pilnvērtīgi izvērtējis parādnieka pirms maksātnespējas procesa slēgtos darījumus;</w:t>
                      </w:r>
                    </w:p>
                    <w:p w14:paraId="4D07CAB4" w14:textId="77777777" w:rsidR="00E542A1" w:rsidRPr="00B75BC7" w:rsidRDefault="00E542A1" w:rsidP="00E542A1">
                      <w:pPr>
                        <w:pStyle w:val="ListParagraph"/>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ar parādnieka naudas līdzekļiem ir rīkojies likumīgi un godprātīgi;</w:t>
                      </w:r>
                    </w:p>
                    <w:p w14:paraId="3EF82FFC" w14:textId="77777777" w:rsidR="00E542A1" w:rsidRPr="00B75BC7" w:rsidRDefault="00E542A1" w:rsidP="00E542A1">
                      <w:pPr>
                        <w:pStyle w:val="ListParagraph"/>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ir nodrošinājis atklātības principa prasības pret maksātnespējas procesā iesaistītajām personām;</w:t>
                      </w:r>
                    </w:p>
                    <w:p w14:paraId="5255B328" w14:textId="09B04894" w:rsidR="00E542A1" w:rsidRPr="00B75BC7" w:rsidRDefault="00E542A1" w:rsidP="00E542A1">
                      <w:pPr>
                        <w:pStyle w:val="ListParagraph"/>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parādnieka mantas apzināšanas, pārņemšanas, atgūšanas, novērtēšanas un pārdošanas procesā ir rīkojies likumīgi un efektīvi</w:t>
                      </w:r>
                      <w:r w:rsidR="00755267">
                        <w:rPr>
                          <w:rFonts w:asciiTheme="majorHAnsi" w:hAnsiTheme="majorHAnsi" w:cstheme="majorHAnsi"/>
                          <w:sz w:val="24"/>
                          <w:szCs w:val="24"/>
                        </w:rPr>
                        <w:t>;</w:t>
                      </w:r>
                    </w:p>
                    <w:p w14:paraId="3CC6F2DA" w14:textId="77777777" w:rsidR="00E542A1" w:rsidRPr="00B75BC7" w:rsidRDefault="00E542A1" w:rsidP="00E542A1">
                      <w:pPr>
                        <w:pStyle w:val="ListParagraph"/>
                        <w:numPr>
                          <w:ilvl w:val="0"/>
                          <w:numId w:val="4"/>
                        </w:numPr>
                        <w:spacing w:line="276" w:lineRule="auto"/>
                        <w:jc w:val="both"/>
                        <w:rPr>
                          <w:rFonts w:asciiTheme="majorHAnsi" w:hAnsiTheme="majorHAnsi" w:cstheme="majorHAnsi"/>
                          <w:sz w:val="24"/>
                          <w:szCs w:val="24"/>
                        </w:rPr>
                      </w:pPr>
                      <w:r w:rsidRPr="00B75BC7">
                        <w:rPr>
                          <w:rFonts w:asciiTheme="majorHAnsi" w:hAnsiTheme="majorHAnsi" w:cstheme="majorHAnsi"/>
                          <w:sz w:val="24"/>
                          <w:szCs w:val="24"/>
                        </w:rPr>
                        <w:t>lieto EMUS atbilstoši normatīvo aktu prasībām, un vai ievadīto datu kvalitāte atbilst faktiskajai situācijai.</w:t>
                      </w:r>
                    </w:p>
                    <w:p w14:paraId="46F2A4E0" w14:textId="759DC64E" w:rsidR="00E542A1" w:rsidRDefault="00E542A1" w:rsidP="00E542A1">
                      <w:pPr>
                        <w:spacing w:line="276" w:lineRule="auto"/>
                        <w:ind w:firstLine="720"/>
                        <w:jc w:val="both"/>
                      </w:pPr>
                    </w:p>
                  </w:txbxContent>
                </v:textbox>
                <w10:wrap type="square" anchorx="margin"/>
              </v:shape>
            </w:pict>
          </mc:Fallback>
        </mc:AlternateContent>
      </w:r>
      <w:r w:rsidR="00EC43F9" w:rsidRPr="0083189D">
        <w:rPr>
          <w:rFonts w:asciiTheme="majorHAnsi" w:hAnsiTheme="majorHAnsi" w:cstheme="majorHAnsi"/>
          <w:sz w:val="24"/>
          <w:szCs w:val="24"/>
        </w:rPr>
        <w:t xml:space="preserve">pārsniegšanu. </w:t>
      </w:r>
      <w:r w:rsidR="005300A2" w:rsidRPr="0083189D">
        <w:rPr>
          <w:rFonts w:asciiTheme="majorHAnsi" w:hAnsiTheme="majorHAnsi" w:cstheme="majorHAnsi"/>
          <w:sz w:val="24"/>
          <w:szCs w:val="24"/>
        </w:rPr>
        <w:t xml:space="preserve"> </w:t>
      </w:r>
    </w:p>
    <w:p w14:paraId="0EE5565D" w14:textId="77777777" w:rsidR="00E542A1" w:rsidRPr="00B75BC7" w:rsidRDefault="00E542A1" w:rsidP="00B75BC7">
      <w:pPr>
        <w:spacing w:after="0" w:line="276" w:lineRule="auto"/>
        <w:jc w:val="both"/>
        <w:rPr>
          <w:rFonts w:asciiTheme="majorHAnsi" w:hAnsiTheme="majorHAnsi" w:cstheme="majorHAnsi"/>
          <w:sz w:val="24"/>
          <w:szCs w:val="24"/>
        </w:rPr>
      </w:pPr>
    </w:p>
    <w:p w14:paraId="5CF28097" w14:textId="0F12CD83" w:rsidR="00FB0FE5" w:rsidRPr="0083189D" w:rsidRDefault="00191815" w:rsidP="00E00313">
      <w:pPr>
        <w:pStyle w:val="Virsraksts3"/>
        <w:spacing w:line="276" w:lineRule="auto"/>
        <w:rPr>
          <w:rFonts w:cstheme="majorHAnsi"/>
        </w:rPr>
      </w:pPr>
      <w:bookmarkStart w:id="5" w:name="_Toc154665201"/>
      <w:r w:rsidRPr="0083189D">
        <w:rPr>
          <w:rFonts w:cstheme="majorHAnsi"/>
        </w:rPr>
        <w:t>2.1.</w:t>
      </w:r>
      <w:r w:rsidR="00850906" w:rsidRPr="0083189D">
        <w:rPr>
          <w:rFonts w:cstheme="majorHAnsi"/>
        </w:rPr>
        <w:t>2</w:t>
      </w:r>
      <w:r w:rsidRPr="0083189D">
        <w:rPr>
          <w:rFonts w:cstheme="majorHAnsi"/>
        </w:rPr>
        <w:t xml:space="preserve">. </w:t>
      </w:r>
      <w:r w:rsidR="00A27FC7" w:rsidRPr="0083189D">
        <w:rPr>
          <w:rFonts w:cstheme="majorHAnsi"/>
        </w:rPr>
        <w:t>Uzraudzība saskaņā ar Novēršanas likumu</w:t>
      </w:r>
      <w:bookmarkEnd w:id="5"/>
    </w:p>
    <w:p w14:paraId="52D3AB85" w14:textId="77777777" w:rsidR="001B72C0" w:rsidRPr="0083189D" w:rsidRDefault="001B72C0" w:rsidP="00B75BC7">
      <w:pPr>
        <w:spacing w:after="0" w:line="276" w:lineRule="auto"/>
        <w:ind w:firstLine="720"/>
        <w:jc w:val="both"/>
        <w:rPr>
          <w:rFonts w:asciiTheme="majorHAnsi" w:hAnsiTheme="majorHAnsi" w:cstheme="majorHAnsi"/>
          <w:sz w:val="24"/>
          <w:szCs w:val="24"/>
        </w:rPr>
      </w:pPr>
    </w:p>
    <w:p w14:paraId="23925E5C" w14:textId="40B82D4D" w:rsidR="00705F26" w:rsidRPr="0083189D" w:rsidRDefault="009B7ED5" w:rsidP="001225DD">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Veicot </w:t>
      </w:r>
      <w:r w:rsidR="001B72C0" w:rsidRPr="0083189D">
        <w:rPr>
          <w:rFonts w:asciiTheme="majorHAnsi" w:hAnsiTheme="majorHAnsi" w:cstheme="majorHAnsi"/>
          <w:sz w:val="24"/>
          <w:szCs w:val="24"/>
        </w:rPr>
        <w:t>uzraudzību saskaņā ar Novēršanas likumu</w:t>
      </w:r>
      <w:r w:rsidRPr="0083189D">
        <w:rPr>
          <w:rFonts w:asciiTheme="majorHAnsi" w:hAnsiTheme="majorHAnsi" w:cstheme="majorHAnsi"/>
          <w:sz w:val="24"/>
          <w:szCs w:val="24"/>
        </w:rPr>
        <w:t xml:space="preserve">, MKD </w:t>
      </w:r>
      <w:r w:rsidR="00184AA7" w:rsidRPr="0083189D">
        <w:rPr>
          <w:rFonts w:asciiTheme="majorHAnsi" w:hAnsiTheme="majorHAnsi" w:cstheme="majorHAnsi"/>
          <w:sz w:val="24"/>
          <w:szCs w:val="24"/>
        </w:rPr>
        <w:t>uzraudzīja</w:t>
      </w:r>
      <w:r w:rsidR="00706D04" w:rsidRPr="0083189D">
        <w:rPr>
          <w:rFonts w:asciiTheme="majorHAnsi" w:hAnsiTheme="majorHAnsi" w:cstheme="majorHAnsi"/>
          <w:sz w:val="24"/>
          <w:szCs w:val="24"/>
        </w:rPr>
        <w:t xml:space="preserve"> arī</w:t>
      </w:r>
      <w:r w:rsidR="00BA345D" w:rsidRPr="0083189D">
        <w:rPr>
          <w:rFonts w:asciiTheme="majorHAnsi" w:hAnsiTheme="majorHAnsi" w:cstheme="majorHAnsi"/>
          <w:sz w:val="24"/>
          <w:szCs w:val="24"/>
        </w:rPr>
        <w:t xml:space="preserve"> administratoru rīcību, pārvaldot starptautisko un nacionālo sankciju riskus. </w:t>
      </w:r>
      <w:r w:rsidR="00EE4369" w:rsidRPr="0083189D">
        <w:rPr>
          <w:rFonts w:asciiTheme="majorHAnsi" w:hAnsiTheme="majorHAnsi" w:cstheme="majorHAnsi"/>
          <w:sz w:val="24"/>
          <w:szCs w:val="24"/>
        </w:rPr>
        <w:t>Lai gan administratori kā subjekti</w:t>
      </w:r>
      <w:r w:rsidR="00294380" w:rsidRPr="0083189D">
        <w:rPr>
          <w:rFonts w:asciiTheme="majorHAnsi" w:hAnsiTheme="majorHAnsi" w:cstheme="majorHAnsi"/>
          <w:sz w:val="24"/>
          <w:szCs w:val="24"/>
        </w:rPr>
        <w:t xml:space="preserve"> un MKD kā uzraugošā iestāde</w:t>
      </w:r>
      <w:r w:rsidR="00EE4369" w:rsidRPr="0083189D">
        <w:rPr>
          <w:rFonts w:asciiTheme="majorHAnsi" w:hAnsiTheme="majorHAnsi" w:cstheme="majorHAnsi"/>
          <w:sz w:val="24"/>
          <w:szCs w:val="24"/>
        </w:rPr>
        <w:t xml:space="preserve"> Sankciju likumā iekļauti ar grozījumiem, kas stāj</w:t>
      </w:r>
      <w:r w:rsidR="00C45241" w:rsidRPr="0083189D">
        <w:rPr>
          <w:rFonts w:asciiTheme="majorHAnsi" w:hAnsiTheme="majorHAnsi" w:cstheme="majorHAnsi"/>
          <w:sz w:val="24"/>
          <w:szCs w:val="24"/>
        </w:rPr>
        <w:t>a</w:t>
      </w:r>
      <w:r w:rsidR="00EE4369" w:rsidRPr="0083189D">
        <w:rPr>
          <w:rFonts w:asciiTheme="majorHAnsi" w:hAnsiTheme="majorHAnsi" w:cstheme="majorHAnsi"/>
          <w:sz w:val="24"/>
          <w:szCs w:val="24"/>
        </w:rPr>
        <w:t>s spēkā 2024. gada 1. aprīlī</w:t>
      </w:r>
      <w:r w:rsidR="00294380" w:rsidRPr="0083189D">
        <w:rPr>
          <w:rFonts w:asciiTheme="majorHAnsi" w:hAnsiTheme="majorHAnsi" w:cstheme="majorHAnsi"/>
          <w:sz w:val="24"/>
          <w:szCs w:val="24"/>
        </w:rPr>
        <w:t xml:space="preserve">, </w:t>
      </w:r>
      <w:r w:rsidR="00EE52FE" w:rsidRPr="0083189D">
        <w:rPr>
          <w:rFonts w:asciiTheme="majorHAnsi" w:hAnsiTheme="majorHAnsi" w:cstheme="majorHAnsi"/>
          <w:sz w:val="24"/>
          <w:szCs w:val="24"/>
        </w:rPr>
        <w:t xml:space="preserve">administratoru pienākums ievērot sankcijas </w:t>
      </w:r>
      <w:r w:rsidR="00C45241" w:rsidRPr="0083189D">
        <w:rPr>
          <w:rFonts w:asciiTheme="majorHAnsi" w:hAnsiTheme="majorHAnsi" w:cstheme="majorHAnsi"/>
          <w:sz w:val="24"/>
          <w:szCs w:val="24"/>
        </w:rPr>
        <w:t>līdz tam izriet</w:t>
      </w:r>
      <w:r w:rsidR="001B72C0" w:rsidRPr="0083189D">
        <w:rPr>
          <w:rFonts w:asciiTheme="majorHAnsi" w:hAnsiTheme="majorHAnsi" w:cstheme="majorHAnsi"/>
          <w:sz w:val="24"/>
          <w:szCs w:val="24"/>
        </w:rPr>
        <w:t>ēja</w:t>
      </w:r>
      <w:r w:rsidR="00EE52FE" w:rsidRPr="0083189D">
        <w:rPr>
          <w:rFonts w:asciiTheme="majorHAnsi" w:hAnsiTheme="majorHAnsi" w:cstheme="majorHAnsi"/>
          <w:sz w:val="24"/>
          <w:szCs w:val="24"/>
        </w:rPr>
        <w:t xml:space="preserve"> no </w:t>
      </w:r>
      <w:r w:rsidR="000D39C3" w:rsidRPr="0083189D">
        <w:rPr>
          <w:rFonts w:asciiTheme="majorHAnsi" w:hAnsiTheme="majorHAnsi" w:cstheme="majorHAnsi"/>
          <w:sz w:val="24"/>
          <w:szCs w:val="24"/>
        </w:rPr>
        <w:t xml:space="preserve">Sankciju likumā nostiprinātā </w:t>
      </w:r>
      <w:r w:rsidR="00EE52FE" w:rsidRPr="0083189D">
        <w:rPr>
          <w:rFonts w:asciiTheme="majorHAnsi" w:hAnsiTheme="majorHAnsi" w:cstheme="majorHAnsi"/>
          <w:sz w:val="24"/>
          <w:szCs w:val="24"/>
        </w:rPr>
        <w:t>vispārēj</w:t>
      </w:r>
      <w:r w:rsidR="000D39C3" w:rsidRPr="0083189D">
        <w:rPr>
          <w:rFonts w:asciiTheme="majorHAnsi" w:hAnsiTheme="majorHAnsi" w:cstheme="majorHAnsi"/>
          <w:sz w:val="24"/>
          <w:szCs w:val="24"/>
        </w:rPr>
        <w:t>ā</w:t>
      </w:r>
      <w:r w:rsidR="00EE52FE" w:rsidRPr="0083189D">
        <w:rPr>
          <w:rFonts w:asciiTheme="majorHAnsi" w:hAnsiTheme="majorHAnsi" w:cstheme="majorHAnsi"/>
          <w:sz w:val="24"/>
          <w:szCs w:val="24"/>
        </w:rPr>
        <w:t xml:space="preserve"> visu personu pienākuma </w:t>
      </w:r>
      <w:r w:rsidR="00324C6D" w:rsidRPr="0083189D">
        <w:rPr>
          <w:rFonts w:asciiTheme="majorHAnsi" w:hAnsiTheme="majorHAnsi" w:cstheme="majorHAnsi"/>
          <w:sz w:val="24"/>
          <w:szCs w:val="24"/>
        </w:rPr>
        <w:t xml:space="preserve">ievērot un </w:t>
      </w:r>
      <w:r w:rsidR="006C3D93" w:rsidRPr="0083189D">
        <w:rPr>
          <w:rFonts w:asciiTheme="majorHAnsi" w:hAnsiTheme="majorHAnsi" w:cstheme="majorHAnsi"/>
          <w:sz w:val="24"/>
          <w:szCs w:val="24"/>
        </w:rPr>
        <w:t>izpildīt</w:t>
      </w:r>
      <w:r w:rsidR="00EE52FE" w:rsidRPr="0083189D">
        <w:rPr>
          <w:rFonts w:asciiTheme="majorHAnsi" w:hAnsiTheme="majorHAnsi" w:cstheme="majorHAnsi"/>
          <w:sz w:val="24"/>
          <w:szCs w:val="24"/>
        </w:rPr>
        <w:t xml:space="preserve"> sankcijas.</w:t>
      </w:r>
    </w:p>
    <w:p w14:paraId="57250F94" w14:textId="1B81ABAD" w:rsidR="00191815" w:rsidRPr="0083189D" w:rsidRDefault="00F6036C" w:rsidP="00141486">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N</w:t>
      </w:r>
      <w:r w:rsidR="00106E8B" w:rsidRPr="0083189D">
        <w:rPr>
          <w:rFonts w:asciiTheme="majorHAnsi" w:hAnsiTheme="majorHAnsi" w:cstheme="majorHAnsi"/>
          <w:sz w:val="24"/>
          <w:szCs w:val="24"/>
        </w:rPr>
        <w:t xml:space="preserve">o 2022. gada </w:t>
      </w:r>
      <w:r w:rsidR="005B07F1" w:rsidRPr="0083189D">
        <w:rPr>
          <w:rFonts w:asciiTheme="majorHAnsi" w:hAnsiTheme="majorHAnsi" w:cstheme="majorHAnsi"/>
          <w:sz w:val="24"/>
          <w:szCs w:val="24"/>
        </w:rPr>
        <w:t xml:space="preserve">1. janvāra līdz </w:t>
      </w:r>
      <w:r w:rsidR="00A1659A" w:rsidRPr="0083189D">
        <w:rPr>
          <w:rFonts w:asciiTheme="majorHAnsi" w:hAnsiTheme="majorHAnsi" w:cstheme="majorHAnsi"/>
          <w:sz w:val="24"/>
          <w:szCs w:val="24"/>
        </w:rPr>
        <w:t xml:space="preserve">2023. gada </w:t>
      </w:r>
      <w:r w:rsidR="00215453" w:rsidRPr="0083189D">
        <w:rPr>
          <w:rFonts w:asciiTheme="majorHAnsi" w:hAnsiTheme="majorHAnsi" w:cstheme="majorHAnsi"/>
          <w:sz w:val="24"/>
          <w:szCs w:val="24"/>
        </w:rPr>
        <w:t xml:space="preserve">30. septembrim MKD, veicot Novēršanas likumā </w:t>
      </w:r>
      <w:r w:rsidR="00433ED7" w:rsidRPr="0083189D">
        <w:rPr>
          <w:rFonts w:asciiTheme="majorHAnsi" w:hAnsiTheme="majorHAnsi" w:cstheme="majorHAnsi"/>
          <w:sz w:val="24"/>
          <w:szCs w:val="24"/>
        </w:rPr>
        <w:t xml:space="preserve">noteikto uzraudzību, ir konstatējis </w:t>
      </w:r>
      <w:r w:rsidR="009B0DA5" w:rsidRPr="0083189D">
        <w:rPr>
          <w:rFonts w:asciiTheme="majorHAnsi" w:hAnsiTheme="majorHAnsi" w:cstheme="majorHAnsi"/>
          <w:sz w:val="24"/>
          <w:szCs w:val="24"/>
        </w:rPr>
        <w:t>70 pārkāpumus</w:t>
      </w:r>
      <w:r w:rsidR="0031400A">
        <w:rPr>
          <w:rFonts w:asciiTheme="majorHAnsi" w:hAnsiTheme="majorHAnsi" w:cstheme="majorHAnsi"/>
          <w:sz w:val="24"/>
          <w:szCs w:val="24"/>
        </w:rPr>
        <w:t xml:space="preserve"> (grafiks Nr. 2)</w:t>
      </w:r>
      <w:r w:rsidR="009B0DA5" w:rsidRPr="0083189D">
        <w:rPr>
          <w:rFonts w:asciiTheme="majorHAnsi" w:hAnsiTheme="majorHAnsi" w:cstheme="majorHAnsi"/>
          <w:sz w:val="24"/>
          <w:szCs w:val="24"/>
        </w:rPr>
        <w:t>.</w:t>
      </w:r>
      <w:r w:rsidR="009B0DA5" w:rsidRPr="0083189D">
        <w:rPr>
          <w:rStyle w:val="Vresatsauce"/>
          <w:rFonts w:asciiTheme="majorHAnsi" w:hAnsiTheme="majorHAnsi" w:cstheme="majorHAnsi"/>
          <w:sz w:val="24"/>
          <w:szCs w:val="24"/>
        </w:rPr>
        <w:footnoteReference w:id="9"/>
      </w:r>
      <w:r w:rsidR="008B7BF7" w:rsidRPr="0083189D">
        <w:rPr>
          <w:rFonts w:asciiTheme="majorHAnsi" w:hAnsiTheme="majorHAnsi" w:cstheme="majorHAnsi"/>
          <w:sz w:val="24"/>
          <w:szCs w:val="24"/>
        </w:rPr>
        <w:t xml:space="preserve"> </w:t>
      </w:r>
    </w:p>
    <w:p w14:paraId="011E9979" w14:textId="179418C4" w:rsidR="00423B36" w:rsidRPr="0083189D" w:rsidRDefault="00423B36"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Analizējot konstatēto pārkāpumu būtību, secinā</w:t>
      </w:r>
      <w:r w:rsidR="00B37718" w:rsidRPr="0083189D">
        <w:rPr>
          <w:rFonts w:asciiTheme="majorHAnsi" w:hAnsiTheme="majorHAnsi" w:cstheme="majorHAnsi"/>
          <w:sz w:val="24"/>
          <w:szCs w:val="24"/>
        </w:rPr>
        <w:t>ts</w:t>
      </w:r>
      <w:r w:rsidRPr="0083189D">
        <w:rPr>
          <w:rFonts w:asciiTheme="majorHAnsi" w:hAnsiTheme="majorHAnsi" w:cstheme="majorHAnsi"/>
          <w:sz w:val="24"/>
          <w:szCs w:val="24"/>
        </w:rPr>
        <w:t xml:space="preserve">, ka </w:t>
      </w:r>
      <w:r w:rsidRPr="00141486">
        <w:rPr>
          <w:rFonts w:asciiTheme="majorHAnsi" w:hAnsiTheme="majorHAnsi" w:cstheme="majorHAnsi"/>
          <w:b/>
          <w:bCs/>
          <w:sz w:val="24"/>
          <w:szCs w:val="24"/>
        </w:rPr>
        <w:t>biežāk pieļauti</w:t>
      </w:r>
      <w:r w:rsidR="001F732B" w:rsidRPr="00141486">
        <w:rPr>
          <w:rFonts w:asciiTheme="majorHAnsi" w:hAnsiTheme="majorHAnsi" w:cstheme="majorHAnsi"/>
          <w:b/>
          <w:bCs/>
          <w:sz w:val="24"/>
          <w:szCs w:val="24"/>
        </w:rPr>
        <w:t>e</w:t>
      </w:r>
      <w:r w:rsidRPr="00141486">
        <w:rPr>
          <w:rFonts w:asciiTheme="majorHAnsi" w:hAnsiTheme="majorHAnsi" w:cstheme="majorHAnsi"/>
          <w:b/>
          <w:bCs/>
          <w:sz w:val="24"/>
          <w:szCs w:val="24"/>
        </w:rPr>
        <w:t xml:space="preserve"> </w:t>
      </w:r>
      <w:r w:rsidR="001F732B" w:rsidRPr="00141486">
        <w:rPr>
          <w:rFonts w:asciiTheme="majorHAnsi" w:hAnsiTheme="majorHAnsi" w:cstheme="majorHAnsi"/>
          <w:b/>
          <w:bCs/>
          <w:sz w:val="24"/>
          <w:szCs w:val="24"/>
        </w:rPr>
        <w:t>pārkāpumi saistīti ar</w:t>
      </w:r>
      <w:r w:rsidR="000D39C3" w:rsidRPr="0083189D">
        <w:rPr>
          <w:rFonts w:asciiTheme="majorHAnsi" w:hAnsiTheme="majorHAnsi" w:cstheme="majorHAnsi"/>
          <w:sz w:val="24"/>
          <w:szCs w:val="24"/>
        </w:rPr>
        <w:t>:</w:t>
      </w:r>
    </w:p>
    <w:p w14:paraId="1309B8FC" w14:textId="7014A056" w:rsidR="001F732B" w:rsidRPr="0083189D" w:rsidRDefault="00DC1150" w:rsidP="00627C36">
      <w:pPr>
        <w:pStyle w:val="Sarakstarindkopa"/>
        <w:numPr>
          <w:ilvl w:val="0"/>
          <w:numId w:val="6"/>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 xml:space="preserve">IKS </w:t>
      </w:r>
      <w:r w:rsidR="0043434C" w:rsidRPr="0083189D">
        <w:rPr>
          <w:rFonts w:asciiTheme="majorHAnsi" w:hAnsiTheme="majorHAnsi" w:cstheme="majorHAnsi"/>
          <w:sz w:val="24"/>
          <w:szCs w:val="24"/>
        </w:rPr>
        <w:t>neatbilstību normatīvo aktu prasībām</w:t>
      </w:r>
      <w:r w:rsidR="00632725" w:rsidRPr="0083189D">
        <w:rPr>
          <w:rFonts w:asciiTheme="majorHAnsi" w:hAnsiTheme="majorHAnsi" w:cstheme="majorHAnsi"/>
          <w:sz w:val="24"/>
          <w:szCs w:val="24"/>
        </w:rPr>
        <w:t>, tajā skaitā attiecībā uz sankciju risku pārvaldību</w:t>
      </w:r>
      <w:r w:rsidRPr="0083189D">
        <w:rPr>
          <w:rFonts w:asciiTheme="majorHAnsi" w:hAnsiTheme="majorHAnsi" w:cstheme="majorHAnsi"/>
          <w:sz w:val="24"/>
          <w:szCs w:val="24"/>
        </w:rPr>
        <w:t>;</w:t>
      </w:r>
      <w:r w:rsidR="00100A13" w:rsidRPr="0083189D">
        <w:rPr>
          <w:rFonts w:asciiTheme="majorHAnsi" w:hAnsiTheme="majorHAnsi" w:cstheme="majorHAnsi"/>
          <w:sz w:val="24"/>
          <w:szCs w:val="24"/>
        </w:rPr>
        <w:t xml:space="preserve"> </w:t>
      </w:r>
    </w:p>
    <w:p w14:paraId="6F6F1FB5" w14:textId="6257E7A5" w:rsidR="00DC1150" w:rsidRPr="0083189D" w:rsidRDefault="0043434C" w:rsidP="00627C36">
      <w:pPr>
        <w:pStyle w:val="Sarakstarindkopa"/>
        <w:numPr>
          <w:ilvl w:val="0"/>
          <w:numId w:val="6"/>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parādnieka</w:t>
      </w:r>
      <w:r w:rsidR="00A85C98" w:rsidRPr="0083189D">
        <w:rPr>
          <w:rFonts w:asciiTheme="majorHAnsi" w:hAnsiTheme="majorHAnsi" w:cstheme="majorHAnsi"/>
          <w:sz w:val="24"/>
          <w:szCs w:val="24"/>
        </w:rPr>
        <w:t xml:space="preserve"> jeb administratora klienta Novēršanas likuma izpratnē izpētes </w:t>
      </w:r>
      <w:r w:rsidRPr="0083189D">
        <w:rPr>
          <w:rFonts w:asciiTheme="majorHAnsi" w:hAnsiTheme="majorHAnsi" w:cstheme="majorHAnsi"/>
          <w:sz w:val="24"/>
          <w:szCs w:val="24"/>
        </w:rPr>
        <w:t>dokumentēšanas prasību neievērošanu;</w:t>
      </w:r>
      <w:r w:rsidR="00F7484B" w:rsidRPr="0083189D">
        <w:rPr>
          <w:rFonts w:asciiTheme="majorHAnsi" w:hAnsiTheme="majorHAnsi" w:cstheme="majorHAnsi"/>
          <w:sz w:val="24"/>
          <w:szCs w:val="24"/>
        </w:rPr>
        <w:t xml:space="preserve"> </w:t>
      </w:r>
    </w:p>
    <w:p w14:paraId="05E3257A" w14:textId="69201FAE" w:rsidR="0043434C" w:rsidRPr="0083189D" w:rsidRDefault="00D53318" w:rsidP="00627C36">
      <w:pPr>
        <w:pStyle w:val="Sarakstarindkopa"/>
        <w:numPr>
          <w:ilvl w:val="0"/>
          <w:numId w:val="6"/>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 xml:space="preserve">parādnieka </w:t>
      </w:r>
      <w:r w:rsidR="004073E9" w:rsidRPr="0083189D">
        <w:rPr>
          <w:rFonts w:asciiTheme="majorHAnsi" w:hAnsiTheme="majorHAnsi" w:cstheme="majorHAnsi"/>
          <w:sz w:val="24"/>
          <w:szCs w:val="24"/>
        </w:rPr>
        <w:t>neatbilstoš</w:t>
      </w:r>
      <w:r w:rsidR="008A6AEB" w:rsidRPr="0083189D">
        <w:rPr>
          <w:rFonts w:asciiTheme="majorHAnsi" w:hAnsiTheme="majorHAnsi" w:cstheme="majorHAnsi"/>
          <w:sz w:val="24"/>
          <w:szCs w:val="24"/>
        </w:rPr>
        <w:t>a</w:t>
      </w:r>
      <w:r w:rsidRPr="0083189D">
        <w:rPr>
          <w:rFonts w:asciiTheme="majorHAnsi" w:hAnsiTheme="majorHAnsi" w:cstheme="majorHAnsi"/>
          <w:sz w:val="24"/>
          <w:szCs w:val="24"/>
        </w:rPr>
        <w:t xml:space="preserve"> riska līmeņa noteikšanu;</w:t>
      </w:r>
      <w:r w:rsidR="00554323" w:rsidRPr="0083189D">
        <w:rPr>
          <w:rFonts w:asciiTheme="majorHAnsi" w:hAnsiTheme="majorHAnsi" w:cstheme="majorHAnsi"/>
          <w:sz w:val="24"/>
          <w:szCs w:val="24"/>
        </w:rPr>
        <w:t xml:space="preserve"> </w:t>
      </w:r>
    </w:p>
    <w:p w14:paraId="31E4B230" w14:textId="77777777" w:rsidR="00B941A1" w:rsidRPr="0083189D" w:rsidRDefault="004073E9" w:rsidP="00627C36">
      <w:pPr>
        <w:pStyle w:val="Sarakstarindkopa"/>
        <w:numPr>
          <w:ilvl w:val="0"/>
          <w:numId w:val="6"/>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kvalitatīvu un savlaicīgu ziņojumu FID nesniegšanu</w:t>
      </w:r>
      <w:r w:rsidR="00CB6618" w:rsidRPr="0083189D">
        <w:rPr>
          <w:rFonts w:asciiTheme="majorHAnsi" w:hAnsiTheme="majorHAnsi" w:cstheme="majorHAnsi"/>
          <w:sz w:val="24"/>
          <w:szCs w:val="24"/>
        </w:rPr>
        <w:t>.</w:t>
      </w:r>
      <w:r w:rsidR="00FA37FB" w:rsidRPr="0083189D">
        <w:rPr>
          <w:rFonts w:asciiTheme="majorHAnsi" w:hAnsiTheme="majorHAnsi" w:cstheme="majorHAnsi"/>
          <w:sz w:val="24"/>
          <w:szCs w:val="24"/>
        </w:rPr>
        <w:t xml:space="preserve"> </w:t>
      </w:r>
    </w:p>
    <w:p w14:paraId="5BC273A3" w14:textId="6E0AF6DA" w:rsidR="00892D08" w:rsidRPr="00C973EC" w:rsidRDefault="00041327" w:rsidP="004F2C16">
      <w:pPr>
        <w:spacing w:after="0" w:line="276" w:lineRule="auto"/>
        <w:ind w:firstLine="720"/>
        <w:jc w:val="both"/>
        <w:rPr>
          <w:rFonts w:asciiTheme="majorHAnsi" w:hAnsiTheme="majorHAnsi" w:cstheme="majorHAnsi"/>
          <w:sz w:val="24"/>
          <w:szCs w:val="24"/>
        </w:rPr>
      </w:pPr>
      <w:r w:rsidRPr="00C973EC">
        <w:rPr>
          <w:rFonts w:asciiTheme="majorHAnsi" w:hAnsiTheme="majorHAnsi" w:cstheme="majorHAnsi"/>
          <w:sz w:val="24"/>
          <w:szCs w:val="24"/>
        </w:rPr>
        <w:lastRenderedPageBreak/>
        <w:t>Savas darbības risku novērtējums un kvalitatīva un aktuāla IKS ir pamats, lai administrators varētu efektīvi pārvaldīt NILLTPFN un sankciju riskus</w:t>
      </w:r>
      <w:r w:rsidR="00EF66D8" w:rsidRPr="00C973EC">
        <w:rPr>
          <w:rFonts w:asciiTheme="majorHAnsi" w:hAnsiTheme="majorHAnsi" w:cstheme="majorHAnsi"/>
          <w:sz w:val="24"/>
          <w:szCs w:val="24"/>
        </w:rPr>
        <w:t>. Šie dokumenti nav uzskatāmi par formāliem</w:t>
      </w:r>
      <w:r w:rsidR="009A2E10" w:rsidRPr="00C973EC">
        <w:rPr>
          <w:rFonts w:asciiTheme="majorHAnsi" w:hAnsiTheme="majorHAnsi" w:cstheme="majorHAnsi"/>
          <w:sz w:val="24"/>
          <w:szCs w:val="24"/>
        </w:rPr>
        <w:t>.</w:t>
      </w:r>
      <w:r w:rsidR="00EF66D8" w:rsidRPr="00C973EC">
        <w:rPr>
          <w:rFonts w:asciiTheme="majorHAnsi" w:hAnsiTheme="majorHAnsi" w:cstheme="majorHAnsi"/>
          <w:sz w:val="24"/>
          <w:szCs w:val="24"/>
        </w:rPr>
        <w:t xml:space="preserve"> </w:t>
      </w:r>
      <w:r w:rsidR="009A2E10" w:rsidRPr="00C973EC">
        <w:rPr>
          <w:rFonts w:asciiTheme="majorHAnsi" w:hAnsiTheme="majorHAnsi" w:cstheme="majorHAnsi"/>
          <w:sz w:val="24"/>
          <w:szCs w:val="24"/>
        </w:rPr>
        <w:t xml:space="preserve">To </w:t>
      </w:r>
      <w:r w:rsidR="00DB26F8" w:rsidRPr="00C973EC">
        <w:rPr>
          <w:rFonts w:asciiTheme="majorHAnsi" w:hAnsiTheme="majorHAnsi" w:cstheme="majorHAnsi"/>
          <w:sz w:val="24"/>
          <w:szCs w:val="24"/>
        </w:rPr>
        <w:t xml:space="preserve">uzdevums ir pasargāt administratoru no iesaistes noziedzīgi iegūtu līdzekļu legalizācijā un sankciju </w:t>
      </w:r>
      <w:r w:rsidR="00DF4652" w:rsidRPr="00C973EC">
        <w:rPr>
          <w:rFonts w:asciiTheme="majorHAnsi" w:hAnsiTheme="majorHAnsi" w:cstheme="majorHAnsi"/>
          <w:sz w:val="24"/>
          <w:szCs w:val="24"/>
        </w:rPr>
        <w:t xml:space="preserve">pārkāpšanā, kas, savukārt, var rezultēties ar </w:t>
      </w:r>
      <w:r w:rsidR="001458E8" w:rsidRPr="00C973EC">
        <w:rPr>
          <w:rFonts w:asciiTheme="majorHAnsi" w:hAnsiTheme="majorHAnsi" w:cstheme="majorHAnsi"/>
          <w:sz w:val="24"/>
          <w:szCs w:val="24"/>
        </w:rPr>
        <w:t>iespējamu kriminālatbildību administratoram, parādnieka līdzekļu iesaldēšanu, maksātnespējas procesa kavēšanu un citām negatīvām sekām</w:t>
      </w:r>
      <w:r w:rsidR="00C23AE1" w:rsidRPr="00C973EC">
        <w:rPr>
          <w:rFonts w:asciiTheme="majorHAnsi" w:hAnsiTheme="majorHAnsi" w:cstheme="majorHAnsi"/>
          <w:sz w:val="24"/>
          <w:szCs w:val="24"/>
        </w:rPr>
        <w:t>, tostarp uz profesijas reputāciju</w:t>
      </w:r>
      <w:r w:rsidR="001458E8" w:rsidRPr="00C973EC">
        <w:rPr>
          <w:rFonts w:asciiTheme="majorHAnsi" w:hAnsiTheme="majorHAnsi" w:cstheme="majorHAnsi"/>
          <w:sz w:val="24"/>
          <w:szCs w:val="24"/>
        </w:rPr>
        <w:t xml:space="preserve">. </w:t>
      </w:r>
    </w:p>
    <w:p w14:paraId="193C7CB5" w14:textId="73B6131A" w:rsidR="001458E8" w:rsidRPr="00C973EC" w:rsidRDefault="00BF306E" w:rsidP="004F2C16">
      <w:pPr>
        <w:spacing w:after="0" w:line="276" w:lineRule="auto"/>
        <w:ind w:firstLine="720"/>
        <w:jc w:val="both"/>
        <w:rPr>
          <w:rFonts w:asciiTheme="majorHAnsi" w:hAnsiTheme="majorHAnsi" w:cstheme="majorHAnsi"/>
          <w:sz w:val="24"/>
          <w:szCs w:val="24"/>
        </w:rPr>
      </w:pPr>
      <w:r w:rsidRPr="00C973EC">
        <w:rPr>
          <w:rFonts w:asciiTheme="majorHAnsi" w:hAnsiTheme="majorHAnsi" w:cstheme="majorHAnsi"/>
          <w:sz w:val="24"/>
          <w:szCs w:val="24"/>
        </w:rPr>
        <w:t>Vienlīdz svarīga ir arī Novēršanas likuma prasību izpilde attiecībā uz klienta ide</w:t>
      </w:r>
      <w:r w:rsidR="00555A17" w:rsidRPr="00C973EC">
        <w:rPr>
          <w:rFonts w:asciiTheme="majorHAnsi" w:hAnsiTheme="majorHAnsi" w:cstheme="majorHAnsi"/>
          <w:sz w:val="24"/>
          <w:szCs w:val="24"/>
        </w:rPr>
        <w:t xml:space="preserve">ntifikāciju. Administratoram ir jāprot pareizi noteikt klienta riska līmeni, lai piemērotu </w:t>
      </w:r>
      <w:r w:rsidR="006F2933" w:rsidRPr="00C973EC">
        <w:rPr>
          <w:rFonts w:asciiTheme="majorHAnsi" w:hAnsiTheme="majorHAnsi" w:cstheme="majorHAnsi"/>
          <w:sz w:val="24"/>
          <w:szCs w:val="24"/>
        </w:rPr>
        <w:t>konstatētajam</w:t>
      </w:r>
      <w:r w:rsidR="00555A17" w:rsidRPr="00C973EC">
        <w:rPr>
          <w:rFonts w:asciiTheme="majorHAnsi" w:hAnsiTheme="majorHAnsi" w:cstheme="majorHAnsi"/>
          <w:sz w:val="24"/>
          <w:szCs w:val="24"/>
        </w:rPr>
        <w:t xml:space="preserve"> riskam atbilstošus izpētes pasākumus, </w:t>
      </w:r>
      <w:r w:rsidR="00B941A1" w:rsidRPr="00C973EC">
        <w:rPr>
          <w:rFonts w:asciiTheme="majorHAnsi" w:hAnsiTheme="majorHAnsi" w:cstheme="majorHAnsi"/>
          <w:sz w:val="24"/>
          <w:szCs w:val="24"/>
        </w:rPr>
        <w:t>un jāspēj pierādīt, ka klienta izpētes pasākumi ir veikti, lai pasargātu sevi no aizdomām par iesaisti legalizācijas darbībās.</w:t>
      </w:r>
    </w:p>
    <w:p w14:paraId="67353FB2" w14:textId="0FB037FE" w:rsidR="00B941A1" w:rsidRDefault="00CD3B15" w:rsidP="004F2C16">
      <w:pPr>
        <w:spacing w:line="276" w:lineRule="auto"/>
        <w:ind w:firstLine="720"/>
        <w:jc w:val="both"/>
        <w:rPr>
          <w:rFonts w:asciiTheme="majorHAnsi" w:hAnsiTheme="majorHAnsi" w:cstheme="majorHAnsi"/>
          <w:sz w:val="24"/>
          <w:szCs w:val="24"/>
        </w:rPr>
      </w:pPr>
      <w:r w:rsidRPr="00C973EC">
        <w:rPr>
          <w:rFonts w:asciiTheme="majorHAnsi" w:hAnsiTheme="majorHAnsi" w:cstheme="majorHAnsi"/>
          <w:sz w:val="24"/>
          <w:szCs w:val="24"/>
        </w:rPr>
        <w:t>NILLTPFN</w:t>
      </w:r>
      <w:r w:rsidR="000D11BE" w:rsidRPr="00C973EC">
        <w:rPr>
          <w:rFonts w:asciiTheme="majorHAnsi" w:hAnsiTheme="majorHAnsi" w:cstheme="majorHAnsi"/>
          <w:sz w:val="24"/>
          <w:szCs w:val="24"/>
        </w:rPr>
        <w:t xml:space="preserve"> stūrakmens ir kvalitatīvi un savlaicīgi ziņojumi FID par aizdomīgiem darījumiem. Administratora kā </w:t>
      </w:r>
      <w:r w:rsidR="000132B1" w:rsidRPr="00C973EC">
        <w:rPr>
          <w:rFonts w:asciiTheme="majorHAnsi" w:hAnsiTheme="majorHAnsi" w:cstheme="majorHAnsi"/>
          <w:sz w:val="24"/>
          <w:szCs w:val="24"/>
        </w:rPr>
        <w:t xml:space="preserve">Novēršanas likuma </w:t>
      </w:r>
      <w:r w:rsidR="000D11BE" w:rsidRPr="00C973EC">
        <w:rPr>
          <w:rFonts w:asciiTheme="majorHAnsi" w:hAnsiTheme="majorHAnsi" w:cstheme="majorHAnsi"/>
          <w:sz w:val="24"/>
          <w:szCs w:val="24"/>
        </w:rPr>
        <w:t>subjekta</w:t>
      </w:r>
      <w:r w:rsidR="00AE5205" w:rsidRPr="00C973EC">
        <w:rPr>
          <w:rFonts w:asciiTheme="majorHAnsi" w:hAnsiTheme="majorHAnsi" w:cstheme="majorHAnsi"/>
          <w:sz w:val="24"/>
          <w:szCs w:val="24"/>
        </w:rPr>
        <w:t xml:space="preserve"> pamatpienākums ir šādus ziņojumus </w:t>
      </w:r>
      <w:r w:rsidR="008B393B" w:rsidRPr="00C973EC">
        <w:rPr>
          <w:rFonts w:asciiTheme="majorHAnsi" w:hAnsiTheme="majorHAnsi" w:cstheme="majorHAnsi"/>
          <w:sz w:val="24"/>
          <w:szCs w:val="24"/>
        </w:rPr>
        <w:t xml:space="preserve">sniegt, lai </w:t>
      </w:r>
      <w:r w:rsidR="00667B49" w:rsidRPr="00C973EC">
        <w:rPr>
          <w:rFonts w:asciiTheme="majorHAnsi" w:hAnsiTheme="majorHAnsi" w:cstheme="majorHAnsi"/>
          <w:sz w:val="24"/>
          <w:szCs w:val="24"/>
        </w:rPr>
        <w:t xml:space="preserve">valsts varētu sekmīgi cīnīties ar </w:t>
      </w:r>
      <w:r w:rsidR="001A4B8C" w:rsidRPr="00C973EC">
        <w:rPr>
          <w:rFonts w:asciiTheme="majorHAnsi" w:hAnsiTheme="majorHAnsi" w:cstheme="majorHAnsi"/>
          <w:sz w:val="24"/>
          <w:szCs w:val="24"/>
        </w:rPr>
        <w:t>noziedzīgi iegūtu līdzekļu legalizāciju.</w:t>
      </w:r>
      <w:r w:rsidR="001A4B8C" w:rsidRPr="0083189D">
        <w:rPr>
          <w:rFonts w:asciiTheme="majorHAnsi" w:hAnsiTheme="majorHAnsi" w:cstheme="majorHAnsi"/>
          <w:sz w:val="24"/>
          <w:szCs w:val="24"/>
        </w:rPr>
        <w:t xml:space="preserve"> </w:t>
      </w:r>
    </w:p>
    <w:p w14:paraId="7A8483AD" w14:textId="3083F831" w:rsidR="0031400A" w:rsidRPr="0031400A" w:rsidRDefault="0031400A" w:rsidP="0031400A">
      <w:pPr>
        <w:spacing w:line="276" w:lineRule="auto"/>
        <w:ind w:firstLine="720"/>
        <w:jc w:val="right"/>
        <w:rPr>
          <w:rFonts w:asciiTheme="majorHAnsi" w:hAnsiTheme="majorHAnsi" w:cstheme="majorHAnsi"/>
          <w:i/>
          <w:iCs/>
          <w:sz w:val="20"/>
          <w:szCs w:val="20"/>
        </w:rPr>
      </w:pPr>
      <w:r w:rsidRPr="0031400A">
        <w:rPr>
          <w:rFonts w:asciiTheme="majorHAnsi" w:hAnsiTheme="majorHAnsi" w:cstheme="majorHAnsi"/>
          <w:i/>
          <w:iCs/>
          <w:sz w:val="20"/>
          <w:szCs w:val="20"/>
        </w:rPr>
        <w:t>Grafiks Nr. 2</w:t>
      </w:r>
    </w:p>
    <w:p w14:paraId="6F45F9CD" w14:textId="3CE7AB9F" w:rsidR="008B7BF7" w:rsidRPr="0083189D" w:rsidRDefault="0031400A" w:rsidP="0031400A">
      <w:pPr>
        <w:spacing w:line="276" w:lineRule="auto"/>
        <w:jc w:val="center"/>
        <w:rPr>
          <w:rFonts w:asciiTheme="majorHAnsi" w:hAnsiTheme="majorHAnsi" w:cstheme="majorHAnsi"/>
          <w:sz w:val="24"/>
          <w:szCs w:val="24"/>
        </w:rPr>
      </w:pPr>
      <w:r w:rsidRPr="0083189D">
        <w:rPr>
          <w:rFonts w:asciiTheme="majorHAnsi" w:hAnsiTheme="majorHAnsi" w:cstheme="majorHAnsi"/>
          <w:noProof/>
        </w:rPr>
        <w:drawing>
          <wp:inline distT="0" distB="0" distL="0" distR="0" wp14:anchorId="1EAFD778" wp14:editId="693B15AE">
            <wp:extent cx="4566478" cy="2623820"/>
            <wp:effectExtent l="0" t="0" r="5715" b="5080"/>
            <wp:docPr id="529970217" name="Diagramma 529970217">
              <a:extLst xmlns:a="http://schemas.openxmlformats.org/drawingml/2006/main">
                <a:ext uri="{FF2B5EF4-FFF2-40B4-BE49-F238E27FC236}">
                  <a16:creationId xmlns:a16="http://schemas.microsoft.com/office/drawing/2014/main" id="{559A321D-318F-73AE-ABEA-05E848238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FDE8F7" w14:textId="79069880" w:rsidR="00D01767" w:rsidRDefault="00D01767" w:rsidP="00627C36">
      <w:pPr>
        <w:spacing w:line="276" w:lineRule="auto"/>
        <w:ind w:firstLine="720"/>
        <w:jc w:val="both"/>
        <w:rPr>
          <w:rFonts w:asciiTheme="majorHAnsi" w:hAnsiTheme="majorHAnsi" w:cstheme="majorHAnsi"/>
          <w:sz w:val="24"/>
          <w:szCs w:val="24"/>
        </w:rPr>
      </w:pPr>
      <w:r w:rsidRPr="00AF4803">
        <w:rPr>
          <w:rFonts w:asciiTheme="majorHAnsi" w:hAnsiTheme="majorHAnsi" w:cstheme="majorHAnsi"/>
          <w:noProof/>
          <w:sz w:val="24"/>
          <w:szCs w:val="24"/>
        </w:rPr>
        <mc:AlternateContent>
          <mc:Choice Requires="wps">
            <w:drawing>
              <wp:anchor distT="45720" distB="45720" distL="114300" distR="114300" simplePos="0" relativeHeight="251658243" behindDoc="0" locked="0" layoutInCell="1" allowOverlap="1" wp14:anchorId="235F1F84" wp14:editId="551DC8DF">
                <wp:simplePos x="0" y="0"/>
                <wp:positionH relativeFrom="margin">
                  <wp:align>right</wp:align>
                </wp:positionH>
                <wp:positionV relativeFrom="paragraph">
                  <wp:posOffset>273685</wp:posOffset>
                </wp:positionV>
                <wp:extent cx="5263515" cy="1955800"/>
                <wp:effectExtent l="0" t="0" r="13335" b="25400"/>
                <wp:wrapSquare wrapText="bothSides"/>
                <wp:docPr id="1915673418" name="Tekstlodziņš 1915673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3" cy="1955800"/>
                        </a:xfrm>
                        <a:prstGeom prst="rect">
                          <a:avLst/>
                        </a:prstGeom>
                        <a:noFill/>
                        <a:ln>
                          <a:solidFill>
                            <a:schemeClr val="accent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0287933C" w14:textId="77777777" w:rsidR="00D01767" w:rsidRPr="004F2C16" w:rsidRDefault="00D01767" w:rsidP="00D01767">
                            <w:pPr>
                              <w:spacing w:line="276" w:lineRule="auto"/>
                              <w:ind w:firstLine="720"/>
                              <w:jc w:val="both"/>
                              <w:rPr>
                                <w:rFonts w:asciiTheme="majorHAnsi" w:hAnsiTheme="majorHAnsi" w:cstheme="majorHAnsi"/>
                                <w:b/>
                                <w:bCs/>
                                <w:color w:val="2F5496" w:themeColor="accent1" w:themeShade="BF"/>
                                <w:sz w:val="24"/>
                                <w:szCs w:val="24"/>
                              </w:rPr>
                            </w:pPr>
                            <w:r w:rsidRPr="004F2C16">
                              <w:rPr>
                                <w:rFonts w:asciiTheme="majorHAnsi" w:hAnsiTheme="majorHAnsi" w:cstheme="majorHAnsi"/>
                                <w:b/>
                                <w:bCs/>
                                <w:color w:val="2F5496" w:themeColor="accent1" w:themeShade="BF"/>
                                <w:sz w:val="24"/>
                                <w:szCs w:val="24"/>
                              </w:rPr>
                              <w:t>Apkopojot iepriekš minēto MKD stratēģijas darbības periodā, veicot uzraudzību saskaņā ar Novēršanas likumu un Sankciju likumu prioritāri pārbaudīs, vai administrators ir:</w:t>
                            </w:r>
                          </w:p>
                          <w:p w14:paraId="26280FF5" w14:textId="77777777" w:rsidR="00D01767" w:rsidRPr="0083189D" w:rsidRDefault="00D01767" w:rsidP="00D01767">
                            <w:pPr>
                              <w:pStyle w:val="Sarakstarindkopa"/>
                              <w:numPr>
                                <w:ilvl w:val="0"/>
                                <w:numId w:val="7"/>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veicis savas darbības risku novērtējumu un izveidojis efektīvu IKS;</w:t>
                            </w:r>
                          </w:p>
                          <w:p w14:paraId="69F8F575" w14:textId="77777777" w:rsidR="00D01767" w:rsidRPr="0083189D" w:rsidRDefault="00D01767" w:rsidP="00D01767">
                            <w:pPr>
                              <w:pStyle w:val="Sarakstarindkopa"/>
                              <w:numPr>
                                <w:ilvl w:val="0"/>
                                <w:numId w:val="7"/>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veicis pienācīgu klienta izpēti un dokumentējis to atbilstoši normatīvo aktu prasībām (gan paša parādnieka, gan darījuma partnera pie mantas pārdošanas, ja tas ir nepieciešams);</w:t>
                            </w:r>
                          </w:p>
                          <w:p w14:paraId="0EED76FA" w14:textId="2DB1C8F4" w:rsidR="00D01767" w:rsidRPr="0083189D" w:rsidRDefault="00D01767" w:rsidP="00D01767">
                            <w:pPr>
                              <w:pStyle w:val="Sarakstarindkopa"/>
                              <w:numPr>
                                <w:ilvl w:val="0"/>
                                <w:numId w:val="7"/>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 xml:space="preserve">savlaicīgi un atbilstoši likuma prasībām iesniedzis ziņojumu </w:t>
                            </w:r>
                            <w:r>
                              <w:rPr>
                                <w:rFonts w:asciiTheme="majorHAnsi" w:hAnsiTheme="majorHAnsi" w:cstheme="majorHAnsi"/>
                                <w:sz w:val="24"/>
                                <w:szCs w:val="24"/>
                              </w:rPr>
                              <w:t>FID</w:t>
                            </w:r>
                            <w:r w:rsidRPr="0083189D">
                              <w:rPr>
                                <w:rFonts w:asciiTheme="majorHAnsi" w:hAnsiTheme="majorHAnsi" w:cstheme="majorHAnsi"/>
                                <w:sz w:val="24"/>
                                <w:szCs w:val="24"/>
                              </w:rPr>
                              <w:t>.</w:t>
                            </w:r>
                          </w:p>
                          <w:p w14:paraId="2B899529" w14:textId="77777777" w:rsidR="00D01767" w:rsidRDefault="00D01767" w:rsidP="00D01767">
                            <w:pPr>
                              <w:spacing w:line="276" w:lineRule="auto"/>
                              <w:ind w:firstLine="72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F1F84" id="Tekstlodziņš 1915673418" o:spid="_x0000_s1031" type="#_x0000_t202" style="position:absolute;left:0;text-align:left;margin-left:363.25pt;margin-top:21.55pt;width:414.45pt;height:154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" filled="f" strokecolor="#4472c4 [3204]" strokeweight="1pt">
                <v:stroke dashstyle="dash"/>
                <v:textbox>
                  <w:txbxContent>
                    <w:p w14:paraId="0287933C" w14:textId="77777777" w:rsidR="00D01767" w:rsidRPr="004F2C16" w:rsidRDefault="00D01767" w:rsidP="00D01767">
                      <w:pPr>
                        <w:spacing w:line="276" w:lineRule="auto"/>
                        <w:ind w:firstLine="720"/>
                        <w:jc w:val="both"/>
                        <w:rPr>
                          <w:rFonts w:asciiTheme="majorHAnsi" w:hAnsiTheme="majorHAnsi" w:cstheme="majorHAnsi"/>
                          <w:b/>
                          <w:bCs/>
                          <w:color w:val="2F5496" w:themeColor="accent1" w:themeShade="BF"/>
                          <w:sz w:val="24"/>
                          <w:szCs w:val="24"/>
                        </w:rPr>
                      </w:pPr>
                      <w:r w:rsidRPr="004F2C16">
                        <w:rPr>
                          <w:rFonts w:asciiTheme="majorHAnsi" w:hAnsiTheme="majorHAnsi" w:cstheme="majorHAnsi"/>
                          <w:b/>
                          <w:bCs/>
                          <w:color w:val="2F5496" w:themeColor="accent1" w:themeShade="BF"/>
                          <w:sz w:val="24"/>
                          <w:szCs w:val="24"/>
                        </w:rPr>
                        <w:t>Apkopojot iepriekš minēto MKD stratēģijas darbības periodā, veicot uzraudzību saskaņā ar Novēršanas likumu un Sankciju likumu prioritāri pārbaudīs, vai administrators ir:</w:t>
                      </w:r>
                    </w:p>
                    <w:p w14:paraId="26280FF5" w14:textId="77777777" w:rsidR="00D01767" w:rsidRPr="0083189D" w:rsidRDefault="00D01767" w:rsidP="00D01767">
                      <w:pPr>
                        <w:pStyle w:val="ListParagraph"/>
                        <w:numPr>
                          <w:ilvl w:val="0"/>
                          <w:numId w:val="7"/>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veicis savas darbības risku novērtējumu un izveidojis efektīvu IKS;</w:t>
                      </w:r>
                    </w:p>
                    <w:p w14:paraId="69F8F575" w14:textId="77777777" w:rsidR="00D01767" w:rsidRPr="0083189D" w:rsidRDefault="00D01767" w:rsidP="00D01767">
                      <w:pPr>
                        <w:pStyle w:val="ListParagraph"/>
                        <w:numPr>
                          <w:ilvl w:val="0"/>
                          <w:numId w:val="7"/>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veicis pienācīgu klienta izpēti un dokumentējis to atbilstoši normatīvo aktu prasībām (gan paša parādnieka, gan darījuma partnera pie mantas pārdošanas, ja tas ir nepieciešams);</w:t>
                      </w:r>
                    </w:p>
                    <w:p w14:paraId="0EED76FA" w14:textId="2DB1C8F4" w:rsidR="00D01767" w:rsidRPr="0083189D" w:rsidRDefault="00D01767" w:rsidP="00D01767">
                      <w:pPr>
                        <w:pStyle w:val="ListParagraph"/>
                        <w:numPr>
                          <w:ilvl w:val="0"/>
                          <w:numId w:val="7"/>
                        </w:num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 xml:space="preserve">savlaicīgi un atbilstoši likuma prasībām iesniedzis ziņojumu </w:t>
                      </w:r>
                      <w:r>
                        <w:rPr>
                          <w:rFonts w:asciiTheme="majorHAnsi" w:hAnsiTheme="majorHAnsi" w:cstheme="majorHAnsi"/>
                          <w:sz w:val="24"/>
                          <w:szCs w:val="24"/>
                        </w:rPr>
                        <w:t>FID</w:t>
                      </w:r>
                      <w:r w:rsidRPr="0083189D">
                        <w:rPr>
                          <w:rFonts w:asciiTheme="majorHAnsi" w:hAnsiTheme="majorHAnsi" w:cstheme="majorHAnsi"/>
                          <w:sz w:val="24"/>
                          <w:szCs w:val="24"/>
                        </w:rPr>
                        <w:t>.</w:t>
                      </w:r>
                    </w:p>
                    <w:p w14:paraId="2B899529" w14:textId="77777777" w:rsidR="00D01767" w:rsidRDefault="00D01767" w:rsidP="00D01767">
                      <w:pPr>
                        <w:spacing w:line="276" w:lineRule="auto"/>
                        <w:ind w:firstLine="720"/>
                        <w:jc w:val="both"/>
                      </w:pPr>
                    </w:p>
                  </w:txbxContent>
                </v:textbox>
                <w10:wrap type="square" anchorx="margin"/>
              </v:shape>
            </w:pict>
          </mc:Fallback>
        </mc:AlternateContent>
      </w:r>
    </w:p>
    <w:p w14:paraId="430DFA8A" w14:textId="27BFE8BE" w:rsidR="004D233E" w:rsidRDefault="00E55717" w:rsidP="005A415D">
      <w:pPr>
        <w:pStyle w:val="Virsraksts2"/>
        <w:numPr>
          <w:ilvl w:val="1"/>
          <w:numId w:val="1"/>
        </w:numPr>
        <w:spacing w:before="0" w:line="276" w:lineRule="auto"/>
        <w:jc w:val="center"/>
        <w:rPr>
          <w:rFonts w:cstheme="majorHAnsi"/>
          <w:b/>
          <w:bCs/>
          <w:sz w:val="24"/>
          <w:szCs w:val="24"/>
        </w:rPr>
      </w:pPr>
      <w:bookmarkStart w:id="6" w:name="_Toc154665202"/>
      <w:r w:rsidRPr="00755267">
        <w:rPr>
          <w:rFonts w:cstheme="majorHAnsi"/>
          <w:b/>
          <w:bCs/>
          <w:sz w:val="24"/>
          <w:szCs w:val="24"/>
        </w:rPr>
        <w:lastRenderedPageBreak/>
        <w:t>Ārējo faktoru ietekmē radušies riski</w:t>
      </w:r>
      <w:bookmarkEnd w:id="6"/>
    </w:p>
    <w:p w14:paraId="25779F2D" w14:textId="77777777" w:rsidR="005A415D" w:rsidRPr="005A415D" w:rsidRDefault="005A415D" w:rsidP="005A415D">
      <w:pPr>
        <w:spacing w:after="0"/>
      </w:pPr>
    </w:p>
    <w:p w14:paraId="3C37719B" w14:textId="027C0599" w:rsidR="002853FA" w:rsidRDefault="00004FE4" w:rsidP="00BF56A1">
      <w:pPr>
        <w:pStyle w:val="Virsraksts3"/>
        <w:numPr>
          <w:ilvl w:val="2"/>
          <w:numId w:val="1"/>
        </w:numPr>
        <w:spacing w:line="276" w:lineRule="auto"/>
        <w:ind w:left="720"/>
        <w:rPr>
          <w:rFonts w:cstheme="majorHAnsi"/>
        </w:rPr>
      </w:pPr>
      <w:bookmarkStart w:id="7" w:name="_Toc154665203"/>
      <w:r w:rsidRPr="0083189D">
        <w:rPr>
          <w:rFonts w:cstheme="majorHAnsi"/>
        </w:rPr>
        <w:t>Sankciju risku pārvaldība</w:t>
      </w:r>
      <w:bookmarkEnd w:id="7"/>
    </w:p>
    <w:p w14:paraId="43B37637" w14:textId="77777777" w:rsidR="005A415D" w:rsidRPr="005A415D" w:rsidRDefault="005A415D" w:rsidP="005A415D">
      <w:pPr>
        <w:spacing w:after="0"/>
      </w:pPr>
    </w:p>
    <w:p w14:paraId="3722CFD5" w14:textId="39ABF155" w:rsidR="00ED29E9" w:rsidRPr="0083189D" w:rsidRDefault="00F93812" w:rsidP="004D5C67">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2022. gada 24. februārī </w:t>
      </w:r>
      <w:r w:rsidR="00EE7A76" w:rsidRPr="0083189D">
        <w:rPr>
          <w:rFonts w:asciiTheme="majorHAnsi" w:hAnsiTheme="majorHAnsi" w:cstheme="majorHAnsi"/>
          <w:sz w:val="24"/>
          <w:szCs w:val="24"/>
        </w:rPr>
        <w:t>Krievijai uzsākot karu Ukrainā, nebijušu apmēru</w:t>
      </w:r>
      <w:r w:rsidR="00025108" w:rsidRPr="0083189D">
        <w:rPr>
          <w:rFonts w:asciiTheme="majorHAnsi" w:hAnsiTheme="majorHAnsi" w:cstheme="majorHAnsi"/>
          <w:sz w:val="24"/>
          <w:szCs w:val="24"/>
        </w:rPr>
        <w:t xml:space="preserve"> un nozīmi</w:t>
      </w:r>
      <w:r w:rsidR="00EE7A76" w:rsidRPr="0083189D">
        <w:rPr>
          <w:rFonts w:asciiTheme="majorHAnsi" w:hAnsiTheme="majorHAnsi" w:cstheme="majorHAnsi"/>
          <w:sz w:val="24"/>
          <w:szCs w:val="24"/>
        </w:rPr>
        <w:t xml:space="preserve"> sasniegušas </w:t>
      </w:r>
      <w:r w:rsidR="00025108" w:rsidRPr="0083189D">
        <w:rPr>
          <w:rFonts w:asciiTheme="majorHAnsi" w:hAnsiTheme="majorHAnsi" w:cstheme="majorHAnsi"/>
          <w:sz w:val="24"/>
          <w:szCs w:val="24"/>
        </w:rPr>
        <w:t xml:space="preserve">sankcijas. </w:t>
      </w:r>
      <w:r w:rsidR="0057256F" w:rsidRPr="0083189D">
        <w:rPr>
          <w:rFonts w:asciiTheme="majorHAnsi" w:hAnsiTheme="majorHAnsi" w:cstheme="majorHAnsi"/>
          <w:sz w:val="24"/>
          <w:szCs w:val="24"/>
        </w:rPr>
        <w:t xml:space="preserve">Ņemot vērā Latvijas ģeogrāfisko atrašanās vietu, </w:t>
      </w:r>
      <w:r w:rsidR="00327D6D" w:rsidRPr="0083189D">
        <w:rPr>
          <w:rFonts w:asciiTheme="majorHAnsi" w:hAnsiTheme="majorHAnsi" w:cstheme="majorHAnsi"/>
          <w:sz w:val="24"/>
          <w:szCs w:val="24"/>
        </w:rPr>
        <w:t>varbūtība, ka maksātnespējas procesā administrators saskarsies ar sankcionētie</w:t>
      </w:r>
      <w:r w:rsidR="002B06BD" w:rsidRPr="0083189D">
        <w:rPr>
          <w:rFonts w:asciiTheme="majorHAnsi" w:hAnsiTheme="majorHAnsi" w:cstheme="majorHAnsi"/>
          <w:sz w:val="24"/>
          <w:szCs w:val="24"/>
        </w:rPr>
        <w:t xml:space="preserve">m subjektiem vai </w:t>
      </w:r>
      <w:r w:rsidR="000669F6" w:rsidRPr="0083189D">
        <w:rPr>
          <w:rFonts w:asciiTheme="majorHAnsi" w:hAnsiTheme="majorHAnsi" w:cstheme="majorHAnsi"/>
          <w:sz w:val="24"/>
          <w:szCs w:val="24"/>
        </w:rPr>
        <w:t>precēm</w:t>
      </w:r>
      <w:r w:rsidR="00A464F0" w:rsidRPr="0083189D">
        <w:rPr>
          <w:rFonts w:asciiTheme="majorHAnsi" w:hAnsiTheme="majorHAnsi" w:cstheme="majorHAnsi"/>
          <w:sz w:val="24"/>
          <w:szCs w:val="24"/>
        </w:rPr>
        <w:t>, ir samērā augsta.</w:t>
      </w:r>
      <w:r w:rsidR="0057256F" w:rsidRPr="0083189D">
        <w:rPr>
          <w:rFonts w:asciiTheme="majorHAnsi" w:hAnsiTheme="majorHAnsi" w:cstheme="majorHAnsi"/>
          <w:sz w:val="24"/>
          <w:szCs w:val="24"/>
        </w:rPr>
        <w:t xml:space="preserve"> </w:t>
      </w:r>
      <w:r w:rsidR="00ED29E9" w:rsidRPr="0083189D">
        <w:rPr>
          <w:rFonts w:asciiTheme="majorHAnsi" w:hAnsiTheme="majorHAnsi" w:cstheme="majorHAnsi"/>
          <w:sz w:val="24"/>
          <w:szCs w:val="24"/>
        </w:rPr>
        <w:t>Līdz ar to nepastāvot efektīviem sankciju risku pārvaldības rīkiem, pastāv būtisks risks tās pārkāpt vai tikt iesaistītam to apiešanā.</w:t>
      </w:r>
      <w:r w:rsidR="00F87D91" w:rsidRPr="0083189D">
        <w:rPr>
          <w:rFonts w:asciiTheme="majorHAnsi" w:hAnsiTheme="majorHAnsi" w:cstheme="majorHAnsi"/>
          <w:sz w:val="24"/>
          <w:szCs w:val="24"/>
        </w:rPr>
        <w:t xml:space="preserve"> Par sankciju pārkāpšanu ir paredzēta kriminālatbildība.</w:t>
      </w:r>
      <w:r w:rsidR="00F87D91" w:rsidRPr="0083189D">
        <w:rPr>
          <w:rStyle w:val="Vresatsauce"/>
          <w:rFonts w:asciiTheme="majorHAnsi" w:hAnsiTheme="majorHAnsi" w:cstheme="majorHAnsi"/>
          <w:sz w:val="24"/>
          <w:szCs w:val="24"/>
        </w:rPr>
        <w:footnoteReference w:id="10"/>
      </w:r>
      <w:r w:rsidR="000F26F1" w:rsidRPr="0083189D">
        <w:rPr>
          <w:rFonts w:asciiTheme="majorHAnsi" w:hAnsiTheme="majorHAnsi" w:cstheme="majorHAnsi"/>
          <w:sz w:val="24"/>
          <w:szCs w:val="24"/>
        </w:rPr>
        <w:t xml:space="preserve"> Papildus, neveicot </w:t>
      </w:r>
      <w:r w:rsidR="003F46B3" w:rsidRPr="0083189D">
        <w:rPr>
          <w:rFonts w:asciiTheme="majorHAnsi" w:hAnsiTheme="majorHAnsi" w:cstheme="majorHAnsi"/>
          <w:sz w:val="24"/>
          <w:szCs w:val="24"/>
        </w:rPr>
        <w:t>pienācīgu sankciju risku pārvaldību maksātnespējas procesā, var tikt kavēta tā norise, tādējādi nepamatoti ietekmējot arī citu personu intereses.</w:t>
      </w:r>
    </w:p>
    <w:p w14:paraId="24C11AE5" w14:textId="5FC4800D" w:rsidR="00A55D2C" w:rsidRPr="0083189D" w:rsidRDefault="00A55D2C" w:rsidP="004D5C67">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Ar grozījumiem Sankciju likumā</w:t>
      </w:r>
      <w:r w:rsidRPr="0083189D">
        <w:rPr>
          <w:rStyle w:val="Vresatsauce"/>
          <w:rFonts w:asciiTheme="majorHAnsi" w:hAnsiTheme="majorHAnsi" w:cstheme="majorHAnsi"/>
          <w:sz w:val="24"/>
          <w:szCs w:val="24"/>
        </w:rPr>
        <w:footnoteReference w:id="11"/>
      </w:r>
      <w:r w:rsidRPr="0083189D">
        <w:rPr>
          <w:rFonts w:asciiTheme="majorHAnsi" w:hAnsiTheme="majorHAnsi" w:cstheme="majorHAnsi"/>
          <w:sz w:val="24"/>
          <w:szCs w:val="24"/>
        </w:rPr>
        <w:t xml:space="preserve"> administratori noteikti par Sankciju likuma subjektiem – personām, kurām ir pienākums veikt sankciju riska novērtējumu, lai</w:t>
      </w:r>
      <w:r w:rsidRPr="0083189D">
        <w:rPr>
          <w:rFonts w:asciiTheme="majorHAnsi" w:hAnsiTheme="majorHAnsi" w:cstheme="majorHAnsi"/>
        </w:rPr>
        <w:t xml:space="preserve"> </w:t>
      </w:r>
      <w:r w:rsidRPr="0083189D">
        <w:rPr>
          <w:rFonts w:asciiTheme="majorHAnsi" w:hAnsiTheme="majorHAnsi" w:cstheme="majorHAnsi"/>
          <w:sz w:val="24"/>
          <w:szCs w:val="24"/>
        </w:rPr>
        <w:t>noskaidrotu, novērtētu, izprastu un pārvaldītu savai darbībai vai klientiem noteikto starptautisko un nacionālo sankciju neizpildes riskus</w:t>
      </w:r>
      <w:r w:rsidR="00D24244" w:rsidRPr="0083189D">
        <w:rPr>
          <w:rFonts w:asciiTheme="majorHAnsi" w:hAnsiTheme="majorHAnsi" w:cstheme="majorHAnsi"/>
          <w:sz w:val="24"/>
          <w:szCs w:val="24"/>
        </w:rPr>
        <w:t>,</w:t>
      </w:r>
      <w:r w:rsidRPr="0083189D">
        <w:rPr>
          <w:rFonts w:asciiTheme="majorHAnsi" w:hAnsiTheme="majorHAnsi" w:cstheme="majorHAnsi"/>
          <w:sz w:val="24"/>
          <w:szCs w:val="24"/>
        </w:rPr>
        <w:t xml:space="preserve"> un izveidot IKS. Ar šiem grozījumiem MKD noteikts, kā administratoru uzraugošā institūcija attiecīgajā jautājumā. </w:t>
      </w:r>
    </w:p>
    <w:p w14:paraId="5D0E6E3D" w14:textId="58F7364E" w:rsidR="009A664D" w:rsidRPr="0083189D" w:rsidRDefault="00DC1921"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MKD </w:t>
      </w:r>
      <w:r w:rsidR="00056E33" w:rsidRPr="0083189D">
        <w:rPr>
          <w:rFonts w:asciiTheme="majorHAnsi" w:hAnsiTheme="majorHAnsi" w:cstheme="majorHAnsi"/>
          <w:sz w:val="24"/>
          <w:szCs w:val="24"/>
        </w:rPr>
        <w:t xml:space="preserve">jau līdz šim </w:t>
      </w:r>
      <w:r w:rsidRPr="0083189D">
        <w:rPr>
          <w:rFonts w:asciiTheme="majorHAnsi" w:hAnsiTheme="majorHAnsi" w:cstheme="majorHAnsi"/>
          <w:sz w:val="24"/>
          <w:szCs w:val="24"/>
        </w:rPr>
        <w:t>veicot uzraudzību</w:t>
      </w:r>
      <w:r w:rsidR="001E556A" w:rsidRPr="0083189D">
        <w:rPr>
          <w:rFonts w:asciiTheme="majorHAnsi" w:hAnsiTheme="majorHAnsi" w:cstheme="majorHAnsi"/>
          <w:sz w:val="24"/>
          <w:szCs w:val="24"/>
        </w:rPr>
        <w:t xml:space="preserve"> tosta</w:t>
      </w:r>
      <w:r w:rsidR="00723B27" w:rsidRPr="0083189D">
        <w:rPr>
          <w:rFonts w:asciiTheme="majorHAnsi" w:hAnsiTheme="majorHAnsi" w:cstheme="majorHAnsi"/>
          <w:sz w:val="24"/>
          <w:szCs w:val="24"/>
        </w:rPr>
        <w:t>r</w:t>
      </w:r>
      <w:r w:rsidR="001E556A" w:rsidRPr="0083189D">
        <w:rPr>
          <w:rFonts w:asciiTheme="majorHAnsi" w:hAnsiTheme="majorHAnsi" w:cstheme="majorHAnsi"/>
          <w:sz w:val="24"/>
          <w:szCs w:val="24"/>
        </w:rPr>
        <w:t>p</w:t>
      </w:r>
      <w:r w:rsidR="00056E33" w:rsidRPr="0083189D">
        <w:rPr>
          <w:rFonts w:asciiTheme="majorHAnsi" w:hAnsiTheme="majorHAnsi" w:cstheme="majorHAnsi"/>
          <w:sz w:val="24"/>
          <w:szCs w:val="24"/>
        </w:rPr>
        <w:t xml:space="preserve"> </w:t>
      </w:r>
      <w:r w:rsidR="00F75D10" w:rsidRPr="0083189D">
        <w:rPr>
          <w:rFonts w:asciiTheme="majorHAnsi" w:hAnsiTheme="majorHAnsi" w:cstheme="majorHAnsi"/>
          <w:sz w:val="24"/>
          <w:szCs w:val="24"/>
        </w:rPr>
        <w:t>pārbaudīj</w:t>
      </w:r>
      <w:r w:rsidR="001E556A" w:rsidRPr="0083189D">
        <w:rPr>
          <w:rFonts w:asciiTheme="majorHAnsi" w:hAnsiTheme="majorHAnsi" w:cstheme="majorHAnsi"/>
          <w:sz w:val="24"/>
          <w:szCs w:val="24"/>
        </w:rPr>
        <w:t>a</w:t>
      </w:r>
      <w:r w:rsidR="00F75D10" w:rsidRPr="0083189D">
        <w:rPr>
          <w:rFonts w:asciiTheme="majorHAnsi" w:hAnsiTheme="majorHAnsi" w:cstheme="majorHAnsi"/>
          <w:sz w:val="24"/>
          <w:szCs w:val="24"/>
        </w:rPr>
        <w:t xml:space="preserve">, vai administratori </w:t>
      </w:r>
      <w:r w:rsidR="00056E33" w:rsidRPr="0083189D">
        <w:rPr>
          <w:rFonts w:asciiTheme="majorHAnsi" w:hAnsiTheme="majorHAnsi" w:cstheme="majorHAnsi"/>
          <w:sz w:val="24"/>
          <w:szCs w:val="24"/>
        </w:rPr>
        <w:t xml:space="preserve">ir izstrādājuši </w:t>
      </w:r>
      <w:r w:rsidR="003A4601" w:rsidRPr="0083189D">
        <w:rPr>
          <w:rFonts w:asciiTheme="majorHAnsi" w:hAnsiTheme="majorHAnsi" w:cstheme="majorHAnsi"/>
          <w:sz w:val="24"/>
          <w:szCs w:val="24"/>
        </w:rPr>
        <w:t>dokument</w:t>
      </w:r>
      <w:r w:rsidR="001E556A" w:rsidRPr="0083189D">
        <w:rPr>
          <w:rFonts w:asciiTheme="majorHAnsi" w:hAnsiTheme="majorHAnsi" w:cstheme="majorHAnsi"/>
          <w:sz w:val="24"/>
          <w:szCs w:val="24"/>
        </w:rPr>
        <w:t>us</w:t>
      </w:r>
      <w:r w:rsidR="003A4601" w:rsidRPr="0083189D">
        <w:rPr>
          <w:rFonts w:asciiTheme="majorHAnsi" w:hAnsiTheme="majorHAnsi" w:cstheme="majorHAnsi"/>
          <w:sz w:val="24"/>
          <w:szCs w:val="24"/>
        </w:rPr>
        <w:t xml:space="preserve"> </w:t>
      </w:r>
      <w:r w:rsidR="002D1756" w:rsidRPr="0083189D">
        <w:rPr>
          <w:rFonts w:asciiTheme="majorHAnsi" w:hAnsiTheme="majorHAnsi" w:cstheme="majorHAnsi"/>
          <w:sz w:val="24"/>
          <w:szCs w:val="24"/>
        </w:rPr>
        <w:t xml:space="preserve">sankciju risku </w:t>
      </w:r>
      <w:r w:rsidR="00EA73E5" w:rsidRPr="0083189D">
        <w:rPr>
          <w:rFonts w:asciiTheme="majorHAnsi" w:hAnsiTheme="majorHAnsi" w:cstheme="majorHAnsi"/>
          <w:sz w:val="24"/>
          <w:szCs w:val="24"/>
        </w:rPr>
        <w:t>pārvaldībai</w:t>
      </w:r>
      <w:r w:rsidR="003A4601" w:rsidRPr="0083189D">
        <w:rPr>
          <w:rFonts w:asciiTheme="majorHAnsi" w:hAnsiTheme="majorHAnsi" w:cstheme="majorHAnsi"/>
          <w:sz w:val="24"/>
          <w:szCs w:val="24"/>
        </w:rPr>
        <w:t xml:space="preserve"> </w:t>
      </w:r>
      <w:r w:rsidR="00724CA5" w:rsidRPr="0083189D">
        <w:rPr>
          <w:rFonts w:asciiTheme="majorHAnsi" w:hAnsiTheme="majorHAnsi" w:cstheme="majorHAnsi"/>
          <w:sz w:val="24"/>
          <w:szCs w:val="24"/>
        </w:rPr>
        <w:t xml:space="preserve">un veic sankciju </w:t>
      </w:r>
      <w:proofErr w:type="spellStart"/>
      <w:r w:rsidR="00724CA5" w:rsidRPr="0083189D">
        <w:rPr>
          <w:rFonts w:asciiTheme="majorHAnsi" w:hAnsiTheme="majorHAnsi" w:cstheme="majorHAnsi"/>
          <w:sz w:val="24"/>
          <w:szCs w:val="24"/>
        </w:rPr>
        <w:t>skrīningu</w:t>
      </w:r>
      <w:proofErr w:type="spellEnd"/>
      <w:r w:rsidR="00EA73E5" w:rsidRPr="0083189D">
        <w:rPr>
          <w:rFonts w:asciiTheme="majorHAnsi" w:hAnsiTheme="majorHAnsi" w:cstheme="majorHAnsi"/>
          <w:sz w:val="24"/>
          <w:szCs w:val="24"/>
        </w:rPr>
        <w:t>.</w:t>
      </w:r>
      <w:r w:rsidR="00724CA5" w:rsidRPr="0083189D">
        <w:rPr>
          <w:rFonts w:asciiTheme="majorHAnsi" w:hAnsiTheme="majorHAnsi" w:cstheme="majorHAnsi"/>
          <w:sz w:val="24"/>
          <w:szCs w:val="24"/>
        </w:rPr>
        <w:t xml:space="preserve"> </w:t>
      </w:r>
      <w:r w:rsidR="00EA73E5" w:rsidRPr="0083189D">
        <w:rPr>
          <w:rFonts w:asciiTheme="majorHAnsi" w:hAnsiTheme="majorHAnsi" w:cstheme="majorHAnsi"/>
          <w:sz w:val="24"/>
          <w:szCs w:val="24"/>
        </w:rPr>
        <w:t>Ņ</w:t>
      </w:r>
      <w:r w:rsidR="00AF5EAA" w:rsidRPr="0083189D">
        <w:rPr>
          <w:rFonts w:asciiTheme="majorHAnsi" w:hAnsiTheme="majorHAnsi" w:cstheme="majorHAnsi"/>
          <w:sz w:val="24"/>
          <w:szCs w:val="24"/>
        </w:rPr>
        <w:t xml:space="preserve">emot vērā </w:t>
      </w:r>
      <w:r w:rsidR="00C11667" w:rsidRPr="0083189D">
        <w:rPr>
          <w:rFonts w:asciiTheme="majorHAnsi" w:hAnsiTheme="majorHAnsi" w:cstheme="majorHAnsi"/>
          <w:sz w:val="24"/>
          <w:szCs w:val="24"/>
        </w:rPr>
        <w:t>šī jautājuma būti</w:t>
      </w:r>
      <w:r w:rsidR="00827C14" w:rsidRPr="0083189D">
        <w:rPr>
          <w:rFonts w:asciiTheme="majorHAnsi" w:hAnsiTheme="majorHAnsi" w:cstheme="majorHAnsi"/>
          <w:sz w:val="24"/>
          <w:szCs w:val="24"/>
        </w:rPr>
        <w:t xml:space="preserve">sko raksturu, </w:t>
      </w:r>
      <w:r w:rsidR="00A26411" w:rsidRPr="0083189D">
        <w:rPr>
          <w:rFonts w:asciiTheme="majorHAnsi" w:hAnsiTheme="majorHAnsi" w:cstheme="majorHAnsi"/>
          <w:sz w:val="24"/>
          <w:szCs w:val="24"/>
        </w:rPr>
        <w:t xml:space="preserve">stratēģijas darbības periodā tas </w:t>
      </w:r>
      <w:r w:rsidR="00997273" w:rsidRPr="0083189D">
        <w:rPr>
          <w:rFonts w:asciiTheme="majorHAnsi" w:hAnsiTheme="majorHAnsi" w:cstheme="majorHAnsi"/>
          <w:sz w:val="24"/>
          <w:szCs w:val="24"/>
        </w:rPr>
        <w:t>ir izvirzīts kā prioritārs.</w:t>
      </w:r>
    </w:p>
    <w:tbl>
      <w:tblPr>
        <w:tblStyle w:val="Reatabula3-izclums5"/>
        <w:tblW w:w="0" w:type="auto"/>
        <w:tblLook w:val="04A0" w:firstRow="1" w:lastRow="0" w:firstColumn="1" w:lastColumn="0" w:noHBand="0" w:noVBand="1"/>
      </w:tblPr>
      <w:tblGrid>
        <w:gridCol w:w="2765"/>
        <w:gridCol w:w="2765"/>
        <w:gridCol w:w="2766"/>
      </w:tblGrid>
      <w:tr w:rsidR="00EA532D" w:rsidRPr="0083189D" w14:paraId="0A9D8AB4" w14:textId="77777777" w:rsidTr="009A28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14:paraId="4FD134AA" w14:textId="79F603B3" w:rsidR="00D86EC8" w:rsidRPr="00DA46B9" w:rsidRDefault="00EA532D" w:rsidP="00627C36">
            <w:pPr>
              <w:spacing w:line="276" w:lineRule="auto"/>
              <w:jc w:val="both"/>
              <w:rPr>
                <w:rFonts w:asciiTheme="majorHAnsi" w:hAnsiTheme="majorHAnsi" w:cstheme="majorHAnsi"/>
                <w:i w:val="0"/>
                <w:iCs w:val="0"/>
                <w:sz w:val="24"/>
                <w:szCs w:val="24"/>
              </w:rPr>
            </w:pPr>
            <w:r w:rsidRPr="00DA46B9">
              <w:rPr>
                <w:rFonts w:asciiTheme="majorHAnsi" w:hAnsiTheme="majorHAnsi" w:cstheme="majorHAnsi"/>
                <w:i w:val="0"/>
                <w:iCs w:val="0"/>
                <w:color w:val="2F5496" w:themeColor="accent1" w:themeShade="BF"/>
                <w:sz w:val="24"/>
                <w:szCs w:val="24"/>
              </w:rPr>
              <w:t>Faktors:</w:t>
            </w:r>
            <w:r w:rsidR="00F14D41" w:rsidRPr="00DA46B9">
              <w:rPr>
                <w:rFonts w:asciiTheme="majorHAnsi" w:hAnsiTheme="majorHAnsi" w:cstheme="majorHAnsi"/>
                <w:i w:val="0"/>
                <w:iCs w:val="0"/>
                <w:color w:val="2F5496" w:themeColor="accent1" w:themeShade="BF"/>
                <w:sz w:val="24"/>
                <w:szCs w:val="24"/>
              </w:rPr>
              <w:t xml:space="preserve"> </w:t>
            </w:r>
            <w:r w:rsidR="00F14D41" w:rsidRPr="00DA46B9">
              <w:rPr>
                <w:rFonts w:asciiTheme="majorHAnsi" w:hAnsiTheme="majorHAnsi" w:cstheme="majorHAnsi"/>
                <w:b w:val="0"/>
                <w:bCs w:val="0"/>
                <w:i w:val="0"/>
                <w:iCs w:val="0"/>
                <w:sz w:val="24"/>
                <w:szCs w:val="24"/>
              </w:rPr>
              <w:t xml:space="preserve">Saskaņā ar Sankciju likuma prasībām administratoram ir pienākums </w:t>
            </w:r>
            <w:r w:rsidR="00C44800" w:rsidRPr="00DA46B9">
              <w:rPr>
                <w:rFonts w:asciiTheme="majorHAnsi" w:hAnsiTheme="majorHAnsi" w:cstheme="majorHAnsi"/>
                <w:b w:val="0"/>
                <w:bCs w:val="0"/>
                <w:i w:val="0"/>
                <w:iCs w:val="0"/>
                <w:sz w:val="24"/>
                <w:szCs w:val="24"/>
              </w:rPr>
              <w:t>ievērot un izpildīt sankcijas</w:t>
            </w:r>
            <w:r w:rsidR="00D86EC8" w:rsidRPr="00DA46B9">
              <w:rPr>
                <w:rFonts w:asciiTheme="majorHAnsi" w:hAnsiTheme="majorHAnsi" w:cstheme="majorHAnsi"/>
                <w:b w:val="0"/>
                <w:bCs w:val="0"/>
                <w:i w:val="0"/>
                <w:iCs w:val="0"/>
                <w:sz w:val="24"/>
                <w:szCs w:val="24"/>
              </w:rPr>
              <w:t xml:space="preserve">, kā arī izstrādāt </w:t>
            </w:r>
            <w:r w:rsidR="009F5915" w:rsidRPr="00DA46B9">
              <w:rPr>
                <w:rFonts w:asciiTheme="majorHAnsi" w:hAnsiTheme="majorHAnsi" w:cstheme="majorHAnsi"/>
                <w:b w:val="0"/>
                <w:bCs w:val="0"/>
                <w:i w:val="0"/>
                <w:iCs w:val="0"/>
                <w:sz w:val="24"/>
                <w:szCs w:val="24"/>
              </w:rPr>
              <w:t xml:space="preserve">efektīvu </w:t>
            </w:r>
            <w:r w:rsidR="001507F7" w:rsidRPr="00DA46B9">
              <w:rPr>
                <w:rFonts w:asciiTheme="majorHAnsi" w:hAnsiTheme="majorHAnsi" w:cstheme="majorHAnsi"/>
                <w:b w:val="0"/>
                <w:bCs w:val="0"/>
                <w:i w:val="0"/>
                <w:iCs w:val="0"/>
                <w:sz w:val="24"/>
                <w:szCs w:val="24"/>
              </w:rPr>
              <w:t xml:space="preserve">sistēmu sankciju risku pārvaldībai – </w:t>
            </w:r>
            <w:r w:rsidR="00D86EC8" w:rsidRPr="00DA46B9">
              <w:rPr>
                <w:rFonts w:asciiTheme="majorHAnsi" w:hAnsiTheme="majorHAnsi" w:cstheme="majorHAnsi"/>
                <w:b w:val="0"/>
                <w:bCs w:val="0"/>
                <w:i w:val="0"/>
                <w:iCs w:val="0"/>
                <w:sz w:val="24"/>
                <w:szCs w:val="24"/>
              </w:rPr>
              <w:t xml:space="preserve">sankciju riska novērtējumu un </w:t>
            </w:r>
            <w:r w:rsidR="00B90D4A" w:rsidRPr="00DA46B9">
              <w:rPr>
                <w:rFonts w:asciiTheme="majorHAnsi" w:hAnsiTheme="majorHAnsi" w:cstheme="majorHAnsi"/>
                <w:b w:val="0"/>
                <w:bCs w:val="0"/>
                <w:i w:val="0"/>
                <w:iCs w:val="0"/>
                <w:sz w:val="24"/>
                <w:szCs w:val="24"/>
              </w:rPr>
              <w:t>IKS.</w:t>
            </w:r>
          </w:p>
        </w:tc>
        <w:tc>
          <w:tcPr>
            <w:tcW w:w="2765" w:type="dxa"/>
          </w:tcPr>
          <w:p w14:paraId="27DE46E2" w14:textId="37E87982" w:rsidR="00EA532D" w:rsidRPr="0083189D" w:rsidRDefault="00AD4615"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3F013F">
              <w:rPr>
                <w:rFonts w:asciiTheme="majorHAnsi" w:hAnsiTheme="majorHAnsi" w:cstheme="majorHAnsi"/>
                <w:color w:val="2F5496" w:themeColor="accent1" w:themeShade="BF"/>
                <w:sz w:val="24"/>
                <w:szCs w:val="24"/>
              </w:rPr>
              <w:t>Risks:</w:t>
            </w:r>
            <w:r w:rsidR="00B90D4A" w:rsidRPr="0083189D">
              <w:rPr>
                <w:rFonts w:asciiTheme="majorHAnsi" w:hAnsiTheme="majorHAnsi" w:cstheme="majorHAnsi"/>
                <w:b w:val="0"/>
                <w:bCs w:val="0"/>
                <w:sz w:val="24"/>
                <w:szCs w:val="24"/>
              </w:rPr>
              <w:t xml:space="preserve"> </w:t>
            </w:r>
            <w:r w:rsidR="00045829" w:rsidRPr="003F013F">
              <w:rPr>
                <w:rFonts w:asciiTheme="majorHAnsi" w:hAnsiTheme="majorHAnsi" w:cstheme="majorHAnsi"/>
                <w:b w:val="0"/>
                <w:bCs w:val="0"/>
                <w:sz w:val="24"/>
                <w:szCs w:val="24"/>
              </w:rPr>
              <w:t xml:space="preserve">Nepastāvot </w:t>
            </w:r>
            <w:r w:rsidR="00DA3C5F" w:rsidRPr="003F013F">
              <w:rPr>
                <w:rFonts w:asciiTheme="majorHAnsi" w:hAnsiTheme="majorHAnsi" w:cstheme="majorHAnsi"/>
                <w:b w:val="0"/>
                <w:bCs w:val="0"/>
                <w:sz w:val="24"/>
                <w:szCs w:val="24"/>
              </w:rPr>
              <w:t>efektīvai sankciju risku pārvaldības sistēmai (</w:t>
            </w:r>
            <w:r w:rsidR="00B704DD" w:rsidRPr="003F013F">
              <w:rPr>
                <w:rFonts w:asciiTheme="majorHAnsi" w:hAnsiTheme="majorHAnsi" w:cstheme="majorHAnsi"/>
                <w:b w:val="0"/>
                <w:bCs w:val="0"/>
                <w:sz w:val="24"/>
                <w:szCs w:val="24"/>
              </w:rPr>
              <w:t xml:space="preserve">sankciju riska novērtējumam un IKS), pastāv risks, ka </w:t>
            </w:r>
            <w:r w:rsidR="00CA4CDD" w:rsidRPr="003F013F">
              <w:rPr>
                <w:rFonts w:asciiTheme="majorHAnsi" w:hAnsiTheme="majorHAnsi" w:cstheme="majorHAnsi"/>
                <w:b w:val="0"/>
                <w:bCs w:val="0"/>
                <w:sz w:val="24"/>
                <w:szCs w:val="24"/>
              </w:rPr>
              <w:t xml:space="preserve">administrators var pārkāpt vai apiet sankcijas vai var tikt iesaistīts šādās darbībās. </w:t>
            </w:r>
          </w:p>
        </w:tc>
        <w:tc>
          <w:tcPr>
            <w:tcW w:w="2766" w:type="dxa"/>
          </w:tcPr>
          <w:p w14:paraId="15521FE0" w14:textId="0C23E278" w:rsidR="00EA532D" w:rsidRPr="003F013F" w:rsidRDefault="00AD4615"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3F013F">
              <w:rPr>
                <w:rFonts w:asciiTheme="majorHAnsi" w:hAnsiTheme="majorHAnsi" w:cstheme="majorHAnsi"/>
                <w:color w:val="2F5496" w:themeColor="accent1" w:themeShade="BF"/>
                <w:sz w:val="24"/>
                <w:szCs w:val="24"/>
              </w:rPr>
              <w:t>Ietekme:</w:t>
            </w:r>
            <w:r w:rsidR="00A36139" w:rsidRPr="003F013F">
              <w:rPr>
                <w:rFonts w:asciiTheme="majorHAnsi" w:hAnsiTheme="majorHAnsi" w:cstheme="majorHAnsi"/>
                <w:b w:val="0"/>
                <w:bCs w:val="0"/>
                <w:color w:val="2F5496" w:themeColor="accent1" w:themeShade="BF"/>
                <w:sz w:val="24"/>
                <w:szCs w:val="24"/>
              </w:rPr>
              <w:t xml:space="preserve"> </w:t>
            </w:r>
            <w:r w:rsidR="00A36139" w:rsidRPr="003F013F">
              <w:rPr>
                <w:rFonts w:asciiTheme="majorHAnsi" w:hAnsiTheme="majorHAnsi" w:cstheme="majorHAnsi"/>
                <w:b w:val="0"/>
                <w:bCs w:val="0"/>
                <w:sz w:val="24"/>
                <w:szCs w:val="24"/>
              </w:rPr>
              <w:t xml:space="preserve">Par sankciju pārkāpšanu administratoram var tikt piemērota kriminālatbildība. </w:t>
            </w:r>
            <w:r w:rsidR="00FF74D4" w:rsidRPr="003F013F">
              <w:rPr>
                <w:rFonts w:asciiTheme="majorHAnsi" w:hAnsiTheme="majorHAnsi" w:cstheme="majorHAnsi"/>
                <w:b w:val="0"/>
                <w:bCs w:val="0"/>
                <w:sz w:val="24"/>
                <w:szCs w:val="24"/>
              </w:rPr>
              <w:t xml:space="preserve">Iesaiste sankciju pārkāpšanā vai apiešanā </w:t>
            </w:r>
            <w:r w:rsidR="008E7C22" w:rsidRPr="003F013F">
              <w:rPr>
                <w:rFonts w:asciiTheme="majorHAnsi" w:hAnsiTheme="majorHAnsi" w:cstheme="majorHAnsi"/>
                <w:b w:val="0"/>
                <w:bCs w:val="0"/>
                <w:sz w:val="24"/>
                <w:szCs w:val="24"/>
              </w:rPr>
              <w:t>var kavēt</w:t>
            </w:r>
            <w:r w:rsidR="00FF74D4" w:rsidRPr="003F013F">
              <w:rPr>
                <w:rFonts w:asciiTheme="majorHAnsi" w:hAnsiTheme="majorHAnsi" w:cstheme="majorHAnsi"/>
                <w:b w:val="0"/>
                <w:bCs w:val="0"/>
                <w:sz w:val="24"/>
                <w:szCs w:val="24"/>
              </w:rPr>
              <w:t xml:space="preserve"> maksātnespējas procesa norisi, tādējādi nepamatoti aizskarot citu maksātnespējas procesā iesaistīto personu intereses. </w:t>
            </w:r>
            <w:r w:rsidR="00423E11" w:rsidRPr="003F013F">
              <w:rPr>
                <w:rFonts w:asciiTheme="majorHAnsi" w:hAnsiTheme="majorHAnsi" w:cstheme="majorHAnsi"/>
                <w:b w:val="0"/>
                <w:bCs w:val="0"/>
                <w:sz w:val="24"/>
                <w:szCs w:val="24"/>
              </w:rPr>
              <w:t xml:space="preserve">Papildus šīs darbības </w:t>
            </w:r>
            <w:r w:rsidR="008E7C22" w:rsidRPr="003F013F">
              <w:rPr>
                <w:rFonts w:asciiTheme="majorHAnsi" w:hAnsiTheme="majorHAnsi" w:cstheme="majorHAnsi"/>
                <w:b w:val="0"/>
                <w:bCs w:val="0"/>
                <w:sz w:val="24"/>
                <w:szCs w:val="24"/>
              </w:rPr>
              <w:t>var radīt</w:t>
            </w:r>
            <w:r w:rsidR="00150526" w:rsidRPr="003F013F">
              <w:rPr>
                <w:rFonts w:asciiTheme="majorHAnsi" w:hAnsiTheme="majorHAnsi" w:cstheme="majorHAnsi"/>
                <w:b w:val="0"/>
                <w:bCs w:val="0"/>
                <w:sz w:val="24"/>
                <w:szCs w:val="24"/>
              </w:rPr>
              <w:t xml:space="preserve"> negatīvas sekas </w:t>
            </w:r>
            <w:r w:rsidR="00150526" w:rsidRPr="003F013F">
              <w:rPr>
                <w:rFonts w:asciiTheme="majorHAnsi" w:hAnsiTheme="majorHAnsi" w:cstheme="majorHAnsi"/>
                <w:b w:val="0"/>
                <w:bCs w:val="0"/>
                <w:sz w:val="24"/>
                <w:szCs w:val="24"/>
              </w:rPr>
              <w:lastRenderedPageBreak/>
              <w:t>maksātnespējas nozares reputācijai kopumā.</w:t>
            </w:r>
          </w:p>
        </w:tc>
      </w:tr>
      <w:tr w:rsidR="00AD4615" w:rsidRPr="0083189D" w14:paraId="00B8E5DA" w14:textId="77777777" w:rsidTr="009A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3"/>
          </w:tcPr>
          <w:p w14:paraId="4B651A90" w14:textId="16914C8D" w:rsidR="00AD4615" w:rsidRPr="009A287F" w:rsidRDefault="00AD4615" w:rsidP="00627C36">
            <w:pPr>
              <w:spacing w:line="276" w:lineRule="auto"/>
              <w:jc w:val="both"/>
              <w:rPr>
                <w:rFonts w:asciiTheme="majorHAnsi" w:hAnsiTheme="majorHAnsi" w:cstheme="majorHAnsi"/>
                <w:b/>
                <w:bCs/>
                <w:i w:val="0"/>
                <w:iCs w:val="0"/>
                <w:sz w:val="24"/>
                <w:szCs w:val="24"/>
              </w:rPr>
            </w:pPr>
            <w:r w:rsidRPr="009A287F">
              <w:rPr>
                <w:rFonts w:asciiTheme="majorHAnsi" w:hAnsiTheme="majorHAnsi" w:cstheme="majorHAnsi"/>
                <w:b/>
                <w:bCs/>
                <w:i w:val="0"/>
                <w:iCs w:val="0"/>
                <w:color w:val="2F5496" w:themeColor="accent1" w:themeShade="BF"/>
                <w:sz w:val="24"/>
                <w:szCs w:val="24"/>
              </w:rPr>
              <w:lastRenderedPageBreak/>
              <w:t>Prioritāte:</w:t>
            </w:r>
            <w:r w:rsidR="00813799" w:rsidRPr="009A287F">
              <w:rPr>
                <w:rFonts w:asciiTheme="majorHAnsi" w:hAnsiTheme="majorHAnsi" w:cstheme="majorHAnsi"/>
                <w:i w:val="0"/>
                <w:iCs w:val="0"/>
              </w:rPr>
              <w:t xml:space="preserve"> </w:t>
            </w:r>
            <w:r w:rsidR="00813799" w:rsidRPr="009A287F">
              <w:rPr>
                <w:rFonts w:asciiTheme="majorHAnsi" w:hAnsiTheme="majorHAnsi" w:cstheme="majorHAnsi"/>
                <w:i w:val="0"/>
                <w:iCs w:val="0"/>
                <w:sz w:val="24"/>
                <w:szCs w:val="24"/>
              </w:rPr>
              <w:t>Administrator</w:t>
            </w:r>
            <w:r w:rsidR="00C21A95" w:rsidRPr="009A287F">
              <w:rPr>
                <w:rFonts w:asciiTheme="majorHAnsi" w:hAnsiTheme="majorHAnsi" w:cstheme="majorHAnsi"/>
                <w:i w:val="0"/>
                <w:iCs w:val="0"/>
                <w:sz w:val="24"/>
                <w:szCs w:val="24"/>
              </w:rPr>
              <w:t>i</w:t>
            </w:r>
            <w:r w:rsidR="00813799" w:rsidRPr="009A287F">
              <w:rPr>
                <w:rFonts w:asciiTheme="majorHAnsi" w:hAnsiTheme="majorHAnsi" w:cstheme="majorHAnsi"/>
                <w:i w:val="0"/>
                <w:iCs w:val="0"/>
                <w:sz w:val="24"/>
                <w:szCs w:val="24"/>
              </w:rPr>
              <w:t xml:space="preserve"> nodrošina </w:t>
            </w:r>
            <w:r w:rsidR="00B73BE3" w:rsidRPr="009A287F">
              <w:rPr>
                <w:rFonts w:asciiTheme="majorHAnsi" w:hAnsiTheme="majorHAnsi" w:cstheme="majorHAnsi"/>
                <w:i w:val="0"/>
                <w:iCs w:val="0"/>
                <w:sz w:val="24"/>
                <w:szCs w:val="24"/>
              </w:rPr>
              <w:t>kvalitatīvu</w:t>
            </w:r>
            <w:r w:rsidR="001A3F20" w:rsidRPr="009A287F">
              <w:rPr>
                <w:rFonts w:asciiTheme="majorHAnsi" w:hAnsiTheme="majorHAnsi" w:cstheme="majorHAnsi"/>
                <w:i w:val="0"/>
                <w:iCs w:val="0"/>
                <w:sz w:val="24"/>
                <w:szCs w:val="24"/>
              </w:rPr>
              <w:t xml:space="preserve"> </w:t>
            </w:r>
            <w:r w:rsidR="00DC0521" w:rsidRPr="009A287F">
              <w:rPr>
                <w:rFonts w:asciiTheme="majorHAnsi" w:hAnsiTheme="majorHAnsi" w:cstheme="majorHAnsi"/>
                <w:i w:val="0"/>
                <w:iCs w:val="0"/>
                <w:sz w:val="24"/>
                <w:szCs w:val="24"/>
              </w:rPr>
              <w:t xml:space="preserve">un efektīvu </w:t>
            </w:r>
            <w:r w:rsidR="00813799" w:rsidRPr="009A287F">
              <w:rPr>
                <w:rFonts w:asciiTheme="majorHAnsi" w:hAnsiTheme="majorHAnsi" w:cstheme="majorHAnsi"/>
                <w:i w:val="0"/>
                <w:iCs w:val="0"/>
                <w:sz w:val="24"/>
                <w:szCs w:val="24"/>
              </w:rPr>
              <w:t>sankciju risk</w:t>
            </w:r>
            <w:r w:rsidR="00DC0521" w:rsidRPr="009A287F">
              <w:rPr>
                <w:rFonts w:asciiTheme="majorHAnsi" w:hAnsiTheme="majorHAnsi" w:cstheme="majorHAnsi"/>
                <w:i w:val="0"/>
                <w:iCs w:val="0"/>
                <w:sz w:val="24"/>
                <w:szCs w:val="24"/>
              </w:rPr>
              <w:t>a</w:t>
            </w:r>
            <w:r w:rsidR="00813799" w:rsidRPr="009A287F">
              <w:rPr>
                <w:rFonts w:asciiTheme="majorHAnsi" w:hAnsiTheme="majorHAnsi" w:cstheme="majorHAnsi"/>
                <w:i w:val="0"/>
                <w:iCs w:val="0"/>
                <w:sz w:val="24"/>
                <w:szCs w:val="24"/>
              </w:rPr>
              <w:t xml:space="preserve"> pārvaldību</w:t>
            </w:r>
            <w:r w:rsidR="00DC0521" w:rsidRPr="009A287F">
              <w:rPr>
                <w:rFonts w:asciiTheme="majorHAnsi" w:hAnsiTheme="majorHAnsi" w:cstheme="majorHAnsi"/>
                <w:i w:val="0"/>
                <w:iCs w:val="0"/>
                <w:sz w:val="24"/>
                <w:szCs w:val="24"/>
              </w:rPr>
              <w:t xml:space="preserve"> </w:t>
            </w:r>
            <w:r w:rsidR="00F67041" w:rsidRPr="009A287F">
              <w:rPr>
                <w:rFonts w:asciiTheme="majorHAnsi" w:hAnsiTheme="majorHAnsi" w:cstheme="majorHAnsi"/>
                <w:i w:val="0"/>
                <w:iCs w:val="0"/>
                <w:sz w:val="24"/>
                <w:szCs w:val="24"/>
              </w:rPr>
              <w:t>–</w:t>
            </w:r>
            <w:r w:rsidR="00DC0521" w:rsidRPr="009A287F">
              <w:rPr>
                <w:rFonts w:asciiTheme="majorHAnsi" w:hAnsiTheme="majorHAnsi" w:cstheme="majorHAnsi"/>
                <w:i w:val="0"/>
                <w:iCs w:val="0"/>
                <w:sz w:val="24"/>
                <w:szCs w:val="24"/>
              </w:rPr>
              <w:t xml:space="preserve"> </w:t>
            </w:r>
            <w:r w:rsidR="00F67041" w:rsidRPr="009A287F">
              <w:rPr>
                <w:rFonts w:asciiTheme="majorHAnsi" w:hAnsiTheme="majorHAnsi" w:cstheme="majorHAnsi"/>
                <w:i w:val="0"/>
                <w:iCs w:val="0"/>
                <w:sz w:val="24"/>
                <w:szCs w:val="24"/>
              </w:rPr>
              <w:t>ir veikuši un dokumentējuši starptautisko un nacionālo sankciju riska novērtējumu</w:t>
            </w:r>
            <w:r w:rsidR="00975D32" w:rsidRPr="009A287F">
              <w:rPr>
                <w:rFonts w:asciiTheme="majorHAnsi" w:hAnsiTheme="majorHAnsi" w:cstheme="majorHAnsi"/>
                <w:i w:val="0"/>
                <w:iCs w:val="0"/>
                <w:sz w:val="24"/>
                <w:szCs w:val="24"/>
              </w:rPr>
              <w:t xml:space="preserve"> un</w:t>
            </w:r>
            <w:r w:rsidR="00275C15" w:rsidRPr="009A287F">
              <w:rPr>
                <w:rFonts w:asciiTheme="majorHAnsi" w:hAnsiTheme="majorHAnsi" w:cstheme="majorHAnsi"/>
                <w:i w:val="0"/>
                <w:iCs w:val="0"/>
                <w:sz w:val="24"/>
                <w:szCs w:val="24"/>
              </w:rPr>
              <w:t>, pamatojoties uz to,</w:t>
            </w:r>
            <w:r w:rsidR="00975D32" w:rsidRPr="009A287F">
              <w:rPr>
                <w:rFonts w:asciiTheme="majorHAnsi" w:hAnsiTheme="majorHAnsi" w:cstheme="majorHAnsi"/>
                <w:i w:val="0"/>
                <w:iCs w:val="0"/>
                <w:sz w:val="24"/>
                <w:szCs w:val="24"/>
              </w:rPr>
              <w:t xml:space="preserve"> izstrādājuši IKS</w:t>
            </w:r>
            <w:r w:rsidR="00275C15" w:rsidRPr="009A287F">
              <w:rPr>
                <w:rFonts w:asciiTheme="majorHAnsi" w:hAnsiTheme="majorHAnsi" w:cstheme="majorHAnsi"/>
                <w:i w:val="0"/>
                <w:iCs w:val="0"/>
                <w:sz w:val="24"/>
                <w:szCs w:val="24"/>
              </w:rPr>
              <w:t>.</w:t>
            </w:r>
          </w:p>
        </w:tc>
      </w:tr>
    </w:tbl>
    <w:p w14:paraId="2673D844" w14:textId="77777777" w:rsidR="00997273" w:rsidRPr="0083189D" w:rsidRDefault="00997273" w:rsidP="00627C36">
      <w:pPr>
        <w:spacing w:line="276" w:lineRule="auto"/>
        <w:ind w:firstLine="720"/>
        <w:jc w:val="both"/>
        <w:rPr>
          <w:rFonts w:asciiTheme="majorHAnsi" w:hAnsiTheme="majorHAnsi" w:cstheme="majorHAnsi"/>
          <w:sz w:val="24"/>
          <w:szCs w:val="24"/>
        </w:rPr>
      </w:pPr>
    </w:p>
    <w:p w14:paraId="54ACB413" w14:textId="6293F119" w:rsidR="00906541" w:rsidRDefault="00287A44" w:rsidP="009A287F">
      <w:pPr>
        <w:pStyle w:val="Virsraksts3"/>
        <w:numPr>
          <w:ilvl w:val="2"/>
          <w:numId w:val="1"/>
        </w:numPr>
        <w:spacing w:line="276" w:lineRule="auto"/>
        <w:ind w:left="720"/>
        <w:rPr>
          <w:rFonts w:cstheme="majorHAnsi"/>
        </w:rPr>
      </w:pPr>
      <w:bookmarkStart w:id="8" w:name="_Toc154665204"/>
      <w:r w:rsidRPr="0083189D">
        <w:rPr>
          <w:rFonts w:cstheme="majorHAnsi"/>
        </w:rPr>
        <w:t xml:space="preserve">T.s. </w:t>
      </w:r>
      <w:r w:rsidR="00413D4D" w:rsidRPr="0083189D">
        <w:rPr>
          <w:rFonts w:cstheme="majorHAnsi"/>
        </w:rPr>
        <w:t>"</w:t>
      </w:r>
      <w:proofErr w:type="spellStart"/>
      <w:r w:rsidR="00413D4D" w:rsidRPr="0083189D">
        <w:rPr>
          <w:rFonts w:cstheme="majorHAnsi"/>
        </w:rPr>
        <w:t>Z</w:t>
      </w:r>
      <w:r w:rsidRPr="0083189D">
        <w:rPr>
          <w:rFonts w:cstheme="majorHAnsi"/>
        </w:rPr>
        <w:t>ombijuzņēmumi</w:t>
      </w:r>
      <w:proofErr w:type="spellEnd"/>
      <w:r w:rsidR="00413D4D" w:rsidRPr="0083189D">
        <w:rPr>
          <w:rFonts w:cstheme="majorHAnsi"/>
        </w:rPr>
        <w:t>"</w:t>
      </w:r>
      <w:bookmarkEnd w:id="8"/>
    </w:p>
    <w:p w14:paraId="5B3DF50E" w14:textId="77777777" w:rsidR="009A287F" w:rsidRPr="009A287F" w:rsidRDefault="009A287F" w:rsidP="009A287F">
      <w:pPr>
        <w:spacing w:after="0"/>
      </w:pPr>
    </w:p>
    <w:p w14:paraId="4600F42A" w14:textId="2BBA3F94" w:rsidR="00BD3770" w:rsidRPr="0083189D" w:rsidRDefault="00157CAA" w:rsidP="009A287F">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Ziņojumā par Covid-19 infekcijas un tās seku mazināšanas pasākumu ietekmi uz maksātnespējas jomu, identificētiem riskiem un to iespējamiem risinājumiem</w:t>
      </w:r>
      <w:r w:rsidR="00AA2029" w:rsidRPr="0083189D">
        <w:rPr>
          <w:rStyle w:val="Vresatsauce"/>
          <w:rFonts w:asciiTheme="majorHAnsi" w:hAnsiTheme="majorHAnsi" w:cstheme="majorHAnsi"/>
          <w:sz w:val="24"/>
          <w:szCs w:val="24"/>
        </w:rPr>
        <w:footnoteReference w:id="12"/>
      </w:r>
      <w:r w:rsidR="00AA2029" w:rsidRPr="0083189D">
        <w:rPr>
          <w:rFonts w:asciiTheme="majorHAnsi" w:hAnsiTheme="majorHAnsi" w:cstheme="majorHAnsi"/>
          <w:sz w:val="24"/>
          <w:szCs w:val="24"/>
        </w:rPr>
        <w:t xml:space="preserve"> </w:t>
      </w:r>
      <w:r w:rsidR="00154DAE" w:rsidRPr="0083189D">
        <w:rPr>
          <w:rFonts w:asciiTheme="majorHAnsi" w:hAnsiTheme="majorHAnsi" w:cstheme="majorHAnsi"/>
          <w:sz w:val="24"/>
          <w:szCs w:val="24"/>
        </w:rPr>
        <w:t xml:space="preserve">secināts, ka </w:t>
      </w:r>
      <w:r w:rsidR="009529A0" w:rsidRPr="0083189D">
        <w:rPr>
          <w:rFonts w:asciiTheme="majorHAnsi" w:hAnsiTheme="majorHAnsi" w:cstheme="majorHAnsi"/>
          <w:sz w:val="24"/>
          <w:szCs w:val="24"/>
        </w:rPr>
        <w:t xml:space="preserve">Covid-19 seku mazināšanas nolūkos ieviestie ierobežojumi (t.s. moratorijs un </w:t>
      </w:r>
      <w:r w:rsidR="007D5A3B" w:rsidRPr="0083189D">
        <w:rPr>
          <w:rFonts w:asciiTheme="majorHAnsi" w:hAnsiTheme="majorHAnsi" w:cstheme="majorHAnsi"/>
          <w:sz w:val="24"/>
          <w:szCs w:val="24"/>
        </w:rPr>
        <w:t>t.s. drošās ostas princips) var radīt</w:t>
      </w:r>
      <w:r w:rsidR="00110D51" w:rsidRPr="0083189D">
        <w:rPr>
          <w:rFonts w:asciiTheme="majorHAnsi" w:hAnsiTheme="majorHAnsi" w:cstheme="majorHAnsi"/>
          <w:sz w:val="24"/>
          <w:szCs w:val="24"/>
        </w:rPr>
        <w:t xml:space="preserve"> r</w:t>
      </w:r>
      <w:r w:rsidR="005B1BA0" w:rsidRPr="0083189D">
        <w:rPr>
          <w:rFonts w:asciiTheme="majorHAnsi" w:hAnsiTheme="majorHAnsi" w:cstheme="majorHAnsi"/>
          <w:sz w:val="24"/>
          <w:szCs w:val="24"/>
        </w:rPr>
        <w:t>isku, ka veidojas t.s. "</w:t>
      </w:r>
      <w:proofErr w:type="spellStart"/>
      <w:r w:rsidR="005B1BA0" w:rsidRPr="0083189D">
        <w:rPr>
          <w:rFonts w:asciiTheme="majorHAnsi" w:hAnsiTheme="majorHAnsi" w:cstheme="majorHAnsi"/>
          <w:sz w:val="24"/>
          <w:szCs w:val="24"/>
        </w:rPr>
        <w:t>zombijuzņēm</w:t>
      </w:r>
      <w:r w:rsidR="008F54A0" w:rsidRPr="0083189D">
        <w:rPr>
          <w:rFonts w:asciiTheme="majorHAnsi" w:hAnsiTheme="majorHAnsi" w:cstheme="majorHAnsi"/>
          <w:sz w:val="24"/>
          <w:szCs w:val="24"/>
        </w:rPr>
        <w:t>um</w:t>
      </w:r>
      <w:r w:rsidR="005B1BA0" w:rsidRPr="0083189D">
        <w:rPr>
          <w:rFonts w:asciiTheme="majorHAnsi" w:hAnsiTheme="majorHAnsi" w:cstheme="majorHAnsi"/>
          <w:sz w:val="24"/>
          <w:szCs w:val="24"/>
        </w:rPr>
        <w:t>i</w:t>
      </w:r>
      <w:proofErr w:type="spellEnd"/>
      <w:r w:rsidR="005B1BA0" w:rsidRPr="0083189D">
        <w:rPr>
          <w:rFonts w:asciiTheme="majorHAnsi" w:hAnsiTheme="majorHAnsi" w:cstheme="majorHAnsi"/>
          <w:sz w:val="24"/>
          <w:szCs w:val="24"/>
        </w:rPr>
        <w:t>"</w:t>
      </w:r>
      <w:r w:rsidR="00E47EAD" w:rsidRPr="0083189D">
        <w:rPr>
          <w:rFonts w:asciiTheme="majorHAnsi" w:hAnsiTheme="majorHAnsi" w:cstheme="majorHAnsi"/>
          <w:sz w:val="24"/>
          <w:szCs w:val="24"/>
        </w:rPr>
        <w:t>.Proti,</w:t>
      </w:r>
      <w:r w:rsidR="007D5A3B" w:rsidRPr="0083189D">
        <w:rPr>
          <w:rFonts w:asciiTheme="majorHAnsi" w:hAnsiTheme="majorHAnsi" w:cstheme="majorHAnsi"/>
          <w:sz w:val="24"/>
          <w:szCs w:val="24"/>
        </w:rPr>
        <w:t xml:space="preserve"> tādi uzņēmumi, kuru apgrozījums ir neesošs vai gandrīz neesošs, kas </w:t>
      </w:r>
      <w:r w:rsidR="00DB3926" w:rsidRPr="0083189D">
        <w:rPr>
          <w:rFonts w:asciiTheme="majorHAnsi" w:hAnsiTheme="majorHAnsi" w:cstheme="majorHAnsi"/>
          <w:sz w:val="24"/>
          <w:szCs w:val="24"/>
        </w:rPr>
        <w:t xml:space="preserve">savukārt </w:t>
      </w:r>
      <w:r w:rsidR="007D5A3B" w:rsidRPr="0083189D">
        <w:rPr>
          <w:rFonts w:asciiTheme="majorHAnsi" w:hAnsiTheme="majorHAnsi" w:cstheme="majorHAnsi"/>
          <w:sz w:val="24"/>
          <w:szCs w:val="24"/>
        </w:rPr>
        <w:t>nozīmē, ka šie uzņēmumi nespēs norēķināties ar saviem kreditoriem un piegādātājiem, taču šo uzņēmumu īpašnieki un vadītāji neveic nekādas darbības, lai izpildītu saistības vai šo uzņēmumu likvidētu.</w:t>
      </w:r>
      <w:r w:rsidR="000D3B7D" w:rsidRPr="0083189D">
        <w:rPr>
          <w:rFonts w:asciiTheme="majorHAnsi" w:hAnsiTheme="majorHAnsi" w:cstheme="majorHAnsi"/>
          <w:sz w:val="24"/>
          <w:szCs w:val="24"/>
        </w:rPr>
        <w:t xml:space="preserve"> Ziņojumā konstatēts, ka šādi uzņēmumi var radīt arī likumpārkāpumu riskus maksātnespējas nozarei.</w:t>
      </w:r>
    </w:p>
    <w:p w14:paraId="30CF98BB" w14:textId="78E85D7F" w:rsidR="00C10514" w:rsidRPr="0083189D" w:rsidRDefault="00594D1C" w:rsidP="003134D4">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Analizējot </w:t>
      </w:r>
      <w:r w:rsidR="00B3204D" w:rsidRPr="0083189D">
        <w:rPr>
          <w:rFonts w:asciiTheme="majorHAnsi" w:hAnsiTheme="majorHAnsi" w:cstheme="majorHAnsi"/>
          <w:sz w:val="24"/>
          <w:szCs w:val="24"/>
        </w:rPr>
        <w:t>datus par 2022. gadā un 2023. gada pirmajos deviņos mēnešos pasludinātajiem juridisko personu maksātnespējas procesie</w:t>
      </w:r>
      <w:r w:rsidR="00CD63EB" w:rsidRPr="0083189D">
        <w:rPr>
          <w:rFonts w:asciiTheme="majorHAnsi" w:hAnsiTheme="majorHAnsi" w:cstheme="majorHAnsi"/>
          <w:sz w:val="24"/>
          <w:szCs w:val="24"/>
        </w:rPr>
        <w:t>m</w:t>
      </w:r>
      <w:r w:rsidR="00BB67C6" w:rsidRPr="0083189D">
        <w:rPr>
          <w:rFonts w:asciiTheme="majorHAnsi" w:hAnsiTheme="majorHAnsi" w:cstheme="majorHAnsi"/>
          <w:sz w:val="24"/>
          <w:szCs w:val="24"/>
        </w:rPr>
        <w:t xml:space="preserve">, secināms, ka </w:t>
      </w:r>
      <w:r w:rsidR="000D3B7D" w:rsidRPr="0083189D">
        <w:rPr>
          <w:rFonts w:asciiTheme="majorHAnsi" w:hAnsiTheme="majorHAnsi" w:cstheme="majorHAnsi"/>
          <w:sz w:val="24"/>
          <w:szCs w:val="24"/>
        </w:rPr>
        <w:t>bažas par t.s. "</w:t>
      </w:r>
      <w:proofErr w:type="spellStart"/>
      <w:r w:rsidR="000D3B7D" w:rsidRPr="0083189D">
        <w:rPr>
          <w:rFonts w:asciiTheme="majorHAnsi" w:hAnsiTheme="majorHAnsi" w:cstheme="majorHAnsi"/>
          <w:sz w:val="24"/>
          <w:szCs w:val="24"/>
        </w:rPr>
        <w:t>zombijuzņēmumu</w:t>
      </w:r>
      <w:proofErr w:type="spellEnd"/>
      <w:r w:rsidR="000D3B7D" w:rsidRPr="0083189D">
        <w:rPr>
          <w:rFonts w:asciiTheme="majorHAnsi" w:hAnsiTheme="majorHAnsi" w:cstheme="majorHAnsi"/>
          <w:sz w:val="24"/>
          <w:szCs w:val="24"/>
        </w:rPr>
        <w:t xml:space="preserve">" </w:t>
      </w:r>
      <w:r w:rsidR="002B4B14" w:rsidRPr="0083189D">
        <w:rPr>
          <w:rFonts w:asciiTheme="majorHAnsi" w:hAnsiTheme="majorHAnsi" w:cstheme="majorHAnsi"/>
          <w:sz w:val="24"/>
          <w:szCs w:val="24"/>
        </w:rPr>
        <w:t xml:space="preserve">veidošanos ir </w:t>
      </w:r>
      <w:r w:rsidR="3A6EB44C" w:rsidRPr="0083189D">
        <w:rPr>
          <w:rFonts w:asciiTheme="majorHAnsi" w:hAnsiTheme="majorHAnsi" w:cstheme="majorHAnsi"/>
          <w:sz w:val="24"/>
          <w:szCs w:val="24"/>
        </w:rPr>
        <w:t>apstiprinājuš</w:t>
      </w:r>
      <w:r w:rsidR="2E0B4D00" w:rsidRPr="0083189D">
        <w:rPr>
          <w:rFonts w:asciiTheme="majorHAnsi" w:hAnsiTheme="majorHAnsi" w:cstheme="majorHAnsi"/>
          <w:sz w:val="24"/>
          <w:szCs w:val="24"/>
        </w:rPr>
        <w:t>ā</w:t>
      </w:r>
      <w:r w:rsidR="3A6EB44C" w:rsidRPr="0083189D">
        <w:rPr>
          <w:rFonts w:asciiTheme="majorHAnsi" w:hAnsiTheme="majorHAnsi" w:cstheme="majorHAnsi"/>
          <w:sz w:val="24"/>
          <w:szCs w:val="24"/>
        </w:rPr>
        <w:t>s</w:t>
      </w:r>
      <w:r w:rsidR="002B4B14" w:rsidRPr="0083189D">
        <w:rPr>
          <w:rFonts w:asciiTheme="majorHAnsi" w:hAnsiTheme="majorHAnsi" w:cstheme="majorHAnsi"/>
          <w:sz w:val="24"/>
          <w:szCs w:val="24"/>
        </w:rPr>
        <w:t xml:space="preserve"> (</w:t>
      </w:r>
      <w:r w:rsidR="00F165E8" w:rsidRPr="0083189D">
        <w:rPr>
          <w:rFonts w:asciiTheme="majorHAnsi" w:hAnsiTheme="majorHAnsi" w:cstheme="majorHAnsi"/>
          <w:sz w:val="24"/>
          <w:szCs w:val="24"/>
        </w:rPr>
        <w:t xml:space="preserve">vienlaikus nevar apgalvot, ka to ietekmējuši tikai Covid-19 </w:t>
      </w:r>
      <w:r w:rsidR="00C10514" w:rsidRPr="0083189D">
        <w:rPr>
          <w:rFonts w:asciiTheme="majorHAnsi" w:hAnsiTheme="majorHAnsi" w:cstheme="majorHAnsi"/>
          <w:sz w:val="24"/>
          <w:szCs w:val="24"/>
        </w:rPr>
        <w:t xml:space="preserve">seku mazināšanas pasākumi). </w:t>
      </w:r>
      <w:r w:rsidR="002832DE" w:rsidRPr="0083189D">
        <w:rPr>
          <w:rFonts w:asciiTheme="majorHAnsi" w:hAnsiTheme="majorHAnsi" w:cstheme="majorHAnsi"/>
          <w:sz w:val="24"/>
          <w:szCs w:val="24"/>
        </w:rPr>
        <w:t>Minētajā laika periodā pasludināti 505 juridisko personu maksātnespējas procesi</w:t>
      </w:r>
      <w:r w:rsidR="00B06948" w:rsidRPr="0083189D">
        <w:rPr>
          <w:rFonts w:asciiTheme="majorHAnsi" w:hAnsiTheme="majorHAnsi" w:cstheme="majorHAnsi"/>
          <w:sz w:val="24"/>
          <w:szCs w:val="24"/>
        </w:rPr>
        <w:t>, no kuriem</w:t>
      </w:r>
      <w:r w:rsidR="002832DE" w:rsidRPr="0083189D">
        <w:rPr>
          <w:rFonts w:asciiTheme="majorHAnsi" w:hAnsiTheme="majorHAnsi" w:cstheme="majorHAnsi"/>
          <w:sz w:val="24"/>
          <w:szCs w:val="24"/>
        </w:rPr>
        <w:t xml:space="preserve"> </w:t>
      </w:r>
      <w:r w:rsidR="00F45A03" w:rsidRPr="0083189D">
        <w:rPr>
          <w:rFonts w:asciiTheme="majorHAnsi" w:hAnsiTheme="majorHAnsi" w:cstheme="majorHAnsi"/>
          <w:sz w:val="24"/>
          <w:szCs w:val="24"/>
        </w:rPr>
        <w:t>250</w:t>
      </w:r>
      <w:r w:rsidR="008A1D8D" w:rsidRPr="0083189D">
        <w:rPr>
          <w:rFonts w:asciiTheme="majorHAnsi" w:hAnsiTheme="majorHAnsi" w:cstheme="majorHAnsi"/>
          <w:sz w:val="24"/>
          <w:szCs w:val="24"/>
        </w:rPr>
        <w:t xml:space="preserve"> procesos jeb</w:t>
      </w:r>
      <w:r w:rsidR="00F45A03" w:rsidRPr="0083189D">
        <w:rPr>
          <w:rFonts w:asciiTheme="majorHAnsi" w:hAnsiTheme="majorHAnsi" w:cstheme="majorHAnsi"/>
          <w:sz w:val="24"/>
          <w:szCs w:val="24"/>
        </w:rPr>
        <w:t xml:space="preserve"> 50% no tiem sastādīts ziņojums par mantas neesamību – parādnieka aktīvu apmērs </w:t>
      </w:r>
      <w:r w:rsidR="008A1D8D" w:rsidRPr="0083189D">
        <w:rPr>
          <w:rFonts w:asciiTheme="majorHAnsi" w:hAnsiTheme="majorHAnsi" w:cstheme="majorHAnsi"/>
          <w:sz w:val="24"/>
          <w:szCs w:val="24"/>
        </w:rPr>
        <w:t>nepārsniedz divas valstī noteiktās minimālās mēnešalgas</w:t>
      </w:r>
      <w:r w:rsidR="00F33167" w:rsidRPr="0083189D">
        <w:rPr>
          <w:rFonts w:asciiTheme="majorHAnsi" w:hAnsiTheme="majorHAnsi" w:cstheme="majorHAnsi"/>
          <w:sz w:val="24"/>
          <w:szCs w:val="24"/>
        </w:rPr>
        <w:t>.</w:t>
      </w:r>
      <w:r w:rsidR="00B91F3B" w:rsidRPr="0083189D">
        <w:rPr>
          <w:rFonts w:asciiTheme="majorHAnsi" w:hAnsiTheme="majorHAnsi" w:cstheme="majorHAnsi"/>
          <w:sz w:val="24"/>
          <w:szCs w:val="24"/>
        </w:rPr>
        <w:t xml:space="preserve"> </w:t>
      </w:r>
      <w:r w:rsidR="00A80EC2" w:rsidRPr="0083189D">
        <w:rPr>
          <w:rFonts w:asciiTheme="majorHAnsi" w:hAnsiTheme="majorHAnsi" w:cstheme="majorHAnsi"/>
          <w:sz w:val="24"/>
          <w:szCs w:val="24"/>
        </w:rPr>
        <w:t>Savukārt</w:t>
      </w:r>
      <w:r w:rsidR="00BE6289" w:rsidRPr="0083189D">
        <w:rPr>
          <w:rFonts w:asciiTheme="majorHAnsi" w:hAnsiTheme="majorHAnsi" w:cstheme="majorHAnsi"/>
          <w:sz w:val="24"/>
          <w:szCs w:val="24"/>
        </w:rPr>
        <w:t xml:space="preserve"> </w:t>
      </w:r>
      <w:r w:rsidR="00BD4A96" w:rsidRPr="0083189D">
        <w:rPr>
          <w:rFonts w:asciiTheme="majorHAnsi" w:hAnsiTheme="majorHAnsi" w:cstheme="majorHAnsi"/>
          <w:sz w:val="24"/>
          <w:szCs w:val="24"/>
        </w:rPr>
        <w:t>156</w:t>
      </w:r>
      <w:r w:rsidR="009E374B" w:rsidRPr="0083189D">
        <w:rPr>
          <w:rFonts w:asciiTheme="majorHAnsi" w:hAnsiTheme="majorHAnsi" w:cstheme="majorHAnsi"/>
          <w:sz w:val="24"/>
          <w:szCs w:val="24"/>
        </w:rPr>
        <w:t xml:space="preserve"> </w:t>
      </w:r>
      <w:r w:rsidR="006D4CE6" w:rsidRPr="0083189D">
        <w:rPr>
          <w:rFonts w:asciiTheme="majorHAnsi" w:hAnsiTheme="majorHAnsi" w:cstheme="majorHAnsi"/>
          <w:sz w:val="24"/>
          <w:szCs w:val="24"/>
        </w:rPr>
        <w:t>(62%)</w:t>
      </w:r>
      <w:r w:rsidR="005A328E" w:rsidRPr="0083189D">
        <w:rPr>
          <w:rFonts w:asciiTheme="majorHAnsi" w:hAnsiTheme="majorHAnsi" w:cstheme="majorHAnsi"/>
          <w:sz w:val="24"/>
          <w:szCs w:val="24"/>
        </w:rPr>
        <w:t xml:space="preserve"> no šiem</w:t>
      </w:r>
      <w:r w:rsidR="00BD4A96" w:rsidRPr="0083189D">
        <w:rPr>
          <w:rFonts w:asciiTheme="majorHAnsi" w:hAnsiTheme="majorHAnsi" w:cstheme="majorHAnsi"/>
          <w:sz w:val="24"/>
          <w:szCs w:val="24"/>
        </w:rPr>
        <w:t xml:space="preserve"> </w:t>
      </w:r>
      <w:r w:rsidR="00C772C4" w:rsidRPr="0083189D">
        <w:rPr>
          <w:rFonts w:asciiTheme="majorHAnsi" w:hAnsiTheme="majorHAnsi" w:cstheme="majorHAnsi"/>
          <w:sz w:val="24"/>
          <w:szCs w:val="24"/>
        </w:rPr>
        <w:t>parādniekiem ir nodokļu parādi ar vidējo apmēru 234 tūkstoši eiro.</w:t>
      </w:r>
      <w:r w:rsidR="00C46291" w:rsidRPr="0083189D">
        <w:rPr>
          <w:rFonts w:asciiTheme="majorHAnsi" w:hAnsiTheme="majorHAnsi" w:cstheme="majorHAnsi"/>
          <w:sz w:val="24"/>
          <w:szCs w:val="24"/>
        </w:rPr>
        <w:t xml:space="preserve"> </w:t>
      </w:r>
      <w:r w:rsidR="00BA29B8" w:rsidRPr="0083189D">
        <w:rPr>
          <w:rFonts w:asciiTheme="majorHAnsi" w:hAnsiTheme="majorHAnsi" w:cstheme="majorHAnsi"/>
          <w:sz w:val="24"/>
          <w:szCs w:val="24"/>
        </w:rPr>
        <w:t xml:space="preserve">Tāpat </w:t>
      </w:r>
      <w:r w:rsidR="00C46291" w:rsidRPr="0083189D">
        <w:rPr>
          <w:rFonts w:asciiTheme="majorHAnsi" w:hAnsiTheme="majorHAnsi" w:cstheme="majorHAnsi"/>
          <w:sz w:val="24"/>
          <w:szCs w:val="24"/>
        </w:rPr>
        <w:t xml:space="preserve">17 </w:t>
      </w:r>
      <w:r w:rsidR="00EC2DA2" w:rsidRPr="0083189D">
        <w:rPr>
          <w:rFonts w:asciiTheme="majorHAnsi" w:hAnsiTheme="majorHAnsi" w:cstheme="majorHAnsi"/>
          <w:sz w:val="24"/>
          <w:szCs w:val="24"/>
        </w:rPr>
        <w:t xml:space="preserve">no 250 </w:t>
      </w:r>
      <w:r w:rsidR="00C46291" w:rsidRPr="0083189D">
        <w:rPr>
          <w:rFonts w:asciiTheme="majorHAnsi" w:hAnsiTheme="majorHAnsi" w:cstheme="majorHAnsi"/>
          <w:sz w:val="24"/>
          <w:szCs w:val="24"/>
        </w:rPr>
        <w:t>maksātnespējīgajiem parādniekiem</w:t>
      </w:r>
      <w:r w:rsidR="00EC2DA2" w:rsidRPr="0083189D">
        <w:rPr>
          <w:rFonts w:asciiTheme="majorHAnsi" w:hAnsiTheme="majorHAnsi" w:cstheme="majorHAnsi"/>
          <w:sz w:val="24"/>
          <w:szCs w:val="24"/>
        </w:rPr>
        <w:t xml:space="preserve"> bez aktīviem apgrozījums pēdējā </w:t>
      </w:r>
      <w:r w:rsidR="001969C2" w:rsidRPr="0083189D">
        <w:rPr>
          <w:rFonts w:asciiTheme="majorHAnsi" w:hAnsiTheme="majorHAnsi" w:cstheme="majorHAnsi"/>
          <w:sz w:val="24"/>
          <w:szCs w:val="24"/>
        </w:rPr>
        <w:t>pārskata gadā ir bijis virs 1 miljona eiro</w:t>
      </w:r>
      <w:r w:rsidR="00F6485F" w:rsidRPr="0083189D">
        <w:rPr>
          <w:rFonts w:asciiTheme="majorHAnsi" w:hAnsiTheme="majorHAnsi" w:cstheme="majorHAnsi"/>
          <w:sz w:val="24"/>
          <w:szCs w:val="24"/>
        </w:rPr>
        <w:t>,</w:t>
      </w:r>
      <w:r w:rsidR="001969C2" w:rsidRPr="0083189D">
        <w:rPr>
          <w:rFonts w:asciiTheme="majorHAnsi" w:hAnsiTheme="majorHAnsi" w:cstheme="majorHAnsi"/>
          <w:sz w:val="24"/>
          <w:szCs w:val="24"/>
        </w:rPr>
        <w:t xml:space="preserve"> un 15 no tiem ir nodokļu parādi vidēji </w:t>
      </w:r>
      <w:r w:rsidR="009E374B" w:rsidRPr="0083189D">
        <w:rPr>
          <w:rFonts w:asciiTheme="majorHAnsi" w:hAnsiTheme="majorHAnsi" w:cstheme="majorHAnsi"/>
          <w:sz w:val="24"/>
          <w:szCs w:val="24"/>
        </w:rPr>
        <w:t>1,7 miljonu eiro apmērā.</w:t>
      </w:r>
      <w:r w:rsidR="00287721" w:rsidRPr="0083189D">
        <w:rPr>
          <w:rFonts w:asciiTheme="majorHAnsi" w:hAnsiTheme="majorHAnsi" w:cstheme="majorHAnsi"/>
          <w:sz w:val="24"/>
          <w:szCs w:val="24"/>
        </w:rPr>
        <w:t xml:space="preserve"> No šiem datiem </w:t>
      </w:r>
      <w:r w:rsidR="000B05BF" w:rsidRPr="0083189D">
        <w:rPr>
          <w:rFonts w:asciiTheme="majorHAnsi" w:hAnsiTheme="majorHAnsi" w:cstheme="majorHAnsi"/>
          <w:sz w:val="24"/>
          <w:szCs w:val="24"/>
        </w:rPr>
        <w:t>identificējams risks, ka uzņēmuma aktīvi varētu būt "iztīrīti", lai izvairītos no saistībām pret kreditoriem, tai skaitā Valsts ieņēmumu dienesta.</w:t>
      </w:r>
    </w:p>
    <w:p w14:paraId="500B432D" w14:textId="4D665479" w:rsidR="00F33167" w:rsidRPr="0083189D" w:rsidRDefault="00F03774"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Pēdējā pārskata gadā </w:t>
      </w:r>
      <w:r w:rsidR="00693694" w:rsidRPr="0083189D">
        <w:rPr>
          <w:rFonts w:asciiTheme="majorHAnsi" w:hAnsiTheme="majorHAnsi" w:cstheme="majorHAnsi"/>
          <w:sz w:val="24"/>
          <w:szCs w:val="24"/>
        </w:rPr>
        <w:t>83 no</w:t>
      </w:r>
      <w:r w:rsidR="00C772C4" w:rsidRPr="0083189D">
        <w:rPr>
          <w:rFonts w:asciiTheme="majorHAnsi" w:hAnsiTheme="majorHAnsi" w:cstheme="majorHAnsi"/>
          <w:sz w:val="24"/>
          <w:szCs w:val="24"/>
        </w:rPr>
        <w:t xml:space="preserve"> 505</w:t>
      </w:r>
      <w:r w:rsidR="00693694" w:rsidRPr="0083189D">
        <w:rPr>
          <w:rFonts w:asciiTheme="majorHAnsi" w:hAnsiTheme="majorHAnsi" w:cstheme="majorHAnsi"/>
          <w:sz w:val="24"/>
          <w:szCs w:val="24"/>
        </w:rPr>
        <w:t xml:space="preserve"> </w:t>
      </w:r>
      <w:r w:rsidR="00C772C4" w:rsidRPr="0083189D">
        <w:rPr>
          <w:rFonts w:asciiTheme="majorHAnsi" w:hAnsiTheme="majorHAnsi" w:cstheme="majorHAnsi"/>
          <w:sz w:val="24"/>
          <w:szCs w:val="24"/>
        </w:rPr>
        <w:t xml:space="preserve">(16%) </w:t>
      </w:r>
      <w:r w:rsidR="00693694" w:rsidRPr="0083189D">
        <w:rPr>
          <w:rFonts w:asciiTheme="majorHAnsi" w:hAnsiTheme="majorHAnsi" w:cstheme="majorHAnsi"/>
          <w:sz w:val="24"/>
          <w:szCs w:val="24"/>
        </w:rPr>
        <w:t>maksātnespējīg</w:t>
      </w:r>
      <w:r w:rsidR="00F22BCE" w:rsidRPr="0083189D">
        <w:rPr>
          <w:rFonts w:asciiTheme="majorHAnsi" w:hAnsiTheme="majorHAnsi" w:cstheme="majorHAnsi"/>
          <w:sz w:val="24"/>
          <w:szCs w:val="24"/>
        </w:rPr>
        <w:t xml:space="preserve">ajiem parādniekiem </w:t>
      </w:r>
      <w:r w:rsidR="002010E2" w:rsidRPr="0083189D">
        <w:rPr>
          <w:rFonts w:asciiTheme="majorHAnsi" w:hAnsiTheme="majorHAnsi" w:cstheme="majorHAnsi"/>
          <w:sz w:val="24"/>
          <w:szCs w:val="24"/>
        </w:rPr>
        <w:t>apgrozījums ir bijis 0 eiro, bet 14</w:t>
      </w:r>
      <w:r w:rsidR="00286808" w:rsidRPr="0083189D">
        <w:rPr>
          <w:rFonts w:asciiTheme="majorHAnsi" w:hAnsiTheme="majorHAnsi" w:cstheme="majorHAnsi"/>
          <w:sz w:val="24"/>
          <w:szCs w:val="24"/>
        </w:rPr>
        <w:t xml:space="preserve"> </w:t>
      </w:r>
      <w:r w:rsidRPr="0083189D">
        <w:rPr>
          <w:rFonts w:asciiTheme="majorHAnsi" w:hAnsiTheme="majorHAnsi" w:cstheme="majorHAnsi"/>
          <w:sz w:val="24"/>
          <w:szCs w:val="24"/>
        </w:rPr>
        <w:t xml:space="preserve">gadījumos </w:t>
      </w:r>
      <w:r w:rsidR="00286808" w:rsidRPr="0083189D">
        <w:rPr>
          <w:rFonts w:asciiTheme="majorHAnsi" w:hAnsiTheme="majorHAnsi" w:cstheme="majorHAnsi"/>
          <w:sz w:val="24"/>
          <w:szCs w:val="24"/>
        </w:rPr>
        <w:t xml:space="preserve">gada pārskats vispār nav iesniegts. Tas </w:t>
      </w:r>
      <w:r w:rsidR="002C7625" w:rsidRPr="0083189D">
        <w:rPr>
          <w:rFonts w:asciiTheme="majorHAnsi" w:hAnsiTheme="majorHAnsi" w:cstheme="majorHAnsi"/>
          <w:sz w:val="24"/>
          <w:szCs w:val="24"/>
        </w:rPr>
        <w:t>ļauj secināt</w:t>
      </w:r>
      <w:r w:rsidR="00286808" w:rsidRPr="0083189D">
        <w:rPr>
          <w:rFonts w:asciiTheme="majorHAnsi" w:hAnsiTheme="majorHAnsi" w:cstheme="majorHAnsi"/>
          <w:sz w:val="24"/>
          <w:szCs w:val="24"/>
        </w:rPr>
        <w:t>, ka šie uzņēmumi saimniecisko darbību nav veikuši.</w:t>
      </w:r>
      <w:r w:rsidR="00A30851" w:rsidRPr="0083189D">
        <w:rPr>
          <w:rFonts w:asciiTheme="majorHAnsi" w:hAnsiTheme="majorHAnsi" w:cstheme="majorHAnsi"/>
          <w:sz w:val="24"/>
          <w:szCs w:val="24"/>
        </w:rPr>
        <w:t xml:space="preserve"> Šie apstākļi liecina par novēlotu maksātnespējas procesa pieteikuma iesniegšanu, kas, savukārt, apgrūtina </w:t>
      </w:r>
      <w:r w:rsidR="003D5AB6" w:rsidRPr="0083189D">
        <w:rPr>
          <w:rFonts w:asciiTheme="majorHAnsi" w:hAnsiTheme="majorHAnsi" w:cstheme="majorHAnsi"/>
          <w:sz w:val="24"/>
          <w:szCs w:val="24"/>
        </w:rPr>
        <w:t xml:space="preserve">ne tikai </w:t>
      </w:r>
      <w:r w:rsidR="005A328E" w:rsidRPr="0083189D">
        <w:rPr>
          <w:rFonts w:asciiTheme="majorHAnsi" w:hAnsiTheme="majorHAnsi" w:cstheme="majorHAnsi"/>
          <w:sz w:val="24"/>
          <w:szCs w:val="24"/>
        </w:rPr>
        <w:t>aktīvu atgūšanu maksātnespējas procesa ietvaros</w:t>
      </w:r>
      <w:r w:rsidR="00CA3C7B" w:rsidRPr="0083189D">
        <w:rPr>
          <w:rFonts w:asciiTheme="majorHAnsi" w:hAnsiTheme="majorHAnsi" w:cstheme="majorHAnsi"/>
          <w:sz w:val="24"/>
          <w:szCs w:val="24"/>
        </w:rPr>
        <w:t xml:space="preserve">, </w:t>
      </w:r>
      <w:r w:rsidR="003D5AB6" w:rsidRPr="0083189D">
        <w:rPr>
          <w:rFonts w:asciiTheme="majorHAnsi" w:hAnsiTheme="majorHAnsi" w:cstheme="majorHAnsi"/>
          <w:sz w:val="24"/>
          <w:szCs w:val="24"/>
        </w:rPr>
        <w:t xml:space="preserve">bet </w:t>
      </w:r>
      <w:r w:rsidR="00CA3C7B" w:rsidRPr="0083189D">
        <w:rPr>
          <w:rFonts w:asciiTheme="majorHAnsi" w:hAnsiTheme="majorHAnsi" w:cstheme="majorHAnsi"/>
          <w:sz w:val="24"/>
          <w:szCs w:val="24"/>
        </w:rPr>
        <w:t>arī darījumu uzraudzību Novēršanas likuma prasību izpildes ietvaros.</w:t>
      </w:r>
    </w:p>
    <w:p w14:paraId="593D1C2B" w14:textId="323057D5" w:rsidR="00554413" w:rsidRPr="0083189D" w:rsidRDefault="00A063B6" w:rsidP="00627C36">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lastRenderedPageBreak/>
        <w:t xml:space="preserve">Gan </w:t>
      </w:r>
      <w:r w:rsidR="00792775" w:rsidRPr="0083189D">
        <w:rPr>
          <w:rFonts w:asciiTheme="majorHAnsi" w:hAnsiTheme="majorHAnsi" w:cstheme="majorHAnsi"/>
          <w:sz w:val="24"/>
          <w:szCs w:val="24"/>
        </w:rPr>
        <w:t xml:space="preserve">aktīvu "iztīrīšana", gan novēlota maksātnespējas procesa </w:t>
      </w:r>
      <w:r w:rsidR="00A8057F" w:rsidRPr="0083189D">
        <w:rPr>
          <w:rFonts w:asciiTheme="majorHAnsi" w:hAnsiTheme="majorHAnsi" w:cstheme="majorHAnsi"/>
          <w:sz w:val="24"/>
          <w:szCs w:val="24"/>
        </w:rPr>
        <w:t>pieteikuma iesniegšana ievērojami apgrūtina maksātnespējas procesa norisi – darījumu izvērtēšanu un efektīvu aktīvu atgūšanu</w:t>
      </w:r>
      <w:r w:rsidR="00CB091F" w:rsidRPr="0083189D">
        <w:rPr>
          <w:rFonts w:asciiTheme="majorHAnsi" w:hAnsiTheme="majorHAnsi" w:cstheme="majorHAnsi"/>
          <w:sz w:val="24"/>
          <w:szCs w:val="24"/>
        </w:rPr>
        <w:t>, tādējādi apdraudot kreditoru intereses saņemt savu prasījumu apmierinājumu pēc iespējas lielākā apmērā.</w:t>
      </w:r>
      <w:r w:rsidR="00DB1D3B" w:rsidRPr="0083189D">
        <w:rPr>
          <w:rFonts w:asciiTheme="majorHAnsi" w:hAnsiTheme="majorHAnsi" w:cstheme="majorHAnsi"/>
          <w:sz w:val="24"/>
          <w:szCs w:val="24"/>
        </w:rPr>
        <w:t xml:space="preserve"> Līdz ar to MKD, veicot uzraudzību stratēģijas darbības periodā, kā prioritā</w:t>
      </w:r>
      <w:r w:rsidR="00196549" w:rsidRPr="0083189D">
        <w:rPr>
          <w:rFonts w:asciiTheme="majorHAnsi" w:hAnsiTheme="majorHAnsi" w:cstheme="majorHAnsi"/>
          <w:sz w:val="24"/>
          <w:szCs w:val="24"/>
        </w:rPr>
        <w:t>ti izvirzīs maksātnespējīgos parādniekus</w:t>
      </w:r>
      <w:r w:rsidR="00074958" w:rsidRPr="0083189D">
        <w:rPr>
          <w:rFonts w:asciiTheme="majorHAnsi" w:hAnsiTheme="majorHAnsi" w:cstheme="majorHAnsi"/>
          <w:sz w:val="24"/>
          <w:szCs w:val="24"/>
        </w:rPr>
        <w:t>, kurus raksturojošie dati liecina par iespējamu uzņēmuma "iztukšošanu", gan novēlotu maksātnespējas procesa pieteikuma iesniegšanu</w:t>
      </w:r>
      <w:r w:rsidR="006F532F" w:rsidRPr="0083189D">
        <w:rPr>
          <w:rFonts w:asciiTheme="majorHAnsi" w:hAnsiTheme="majorHAnsi" w:cstheme="majorHAnsi"/>
          <w:sz w:val="24"/>
          <w:szCs w:val="24"/>
        </w:rPr>
        <w:t>, sevišķi pievēršot uzmanību</w:t>
      </w:r>
      <w:r w:rsidR="00DD5613" w:rsidRPr="0083189D">
        <w:rPr>
          <w:rFonts w:asciiTheme="majorHAnsi" w:hAnsiTheme="majorHAnsi" w:cstheme="majorHAnsi"/>
          <w:sz w:val="24"/>
          <w:szCs w:val="24"/>
        </w:rPr>
        <w:t xml:space="preserve"> tam, vai administrators </w:t>
      </w:r>
      <w:r w:rsidR="00C4608F" w:rsidRPr="0083189D">
        <w:rPr>
          <w:rFonts w:asciiTheme="majorHAnsi" w:hAnsiTheme="majorHAnsi" w:cstheme="majorHAnsi"/>
          <w:sz w:val="24"/>
          <w:szCs w:val="24"/>
        </w:rPr>
        <w:t xml:space="preserve">vispusīgi </w:t>
      </w:r>
      <w:r w:rsidR="00DD5613" w:rsidRPr="0083189D">
        <w:rPr>
          <w:rFonts w:asciiTheme="majorHAnsi" w:hAnsiTheme="majorHAnsi" w:cstheme="majorHAnsi"/>
          <w:sz w:val="24"/>
          <w:szCs w:val="24"/>
        </w:rPr>
        <w:t xml:space="preserve">ir izvērtējis parādnieka </w:t>
      </w:r>
      <w:r w:rsidR="00623D13" w:rsidRPr="0083189D">
        <w:rPr>
          <w:rFonts w:asciiTheme="majorHAnsi" w:hAnsiTheme="majorHAnsi" w:cstheme="majorHAnsi"/>
          <w:sz w:val="24"/>
          <w:szCs w:val="24"/>
        </w:rPr>
        <w:t xml:space="preserve">darbību gan Maksātnespējas likuma, gan Novēršanas likuma kontekstā. </w:t>
      </w:r>
    </w:p>
    <w:tbl>
      <w:tblPr>
        <w:tblStyle w:val="Reatabula3-izclums5"/>
        <w:tblW w:w="0" w:type="auto"/>
        <w:tblLook w:val="04A0" w:firstRow="1" w:lastRow="0" w:firstColumn="1" w:lastColumn="0" w:noHBand="0" w:noVBand="1"/>
      </w:tblPr>
      <w:tblGrid>
        <w:gridCol w:w="2765"/>
        <w:gridCol w:w="2765"/>
        <w:gridCol w:w="2766"/>
      </w:tblGrid>
      <w:tr w:rsidR="00074958" w:rsidRPr="0083189D" w14:paraId="17689D52" w14:textId="77777777" w:rsidTr="003134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14:paraId="66F631E2" w14:textId="05FC3958" w:rsidR="00074958" w:rsidRPr="003134D4" w:rsidRDefault="00074958" w:rsidP="00627C36">
            <w:pPr>
              <w:spacing w:line="276" w:lineRule="auto"/>
              <w:jc w:val="both"/>
              <w:rPr>
                <w:rFonts w:asciiTheme="majorHAnsi" w:hAnsiTheme="majorHAnsi" w:cstheme="majorHAnsi"/>
                <w:b w:val="0"/>
                <w:bCs w:val="0"/>
                <w:i w:val="0"/>
                <w:iCs w:val="0"/>
                <w:sz w:val="24"/>
                <w:szCs w:val="24"/>
              </w:rPr>
            </w:pPr>
            <w:r w:rsidRPr="003134D4">
              <w:rPr>
                <w:rFonts w:asciiTheme="majorHAnsi" w:hAnsiTheme="majorHAnsi" w:cstheme="majorHAnsi"/>
                <w:i w:val="0"/>
                <w:iCs w:val="0"/>
                <w:color w:val="2F5496" w:themeColor="accent1" w:themeShade="BF"/>
                <w:sz w:val="24"/>
                <w:szCs w:val="24"/>
              </w:rPr>
              <w:t>Faktors:</w:t>
            </w:r>
            <w:r w:rsidRPr="003134D4">
              <w:rPr>
                <w:rFonts w:asciiTheme="majorHAnsi" w:hAnsiTheme="majorHAnsi" w:cstheme="majorHAnsi"/>
                <w:b w:val="0"/>
                <w:bCs w:val="0"/>
                <w:i w:val="0"/>
                <w:iCs w:val="0"/>
                <w:sz w:val="24"/>
                <w:szCs w:val="24"/>
              </w:rPr>
              <w:t xml:space="preserve"> </w:t>
            </w:r>
            <w:r w:rsidR="00D70D70" w:rsidRPr="003134D4">
              <w:rPr>
                <w:rFonts w:asciiTheme="majorHAnsi" w:hAnsiTheme="majorHAnsi" w:cstheme="majorHAnsi"/>
                <w:b w:val="0"/>
                <w:bCs w:val="0"/>
                <w:i w:val="0"/>
                <w:iCs w:val="0"/>
                <w:sz w:val="24"/>
                <w:szCs w:val="24"/>
              </w:rPr>
              <w:t>Ievērojama daļa uzņēmumu maksātnespējas procesā nonāk bez aktīviem</w:t>
            </w:r>
            <w:r w:rsidR="00DB36F5" w:rsidRPr="003134D4">
              <w:rPr>
                <w:rFonts w:asciiTheme="majorHAnsi" w:hAnsiTheme="majorHAnsi" w:cstheme="majorHAnsi"/>
                <w:b w:val="0"/>
                <w:bCs w:val="0"/>
                <w:i w:val="0"/>
                <w:iCs w:val="0"/>
                <w:sz w:val="24"/>
                <w:szCs w:val="24"/>
              </w:rPr>
              <w:t>,</w:t>
            </w:r>
            <w:r w:rsidR="0087267D" w:rsidRPr="003134D4">
              <w:rPr>
                <w:rFonts w:asciiTheme="majorHAnsi" w:hAnsiTheme="majorHAnsi" w:cstheme="majorHAnsi"/>
                <w:b w:val="0"/>
                <w:bCs w:val="0"/>
                <w:i w:val="0"/>
                <w:iCs w:val="0"/>
                <w:sz w:val="24"/>
                <w:szCs w:val="24"/>
              </w:rPr>
              <w:t xml:space="preserve"> bet ar ievērojamām saistībām (t.sk. nodokļu parādiem),</w:t>
            </w:r>
            <w:r w:rsidR="00DB36F5" w:rsidRPr="003134D4">
              <w:rPr>
                <w:rFonts w:asciiTheme="majorHAnsi" w:hAnsiTheme="majorHAnsi" w:cstheme="majorHAnsi"/>
                <w:b w:val="0"/>
                <w:bCs w:val="0"/>
                <w:i w:val="0"/>
                <w:iCs w:val="0"/>
                <w:sz w:val="24"/>
                <w:szCs w:val="24"/>
              </w:rPr>
              <w:t xml:space="preserve"> daļa no tiem pēdējā gada laikā nav veikuši saimniecisko darbību.</w:t>
            </w:r>
          </w:p>
        </w:tc>
        <w:tc>
          <w:tcPr>
            <w:tcW w:w="2765" w:type="dxa"/>
          </w:tcPr>
          <w:p w14:paraId="0DE4A5B0" w14:textId="50AD5E1A" w:rsidR="00074958" w:rsidRPr="003134D4" w:rsidRDefault="00074958"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3134D4">
              <w:rPr>
                <w:rFonts w:asciiTheme="majorHAnsi" w:hAnsiTheme="majorHAnsi" w:cstheme="majorHAnsi"/>
                <w:color w:val="2F5496" w:themeColor="accent1" w:themeShade="BF"/>
                <w:sz w:val="24"/>
                <w:szCs w:val="24"/>
              </w:rPr>
              <w:t>Risks:</w:t>
            </w:r>
            <w:r w:rsidR="00205CCF" w:rsidRPr="003134D4">
              <w:rPr>
                <w:rFonts w:asciiTheme="majorHAnsi" w:hAnsiTheme="majorHAnsi" w:cstheme="majorHAnsi"/>
                <w:b w:val="0"/>
                <w:bCs w:val="0"/>
                <w:color w:val="2F5496" w:themeColor="accent1" w:themeShade="BF"/>
                <w:sz w:val="24"/>
                <w:szCs w:val="24"/>
              </w:rPr>
              <w:t xml:space="preserve"> </w:t>
            </w:r>
            <w:r w:rsidR="00205CCF" w:rsidRPr="003134D4">
              <w:rPr>
                <w:rFonts w:asciiTheme="majorHAnsi" w:hAnsiTheme="majorHAnsi" w:cstheme="majorHAnsi"/>
                <w:b w:val="0"/>
                <w:bCs w:val="0"/>
                <w:sz w:val="24"/>
                <w:szCs w:val="24"/>
              </w:rPr>
              <w:t>Pastāv risks</w:t>
            </w:r>
            <w:r w:rsidR="00787F82" w:rsidRPr="003134D4">
              <w:rPr>
                <w:rFonts w:asciiTheme="majorHAnsi" w:hAnsiTheme="majorHAnsi" w:cstheme="majorHAnsi"/>
                <w:b w:val="0"/>
                <w:bCs w:val="0"/>
                <w:sz w:val="24"/>
                <w:szCs w:val="24"/>
              </w:rPr>
              <w:t xml:space="preserve">, ka šie uzņēmumi ir apzināti "iztukšoti" vai savlaicīgi nav iesniegts maksātnespējas procesa pieteikums, </w:t>
            </w:r>
            <w:r w:rsidR="00F80999" w:rsidRPr="003134D4">
              <w:rPr>
                <w:rFonts w:asciiTheme="majorHAnsi" w:hAnsiTheme="majorHAnsi" w:cstheme="majorHAnsi"/>
                <w:b w:val="0"/>
                <w:bCs w:val="0"/>
                <w:sz w:val="24"/>
                <w:szCs w:val="24"/>
              </w:rPr>
              <w:t xml:space="preserve">tādējādi liekot šķēršļus darījumu izvērtēšanai un efektīvai aktīvu atgūšanai. </w:t>
            </w:r>
          </w:p>
        </w:tc>
        <w:tc>
          <w:tcPr>
            <w:tcW w:w="2766" w:type="dxa"/>
          </w:tcPr>
          <w:p w14:paraId="17B50AB6" w14:textId="481B8C38" w:rsidR="00074958" w:rsidRPr="003134D4" w:rsidRDefault="00074958"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3134D4">
              <w:rPr>
                <w:rFonts w:asciiTheme="majorHAnsi" w:hAnsiTheme="majorHAnsi" w:cstheme="majorHAnsi"/>
                <w:color w:val="2F5496" w:themeColor="accent1" w:themeShade="BF"/>
                <w:sz w:val="24"/>
                <w:szCs w:val="24"/>
              </w:rPr>
              <w:t>Ietekme:</w:t>
            </w:r>
            <w:r w:rsidRPr="003134D4">
              <w:rPr>
                <w:rFonts w:asciiTheme="majorHAnsi" w:hAnsiTheme="majorHAnsi" w:cstheme="majorHAnsi"/>
                <w:b w:val="0"/>
                <w:bCs w:val="0"/>
                <w:sz w:val="24"/>
                <w:szCs w:val="24"/>
              </w:rPr>
              <w:t xml:space="preserve"> </w:t>
            </w:r>
            <w:r w:rsidR="0066112C" w:rsidRPr="003134D4">
              <w:rPr>
                <w:rFonts w:asciiTheme="majorHAnsi" w:hAnsiTheme="majorHAnsi" w:cstheme="majorHAnsi"/>
                <w:b w:val="0"/>
                <w:bCs w:val="0"/>
                <w:sz w:val="24"/>
                <w:szCs w:val="24"/>
              </w:rPr>
              <w:t>Iespējas efektīvi atgūt aktīvus maksātnespējas procesa ietvaros</w:t>
            </w:r>
            <w:r w:rsidR="005C3760" w:rsidRPr="003134D4">
              <w:rPr>
                <w:rFonts w:asciiTheme="majorHAnsi" w:hAnsiTheme="majorHAnsi" w:cstheme="majorHAnsi"/>
                <w:b w:val="0"/>
                <w:bCs w:val="0"/>
                <w:sz w:val="24"/>
                <w:szCs w:val="24"/>
              </w:rPr>
              <w:t xml:space="preserve"> tiešā veidā ietekmē kreditoru prasījumu apmierināšanas iespējas jeb t.s. </w:t>
            </w:r>
            <w:proofErr w:type="spellStart"/>
            <w:r w:rsidR="005C3760" w:rsidRPr="003134D4">
              <w:rPr>
                <w:rFonts w:asciiTheme="majorHAnsi" w:hAnsiTheme="majorHAnsi" w:cstheme="majorHAnsi"/>
                <w:b w:val="0"/>
                <w:bCs w:val="0"/>
                <w:i/>
                <w:iCs/>
                <w:sz w:val="24"/>
                <w:szCs w:val="24"/>
              </w:rPr>
              <w:t>recovery</w:t>
            </w:r>
            <w:proofErr w:type="spellEnd"/>
            <w:r w:rsidR="005C3760" w:rsidRPr="003134D4">
              <w:rPr>
                <w:rFonts w:asciiTheme="majorHAnsi" w:hAnsiTheme="majorHAnsi" w:cstheme="majorHAnsi"/>
                <w:b w:val="0"/>
                <w:bCs w:val="0"/>
                <w:i/>
                <w:iCs/>
                <w:sz w:val="24"/>
                <w:szCs w:val="24"/>
              </w:rPr>
              <w:t xml:space="preserve"> </w:t>
            </w:r>
            <w:proofErr w:type="spellStart"/>
            <w:r w:rsidR="005C3760" w:rsidRPr="003134D4">
              <w:rPr>
                <w:rFonts w:asciiTheme="majorHAnsi" w:hAnsiTheme="majorHAnsi" w:cstheme="majorHAnsi"/>
                <w:b w:val="0"/>
                <w:bCs w:val="0"/>
                <w:i/>
                <w:iCs/>
                <w:sz w:val="24"/>
                <w:szCs w:val="24"/>
              </w:rPr>
              <w:t>rate</w:t>
            </w:r>
            <w:proofErr w:type="spellEnd"/>
            <w:r w:rsidR="005C3760" w:rsidRPr="003134D4">
              <w:rPr>
                <w:rFonts w:asciiTheme="majorHAnsi" w:hAnsiTheme="majorHAnsi" w:cstheme="majorHAnsi"/>
                <w:b w:val="0"/>
                <w:bCs w:val="0"/>
                <w:sz w:val="24"/>
                <w:szCs w:val="24"/>
              </w:rPr>
              <w:t>.</w:t>
            </w:r>
            <w:r w:rsidR="008900D1" w:rsidRPr="003134D4">
              <w:rPr>
                <w:rFonts w:asciiTheme="majorHAnsi" w:hAnsiTheme="majorHAnsi" w:cstheme="majorHAnsi"/>
                <w:b w:val="0"/>
                <w:bCs w:val="0"/>
                <w:sz w:val="24"/>
                <w:szCs w:val="24"/>
              </w:rPr>
              <w:t xml:space="preserve"> Šād</w:t>
            </w:r>
            <w:r w:rsidR="00CC702A" w:rsidRPr="003134D4">
              <w:rPr>
                <w:rFonts w:asciiTheme="majorHAnsi" w:hAnsiTheme="majorHAnsi" w:cstheme="majorHAnsi"/>
                <w:b w:val="0"/>
                <w:bCs w:val="0"/>
                <w:sz w:val="24"/>
                <w:szCs w:val="24"/>
              </w:rPr>
              <w:t>as darbības negatīvi ietekmē arī uzņēmējdarbības vidi kopumā.</w:t>
            </w:r>
          </w:p>
        </w:tc>
      </w:tr>
      <w:tr w:rsidR="00074958" w:rsidRPr="0083189D" w14:paraId="689172B3" w14:textId="77777777" w:rsidTr="0031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3"/>
          </w:tcPr>
          <w:p w14:paraId="236804EB" w14:textId="5CF01C6D" w:rsidR="00074958" w:rsidRPr="003134D4" w:rsidRDefault="00074958" w:rsidP="00627C36">
            <w:pPr>
              <w:spacing w:line="276" w:lineRule="auto"/>
              <w:jc w:val="both"/>
              <w:rPr>
                <w:rFonts w:asciiTheme="majorHAnsi" w:hAnsiTheme="majorHAnsi" w:cstheme="majorHAnsi"/>
                <w:i w:val="0"/>
                <w:iCs w:val="0"/>
                <w:sz w:val="24"/>
                <w:szCs w:val="24"/>
              </w:rPr>
            </w:pPr>
            <w:r w:rsidRPr="003134D4">
              <w:rPr>
                <w:rFonts w:asciiTheme="majorHAnsi" w:hAnsiTheme="majorHAnsi" w:cstheme="majorHAnsi"/>
                <w:b/>
                <w:bCs/>
                <w:i w:val="0"/>
                <w:iCs w:val="0"/>
                <w:color w:val="2F5496" w:themeColor="accent1" w:themeShade="BF"/>
                <w:sz w:val="24"/>
                <w:szCs w:val="24"/>
              </w:rPr>
              <w:t>Prioritāte:</w:t>
            </w:r>
            <w:r w:rsidRPr="003134D4">
              <w:rPr>
                <w:rFonts w:asciiTheme="majorHAnsi" w:hAnsiTheme="majorHAnsi" w:cstheme="majorHAnsi"/>
                <w:i w:val="0"/>
                <w:iCs w:val="0"/>
              </w:rPr>
              <w:t xml:space="preserve"> </w:t>
            </w:r>
            <w:r w:rsidR="00F133DD" w:rsidRPr="003134D4">
              <w:rPr>
                <w:rFonts w:asciiTheme="majorHAnsi" w:hAnsiTheme="majorHAnsi" w:cstheme="majorHAnsi"/>
                <w:i w:val="0"/>
                <w:iCs w:val="0"/>
                <w:sz w:val="24"/>
                <w:szCs w:val="24"/>
              </w:rPr>
              <w:t>A</w:t>
            </w:r>
            <w:r w:rsidR="0000232C" w:rsidRPr="003134D4">
              <w:rPr>
                <w:rFonts w:asciiTheme="majorHAnsi" w:hAnsiTheme="majorHAnsi" w:cstheme="majorHAnsi"/>
                <w:i w:val="0"/>
                <w:iCs w:val="0"/>
                <w:sz w:val="24"/>
                <w:szCs w:val="24"/>
              </w:rPr>
              <w:t xml:space="preserve">dministratori ir </w:t>
            </w:r>
            <w:r w:rsidR="006B209E" w:rsidRPr="003134D4">
              <w:rPr>
                <w:rFonts w:asciiTheme="majorHAnsi" w:hAnsiTheme="majorHAnsi" w:cstheme="majorHAnsi"/>
                <w:i w:val="0"/>
                <w:iCs w:val="0"/>
                <w:sz w:val="24"/>
                <w:szCs w:val="24"/>
              </w:rPr>
              <w:t xml:space="preserve">savlaicīgi, vispusīgi un pilnvērtīgi izvērtējuši parādnieka </w:t>
            </w:r>
            <w:r w:rsidR="00C114BE" w:rsidRPr="003134D4">
              <w:rPr>
                <w:rFonts w:asciiTheme="majorHAnsi" w:hAnsiTheme="majorHAnsi" w:cstheme="majorHAnsi"/>
                <w:i w:val="0"/>
                <w:iCs w:val="0"/>
                <w:sz w:val="24"/>
                <w:szCs w:val="24"/>
              </w:rPr>
              <w:t>rīcību pirms maksātnespējas procesa pasludināšanas</w:t>
            </w:r>
            <w:r w:rsidR="004617AA" w:rsidRPr="003134D4">
              <w:rPr>
                <w:rFonts w:asciiTheme="majorHAnsi" w:hAnsiTheme="majorHAnsi" w:cstheme="majorHAnsi"/>
                <w:i w:val="0"/>
                <w:iCs w:val="0"/>
                <w:sz w:val="24"/>
                <w:szCs w:val="24"/>
              </w:rPr>
              <w:t xml:space="preserve"> un</w:t>
            </w:r>
            <w:r w:rsidR="00F133DD" w:rsidRPr="003134D4">
              <w:rPr>
                <w:rFonts w:asciiTheme="majorHAnsi" w:hAnsiTheme="majorHAnsi" w:cstheme="majorHAnsi"/>
                <w:i w:val="0"/>
                <w:iCs w:val="0"/>
                <w:sz w:val="24"/>
                <w:szCs w:val="24"/>
              </w:rPr>
              <w:t xml:space="preserve"> </w:t>
            </w:r>
            <w:r w:rsidR="002E55DD" w:rsidRPr="003134D4">
              <w:rPr>
                <w:rFonts w:asciiTheme="majorHAnsi" w:hAnsiTheme="majorHAnsi" w:cstheme="majorHAnsi"/>
                <w:i w:val="0"/>
                <w:iCs w:val="0"/>
                <w:sz w:val="24"/>
                <w:szCs w:val="24"/>
              </w:rPr>
              <w:t xml:space="preserve">rīkojušies, lai atgūtu </w:t>
            </w:r>
            <w:r w:rsidR="004617AA" w:rsidRPr="003134D4">
              <w:rPr>
                <w:rFonts w:asciiTheme="majorHAnsi" w:hAnsiTheme="majorHAnsi" w:cstheme="majorHAnsi"/>
                <w:i w:val="0"/>
                <w:iCs w:val="0"/>
                <w:sz w:val="24"/>
                <w:szCs w:val="24"/>
              </w:rPr>
              <w:t>parādnieka aktīvus un sauktu pie likumā noteiktās atbildības personas, kas veikušas darbības, lai izvairītos no parādnieka saistību izpildes</w:t>
            </w:r>
            <w:r w:rsidR="00352FE8" w:rsidRPr="003134D4">
              <w:rPr>
                <w:rFonts w:asciiTheme="majorHAnsi" w:hAnsiTheme="majorHAnsi" w:cstheme="majorHAnsi"/>
                <w:i w:val="0"/>
                <w:iCs w:val="0"/>
                <w:sz w:val="24"/>
                <w:szCs w:val="24"/>
              </w:rPr>
              <w:t xml:space="preserve"> u</w:t>
            </w:r>
            <w:r w:rsidR="0067526D" w:rsidRPr="003134D4">
              <w:rPr>
                <w:rFonts w:asciiTheme="majorHAnsi" w:hAnsiTheme="majorHAnsi" w:cstheme="majorHAnsi"/>
                <w:i w:val="0"/>
                <w:iCs w:val="0"/>
                <w:sz w:val="24"/>
                <w:szCs w:val="24"/>
              </w:rPr>
              <w:t xml:space="preserve">n </w:t>
            </w:r>
            <w:r w:rsidR="000C1E64" w:rsidRPr="003134D4">
              <w:rPr>
                <w:rFonts w:asciiTheme="majorHAnsi" w:hAnsiTheme="majorHAnsi" w:cstheme="majorHAnsi"/>
                <w:i w:val="0"/>
                <w:iCs w:val="0"/>
                <w:sz w:val="24"/>
                <w:szCs w:val="24"/>
              </w:rPr>
              <w:t>nodarītu zaudējumus parādniekam</w:t>
            </w:r>
            <w:r w:rsidR="004617AA" w:rsidRPr="003134D4">
              <w:rPr>
                <w:rFonts w:asciiTheme="majorHAnsi" w:hAnsiTheme="majorHAnsi" w:cstheme="majorHAnsi"/>
                <w:i w:val="0"/>
                <w:iCs w:val="0"/>
                <w:sz w:val="24"/>
                <w:szCs w:val="24"/>
              </w:rPr>
              <w:t>.</w:t>
            </w:r>
            <w:r w:rsidR="004612E6" w:rsidRPr="003134D4">
              <w:rPr>
                <w:rFonts w:asciiTheme="majorHAnsi" w:hAnsiTheme="majorHAnsi" w:cstheme="majorHAnsi"/>
                <w:i w:val="0"/>
                <w:iCs w:val="0"/>
                <w:sz w:val="24"/>
                <w:szCs w:val="24"/>
              </w:rPr>
              <w:t xml:space="preserve"> </w:t>
            </w:r>
          </w:p>
        </w:tc>
      </w:tr>
    </w:tbl>
    <w:p w14:paraId="58C7A6B5" w14:textId="77777777" w:rsidR="00074958" w:rsidRPr="0083189D" w:rsidRDefault="00074958" w:rsidP="00970D1E">
      <w:pPr>
        <w:spacing w:after="0" w:line="276" w:lineRule="auto"/>
        <w:ind w:firstLine="720"/>
        <w:jc w:val="both"/>
        <w:rPr>
          <w:rFonts w:asciiTheme="majorHAnsi" w:hAnsiTheme="majorHAnsi" w:cstheme="majorHAnsi"/>
          <w:sz w:val="24"/>
          <w:szCs w:val="24"/>
        </w:rPr>
      </w:pPr>
    </w:p>
    <w:p w14:paraId="1C0C0B63" w14:textId="6F25A6DE" w:rsidR="004617AA" w:rsidRDefault="00B54D09" w:rsidP="00970D1E">
      <w:pPr>
        <w:pStyle w:val="Virsraksts3"/>
        <w:numPr>
          <w:ilvl w:val="2"/>
          <w:numId w:val="1"/>
        </w:numPr>
        <w:spacing w:line="276" w:lineRule="auto"/>
        <w:ind w:left="720"/>
        <w:rPr>
          <w:rFonts w:cstheme="majorHAnsi"/>
        </w:rPr>
      </w:pPr>
      <w:bookmarkStart w:id="9" w:name="_Toc154665205"/>
      <w:r w:rsidRPr="0083189D">
        <w:rPr>
          <w:rFonts w:cstheme="majorHAnsi"/>
        </w:rPr>
        <w:t>TAP</w:t>
      </w:r>
      <w:bookmarkEnd w:id="9"/>
    </w:p>
    <w:p w14:paraId="402969DC" w14:textId="77777777" w:rsidR="00970D1E" w:rsidRPr="00970D1E" w:rsidRDefault="00970D1E" w:rsidP="00970D1E">
      <w:pPr>
        <w:spacing w:after="0"/>
      </w:pPr>
    </w:p>
    <w:p w14:paraId="0B555B6E" w14:textId="138DBCD3" w:rsidR="00B54D09" w:rsidRPr="0083189D" w:rsidRDefault="00E318F7" w:rsidP="00867BD8">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2023. gada 15. septembrī stājās spēkā </w:t>
      </w:r>
      <w:r w:rsidR="00B6417F" w:rsidRPr="0083189D">
        <w:rPr>
          <w:rFonts w:asciiTheme="majorHAnsi" w:hAnsiTheme="majorHAnsi" w:cstheme="majorHAnsi"/>
          <w:sz w:val="24"/>
          <w:szCs w:val="24"/>
        </w:rPr>
        <w:t>grozījumi Maksātnespējas likumā</w:t>
      </w:r>
      <w:r w:rsidR="00783F02" w:rsidRPr="0083189D">
        <w:rPr>
          <w:rFonts w:asciiTheme="majorHAnsi" w:hAnsiTheme="majorHAnsi" w:cstheme="majorHAnsi"/>
          <w:sz w:val="24"/>
          <w:szCs w:val="24"/>
        </w:rPr>
        <w:t xml:space="preserve">, ar kuriem veiktas būtiskas izmaiņas TAP regulējumā – galvenokārt, lai </w:t>
      </w:r>
      <w:r w:rsidR="00BF61E1" w:rsidRPr="0083189D">
        <w:rPr>
          <w:rFonts w:asciiTheme="majorHAnsi" w:hAnsiTheme="majorHAnsi" w:cstheme="majorHAnsi"/>
          <w:sz w:val="24"/>
          <w:szCs w:val="24"/>
        </w:rPr>
        <w:t>ieviestu Direktīvu par pārstrukturēšanu un maksātnespēju.</w:t>
      </w:r>
      <w:r w:rsidR="00515D78" w:rsidRPr="0083189D">
        <w:rPr>
          <w:rFonts w:asciiTheme="majorHAnsi" w:hAnsiTheme="majorHAnsi" w:cstheme="majorHAnsi"/>
          <w:sz w:val="24"/>
          <w:szCs w:val="24"/>
        </w:rPr>
        <w:t xml:space="preserve"> </w:t>
      </w:r>
      <w:r w:rsidR="001C4DE9" w:rsidRPr="0083189D">
        <w:rPr>
          <w:rFonts w:asciiTheme="majorHAnsi" w:hAnsiTheme="majorHAnsi" w:cstheme="majorHAnsi"/>
          <w:sz w:val="24"/>
          <w:szCs w:val="24"/>
        </w:rPr>
        <w:t>Ar šiem grozījumiem</w:t>
      </w:r>
      <w:r w:rsidR="00CC6408" w:rsidRPr="0083189D">
        <w:rPr>
          <w:rFonts w:asciiTheme="majorHAnsi" w:hAnsiTheme="majorHAnsi" w:cstheme="majorHAnsi"/>
          <w:sz w:val="24"/>
          <w:szCs w:val="24"/>
        </w:rPr>
        <w:t xml:space="preserve"> stiprināta uzraugošās personas loma TAP norisē</w:t>
      </w:r>
      <w:r w:rsidR="00AF41E3" w:rsidRPr="0083189D">
        <w:rPr>
          <w:rFonts w:asciiTheme="majorHAnsi" w:hAnsiTheme="majorHAnsi" w:cstheme="majorHAnsi"/>
          <w:sz w:val="24"/>
          <w:szCs w:val="24"/>
        </w:rPr>
        <w:t xml:space="preserve">, kā arī paplašināti MKD piemērojamie </w:t>
      </w:r>
      <w:r w:rsidR="00A17698" w:rsidRPr="0083189D">
        <w:rPr>
          <w:rFonts w:asciiTheme="majorHAnsi" w:hAnsiTheme="majorHAnsi" w:cstheme="majorHAnsi"/>
          <w:sz w:val="24"/>
          <w:szCs w:val="24"/>
        </w:rPr>
        <w:t xml:space="preserve">uzraudzības instrumenti – MKD var pieņemt </w:t>
      </w:r>
      <w:r w:rsidR="002731B5" w:rsidRPr="0083189D">
        <w:rPr>
          <w:rFonts w:asciiTheme="majorHAnsi" w:hAnsiTheme="majorHAnsi" w:cstheme="majorHAnsi"/>
          <w:sz w:val="24"/>
          <w:szCs w:val="24"/>
        </w:rPr>
        <w:t>lēmumus par pārkāpumu atzīšanu uzraugošo personu rīcībā.</w:t>
      </w:r>
    </w:p>
    <w:p w14:paraId="15C60084" w14:textId="0117004B" w:rsidR="005068F1" w:rsidRPr="0083189D" w:rsidRDefault="00437A75" w:rsidP="00867BD8">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Ir </w:t>
      </w:r>
      <w:r w:rsidR="005D78B7" w:rsidRPr="0083189D">
        <w:rPr>
          <w:rFonts w:asciiTheme="majorHAnsi" w:hAnsiTheme="majorHAnsi" w:cstheme="majorHAnsi"/>
          <w:sz w:val="24"/>
          <w:szCs w:val="24"/>
        </w:rPr>
        <w:t xml:space="preserve">stiprinātas uzraugošās personas </w:t>
      </w:r>
      <w:r w:rsidR="00EC552D" w:rsidRPr="0083189D">
        <w:rPr>
          <w:rFonts w:asciiTheme="majorHAnsi" w:hAnsiTheme="majorHAnsi" w:cstheme="majorHAnsi"/>
          <w:sz w:val="24"/>
          <w:szCs w:val="24"/>
        </w:rPr>
        <w:t>kvalifikācijas</w:t>
      </w:r>
      <w:r w:rsidR="005D78B7" w:rsidRPr="0083189D">
        <w:rPr>
          <w:rFonts w:asciiTheme="majorHAnsi" w:hAnsiTheme="majorHAnsi" w:cstheme="majorHAnsi"/>
          <w:sz w:val="24"/>
          <w:szCs w:val="24"/>
        </w:rPr>
        <w:t xml:space="preserve"> prasības</w:t>
      </w:r>
      <w:r w:rsidR="00EC552D" w:rsidRPr="0083189D">
        <w:rPr>
          <w:rFonts w:asciiTheme="majorHAnsi" w:hAnsiTheme="majorHAnsi" w:cstheme="majorHAnsi"/>
          <w:sz w:val="24"/>
          <w:szCs w:val="24"/>
        </w:rPr>
        <w:t>,</w:t>
      </w:r>
      <w:r w:rsidR="005D78B7" w:rsidRPr="0083189D">
        <w:rPr>
          <w:rFonts w:asciiTheme="majorHAnsi" w:hAnsiTheme="majorHAnsi" w:cstheme="majorHAnsi"/>
          <w:sz w:val="24"/>
          <w:szCs w:val="24"/>
        </w:rPr>
        <w:t xml:space="preserve"> kā arī ieviesta obligāta prasība pēc civiltiesiskās apdrošināšanas. </w:t>
      </w:r>
      <w:r w:rsidR="00DC7309" w:rsidRPr="0083189D">
        <w:rPr>
          <w:rFonts w:asciiTheme="majorHAnsi" w:hAnsiTheme="majorHAnsi" w:cstheme="majorHAnsi"/>
          <w:sz w:val="24"/>
          <w:szCs w:val="24"/>
        </w:rPr>
        <w:t xml:space="preserve">Uzraugošā persona tiek iecelta </w:t>
      </w:r>
      <w:r w:rsidRPr="0083189D">
        <w:rPr>
          <w:rFonts w:asciiTheme="majorHAnsi" w:hAnsiTheme="majorHAnsi" w:cstheme="majorHAnsi"/>
          <w:sz w:val="24"/>
          <w:szCs w:val="24"/>
        </w:rPr>
        <w:t>TAP līdz ar lietas ierosināšanu un tās loma ir iesaistīties TAP pasākumu plāna izstrādē</w:t>
      </w:r>
      <w:r w:rsidR="005D78B7" w:rsidRPr="0083189D">
        <w:rPr>
          <w:rFonts w:asciiTheme="majorHAnsi" w:hAnsiTheme="majorHAnsi" w:cstheme="majorHAnsi"/>
          <w:sz w:val="24"/>
          <w:szCs w:val="24"/>
        </w:rPr>
        <w:t>, savukārt, TAP īstenošanas stadijā uzraugošā</w:t>
      </w:r>
      <w:r w:rsidR="00460A1E" w:rsidRPr="0083189D">
        <w:rPr>
          <w:rFonts w:asciiTheme="majorHAnsi" w:hAnsiTheme="majorHAnsi" w:cstheme="majorHAnsi"/>
          <w:sz w:val="24"/>
          <w:szCs w:val="24"/>
        </w:rPr>
        <w:t xml:space="preserve">s personas klātbūtne </w:t>
      </w:r>
      <w:r w:rsidR="00716F6E" w:rsidRPr="0083189D">
        <w:rPr>
          <w:rFonts w:asciiTheme="majorHAnsi" w:hAnsiTheme="majorHAnsi" w:cstheme="majorHAnsi"/>
          <w:sz w:val="24"/>
          <w:szCs w:val="24"/>
        </w:rPr>
        <w:t>ir</w:t>
      </w:r>
      <w:r w:rsidR="00460A1E" w:rsidRPr="0083189D">
        <w:rPr>
          <w:rFonts w:asciiTheme="majorHAnsi" w:hAnsiTheme="majorHAnsi" w:cstheme="majorHAnsi"/>
          <w:sz w:val="24"/>
          <w:szCs w:val="24"/>
        </w:rPr>
        <w:t xml:space="preserve"> nepieciešama tikai atsevišķos gadījumos. </w:t>
      </w:r>
      <w:r w:rsidR="00FB5C13" w:rsidRPr="0083189D">
        <w:rPr>
          <w:rFonts w:asciiTheme="majorHAnsi" w:hAnsiTheme="majorHAnsi" w:cstheme="majorHAnsi"/>
          <w:sz w:val="24"/>
          <w:szCs w:val="24"/>
        </w:rPr>
        <w:t xml:space="preserve">Uzraugošajai personai ir pienākums sniegt atzinumu par TAP pasākumu plānu </w:t>
      </w:r>
      <w:r w:rsidR="00012023" w:rsidRPr="0083189D">
        <w:rPr>
          <w:rFonts w:asciiTheme="majorHAnsi" w:hAnsiTheme="majorHAnsi" w:cstheme="majorHAnsi"/>
          <w:sz w:val="24"/>
          <w:szCs w:val="24"/>
        </w:rPr>
        <w:t>–</w:t>
      </w:r>
      <w:r w:rsidR="00FB5C13" w:rsidRPr="0083189D">
        <w:rPr>
          <w:rFonts w:asciiTheme="majorHAnsi" w:hAnsiTheme="majorHAnsi" w:cstheme="majorHAnsi"/>
          <w:sz w:val="24"/>
          <w:szCs w:val="24"/>
        </w:rPr>
        <w:t xml:space="preserve"> </w:t>
      </w:r>
      <w:r w:rsidR="00012023" w:rsidRPr="0083189D">
        <w:rPr>
          <w:rFonts w:asciiTheme="majorHAnsi" w:hAnsiTheme="majorHAnsi" w:cstheme="majorHAnsi"/>
          <w:sz w:val="24"/>
          <w:szCs w:val="24"/>
        </w:rPr>
        <w:t>tā atbilstību Maksātnespējas likuma 38., 40. un 42. panta prasībām</w:t>
      </w:r>
      <w:r w:rsidR="00A068C6" w:rsidRPr="0083189D">
        <w:rPr>
          <w:rFonts w:asciiTheme="majorHAnsi" w:hAnsiTheme="majorHAnsi" w:cstheme="majorHAnsi"/>
          <w:sz w:val="24"/>
          <w:szCs w:val="24"/>
        </w:rPr>
        <w:t xml:space="preserve"> un vērtējumu, vai sagatavotais plāns ir izpildāms un vai tas </w:t>
      </w:r>
      <w:r w:rsidR="00302775" w:rsidRPr="0083189D">
        <w:rPr>
          <w:rFonts w:asciiTheme="majorHAnsi" w:hAnsiTheme="majorHAnsi" w:cstheme="majorHAnsi"/>
          <w:sz w:val="24"/>
          <w:szCs w:val="24"/>
        </w:rPr>
        <w:t>sasniegs TAP mērķi.</w:t>
      </w:r>
      <w:r w:rsidR="00624984" w:rsidRPr="0083189D">
        <w:rPr>
          <w:rFonts w:asciiTheme="majorHAnsi" w:hAnsiTheme="majorHAnsi" w:cstheme="majorHAnsi"/>
          <w:sz w:val="24"/>
          <w:szCs w:val="24"/>
        </w:rPr>
        <w:t xml:space="preserve"> Gadījumā, </w:t>
      </w:r>
      <w:r w:rsidR="00624984" w:rsidRPr="0083189D">
        <w:rPr>
          <w:rFonts w:asciiTheme="majorHAnsi" w:hAnsiTheme="majorHAnsi" w:cstheme="majorHAnsi"/>
          <w:sz w:val="24"/>
          <w:szCs w:val="24"/>
        </w:rPr>
        <w:lastRenderedPageBreak/>
        <w:t xml:space="preserve">ja uzraugošā </w:t>
      </w:r>
      <w:r w:rsidR="00C816D8" w:rsidRPr="0083189D">
        <w:rPr>
          <w:rFonts w:asciiTheme="majorHAnsi" w:hAnsiTheme="majorHAnsi" w:cstheme="majorHAnsi"/>
          <w:sz w:val="24"/>
          <w:szCs w:val="24"/>
        </w:rPr>
        <w:t>persona ti</w:t>
      </w:r>
      <w:r w:rsidR="00A85F7F" w:rsidRPr="0083189D">
        <w:rPr>
          <w:rFonts w:asciiTheme="majorHAnsi" w:hAnsiTheme="majorHAnsi" w:cstheme="majorHAnsi"/>
          <w:sz w:val="24"/>
          <w:szCs w:val="24"/>
        </w:rPr>
        <w:t>ek</w:t>
      </w:r>
      <w:r w:rsidR="00C816D8" w:rsidRPr="0083189D">
        <w:rPr>
          <w:rFonts w:asciiTheme="majorHAnsi" w:hAnsiTheme="majorHAnsi" w:cstheme="majorHAnsi"/>
          <w:sz w:val="24"/>
          <w:szCs w:val="24"/>
        </w:rPr>
        <w:t xml:space="preserve"> iecelta TAP </w:t>
      </w:r>
      <w:r w:rsidR="00A85F7F" w:rsidRPr="0083189D">
        <w:rPr>
          <w:rFonts w:asciiTheme="majorHAnsi" w:hAnsiTheme="majorHAnsi" w:cstheme="majorHAnsi"/>
          <w:sz w:val="24"/>
          <w:szCs w:val="24"/>
        </w:rPr>
        <w:t>īstenošanas stadijā, tās pienākums ir veikt uzraudzību par TAP pasākumu plāna izpildi</w:t>
      </w:r>
      <w:r w:rsidR="008F0CE8" w:rsidRPr="0083189D">
        <w:rPr>
          <w:rFonts w:asciiTheme="majorHAnsi" w:hAnsiTheme="majorHAnsi" w:cstheme="majorHAnsi"/>
          <w:sz w:val="24"/>
          <w:szCs w:val="24"/>
        </w:rPr>
        <w:t xml:space="preserve"> – gūt pārliecību par faktiski veiktajām darbībām un to atbilstību pasākumu plānam.</w:t>
      </w:r>
    </w:p>
    <w:p w14:paraId="7AFEED5D" w14:textId="1E307CE3" w:rsidR="002E22B9" w:rsidRPr="0083189D" w:rsidRDefault="002E22B9" w:rsidP="00867BD8">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Papildus Maksātnespējas likumā noteiktajām tiesībām un pienākumiem, uzraugošās personas darbību </w:t>
      </w:r>
      <w:r w:rsidR="00302032" w:rsidRPr="0083189D">
        <w:rPr>
          <w:rFonts w:asciiTheme="majorHAnsi" w:hAnsiTheme="majorHAnsi" w:cstheme="majorHAnsi"/>
          <w:sz w:val="24"/>
          <w:szCs w:val="24"/>
        </w:rPr>
        <w:t xml:space="preserve">nosaka arī Ministru kabineta 2023. gada 10. oktobra noteikumi </w:t>
      </w:r>
      <w:r w:rsidR="00973BD5" w:rsidRPr="0083189D">
        <w:rPr>
          <w:rFonts w:asciiTheme="majorHAnsi" w:hAnsiTheme="majorHAnsi" w:cstheme="majorHAnsi"/>
          <w:sz w:val="24"/>
          <w:szCs w:val="24"/>
        </w:rPr>
        <w:t>Nr. 568 "</w:t>
      </w:r>
      <w:r w:rsidR="00302032" w:rsidRPr="0083189D">
        <w:rPr>
          <w:rFonts w:asciiTheme="majorHAnsi" w:hAnsiTheme="majorHAnsi" w:cstheme="majorHAnsi"/>
          <w:sz w:val="24"/>
          <w:szCs w:val="24"/>
        </w:rPr>
        <w:t>Noteikumi par tiesiskās aizsardzības procesa uzraugošās personas darbības un atlīdzības noteikšanas principiem</w:t>
      </w:r>
      <w:r w:rsidR="00973BD5" w:rsidRPr="0083189D">
        <w:rPr>
          <w:rFonts w:asciiTheme="majorHAnsi" w:hAnsiTheme="majorHAnsi" w:cstheme="majorHAnsi"/>
          <w:sz w:val="24"/>
          <w:szCs w:val="24"/>
        </w:rPr>
        <w:t>".</w:t>
      </w:r>
    </w:p>
    <w:p w14:paraId="4E517AA9" w14:textId="08CDF961" w:rsidR="00CB6EE8" w:rsidRPr="0083189D" w:rsidRDefault="00CB6EE8" w:rsidP="00F66D47">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Ņemot vērā būtiskās izmaiņas TAP regulējumā kā tādā</w:t>
      </w:r>
      <w:r w:rsidR="00F67DF9" w:rsidRPr="0083189D">
        <w:rPr>
          <w:rFonts w:asciiTheme="majorHAnsi" w:hAnsiTheme="majorHAnsi" w:cstheme="majorHAnsi"/>
          <w:sz w:val="24"/>
          <w:szCs w:val="24"/>
        </w:rPr>
        <w:t xml:space="preserve">, kā arī uzraugošās personas </w:t>
      </w:r>
      <w:r w:rsidR="00083412" w:rsidRPr="0083189D">
        <w:rPr>
          <w:rFonts w:asciiTheme="majorHAnsi" w:hAnsiTheme="majorHAnsi" w:cstheme="majorHAnsi"/>
          <w:sz w:val="24"/>
          <w:szCs w:val="24"/>
        </w:rPr>
        <w:t xml:space="preserve">lomas maiņu TAP, MKD šīs stratēģijas darbības periodā </w:t>
      </w:r>
      <w:r w:rsidR="00D7091A" w:rsidRPr="0083189D">
        <w:rPr>
          <w:rFonts w:asciiTheme="majorHAnsi" w:hAnsiTheme="majorHAnsi" w:cstheme="majorHAnsi"/>
          <w:sz w:val="24"/>
          <w:szCs w:val="24"/>
        </w:rPr>
        <w:t xml:space="preserve">veiks pārbaudes par TAP norises atbilstību </w:t>
      </w:r>
      <w:r w:rsidR="00FB3E22" w:rsidRPr="0083189D">
        <w:rPr>
          <w:rFonts w:asciiTheme="majorHAnsi" w:hAnsiTheme="majorHAnsi" w:cstheme="majorHAnsi"/>
          <w:sz w:val="24"/>
          <w:szCs w:val="24"/>
        </w:rPr>
        <w:t xml:space="preserve">Maksātnespējas </w:t>
      </w:r>
      <w:r w:rsidR="00D7091A" w:rsidRPr="0083189D">
        <w:rPr>
          <w:rFonts w:asciiTheme="majorHAnsi" w:hAnsiTheme="majorHAnsi" w:cstheme="majorHAnsi"/>
          <w:sz w:val="24"/>
          <w:szCs w:val="24"/>
        </w:rPr>
        <w:t>likumam.</w:t>
      </w:r>
    </w:p>
    <w:tbl>
      <w:tblPr>
        <w:tblStyle w:val="Reatabula3-izclums5"/>
        <w:tblW w:w="0" w:type="auto"/>
        <w:tblLook w:val="04A0" w:firstRow="1" w:lastRow="0" w:firstColumn="1" w:lastColumn="0" w:noHBand="0" w:noVBand="1"/>
      </w:tblPr>
      <w:tblGrid>
        <w:gridCol w:w="2765"/>
        <w:gridCol w:w="2765"/>
        <w:gridCol w:w="2766"/>
      </w:tblGrid>
      <w:tr w:rsidR="00CB6EE8" w:rsidRPr="0083189D" w14:paraId="5F1E60AC" w14:textId="77777777" w:rsidTr="00867B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14:paraId="4C9A1A89" w14:textId="3BCC3FC8" w:rsidR="00CB6EE8" w:rsidRPr="00867BD8" w:rsidRDefault="00CB6EE8" w:rsidP="00627C36">
            <w:pPr>
              <w:spacing w:line="276" w:lineRule="auto"/>
              <w:jc w:val="both"/>
              <w:rPr>
                <w:rFonts w:asciiTheme="majorHAnsi" w:hAnsiTheme="majorHAnsi" w:cstheme="majorHAnsi"/>
                <w:b w:val="0"/>
                <w:bCs w:val="0"/>
                <w:i w:val="0"/>
                <w:iCs w:val="0"/>
                <w:sz w:val="24"/>
                <w:szCs w:val="24"/>
              </w:rPr>
            </w:pPr>
            <w:r w:rsidRPr="00086AB2">
              <w:rPr>
                <w:rFonts w:asciiTheme="majorHAnsi" w:hAnsiTheme="majorHAnsi" w:cstheme="majorHAnsi"/>
                <w:i w:val="0"/>
                <w:iCs w:val="0"/>
                <w:color w:val="2F5496" w:themeColor="accent1" w:themeShade="BF"/>
                <w:sz w:val="24"/>
                <w:szCs w:val="24"/>
              </w:rPr>
              <w:t>Faktors:</w:t>
            </w:r>
            <w:r w:rsidRPr="00867BD8">
              <w:rPr>
                <w:rFonts w:asciiTheme="majorHAnsi" w:hAnsiTheme="majorHAnsi" w:cstheme="majorHAnsi"/>
                <w:b w:val="0"/>
                <w:bCs w:val="0"/>
                <w:i w:val="0"/>
                <w:iCs w:val="0"/>
                <w:sz w:val="24"/>
                <w:szCs w:val="24"/>
              </w:rPr>
              <w:t xml:space="preserve"> </w:t>
            </w:r>
            <w:r w:rsidR="003A379F" w:rsidRPr="00867BD8">
              <w:rPr>
                <w:rFonts w:asciiTheme="majorHAnsi" w:hAnsiTheme="majorHAnsi" w:cstheme="majorHAnsi"/>
                <w:b w:val="0"/>
                <w:bCs w:val="0"/>
                <w:i w:val="0"/>
                <w:iCs w:val="0"/>
                <w:sz w:val="24"/>
                <w:szCs w:val="24"/>
              </w:rPr>
              <w:t xml:space="preserve">Nozīmīgas </w:t>
            </w:r>
            <w:r w:rsidR="00F638D1" w:rsidRPr="00867BD8">
              <w:rPr>
                <w:rFonts w:asciiTheme="majorHAnsi" w:hAnsiTheme="majorHAnsi" w:cstheme="majorHAnsi"/>
                <w:b w:val="0"/>
                <w:bCs w:val="0"/>
                <w:i w:val="0"/>
                <w:iCs w:val="0"/>
                <w:sz w:val="24"/>
                <w:szCs w:val="24"/>
              </w:rPr>
              <w:t>izmaiņas TAP regulējumā, kā arī uzraugošās personas lomas maiņa, paredzot tās dalību TAP pasākumu plāna izstrādē</w:t>
            </w:r>
            <w:r w:rsidR="004F7E27" w:rsidRPr="00867BD8">
              <w:rPr>
                <w:rFonts w:asciiTheme="majorHAnsi" w:hAnsiTheme="majorHAnsi" w:cstheme="majorHAnsi"/>
                <w:b w:val="0"/>
                <w:bCs w:val="0"/>
                <w:i w:val="0"/>
                <w:iCs w:val="0"/>
                <w:sz w:val="24"/>
                <w:szCs w:val="24"/>
              </w:rPr>
              <w:t xml:space="preserve"> u.c. pienākumus.</w:t>
            </w:r>
            <w:r w:rsidR="00E4155B" w:rsidRPr="00867BD8">
              <w:rPr>
                <w:rFonts w:asciiTheme="majorHAnsi" w:hAnsiTheme="majorHAnsi" w:cstheme="majorHAnsi"/>
                <w:b w:val="0"/>
                <w:bCs w:val="0"/>
                <w:i w:val="0"/>
                <w:iCs w:val="0"/>
                <w:sz w:val="24"/>
                <w:szCs w:val="24"/>
              </w:rPr>
              <w:t xml:space="preserve"> </w:t>
            </w:r>
          </w:p>
        </w:tc>
        <w:tc>
          <w:tcPr>
            <w:tcW w:w="2765" w:type="dxa"/>
          </w:tcPr>
          <w:p w14:paraId="4EF8D781" w14:textId="3EEFED14" w:rsidR="00CB6EE8" w:rsidRPr="00867BD8" w:rsidRDefault="00CB6EE8"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086AB2">
              <w:rPr>
                <w:rFonts w:asciiTheme="majorHAnsi" w:hAnsiTheme="majorHAnsi" w:cstheme="majorHAnsi"/>
                <w:color w:val="2F5496" w:themeColor="accent1" w:themeShade="BF"/>
                <w:sz w:val="24"/>
                <w:szCs w:val="24"/>
              </w:rPr>
              <w:t>Risks:</w:t>
            </w:r>
            <w:r w:rsidRPr="00867BD8">
              <w:rPr>
                <w:rFonts w:asciiTheme="majorHAnsi" w:hAnsiTheme="majorHAnsi" w:cstheme="majorHAnsi"/>
                <w:b w:val="0"/>
                <w:bCs w:val="0"/>
                <w:sz w:val="24"/>
                <w:szCs w:val="24"/>
              </w:rPr>
              <w:t xml:space="preserve"> </w:t>
            </w:r>
            <w:r w:rsidR="00E23DF6" w:rsidRPr="00867BD8">
              <w:rPr>
                <w:rFonts w:asciiTheme="majorHAnsi" w:hAnsiTheme="majorHAnsi" w:cstheme="majorHAnsi"/>
                <w:b w:val="0"/>
                <w:bCs w:val="0"/>
                <w:sz w:val="24"/>
                <w:szCs w:val="24"/>
              </w:rPr>
              <w:t xml:space="preserve"> </w:t>
            </w:r>
            <w:r w:rsidR="000B00B1" w:rsidRPr="00867BD8">
              <w:rPr>
                <w:rFonts w:asciiTheme="majorHAnsi" w:hAnsiTheme="majorHAnsi" w:cstheme="majorHAnsi"/>
                <w:b w:val="0"/>
                <w:bCs w:val="0"/>
                <w:sz w:val="24"/>
                <w:szCs w:val="24"/>
              </w:rPr>
              <w:t xml:space="preserve">Ņemot vērā </w:t>
            </w:r>
            <w:r w:rsidR="003A379F" w:rsidRPr="00867BD8">
              <w:rPr>
                <w:rFonts w:asciiTheme="majorHAnsi" w:hAnsiTheme="majorHAnsi" w:cstheme="majorHAnsi"/>
                <w:b w:val="0"/>
                <w:bCs w:val="0"/>
                <w:sz w:val="24"/>
                <w:szCs w:val="24"/>
              </w:rPr>
              <w:t>nozīmīgās</w:t>
            </w:r>
            <w:r w:rsidR="000B00B1" w:rsidRPr="00867BD8">
              <w:rPr>
                <w:rFonts w:asciiTheme="majorHAnsi" w:hAnsiTheme="majorHAnsi" w:cstheme="majorHAnsi"/>
                <w:b w:val="0"/>
                <w:bCs w:val="0"/>
                <w:sz w:val="24"/>
                <w:szCs w:val="24"/>
              </w:rPr>
              <w:t xml:space="preserve"> TAP regulējuma izmaiņas, pastāv risks, ka </w:t>
            </w:r>
            <w:r w:rsidR="00260443" w:rsidRPr="00867BD8">
              <w:rPr>
                <w:rFonts w:asciiTheme="majorHAnsi" w:hAnsiTheme="majorHAnsi" w:cstheme="majorHAnsi"/>
                <w:b w:val="0"/>
                <w:bCs w:val="0"/>
                <w:sz w:val="24"/>
                <w:szCs w:val="24"/>
              </w:rPr>
              <w:t xml:space="preserve">tas var tikt piemērots neatbilstoši, jo sevišķi attiecībā uz uzraugošās personas paplašinātajām pilnvarām. </w:t>
            </w:r>
            <w:r w:rsidR="00E34BA2" w:rsidRPr="00867BD8">
              <w:rPr>
                <w:rFonts w:asciiTheme="majorHAnsi" w:hAnsiTheme="majorHAnsi" w:cstheme="majorHAnsi"/>
                <w:b w:val="0"/>
                <w:bCs w:val="0"/>
                <w:sz w:val="24"/>
                <w:szCs w:val="24"/>
              </w:rPr>
              <w:t xml:space="preserve">Formāla iesaiste TAP pasākumu plāna </w:t>
            </w:r>
            <w:r w:rsidR="002355B7" w:rsidRPr="00867BD8">
              <w:rPr>
                <w:rFonts w:asciiTheme="majorHAnsi" w:hAnsiTheme="majorHAnsi" w:cstheme="majorHAnsi"/>
                <w:b w:val="0"/>
                <w:bCs w:val="0"/>
                <w:sz w:val="24"/>
                <w:szCs w:val="24"/>
              </w:rPr>
              <w:t xml:space="preserve">sagatavošanā var radīt risku </w:t>
            </w:r>
            <w:r w:rsidR="00CD75A8" w:rsidRPr="00867BD8">
              <w:rPr>
                <w:rFonts w:asciiTheme="majorHAnsi" w:hAnsiTheme="majorHAnsi" w:cstheme="majorHAnsi"/>
                <w:b w:val="0"/>
                <w:bCs w:val="0"/>
                <w:sz w:val="24"/>
                <w:szCs w:val="24"/>
              </w:rPr>
              <w:t>sagatavot tādu plānu, k</w:t>
            </w:r>
            <w:r w:rsidR="000D3767" w:rsidRPr="00867BD8">
              <w:rPr>
                <w:rFonts w:asciiTheme="majorHAnsi" w:hAnsiTheme="majorHAnsi" w:cstheme="majorHAnsi"/>
                <w:b w:val="0"/>
                <w:bCs w:val="0"/>
                <w:sz w:val="24"/>
                <w:szCs w:val="24"/>
              </w:rPr>
              <w:t xml:space="preserve">as </w:t>
            </w:r>
            <w:r w:rsidR="004F00AF" w:rsidRPr="00867BD8">
              <w:rPr>
                <w:rFonts w:asciiTheme="majorHAnsi" w:hAnsiTheme="majorHAnsi" w:cstheme="majorHAnsi"/>
                <w:b w:val="0"/>
                <w:bCs w:val="0"/>
                <w:sz w:val="24"/>
                <w:szCs w:val="24"/>
              </w:rPr>
              <w:t>nav izpildāms vai nevar sasniegt TAP mērķi, savukārt,</w:t>
            </w:r>
            <w:r w:rsidR="002355B7" w:rsidRPr="00867BD8">
              <w:rPr>
                <w:rFonts w:asciiTheme="majorHAnsi" w:hAnsiTheme="majorHAnsi" w:cstheme="majorHAnsi"/>
                <w:b w:val="0"/>
                <w:bCs w:val="0"/>
                <w:sz w:val="24"/>
                <w:szCs w:val="24"/>
              </w:rPr>
              <w:t xml:space="preserve"> formāla</w:t>
            </w:r>
            <w:r w:rsidR="004F00AF" w:rsidRPr="00867BD8">
              <w:rPr>
                <w:rFonts w:asciiTheme="majorHAnsi" w:hAnsiTheme="majorHAnsi" w:cstheme="majorHAnsi"/>
                <w:b w:val="0"/>
                <w:bCs w:val="0"/>
                <w:sz w:val="24"/>
                <w:szCs w:val="24"/>
              </w:rPr>
              <w:t xml:space="preserve"> vai </w:t>
            </w:r>
            <w:r w:rsidR="0091575F" w:rsidRPr="00867BD8">
              <w:rPr>
                <w:rFonts w:asciiTheme="majorHAnsi" w:hAnsiTheme="majorHAnsi" w:cstheme="majorHAnsi"/>
                <w:b w:val="0"/>
                <w:bCs w:val="0"/>
                <w:sz w:val="24"/>
                <w:szCs w:val="24"/>
              </w:rPr>
              <w:t>nepatiesa</w:t>
            </w:r>
            <w:r w:rsidR="002355B7" w:rsidRPr="00867BD8">
              <w:rPr>
                <w:rFonts w:asciiTheme="majorHAnsi" w:hAnsiTheme="majorHAnsi" w:cstheme="majorHAnsi"/>
                <w:b w:val="0"/>
                <w:bCs w:val="0"/>
                <w:sz w:val="24"/>
                <w:szCs w:val="24"/>
              </w:rPr>
              <w:t xml:space="preserve"> atzinuma</w:t>
            </w:r>
            <w:r w:rsidR="0091575F" w:rsidRPr="00867BD8">
              <w:rPr>
                <w:rFonts w:asciiTheme="majorHAnsi" w:hAnsiTheme="majorHAnsi" w:cstheme="majorHAnsi"/>
                <w:b w:val="0"/>
                <w:bCs w:val="0"/>
                <w:sz w:val="24"/>
                <w:szCs w:val="24"/>
              </w:rPr>
              <w:t xml:space="preserve"> par plānu</w:t>
            </w:r>
            <w:r w:rsidR="002355B7" w:rsidRPr="00867BD8">
              <w:rPr>
                <w:rFonts w:asciiTheme="majorHAnsi" w:hAnsiTheme="majorHAnsi" w:cstheme="majorHAnsi"/>
                <w:b w:val="0"/>
                <w:bCs w:val="0"/>
                <w:sz w:val="24"/>
                <w:szCs w:val="24"/>
              </w:rPr>
              <w:t xml:space="preserve"> sniegšana </w:t>
            </w:r>
            <w:r w:rsidR="0091575F" w:rsidRPr="00867BD8">
              <w:rPr>
                <w:rFonts w:asciiTheme="majorHAnsi" w:hAnsiTheme="majorHAnsi" w:cstheme="majorHAnsi"/>
                <w:b w:val="0"/>
                <w:bCs w:val="0"/>
                <w:sz w:val="24"/>
                <w:szCs w:val="24"/>
              </w:rPr>
              <w:t>var maldināt tiesu un citas TAP iesaistītās personas.</w:t>
            </w:r>
            <w:r w:rsidR="0081690C" w:rsidRPr="00867BD8">
              <w:rPr>
                <w:rFonts w:asciiTheme="majorHAnsi" w:hAnsiTheme="majorHAnsi" w:cstheme="majorHAnsi"/>
                <w:b w:val="0"/>
                <w:bCs w:val="0"/>
                <w:sz w:val="24"/>
                <w:szCs w:val="24"/>
              </w:rPr>
              <w:t xml:space="preserve"> Nepienācīgi veicot uzraudzību </w:t>
            </w:r>
            <w:r w:rsidR="0099013C" w:rsidRPr="00867BD8">
              <w:rPr>
                <w:rFonts w:asciiTheme="majorHAnsi" w:hAnsiTheme="majorHAnsi" w:cstheme="majorHAnsi"/>
                <w:b w:val="0"/>
                <w:bCs w:val="0"/>
                <w:sz w:val="24"/>
                <w:szCs w:val="24"/>
              </w:rPr>
              <w:t>par TAP norisi, uzraugošā persona rada risku nodarīt zaudējumus parādnieka kreditoriem.</w:t>
            </w:r>
          </w:p>
        </w:tc>
        <w:tc>
          <w:tcPr>
            <w:tcW w:w="2766" w:type="dxa"/>
          </w:tcPr>
          <w:p w14:paraId="3B70529F" w14:textId="6AAFC8ED" w:rsidR="00CB6EE8" w:rsidRPr="00867BD8" w:rsidRDefault="00CB6EE8"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086AB2">
              <w:rPr>
                <w:rFonts w:asciiTheme="majorHAnsi" w:hAnsiTheme="majorHAnsi" w:cstheme="majorHAnsi"/>
                <w:color w:val="2F5496" w:themeColor="accent1" w:themeShade="BF"/>
                <w:sz w:val="24"/>
                <w:szCs w:val="24"/>
              </w:rPr>
              <w:t>Ietekme:</w:t>
            </w:r>
            <w:r w:rsidRPr="00086AB2">
              <w:rPr>
                <w:rFonts w:asciiTheme="majorHAnsi" w:hAnsiTheme="majorHAnsi" w:cstheme="majorHAnsi"/>
                <w:b w:val="0"/>
                <w:bCs w:val="0"/>
                <w:color w:val="2F5496" w:themeColor="accent1" w:themeShade="BF"/>
                <w:sz w:val="24"/>
                <w:szCs w:val="24"/>
              </w:rPr>
              <w:t xml:space="preserve"> </w:t>
            </w:r>
            <w:r w:rsidR="005940C0" w:rsidRPr="00867BD8">
              <w:rPr>
                <w:rFonts w:asciiTheme="majorHAnsi" w:hAnsiTheme="majorHAnsi" w:cstheme="majorHAnsi"/>
                <w:b w:val="0"/>
                <w:bCs w:val="0"/>
                <w:sz w:val="24"/>
                <w:szCs w:val="24"/>
              </w:rPr>
              <w:t xml:space="preserve">Iestājoties identificētajiem riskiem, </w:t>
            </w:r>
            <w:r w:rsidR="009E1BF3" w:rsidRPr="00867BD8">
              <w:rPr>
                <w:rFonts w:asciiTheme="majorHAnsi" w:hAnsiTheme="majorHAnsi" w:cstheme="majorHAnsi"/>
                <w:b w:val="0"/>
                <w:bCs w:val="0"/>
                <w:sz w:val="24"/>
                <w:szCs w:val="24"/>
              </w:rPr>
              <w:t xml:space="preserve">tiešā veidā var tikt ietekmētas kreditoru intereses saņemt savu prasījumu apmierinājumu, kā arī apdraudēts TAP </w:t>
            </w:r>
            <w:r w:rsidR="00395227" w:rsidRPr="00867BD8">
              <w:rPr>
                <w:rFonts w:asciiTheme="majorHAnsi" w:hAnsiTheme="majorHAnsi" w:cstheme="majorHAnsi"/>
                <w:b w:val="0"/>
                <w:bCs w:val="0"/>
                <w:sz w:val="24"/>
                <w:szCs w:val="24"/>
              </w:rPr>
              <w:t xml:space="preserve">mērķis – atjaunot </w:t>
            </w:r>
            <w:r w:rsidR="00B012C0" w:rsidRPr="00867BD8">
              <w:rPr>
                <w:rFonts w:asciiTheme="majorHAnsi" w:hAnsiTheme="majorHAnsi" w:cstheme="majorHAnsi"/>
                <w:b w:val="0"/>
                <w:bCs w:val="0"/>
                <w:sz w:val="24"/>
                <w:szCs w:val="24"/>
              </w:rPr>
              <w:t>parādnieka spēju nokārtot savas saistības un turpināt veiksmīgu uzņēmējdarbību.</w:t>
            </w:r>
          </w:p>
        </w:tc>
      </w:tr>
      <w:tr w:rsidR="00CB6EE8" w:rsidRPr="0083189D" w14:paraId="70C8943E" w14:textId="77777777" w:rsidTr="0086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3"/>
          </w:tcPr>
          <w:p w14:paraId="2B6F8831" w14:textId="4638D852" w:rsidR="00CB6EE8" w:rsidRPr="00867BD8" w:rsidRDefault="00CB6EE8" w:rsidP="00627C36">
            <w:pPr>
              <w:spacing w:line="276" w:lineRule="auto"/>
              <w:jc w:val="both"/>
              <w:rPr>
                <w:rFonts w:asciiTheme="majorHAnsi" w:hAnsiTheme="majorHAnsi" w:cstheme="majorHAnsi"/>
                <w:i w:val="0"/>
                <w:iCs w:val="0"/>
                <w:sz w:val="24"/>
                <w:szCs w:val="24"/>
              </w:rPr>
            </w:pPr>
            <w:r w:rsidRPr="00086AB2">
              <w:rPr>
                <w:rFonts w:asciiTheme="majorHAnsi" w:hAnsiTheme="majorHAnsi" w:cstheme="majorHAnsi"/>
                <w:b/>
                <w:bCs/>
                <w:i w:val="0"/>
                <w:iCs w:val="0"/>
                <w:color w:val="2F5496" w:themeColor="accent1" w:themeShade="BF"/>
                <w:sz w:val="24"/>
                <w:szCs w:val="24"/>
              </w:rPr>
              <w:t>Prioritāte:</w:t>
            </w:r>
            <w:r w:rsidRPr="00086AB2">
              <w:rPr>
                <w:rFonts w:asciiTheme="majorHAnsi" w:hAnsiTheme="majorHAnsi" w:cstheme="majorHAnsi"/>
                <w:i w:val="0"/>
                <w:iCs w:val="0"/>
                <w:color w:val="2F5496" w:themeColor="accent1" w:themeShade="BF"/>
                <w:sz w:val="24"/>
                <w:szCs w:val="24"/>
              </w:rPr>
              <w:t xml:space="preserve"> </w:t>
            </w:r>
            <w:r w:rsidR="00BC7A7C" w:rsidRPr="00867BD8">
              <w:rPr>
                <w:rFonts w:asciiTheme="majorHAnsi" w:hAnsiTheme="majorHAnsi" w:cstheme="majorHAnsi"/>
                <w:i w:val="0"/>
                <w:iCs w:val="0"/>
                <w:sz w:val="24"/>
                <w:szCs w:val="24"/>
              </w:rPr>
              <w:t>TAP no</w:t>
            </w:r>
            <w:r w:rsidR="00181C14" w:rsidRPr="00867BD8">
              <w:rPr>
                <w:rFonts w:asciiTheme="majorHAnsi" w:hAnsiTheme="majorHAnsi" w:cstheme="majorHAnsi"/>
                <w:i w:val="0"/>
                <w:iCs w:val="0"/>
                <w:sz w:val="24"/>
                <w:szCs w:val="24"/>
              </w:rPr>
              <w:t>ris atbilstoši normatīvo aktu prasībām. Uzraugošā</w:t>
            </w:r>
            <w:r w:rsidR="00C243D6" w:rsidRPr="00867BD8">
              <w:rPr>
                <w:rFonts w:asciiTheme="majorHAnsi" w:hAnsiTheme="majorHAnsi" w:cstheme="majorHAnsi"/>
                <w:i w:val="0"/>
                <w:iCs w:val="0"/>
                <w:sz w:val="24"/>
                <w:szCs w:val="24"/>
              </w:rPr>
              <w:t>s</w:t>
            </w:r>
            <w:r w:rsidR="00181C14" w:rsidRPr="00867BD8">
              <w:rPr>
                <w:rFonts w:asciiTheme="majorHAnsi" w:hAnsiTheme="majorHAnsi" w:cstheme="majorHAnsi"/>
                <w:i w:val="0"/>
                <w:iCs w:val="0"/>
                <w:sz w:val="24"/>
                <w:szCs w:val="24"/>
              </w:rPr>
              <w:t xml:space="preserve"> persona</w:t>
            </w:r>
            <w:r w:rsidR="00C243D6" w:rsidRPr="00867BD8">
              <w:rPr>
                <w:rFonts w:asciiTheme="majorHAnsi" w:hAnsiTheme="majorHAnsi" w:cstheme="majorHAnsi"/>
                <w:i w:val="0"/>
                <w:iCs w:val="0"/>
                <w:sz w:val="24"/>
                <w:szCs w:val="24"/>
              </w:rPr>
              <w:t>s</w:t>
            </w:r>
            <w:r w:rsidR="00181C14" w:rsidRPr="00867BD8">
              <w:rPr>
                <w:rFonts w:asciiTheme="majorHAnsi" w:hAnsiTheme="majorHAnsi" w:cstheme="majorHAnsi"/>
                <w:i w:val="0"/>
                <w:iCs w:val="0"/>
                <w:sz w:val="24"/>
                <w:szCs w:val="24"/>
              </w:rPr>
              <w:t xml:space="preserve"> </w:t>
            </w:r>
            <w:r w:rsidR="005026DF" w:rsidRPr="00867BD8">
              <w:rPr>
                <w:rFonts w:asciiTheme="majorHAnsi" w:hAnsiTheme="majorHAnsi" w:cstheme="majorHAnsi"/>
                <w:i w:val="0"/>
                <w:iCs w:val="0"/>
                <w:sz w:val="24"/>
                <w:szCs w:val="24"/>
              </w:rPr>
              <w:t>rīkojas</w:t>
            </w:r>
            <w:r w:rsidR="008F759B" w:rsidRPr="00867BD8">
              <w:rPr>
                <w:rFonts w:asciiTheme="majorHAnsi" w:hAnsiTheme="majorHAnsi" w:cstheme="majorHAnsi"/>
                <w:i w:val="0"/>
                <w:iCs w:val="0"/>
                <w:sz w:val="24"/>
                <w:szCs w:val="24"/>
              </w:rPr>
              <w:t xml:space="preserve"> </w:t>
            </w:r>
            <w:r w:rsidR="00E763E7" w:rsidRPr="00867BD8">
              <w:rPr>
                <w:rFonts w:asciiTheme="majorHAnsi" w:hAnsiTheme="majorHAnsi" w:cstheme="majorHAnsi"/>
                <w:i w:val="0"/>
                <w:iCs w:val="0"/>
                <w:sz w:val="24"/>
                <w:szCs w:val="24"/>
              </w:rPr>
              <w:t>atbilstoši normatīvo aktu prasībām</w:t>
            </w:r>
            <w:r w:rsidR="002E47BC" w:rsidRPr="00867BD8">
              <w:rPr>
                <w:rFonts w:asciiTheme="majorHAnsi" w:hAnsiTheme="majorHAnsi" w:cstheme="majorHAnsi"/>
                <w:i w:val="0"/>
                <w:iCs w:val="0"/>
                <w:sz w:val="24"/>
                <w:szCs w:val="24"/>
              </w:rPr>
              <w:t xml:space="preserve">, </w:t>
            </w:r>
            <w:r w:rsidR="005026DF" w:rsidRPr="00867BD8">
              <w:rPr>
                <w:rFonts w:asciiTheme="majorHAnsi" w:hAnsiTheme="majorHAnsi" w:cstheme="majorHAnsi"/>
                <w:i w:val="0"/>
                <w:iCs w:val="0"/>
                <w:sz w:val="24"/>
                <w:szCs w:val="24"/>
              </w:rPr>
              <w:t>pienākumus pildot un tiesības izlietojot pēc būtības, nevis formāli.</w:t>
            </w:r>
            <w:r w:rsidR="005026DF" w:rsidRPr="00867BD8">
              <w:rPr>
                <w:rFonts w:asciiTheme="majorHAnsi" w:hAnsiTheme="majorHAnsi" w:cstheme="majorHAnsi"/>
                <w:i w:val="0"/>
                <w:iCs w:val="0"/>
              </w:rPr>
              <w:t xml:space="preserve"> </w:t>
            </w:r>
          </w:p>
        </w:tc>
      </w:tr>
    </w:tbl>
    <w:p w14:paraId="6D752BC8" w14:textId="77777777" w:rsidR="00973BD5" w:rsidRPr="0083189D" w:rsidRDefault="00973BD5" w:rsidP="00627C36">
      <w:pPr>
        <w:spacing w:line="276" w:lineRule="auto"/>
        <w:ind w:firstLine="360"/>
        <w:jc w:val="both"/>
        <w:rPr>
          <w:rFonts w:asciiTheme="majorHAnsi" w:hAnsiTheme="majorHAnsi" w:cstheme="majorHAnsi"/>
          <w:sz w:val="24"/>
          <w:szCs w:val="24"/>
        </w:rPr>
      </w:pPr>
    </w:p>
    <w:p w14:paraId="68907E3F" w14:textId="77777777" w:rsidR="00676BF6" w:rsidRDefault="00676BF6">
      <w:pPr>
        <w:rPr>
          <w:rFonts w:asciiTheme="majorHAnsi" w:eastAsiaTheme="majorEastAsia" w:hAnsiTheme="majorHAnsi" w:cstheme="majorHAnsi"/>
          <w:color w:val="1F3763" w:themeColor="accent1" w:themeShade="7F"/>
          <w:sz w:val="24"/>
          <w:szCs w:val="24"/>
        </w:rPr>
      </w:pPr>
      <w:bookmarkStart w:id="10" w:name="_Toc154665206"/>
      <w:r>
        <w:rPr>
          <w:rFonts w:cstheme="majorHAnsi"/>
        </w:rPr>
        <w:br w:type="page"/>
      </w:r>
    </w:p>
    <w:p w14:paraId="5C22228D" w14:textId="48C92B57" w:rsidR="00B3199B" w:rsidRDefault="00B3199B" w:rsidP="002656C3">
      <w:pPr>
        <w:pStyle w:val="Virsraksts3"/>
        <w:numPr>
          <w:ilvl w:val="2"/>
          <w:numId w:val="1"/>
        </w:numPr>
        <w:spacing w:line="276" w:lineRule="auto"/>
        <w:ind w:left="720"/>
        <w:rPr>
          <w:rFonts w:cstheme="majorHAnsi"/>
        </w:rPr>
      </w:pPr>
      <w:r w:rsidRPr="0083189D">
        <w:rPr>
          <w:rFonts w:cstheme="majorHAnsi"/>
        </w:rPr>
        <w:lastRenderedPageBreak/>
        <w:t>Fizisko personu godprātība</w:t>
      </w:r>
      <w:bookmarkEnd w:id="10"/>
    </w:p>
    <w:p w14:paraId="01C5BE9F" w14:textId="77777777" w:rsidR="002656C3" w:rsidRPr="002656C3" w:rsidRDefault="002656C3" w:rsidP="002656C3">
      <w:pPr>
        <w:spacing w:after="0"/>
      </w:pPr>
    </w:p>
    <w:p w14:paraId="25DA1229" w14:textId="0F87865D" w:rsidR="00833EAB" w:rsidRPr="0083189D" w:rsidRDefault="002E28E4" w:rsidP="002656C3">
      <w:pPr>
        <w:spacing w:after="0"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Fiziskās personas maksātnespējas procesa ietvaros s</w:t>
      </w:r>
      <w:r w:rsidR="00833EAB" w:rsidRPr="0083189D">
        <w:rPr>
          <w:rFonts w:asciiTheme="majorHAnsi" w:hAnsiTheme="majorHAnsi" w:cstheme="majorHAnsi"/>
          <w:sz w:val="24"/>
          <w:szCs w:val="24"/>
        </w:rPr>
        <w:t>aistību dzēšana ir piemērojama tikai godprātīg</w:t>
      </w:r>
      <w:r w:rsidR="008129DF" w:rsidRPr="0083189D">
        <w:rPr>
          <w:rFonts w:asciiTheme="majorHAnsi" w:hAnsiTheme="majorHAnsi" w:cstheme="majorHAnsi"/>
          <w:sz w:val="24"/>
          <w:szCs w:val="24"/>
        </w:rPr>
        <w:t>iem</w:t>
      </w:r>
      <w:r w:rsidR="00833EAB" w:rsidRPr="0083189D">
        <w:rPr>
          <w:rFonts w:asciiTheme="majorHAnsi" w:hAnsiTheme="majorHAnsi" w:cstheme="majorHAnsi"/>
          <w:sz w:val="24"/>
          <w:szCs w:val="24"/>
        </w:rPr>
        <w:t xml:space="preserve"> </w:t>
      </w:r>
      <w:r w:rsidR="008129DF" w:rsidRPr="0083189D">
        <w:rPr>
          <w:rFonts w:asciiTheme="majorHAnsi" w:hAnsiTheme="majorHAnsi" w:cstheme="majorHAnsi"/>
          <w:sz w:val="24"/>
          <w:szCs w:val="24"/>
        </w:rPr>
        <w:t>parādniekiem</w:t>
      </w:r>
      <w:r w:rsidR="00833EAB" w:rsidRPr="0083189D">
        <w:rPr>
          <w:rFonts w:asciiTheme="majorHAnsi" w:hAnsiTheme="majorHAnsi" w:cstheme="majorHAnsi"/>
          <w:sz w:val="24"/>
          <w:szCs w:val="24"/>
        </w:rPr>
        <w:t xml:space="preserve">. Godprātības </w:t>
      </w:r>
      <w:r w:rsidR="00845D96" w:rsidRPr="0083189D">
        <w:rPr>
          <w:rFonts w:asciiTheme="majorHAnsi" w:hAnsiTheme="majorHAnsi" w:cstheme="majorHAnsi"/>
          <w:sz w:val="24"/>
          <w:szCs w:val="24"/>
        </w:rPr>
        <w:t xml:space="preserve">elements </w:t>
      </w:r>
      <w:r w:rsidRPr="0083189D">
        <w:rPr>
          <w:rFonts w:asciiTheme="majorHAnsi" w:hAnsiTheme="majorHAnsi" w:cstheme="majorHAnsi"/>
          <w:sz w:val="24"/>
          <w:szCs w:val="24"/>
        </w:rPr>
        <w:t xml:space="preserve">ir vērtējams </w:t>
      </w:r>
      <w:r w:rsidR="009F299C" w:rsidRPr="0083189D">
        <w:rPr>
          <w:rFonts w:asciiTheme="majorHAnsi" w:hAnsiTheme="majorHAnsi" w:cstheme="majorHAnsi"/>
          <w:sz w:val="24"/>
          <w:szCs w:val="24"/>
        </w:rPr>
        <w:t xml:space="preserve">pēc </w:t>
      </w:r>
      <w:r w:rsidR="001A4347" w:rsidRPr="0083189D">
        <w:rPr>
          <w:rFonts w:asciiTheme="majorHAnsi" w:hAnsiTheme="majorHAnsi" w:cstheme="majorHAnsi"/>
          <w:sz w:val="24"/>
          <w:szCs w:val="24"/>
        </w:rPr>
        <w:t>dažādiem</w:t>
      </w:r>
      <w:r w:rsidR="009F299C" w:rsidRPr="0083189D">
        <w:rPr>
          <w:rFonts w:asciiTheme="majorHAnsi" w:hAnsiTheme="majorHAnsi" w:cstheme="majorHAnsi"/>
          <w:sz w:val="24"/>
          <w:szCs w:val="24"/>
        </w:rPr>
        <w:t xml:space="preserve"> kritērijiem – vai parādnieks nav apzināti sevi novedis </w:t>
      </w:r>
      <w:r w:rsidR="0082018A" w:rsidRPr="0083189D">
        <w:rPr>
          <w:rFonts w:asciiTheme="majorHAnsi" w:hAnsiTheme="majorHAnsi" w:cstheme="majorHAnsi"/>
          <w:sz w:val="24"/>
          <w:szCs w:val="24"/>
        </w:rPr>
        <w:t xml:space="preserve">līdz nespējai segt savas saistības, vai gūst ienākumus atbilstoši savām spējām, vai neslēpj savus ienākumus un mantu, vai </w:t>
      </w:r>
      <w:r w:rsidR="00807CF9" w:rsidRPr="0083189D">
        <w:rPr>
          <w:rFonts w:asciiTheme="majorHAnsi" w:hAnsiTheme="majorHAnsi" w:cstheme="majorHAnsi"/>
          <w:sz w:val="24"/>
          <w:szCs w:val="24"/>
        </w:rPr>
        <w:t>sedz kreditoru prasījumus atbilstoši saviem faktiskajiem ienākumiem u.c.</w:t>
      </w:r>
    </w:p>
    <w:p w14:paraId="4E0301CA" w14:textId="41E32145" w:rsidR="00807CF9" w:rsidRPr="0083189D" w:rsidRDefault="00807CF9" w:rsidP="002656C3">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MKD </w:t>
      </w:r>
      <w:r w:rsidR="000C7955" w:rsidRPr="0083189D">
        <w:rPr>
          <w:rFonts w:asciiTheme="majorHAnsi" w:hAnsiTheme="majorHAnsi" w:cstheme="majorHAnsi"/>
          <w:sz w:val="24"/>
          <w:szCs w:val="24"/>
        </w:rPr>
        <w:t xml:space="preserve">redzes lokā ir nonākusi informācija, ka </w:t>
      </w:r>
      <w:r w:rsidR="004B7D93" w:rsidRPr="0083189D">
        <w:rPr>
          <w:rFonts w:asciiTheme="majorHAnsi" w:hAnsiTheme="majorHAnsi" w:cstheme="majorHAnsi"/>
          <w:sz w:val="24"/>
          <w:szCs w:val="24"/>
        </w:rPr>
        <w:t xml:space="preserve">pastiprināta uzmanība uzraudzības ietvaros būtu jāpievērš tam, vai administratori fizisko personu maksātnespējas procesos vērtē parādnieka godprātību un </w:t>
      </w:r>
      <w:r w:rsidR="00631A77" w:rsidRPr="0083189D">
        <w:rPr>
          <w:rFonts w:asciiTheme="majorHAnsi" w:hAnsiTheme="majorHAnsi" w:cstheme="majorHAnsi"/>
          <w:sz w:val="24"/>
          <w:szCs w:val="24"/>
        </w:rPr>
        <w:t xml:space="preserve">rīkojas atbilstoši likumam, ja konstatē </w:t>
      </w:r>
      <w:r w:rsidR="00D71B81" w:rsidRPr="0083189D">
        <w:rPr>
          <w:rFonts w:asciiTheme="majorHAnsi" w:hAnsiTheme="majorHAnsi" w:cstheme="majorHAnsi"/>
          <w:sz w:val="24"/>
          <w:szCs w:val="24"/>
        </w:rPr>
        <w:t xml:space="preserve">pārkāpumus. Līdz ar to </w:t>
      </w:r>
      <w:r w:rsidR="005770AC" w:rsidRPr="0083189D">
        <w:rPr>
          <w:rFonts w:asciiTheme="majorHAnsi" w:hAnsiTheme="majorHAnsi" w:cstheme="majorHAnsi"/>
          <w:sz w:val="24"/>
          <w:szCs w:val="24"/>
        </w:rPr>
        <w:t>MKD</w:t>
      </w:r>
      <w:r w:rsidR="00640738" w:rsidRPr="0083189D">
        <w:rPr>
          <w:rFonts w:asciiTheme="majorHAnsi" w:hAnsiTheme="majorHAnsi" w:cstheme="majorHAnsi"/>
          <w:sz w:val="24"/>
          <w:szCs w:val="24"/>
        </w:rPr>
        <w:t>,</w:t>
      </w:r>
      <w:r w:rsidR="005770AC" w:rsidRPr="0083189D">
        <w:rPr>
          <w:rFonts w:asciiTheme="majorHAnsi" w:hAnsiTheme="majorHAnsi" w:cstheme="majorHAnsi"/>
          <w:sz w:val="24"/>
          <w:szCs w:val="24"/>
        </w:rPr>
        <w:t xml:space="preserve"> </w:t>
      </w:r>
      <w:r w:rsidR="00640738" w:rsidRPr="0083189D">
        <w:rPr>
          <w:rFonts w:asciiTheme="majorHAnsi" w:hAnsiTheme="majorHAnsi" w:cstheme="majorHAnsi"/>
          <w:sz w:val="24"/>
          <w:szCs w:val="24"/>
        </w:rPr>
        <w:t xml:space="preserve">stratēģijas darbības periodā veicot uzraudzību, pastiprinātu uzmanību pievērsīs šim </w:t>
      </w:r>
      <w:r w:rsidR="00B858D8" w:rsidRPr="0083189D">
        <w:rPr>
          <w:rFonts w:asciiTheme="majorHAnsi" w:hAnsiTheme="majorHAnsi" w:cstheme="majorHAnsi"/>
          <w:sz w:val="24"/>
          <w:szCs w:val="24"/>
        </w:rPr>
        <w:t>aspektam.</w:t>
      </w:r>
    </w:p>
    <w:tbl>
      <w:tblPr>
        <w:tblStyle w:val="Reatabula3-izclums5"/>
        <w:tblW w:w="0" w:type="auto"/>
        <w:tblLook w:val="04A0" w:firstRow="1" w:lastRow="0" w:firstColumn="1" w:lastColumn="0" w:noHBand="0" w:noVBand="1"/>
      </w:tblPr>
      <w:tblGrid>
        <w:gridCol w:w="2765"/>
        <w:gridCol w:w="2765"/>
        <w:gridCol w:w="2766"/>
      </w:tblGrid>
      <w:tr w:rsidR="00B858D8" w:rsidRPr="0083189D" w14:paraId="777D9C8C" w14:textId="77777777" w:rsidTr="00F66D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14:paraId="2B08848A" w14:textId="0D2275A8" w:rsidR="00B858D8" w:rsidRPr="00F66D47" w:rsidRDefault="00B858D8" w:rsidP="00627C36">
            <w:pPr>
              <w:spacing w:line="276" w:lineRule="auto"/>
              <w:jc w:val="both"/>
              <w:rPr>
                <w:rFonts w:asciiTheme="majorHAnsi" w:hAnsiTheme="majorHAnsi" w:cstheme="majorHAnsi"/>
                <w:b w:val="0"/>
                <w:bCs w:val="0"/>
                <w:i w:val="0"/>
                <w:iCs w:val="0"/>
                <w:sz w:val="24"/>
                <w:szCs w:val="24"/>
              </w:rPr>
            </w:pPr>
            <w:r w:rsidRPr="00F66D47">
              <w:rPr>
                <w:rFonts w:asciiTheme="majorHAnsi" w:hAnsiTheme="majorHAnsi" w:cstheme="majorHAnsi"/>
                <w:i w:val="0"/>
                <w:iCs w:val="0"/>
                <w:color w:val="2F5496" w:themeColor="accent1" w:themeShade="BF"/>
                <w:sz w:val="24"/>
                <w:szCs w:val="24"/>
              </w:rPr>
              <w:t xml:space="preserve">Faktors: </w:t>
            </w:r>
            <w:r w:rsidR="009439E8" w:rsidRPr="00F66D47">
              <w:rPr>
                <w:rFonts w:asciiTheme="majorHAnsi" w:hAnsiTheme="majorHAnsi" w:cstheme="majorHAnsi"/>
                <w:b w:val="0"/>
                <w:bCs w:val="0"/>
                <w:i w:val="0"/>
                <w:iCs w:val="0"/>
                <w:sz w:val="24"/>
                <w:szCs w:val="24"/>
              </w:rPr>
              <w:t>Fiziskās personas maksātnespējas procesos nav godprātīgas</w:t>
            </w:r>
            <w:r w:rsidR="00F43141" w:rsidRPr="00F66D47">
              <w:rPr>
                <w:rFonts w:asciiTheme="majorHAnsi" w:hAnsiTheme="majorHAnsi" w:cstheme="majorHAnsi"/>
                <w:b w:val="0"/>
                <w:bCs w:val="0"/>
                <w:i w:val="0"/>
                <w:iCs w:val="0"/>
                <w:sz w:val="24"/>
                <w:szCs w:val="24"/>
              </w:rPr>
              <w:t xml:space="preserve"> un </w:t>
            </w:r>
            <w:proofErr w:type="spellStart"/>
            <w:r w:rsidR="00F43141" w:rsidRPr="00F66D47">
              <w:rPr>
                <w:rFonts w:asciiTheme="majorHAnsi" w:hAnsiTheme="majorHAnsi" w:cstheme="majorHAnsi"/>
                <w:b w:val="0"/>
                <w:bCs w:val="0"/>
                <w:i w:val="0"/>
                <w:iCs w:val="0"/>
                <w:sz w:val="24"/>
                <w:szCs w:val="24"/>
              </w:rPr>
              <w:t>pretdarbojas</w:t>
            </w:r>
            <w:proofErr w:type="spellEnd"/>
            <w:r w:rsidR="00F43141" w:rsidRPr="00F66D47">
              <w:rPr>
                <w:rFonts w:asciiTheme="majorHAnsi" w:hAnsiTheme="majorHAnsi" w:cstheme="majorHAnsi"/>
                <w:b w:val="0"/>
                <w:bCs w:val="0"/>
                <w:i w:val="0"/>
                <w:iCs w:val="0"/>
                <w:sz w:val="24"/>
                <w:szCs w:val="24"/>
              </w:rPr>
              <w:t xml:space="preserve"> fiziskās personas maksātnespējas procesa mērķim – segt kreditoru prasījumus pēc iespējas lielākā apmērā.</w:t>
            </w:r>
            <w:r w:rsidRPr="00F66D47">
              <w:rPr>
                <w:rFonts w:asciiTheme="majorHAnsi" w:hAnsiTheme="majorHAnsi" w:cstheme="majorHAnsi"/>
                <w:b w:val="0"/>
                <w:bCs w:val="0"/>
                <w:i w:val="0"/>
                <w:iCs w:val="0"/>
                <w:sz w:val="24"/>
                <w:szCs w:val="24"/>
              </w:rPr>
              <w:t xml:space="preserve"> </w:t>
            </w:r>
          </w:p>
        </w:tc>
        <w:tc>
          <w:tcPr>
            <w:tcW w:w="2765" w:type="dxa"/>
          </w:tcPr>
          <w:p w14:paraId="00D15DB4" w14:textId="6275C4F3" w:rsidR="00B858D8" w:rsidRPr="00F66D47" w:rsidRDefault="00B858D8"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F66D47">
              <w:rPr>
                <w:rFonts w:asciiTheme="majorHAnsi" w:hAnsiTheme="majorHAnsi" w:cstheme="majorHAnsi"/>
                <w:color w:val="2F5496" w:themeColor="accent1" w:themeShade="BF"/>
                <w:sz w:val="24"/>
                <w:szCs w:val="24"/>
              </w:rPr>
              <w:t>Risks:</w:t>
            </w:r>
            <w:r w:rsidRPr="00F66D47">
              <w:rPr>
                <w:rFonts w:asciiTheme="majorHAnsi" w:hAnsiTheme="majorHAnsi" w:cstheme="majorHAnsi"/>
                <w:b w:val="0"/>
                <w:bCs w:val="0"/>
                <w:sz w:val="24"/>
                <w:szCs w:val="24"/>
              </w:rPr>
              <w:t xml:space="preserve"> </w:t>
            </w:r>
            <w:r w:rsidR="002F1B05" w:rsidRPr="00F66D47">
              <w:rPr>
                <w:rFonts w:asciiTheme="majorHAnsi" w:hAnsiTheme="majorHAnsi" w:cstheme="majorHAnsi"/>
                <w:b w:val="0"/>
                <w:bCs w:val="0"/>
                <w:sz w:val="24"/>
                <w:szCs w:val="24"/>
              </w:rPr>
              <w:t xml:space="preserve">Administratoram neveicot </w:t>
            </w:r>
            <w:r w:rsidR="00DB7C15" w:rsidRPr="00F66D47">
              <w:rPr>
                <w:rFonts w:asciiTheme="majorHAnsi" w:hAnsiTheme="majorHAnsi" w:cstheme="majorHAnsi"/>
                <w:b w:val="0"/>
                <w:bCs w:val="0"/>
                <w:sz w:val="24"/>
                <w:szCs w:val="24"/>
              </w:rPr>
              <w:t xml:space="preserve">vispusīgu </w:t>
            </w:r>
            <w:r w:rsidR="002F1B05" w:rsidRPr="00F66D47">
              <w:rPr>
                <w:rFonts w:asciiTheme="majorHAnsi" w:hAnsiTheme="majorHAnsi" w:cstheme="majorHAnsi"/>
                <w:b w:val="0"/>
                <w:bCs w:val="0"/>
                <w:sz w:val="24"/>
                <w:szCs w:val="24"/>
              </w:rPr>
              <w:t>fiziskās personas uzraudzību, pastāv risks, ka saistību dzēšana var tikt piemērota tādam parādniekam, kurš nav bijis labticīgs.</w:t>
            </w:r>
          </w:p>
        </w:tc>
        <w:tc>
          <w:tcPr>
            <w:tcW w:w="2766" w:type="dxa"/>
          </w:tcPr>
          <w:p w14:paraId="7B048560" w14:textId="20C7B482" w:rsidR="00B858D8" w:rsidRPr="00F66D47" w:rsidRDefault="00B858D8" w:rsidP="00627C36">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4"/>
                <w:szCs w:val="24"/>
              </w:rPr>
            </w:pPr>
            <w:r w:rsidRPr="00F66D47">
              <w:rPr>
                <w:rFonts w:asciiTheme="majorHAnsi" w:hAnsiTheme="majorHAnsi" w:cstheme="majorHAnsi"/>
                <w:color w:val="2F5496" w:themeColor="accent1" w:themeShade="BF"/>
                <w:sz w:val="24"/>
                <w:szCs w:val="24"/>
              </w:rPr>
              <w:t>Ietekme:</w:t>
            </w:r>
            <w:r w:rsidRPr="00F66D47">
              <w:rPr>
                <w:rFonts w:asciiTheme="majorHAnsi" w:hAnsiTheme="majorHAnsi" w:cstheme="majorHAnsi"/>
                <w:b w:val="0"/>
                <w:bCs w:val="0"/>
                <w:sz w:val="24"/>
                <w:szCs w:val="24"/>
              </w:rPr>
              <w:t xml:space="preserve"> </w:t>
            </w:r>
            <w:r w:rsidR="002F1B05" w:rsidRPr="00F66D47">
              <w:rPr>
                <w:rFonts w:asciiTheme="majorHAnsi" w:hAnsiTheme="majorHAnsi" w:cstheme="majorHAnsi"/>
                <w:b w:val="0"/>
                <w:bCs w:val="0"/>
                <w:sz w:val="24"/>
                <w:szCs w:val="24"/>
              </w:rPr>
              <w:t xml:space="preserve">Iestājoties šādam riskam, nepamatoti tiek aizskartas kreditoru intereses saņemt savu prasījumu pēc iespējas lielākā apmērā. </w:t>
            </w:r>
          </w:p>
        </w:tc>
      </w:tr>
      <w:tr w:rsidR="00B858D8" w:rsidRPr="0083189D" w14:paraId="73C55EEF" w14:textId="77777777" w:rsidTr="00F66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3"/>
          </w:tcPr>
          <w:p w14:paraId="28EBA929" w14:textId="4971B12E" w:rsidR="00B858D8" w:rsidRPr="00F66D47" w:rsidRDefault="00B858D8" w:rsidP="00627C36">
            <w:pPr>
              <w:spacing w:line="276" w:lineRule="auto"/>
              <w:jc w:val="both"/>
              <w:rPr>
                <w:rFonts w:asciiTheme="majorHAnsi" w:hAnsiTheme="majorHAnsi" w:cstheme="majorHAnsi"/>
                <w:i w:val="0"/>
                <w:iCs w:val="0"/>
                <w:sz w:val="24"/>
                <w:szCs w:val="24"/>
              </w:rPr>
            </w:pPr>
            <w:r w:rsidRPr="00F66D47">
              <w:rPr>
                <w:rFonts w:asciiTheme="majorHAnsi" w:hAnsiTheme="majorHAnsi" w:cstheme="majorHAnsi"/>
                <w:b/>
                <w:bCs/>
                <w:i w:val="0"/>
                <w:iCs w:val="0"/>
                <w:color w:val="2F5496" w:themeColor="accent1" w:themeShade="BF"/>
                <w:sz w:val="24"/>
                <w:szCs w:val="24"/>
              </w:rPr>
              <w:t xml:space="preserve">Prioritāte: </w:t>
            </w:r>
            <w:r w:rsidR="00C243D6" w:rsidRPr="00F66D47">
              <w:rPr>
                <w:rFonts w:asciiTheme="majorHAnsi" w:hAnsiTheme="majorHAnsi" w:cstheme="majorHAnsi"/>
                <w:i w:val="0"/>
                <w:iCs w:val="0"/>
                <w:sz w:val="24"/>
                <w:szCs w:val="24"/>
              </w:rPr>
              <w:t xml:space="preserve">Administratori ir </w:t>
            </w:r>
            <w:r w:rsidR="00CA41ED" w:rsidRPr="00F66D47">
              <w:rPr>
                <w:rFonts w:asciiTheme="majorHAnsi" w:hAnsiTheme="majorHAnsi" w:cstheme="majorHAnsi"/>
                <w:i w:val="0"/>
                <w:iCs w:val="0"/>
                <w:sz w:val="24"/>
                <w:szCs w:val="24"/>
              </w:rPr>
              <w:t xml:space="preserve">izvērtējuši </w:t>
            </w:r>
            <w:r w:rsidR="00AD2182" w:rsidRPr="00F66D47">
              <w:rPr>
                <w:rFonts w:asciiTheme="majorHAnsi" w:hAnsiTheme="majorHAnsi" w:cstheme="majorHAnsi"/>
                <w:i w:val="0"/>
                <w:iCs w:val="0"/>
                <w:sz w:val="24"/>
                <w:szCs w:val="24"/>
              </w:rPr>
              <w:t>parādnieka – fiziskās personas godprātību</w:t>
            </w:r>
            <w:r w:rsidR="00010DC4" w:rsidRPr="00F66D47">
              <w:rPr>
                <w:rFonts w:asciiTheme="majorHAnsi" w:hAnsiTheme="majorHAnsi" w:cstheme="majorHAnsi"/>
                <w:i w:val="0"/>
                <w:iCs w:val="0"/>
                <w:sz w:val="24"/>
                <w:szCs w:val="24"/>
              </w:rPr>
              <w:t xml:space="preserve">, un rīkojušies atbilstoši </w:t>
            </w:r>
            <w:r w:rsidR="008C2FE6" w:rsidRPr="00F66D47">
              <w:rPr>
                <w:rFonts w:asciiTheme="majorHAnsi" w:hAnsiTheme="majorHAnsi" w:cstheme="majorHAnsi"/>
                <w:i w:val="0"/>
                <w:iCs w:val="0"/>
                <w:sz w:val="24"/>
                <w:szCs w:val="24"/>
              </w:rPr>
              <w:t>Maksātnespējas likum</w:t>
            </w:r>
            <w:r w:rsidR="009F7703" w:rsidRPr="00F66D47">
              <w:rPr>
                <w:rFonts w:asciiTheme="majorHAnsi" w:hAnsiTheme="majorHAnsi" w:cstheme="majorHAnsi"/>
                <w:i w:val="0"/>
                <w:iCs w:val="0"/>
                <w:sz w:val="24"/>
                <w:szCs w:val="24"/>
              </w:rPr>
              <w:t>am, ja konstatējuši, ka parādnieks nav bijis godprātīgs.</w:t>
            </w:r>
          </w:p>
        </w:tc>
      </w:tr>
    </w:tbl>
    <w:p w14:paraId="4C03EF0F" w14:textId="55BE06DF" w:rsidR="00B254F5" w:rsidRPr="0083189D" w:rsidRDefault="00B254F5" w:rsidP="00627C36">
      <w:pPr>
        <w:spacing w:line="276" w:lineRule="auto"/>
        <w:rPr>
          <w:rFonts w:asciiTheme="majorHAnsi" w:hAnsiTheme="majorHAnsi" w:cstheme="majorHAnsi"/>
          <w:sz w:val="24"/>
          <w:szCs w:val="24"/>
        </w:rPr>
      </w:pPr>
    </w:p>
    <w:p w14:paraId="62FD7FAD" w14:textId="77777777" w:rsidR="005E123A" w:rsidRPr="0083189D" w:rsidRDefault="005E123A" w:rsidP="00627C36">
      <w:pPr>
        <w:spacing w:line="276" w:lineRule="auto"/>
        <w:jc w:val="both"/>
        <w:rPr>
          <w:rFonts w:asciiTheme="majorHAnsi" w:hAnsiTheme="majorHAnsi" w:cstheme="majorHAnsi"/>
          <w:sz w:val="24"/>
          <w:szCs w:val="24"/>
        </w:rPr>
      </w:pPr>
    </w:p>
    <w:p w14:paraId="011EC2B0" w14:textId="77777777" w:rsidR="007E2A6A" w:rsidRPr="0083189D" w:rsidRDefault="007E2A6A" w:rsidP="00627C36">
      <w:pPr>
        <w:spacing w:line="276" w:lineRule="auto"/>
        <w:jc w:val="both"/>
        <w:rPr>
          <w:rFonts w:asciiTheme="majorHAnsi" w:hAnsiTheme="majorHAnsi" w:cstheme="majorHAnsi"/>
          <w:sz w:val="24"/>
          <w:szCs w:val="24"/>
        </w:rPr>
      </w:pPr>
    </w:p>
    <w:p w14:paraId="12FDB6AA" w14:textId="502E3AEE" w:rsidR="00433810" w:rsidRPr="0083189D" w:rsidRDefault="00433810" w:rsidP="00627C36">
      <w:pPr>
        <w:spacing w:line="276" w:lineRule="auto"/>
        <w:rPr>
          <w:rFonts w:asciiTheme="majorHAnsi" w:hAnsiTheme="majorHAnsi" w:cstheme="majorHAnsi"/>
          <w:sz w:val="24"/>
          <w:szCs w:val="24"/>
        </w:rPr>
      </w:pPr>
      <w:r w:rsidRPr="0083189D">
        <w:rPr>
          <w:rFonts w:asciiTheme="majorHAnsi" w:hAnsiTheme="majorHAnsi" w:cstheme="majorHAnsi"/>
          <w:sz w:val="24"/>
          <w:szCs w:val="24"/>
        </w:rPr>
        <w:br w:type="page"/>
      </w:r>
    </w:p>
    <w:p w14:paraId="75332273" w14:textId="3F4146C8" w:rsidR="00B13858" w:rsidRDefault="00D2064E" w:rsidP="00F66D47">
      <w:pPr>
        <w:pStyle w:val="Virsraksts1"/>
        <w:numPr>
          <w:ilvl w:val="0"/>
          <w:numId w:val="1"/>
        </w:numPr>
        <w:spacing w:line="276" w:lineRule="auto"/>
        <w:jc w:val="center"/>
        <w:rPr>
          <w:rFonts w:cstheme="majorHAnsi"/>
          <w:b/>
          <w:bCs/>
        </w:rPr>
      </w:pPr>
      <w:bookmarkStart w:id="11" w:name="_Toc154665207"/>
      <w:r w:rsidRPr="00F66D47">
        <w:rPr>
          <w:rFonts w:cstheme="majorHAnsi"/>
          <w:b/>
          <w:bCs/>
        </w:rPr>
        <w:lastRenderedPageBreak/>
        <w:t>Prioritātes</w:t>
      </w:r>
      <w:bookmarkEnd w:id="11"/>
    </w:p>
    <w:p w14:paraId="5D2996CF" w14:textId="77777777" w:rsidR="00F43346" w:rsidRPr="00F43346" w:rsidRDefault="00F43346" w:rsidP="00F43346">
      <w:pPr>
        <w:spacing w:after="0"/>
      </w:pPr>
    </w:p>
    <w:p w14:paraId="2FAA6113" w14:textId="6E2D672A" w:rsidR="009703F6" w:rsidRPr="0083189D" w:rsidRDefault="00C17496" w:rsidP="00F66D47">
      <w:pPr>
        <w:spacing w:line="276" w:lineRule="auto"/>
        <w:ind w:firstLine="720"/>
        <w:jc w:val="both"/>
        <w:rPr>
          <w:rFonts w:asciiTheme="majorHAnsi" w:hAnsiTheme="majorHAnsi" w:cstheme="majorHAnsi"/>
          <w:sz w:val="24"/>
          <w:szCs w:val="24"/>
        </w:rPr>
      </w:pPr>
      <w:r w:rsidRPr="0083189D">
        <w:rPr>
          <w:rFonts w:asciiTheme="majorHAnsi" w:hAnsiTheme="majorHAnsi" w:cstheme="majorHAnsi"/>
          <w:sz w:val="24"/>
          <w:szCs w:val="24"/>
        </w:rPr>
        <w:t xml:space="preserve">Apkopojot </w:t>
      </w:r>
      <w:r w:rsidR="005823E4" w:rsidRPr="0083189D">
        <w:rPr>
          <w:rFonts w:asciiTheme="majorHAnsi" w:hAnsiTheme="majorHAnsi" w:cstheme="majorHAnsi"/>
          <w:sz w:val="24"/>
          <w:szCs w:val="24"/>
        </w:rPr>
        <w:t xml:space="preserve">iepriekš </w:t>
      </w:r>
      <w:r w:rsidR="00C476F4" w:rsidRPr="0083189D">
        <w:rPr>
          <w:rFonts w:asciiTheme="majorHAnsi" w:hAnsiTheme="majorHAnsi" w:cstheme="majorHAnsi"/>
          <w:sz w:val="24"/>
          <w:szCs w:val="24"/>
        </w:rPr>
        <w:t>minēto</w:t>
      </w:r>
      <w:r w:rsidR="005823E4" w:rsidRPr="0083189D">
        <w:rPr>
          <w:rFonts w:asciiTheme="majorHAnsi" w:hAnsiTheme="majorHAnsi" w:cstheme="majorHAnsi"/>
          <w:sz w:val="24"/>
          <w:szCs w:val="24"/>
        </w:rPr>
        <w:t xml:space="preserve"> un l</w:t>
      </w:r>
      <w:r w:rsidR="00003D98" w:rsidRPr="0083189D">
        <w:rPr>
          <w:rFonts w:asciiTheme="majorHAnsi" w:hAnsiTheme="majorHAnsi" w:cstheme="majorHAnsi"/>
          <w:sz w:val="24"/>
          <w:szCs w:val="24"/>
        </w:rPr>
        <w:t xml:space="preserve">ai novērstu identificētos riskus, </w:t>
      </w:r>
      <w:r w:rsidR="005823E4" w:rsidRPr="008B4644">
        <w:rPr>
          <w:rFonts w:asciiTheme="majorHAnsi" w:hAnsiTheme="majorHAnsi" w:cstheme="majorHAnsi"/>
          <w:b/>
          <w:bCs/>
          <w:color w:val="2F5496" w:themeColor="accent1" w:themeShade="BF"/>
          <w:sz w:val="24"/>
          <w:szCs w:val="24"/>
        </w:rPr>
        <w:t>MKD</w:t>
      </w:r>
      <w:r w:rsidR="00003D98" w:rsidRPr="008B4644">
        <w:rPr>
          <w:rFonts w:asciiTheme="majorHAnsi" w:hAnsiTheme="majorHAnsi" w:cstheme="majorHAnsi"/>
          <w:b/>
          <w:bCs/>
          <w:color w:val="2F5496" w:themeColor="accent1" w:themeShade="BF"/>
          <w:sz w:val="24"/>
          <w:szCs w:val="24"/>
        </w:rPr>
        <w:t xml:space="preserve"> nosaka </w:t>
      </w:r>
      <w:r w:rsidR="004366F9" w:rsidRPr="008B4644">
        <w:rPr>
          <w:rFonts w:asciiTheme="majorHAnsi" w:hAnsiTheme="majorHAnsi" w:cstheme="majorHAnsi"/>
          <w:b/>
          <w:bCs/>
          <w:color w:val="2F5496" w:themeColor="accent1" w:themeShade="BF"/>
          <w:sz w:val="24"/>
          <w:szCs w:val="24"/>
        </w:rPr>
        <w:t xml:space="preserve">šādas </w:t>
      </w:r>
      <w:r w:rsidR="00003D98" w:rsidRPr="008B4644">
        <w:rPr>
          <w:rFonts w:asciiTheme="majorHAnsi" w:hAnsiTheme="majorHAnsi" w:cstheme="majorHAnsi"/>
          <w:b/>
          <w:bCs/>
          <w:color w:val="2F5496" w:themeColor="accent1" w:themeShade="BF"/>
          <w:sz w:val="24"/>
          <w:szCs w:val="24"/>
        </w:rPr>
        <w:t>šīs stratēģijas darbības perioda prioritātes uzraudzības jomā</w:t>
      </w:r>
      <w:r w:rsidR="00C72CCE" w:rsidRPr="008B4644">
        <w:rPr>
          <w:rStyle w:val="Vresatsauce"/>
          <w:rFonts w:asciiTheme="majorHAnsi" w:hAnsiTheme="majorHAnsi" w:cstheme="majorHAnsi"/>
          <w:b/>
          <w:bCs/>
          <w:color w:val="2F5496" w:themeColor="accent1" w:themeShade="BF"/>
          <w:sz w:val="24"/>
          <w:szCs w:val="24"/>
        </w:rPr>
        <w:footnoteReference w:id="13"/>
      </w:r>
      <w:r w:rsidR="004518DA" w:rsidRPr="008B4644">
        <w:rPr>
          <w:rFonts w:asciiTheme="majorHAnsi" w:hAnsiTheme="majorHAnsi" w:cstheme="majorHAnsi"/>
          <w:b/>
          <w:bCs/>
          <w:color w:val="2F5496" w:themeColor="accent1" w:themeShade="BF"/>
          <w:sz w:val="24"/>
          <w:szCs w:val="24"/>
        </w:rPr>
        <w:t xml:space="preserve"> </w:t>
      </w:r>
      <w:r w:rsidR="00003D98" w:rsidRPr="008B4644">
        <w:rPr>
          <w:rFonts w:asciiTheme="majorHAnsi" w:hAnsiTheme="majorHAnsi" w:cstheme="majorHAnsi"/>
          <w:b/>
          <w:bCs/>
          <w:color w:val="2F5496" w:themeColor="accent1" w:themeShade="BF"/>
          <w:sz w:val="24"/>
          <w:szCs w:val="24"/>
        </w:rPr>
        <w:t>un īstenojamos pasākumus to sasniegšanai</w:t>
      </w:r>
      <w:r w:rsidR="00003D98" w:rsidRPr="0083189D">
        <w:rPr>
          <w:rFonts w:asciiTheme="majorHAnsi" w:hAnsiTheme="majorHAnsi" w:cstheme="majorHAnsi"/>
          <w:sz w:val="24"/>
          <w:szCs w:val="24"/>
        </w:rPr>
        <w:t>. Vienlaikus prioritāšu un īstenojamo pasākumu noteikšana neizslēdz iestādes tiesības veikt citus uzraudzības pasākumus par citiem maksātnespējas procesa aspektiem.</w:t>
      </w:r>
    </w:p>
    <w:tbl>
      <w:tblPr>
        <w:tblStyle w:val="Reatabula4-izclums5"/>
        <w:tblW w:w="8359" w:type="dxa"/>
        <w:tblLook w:val="04A0" w:firstRow="1" w:lastRow="0" w:firstColumn="1" w:lastColumn="0" w:noHBand="0" w:noVBand="1"/>
      </w:tblPr>
      <w:tblGrid>
        <w:gridCol w:w="460"/>
        <w:gridCol w:w="3788"/>
        <w:gridCol w:w="4111"/>
      </w:tblGrid>
      <w:tr w:rsidR="003D4ABE" w:rsidRPr="0083189D" w14:paraId="0957F3AD" w14:textId="77777777" w:rsidTr="008B4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14:paraId="44C09DDB" w14:textId="77777777" w:rsidR="003D4ABE" w:rsidRPr="0083189D" w:rsidRDefault="003D4ABE" w:rsidP="00627C36">
            <w:pPr>
              <w:spacing w:line="276" w:lineRule="auto"/>
              <w:jc w:val="both"/>
              <w:rPr>
                <w:rFonts w:asciiTheme="majorHAnsi" w:hAnsiTheme="majorHAnsi" w:cstheme="majorHAnsi"/>
                <w:sz w:val="24"/>
                <w:szCs w:val="24"/>
              </w:rPr>
            </w:pPr>
          </w:p>
        </w:tc>
        <w:tc>
          <w:tcPr>
            <w:tcW w:w="3788" w:type="dxa"/>
            <w:vAlign w:val="center"/>
          </w:tcPr>
          <w:p w14:paraId="2B7B1F5B" w14:textId="172A3366" w:rsidR="003D4ABE" w:rsidRPr="008B4644" w:rsidRDefault="003D4ABE" w:rsidP="008B46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 w:val="24"/>
                <w:szCs w:val="24"/>
              </w:rPr>
            </w:pPr>
            <w:r w:rsidRPr="008B4644">
              <w:rPr>
                <w:rFonts w:asciiTheme="majorHAnsi" w:hAnsiTheme="majorHAnsi" w:cstheme="majorHAnsi"/>
                <w:color w:val="auto"/>
                <w:sz w:val="24"/>
                <w:szCs w:val="24"/>
              </w:rPr>
              <w:t>Prioritāte</w:t>
            </w:r>
          </w:p>
        </w:tc>
        <w:tc>
          <w:tcPr>
            <w:tcW w:w="4111" w:type="dxa"/>
            <w:vAlign w:val="center"/>
          </w:tcPr>
          <w:p w14:paraId="2D6EA90C" w14:textId="4D1B9F69" w:rsidR="003D4ABE" w:rsidRPr="0083189D" w:rsidRDefault="003D4ABE" w:rsidP="008B4644">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B4644">
              <w:rPr>
                <w:rFonts w:asciiTheme="majorHAnsi" w:hAnsiTheme="majorHAnsi" w:cstheme="majorHAnsi"/>
                <w:color w:val="auto"/>
                <w:sz w:val="24"/>
                <w:szCs w:val="24"/>
              </w:rPr>
              <w:t>Īstenojamie pasākumi:</w:t>
            </w:r>
          </w:p>
        </w:tc>
      </w:tr>
      <w:tr w:rsidR="003D4ABE" w:rsidRPr="0083189D" w14:paraId="6113EBED"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gridSpan w:val="3"/>
          </w:tcPr>
          <w:p w14:paraId="43E91D40" w14:textId="3F7B0BAC" w:rsidR="003D4ABE" w:rsidRPr="00D346DF" w:rsidRDefault="00690DA1" w:rsidP="00627C36">
            <w:pPr>
              <w:spacing w:line="276" w:lineRule="auto"/>
              <w:jc w:val="both"/>
              <w:rPr>
                <w:rFonts w:asciiTheme="majorHAnsi" w:hAnsiTheme="majorHAnsi" w:cstheme="majorHAnsi"/>
                <w:sz w:val="24"/>
                <w:szCs w:val="24"/>
              </w:rPr>
            </w:pPr>
            <w:r w:rsidRPr="00D346DF">
              <w:rPr>
                <w:rFonts w:asciiTheme="majorHAnsi" w:hAnsiTheme="majorHAnsi" w:cstheme="majorHAnsi"/>
                <w:color w:val="2F5496" w:themeColor="accent1" w:themeShade="BF"/>
                <w:sz w:val="24"/>
                <w:szCs w:val="24"/>
              </w:rPr>
              <w:t xml:space="preserve">Uzraudzība saskaņā ar </w:t>
            </w:r>
            <w:r w:rsidR="003D4ABE" w:rsidRPr="00D346DF">
              <w:rPr>
                <w:rFonts w:asciiTheme="majorHAnsi" w:hAnsiTheme="majorHAnsi" w:cstheme="majorHAnsi"/>
                <w:color w:val="2F5496" w:themeColor="accent1" w:themeShade="BF"/>
                <w:sz w:val="24"/>
                <w:szCs w:val="24"/>
              </w:rPr>
              <w:t>Maksātnespējas likum</w:t>
            </w:r>
            <w:r w:rsidRPr="00D346DF">
              <w:rPr>
                <w:rFonts w:asciiTheme="majorHAnsi" w:hAnsiTheme="majorHAnsi" w:cstheme="majorHAnsi"/>
                <w:color w:val="2F5496" w:themeColor="accent1" w:themeShade="BF"/>
                <w:sz w:val="24"/>
                <w:szCs w:val="24"/>
              </w:rPr>
              <w:t>u</w:t>
            </w:r>
            <w:r w:rsidR="003D4ABE" w:rsidRPr="00D346DF">
              <w:rPr>
                <w:rFonts w:asciiTheme="majorHAnsi" w:hAnsiTheme="majorHAnsi" w:cstheme="majorHAnsi"/>
                <w:color w:val="2F5496" w:themeColor="accent1" w:themeShade="BF"/>
                <w:sz w:val="24"/>
                <w:szCs w:val="24"/>
              </w:rPr>
              <w:t xml:space="preserve">: </w:t>
            </w:r>
          </w:p>
        </w:tc>
      </w:tr>
      <w:tr w:rsidR="003D4ABE" w:rsidRPr="0083189D" w14:paraId="1C90DFBB"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024B6236" w14:textId="1D2DDC7C" w:rsidR="003D4ABE" w:rsidRPr="0083189D" w:rsidRDefault="003D4ABE"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1</w:t>
            </w:r>
          </w:p>
        </w:tc>
        <w:tc>
          <w:tcPr>
            <w:tcW w:w="3788" w:type="dxa"/>
          </w:tcPr>
          <w:p w14:paraId="0D99A864" w14:textId="51C663DA" w:rsidR="003D4ABE" w:rsidRPr="008B4644" w:rsidRDefault="003D4ABE"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8B4644">
              <w:rPr>
                <w:rFonts w:asciiTheme="majorHAnsi" w:hAnsiTheme="majorHAnsi" w:cstheme="majorHAnsi"/>
                <w:b/>
                <w:bCs/>
                <w:color w:val="2F5496" w:themeColor="accent1" w:themeShade="BF"/>
                <w:sz w:val="24"/>
                <w:szCs w:val="24"/>
              </w:rPr>
              <w:t xml:space="preserve">Administratori ir savlaicīgi, vispusīgi un pilnvērtīgi izvērtējuši parādnieka darījumus pirms maksātnespējas procesa pasludināšanas un rīkojušies, lai atgūtu parādnieka aktīvus un sauktu pie likumā noteiktās atbildības personas, kas veikušas darbības, lai izvairītos no parādnieka saistību izpildes un </w:t>
            </w:r>
            <w:r w:rsidR="0022276D" w:rsidRPr="008B4644">
              <w:rPr>
                <w:rFonts w:asciiTheme="majorHAnsi" w:hAnsiTheme="majorHAnsi" w:cstheme="majorHAnsi"/>
                <w:b/>
                <w:bCs/>
                <w:color w:val="2F5496" w:themeColor="accent1" w:themeShade="BF"/>
                <w:sz w:val="24"/>
                <w:szCs w:val="24"/>
              </w:rPr>
              <w:t>nodarījušas zaudējumus parādniekam</w:t>
            </w:r>
            <w:r w:rsidRPr="008B4644">
              <w:rPr>
                <w:rFonts w:asciiTheme="majorHAnsi" w:hAnsiTheme="majorHAnsi" w:cstheme="majorHAnsi"/>
                <w:b/>
                <w:bCs/>
                <w:color w:val="2F5496" w:themeColor="accent1" w:themeShade="BF"/>
                <w:sz w:val="24"/>
                <w:szCs w:val="24"/>
              </w:rPr>
              <w:t>.</w:t>
            </w:r>
          </w:p>
          <w:p w14:paraId="544ECE78" w14:textId="612C79D9" w:rsidR="003D4ABE" w:rsidRPr="0083189D" w:rsidRDefault="003D4ABE"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4111" w:type="dxa"/>
          </w:tcPr>
          <w:p w14:paraId="465AA816" w14:textId="07D68EE6" w:rsidR="003D4ABE" w:rsidRPr="0083189D" w:rsidRDefault="00030B29" w:rsidP="00627C36">
            <w:pPr>
              <w:pStyle w:val="Sarakstarindkopa"/>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Reizi gadā veikta</w:t>
            </w:r>
            <w:r w:rsidR="003D4ABE" w:rsidRPr="0083189D">
              <w:rPr>
                <w:rFonts w:asciiTheme="majorHAnsi" w:hAnsiTheme="majorHAnsi" w:cstheme="majorHAnsi"/>
                <w:sz w:val="24"/>
                <w:szCs w:val="24"/>
              </w:rPr>
              <w:t xml:space="preserve"> tematiskā pārbaude par</w:t>
            </w:r>
            <w:r w:rsidR="00774E78" w:rsidRPr="0083189D">
              <w:rPr>
                <w:rFonts w:asciiTheme="majorHAnsi" w:hAnsiTheme="majorHAnsi" w:cstheme="majorHAnsi"/>
                <w:sz w:val="24"/>
                <w:szCs w:val="24"/>
              </w:rPr>
              <w:t xml:space="preserve"> parādnieka</w:t>
            </w:r>
            <w:r w:rsidR="003D4ABE" w:rsidRPr="0083189D">
              <w:rPr>
                <w:rFonts w:asciiTheme="majorHAnsi" w:hAnsiTheme="majorHAnsi" w:cstheme="majorHAnsi"/>
                <w:sz w:val="24"/>
                <w:szCs w:val="24"/>
              </w:rPr>
              <w:t xml:space="preserve"> darījumu izvērtēšanu un </w:t>
            </w:r>
            <w:r w:rsidR="00774E78" w:rsidRPr="0083189D">
              <w:rPr>
                <w:rFonts w:asciiTheme="majorHAnsi" w:hAnsiTheme="majorHAnsi" w:cstheme="majorHAnsi"/>
                <w:sz w:val="24"/>
                <w:szCs w:val="24"/>
              </w:rPr>
              <w:t>aktīvu</w:t>
            </w:r>
            <w:r w:rsidR="003D4ABE" w:rsidRPr="0083189D">
              <w:rPr>
                <w:rFonts w:asciiTheme="majorHAnsi" w:hAnsiTheme="majorHAnsi" w:cstheme="majorHAnsi"/>
                <w:sz w:val="24"/>
                <w:szCs w:val="24"/>
              </w:rPr>
              <w:t xml:space="preserve"> atgūšanu</w:t>
            </w:r>
          </w:p>
          <w:p w14:paraId="5DAF5A54" w14:textId="60CE0F0B" w:rsidR="00D50AEE" w:rsidRPr="0083189D" w:rsidRDefault="00261D3D" w:rsidP="00627C36">
            <w:pPr>
              <w:pStyle w:val="Sarakstarindkopa"/>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Veiktas padziļinātās pārbaudes tādu parādnieku maksātnespējas procesos, kur</w:t>
            </w:r>
            <w:r w:rsidR="009A59F3" w:rsidRPr="0083189D">
              <w:rPr>
                <w:rFonts w:asciiTheme="majorHAnsi" w:hAnsiTheme="majorHAnsi" w:cstheme="majorHAnsi"/>
                <w:sz w:val="24"/>
                <w:szCs w:val="24"/>
              </w:rPr>
              <w:t>u raksturojošie dati liecina par iespējamu uzņēmuma "iztukšošanu" un novēlotu maksātnespējas procesa pieteikuma iesniegšanu</w:t>
            </w:r>
          </w:p>
          <w:p w14:paraId="1EEF2751" w14:textId="7D22F2F6" w:rsidR="003D4ABE" w:rsidRPr="0083189D" w:rsidRDefault="00030B29" w:rsidP="00627C36">
            <w:pPr>
              <w:pStyle w:val="Sarakstarindkopa"/>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I</w:t>
            </w:r>
            <w:r w:rsidR="00774E78" w:rsidRPr="0083189D">
              <w:rPr>
                <w:rFonts w:asciiTheme="majorHAnsi" w:hAnsiTheme="majorHAnsi" w:cstheme="majorHAnsi"/>
                <w:sz w:val="24"/>
                <w:szCs w:val="24"/>
              </w:rPr>
              <w:t>zstrādāts informatīvais materiāls par darījumu izvērtēšanu maksātnespējas procesā</w:t>
            </w:r>
          </w:p>
          <w:p w14:paraId="6E53B698" w14:textId="17CEC080" w:rsidR="003D4ABE" w:rsidRPr="0083189D" w:rsidRDefault="008F3723" w:rsidP="00627C36">
            <w:pPr>
              <w:pStyle w:val="Sarakstarindkopa"/>
              <w:numPr>
                <w:ilvl w:val="0"/>
                <w:numId w:val="1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w:t>
            </w:r>
            <w:r w:rsidR="008A23D4" w:rsidRPr="0083189D">
              <w:rPr>
                <w:rFonts w:asciiTheme="majorHAnsi" w:hAnsiTheme="majorHAnsi" w:cstheme="majorHAnsi"/>
                <w:sz w:val="24"/>
                <w:szCs w:val="24"/>
              </w:rPr>
              <w:t xml:space="preserve">īkotas apmācības administratoriem par </w:t>
            </w:r>
            <w:r w:rsidRPr="0083189D">
              <w:rPr>
                <w:rFonts w:asciiTheme="majorHAnsi" w:hAnsiTheme="majorHAnsi" w:cstheme="majorHAnsi"/>
                <w:sz w:val="24"/>
                <w:szCs w:val="24"/>
              </w:rPr>
              <w:t>darījumu izvērtēšanu maksātnespējas procesā</w:t>
            </w:r>
          </w:p>
        </w:tc>
      </w:tr>
      <w:tr w:rsidR="003D4ABE" w:rsidRPr="0083189D" w14:paraId="33E0B157"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14:paraId="43538000" w14:textId="384D575D" w:rsidR="003D4ABE" w:rsidRPr="0083189D" w:rsidRDefault="003D4ABE"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2</w:t>
            </w:r>
          </w:p>
        </w:tc>
        <w:tc>
          <w:tcPr>
            <w:tcW w:w="3788" w:type="dxa"/>
          </w:tcPr>
          <w:p w14:paraId="70FD9693" w14:textId="77777777" w:rsidR="003D4ABE" w:rsidRPr="0083189D" w:rsidRDefault="003D4ABE"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u w:val="single"/>
              </w:rPr>
            </w:pPr>
            <w:r w:rsidRPr="00D346DF">
              <w:rPr>
                <w:rFonts w:asciiTheme="majorHAnsi" w:hAnsiTheme="majorHAnsi" w:cstheme="majorHAnsi"/>
                <w:b/>
                <w:bCs/>
                <w:color w:val="2F5496" w:themeColor="accent1" w:themeShade="BF"/>
                <w:sz w:val="24"/>
                <w:szCs w:val="24"/>
              </w:rPr>
              <w:t>Administratori ar parādnieka naudas līdzekļiem ir rīkojušies likumīgi un godprātīgi</w:t>
            </w:r>
            <w:r w:rsidRPr="0083189D">
              <w:rPr>
                <w:rFonts w:asciiTheme="majorHAnsi" w:hAnsiTheme="majorHAnsi" w:cstheme="majorHAnsi"/>
                <w:sz w:val="24"/>
                <w:szCs w:val="24"/>
                <w:u w:val="single"/>
              </w:rPr>
              <w:t>.</w:t>
            </w:r>
          </w:p>
          <w:p w14:paraId="7CE3BBCE" w14:textId="419D1C4D" w:rsidR="003D4ABE" w:rsidRPr="0083189D" w:rsidRDefault="003D4ABE"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4111" w:type="dxa"/>
          </w:tcPr>
          <w:p w14:paraId="232E8F3B" w14:textId="247510E9" w:rsidR="003D4ABE" w:rsidRPr="0083189D" w:rsidRDefault="0052360B" w:rsidP="00627C36">
            <w:pPr>
              <w:pStyle w:val="Sarakstarindkopa"/>
              <w:numPr>
                <w:ilvl w:val="0"/>
                <w:numId w:val="2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Reizi gadā veikta</w:t>
            </w:r>
            <w:r w:rsidR="003D4ABE" w:rsidRPr="0083189D">
              <w:rPr>
                <w:rFonts w:asciiTheme="majorHAnsi" w:hAnsiTheme="majorHAnsi" w:cstheme="majorHAnsi"/>
                <w:sz w:val="24"/>
                <w:szCs w:val="24"/>
              </w:rPr>
              <w:t xml:space="preserve"> tematiskā pārbaude par parādnieka naudas līdzekļu pārvaldīšanu</w:t>
            </w:r>
          </w:p>
          <w:p w14:paraId="47A8DADA" w14:textId="4AF63402" w:rsidR="003D4ABE" w:rsidRPr="0083189D" w:rsidRDefault="0052360B" w:rsidP="00627C36">
            <w:pPr>
              <w:pStyle w:val="Sarakstarindkopa"/>
              <w:numPr>
                <w:ilvl w:val="0"/>
                <w:numId w:val="20"/>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3189D">
              <w:rPr>
                <w:rFonts w:asciiTheme="majorHAnsi" w:hAnsiTheme="majorHAnsi" w:cstheme="majorHAnsi"/>
                <w:sz w:val="24"/>
                <w:szCs w:val="24"/>
              </w:rPr>
              <w:t>Izstrādāts</w:t>
            </w:r>
            <w:r w:rsidR="003D4ABE" w:rsidRPr="0083189D">
              <w:rPr>
                <w:rFonts w:asciiTheme="majorHAnsi" w:hAnsiTheme="majorHAnsi" w:cstheme="majorHAnsi"/>
                <w:sz w:val="24"/>
                <w:szCs w:val="24"/>
              </w:rPr>
              <w:t xml:space="preserve"> apkārtrakst</w:t>
            </w:r>
            <w:r w:rsidRPr="0083189D">
              <w:rPr>
                <w:rFonts w:asciiTheme="majorHAnsi" w:hAnsiTheme="majorHAnsi" w:cstheme="majorHAnsi"/>
                <w:sz w:val="24"/>
                <w:szCs w:val="24"/>
              </w:rPr>
              <w:t>s</w:t>
            </w:r>
            <w:r w:rsidR="003D4ABE" w:rsidRPr="0083189D">
              <w:rPr>
                <w:rFonts w:asciiTheme="majorHAnsi" w:hAnsiTheme="majorHAnsi" w:cstheme="majorHAnsi"/>
                <w:sz w:val="24"/>
                <w:szCs w:val="24"/>
              </w:rPr>
              <w:t xml:space="preserve"> par administratora rīcību ar parādnieka naudas līdzekļiem</w:t>
            </w:r>
          </w:p>
        </w:tc>
      </w:tr>
      <w:tr w:rsidR="003D4ABE" w:rsidRPr="0083189D" w14:paraId="3653075E"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21DDA465" w14:textId="3EC0F9B9" w:rsidR="003D4ABE" w:rsidRPr="0083189D" w:rsidRDefault="0022276D"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3</w:t>
            </w:r>
          </w:p>
        </w:tc>
        <w:tc>
          <w:tcPr>
            <w:tcW w:w="3788" w:type="dxa"/>
          </w:tcPr>
          <w:p w14:paraId="44A35D47" w14:textId="77777777" w:rsidR="0022276D" w:rsidRPr="00D346DF" w:rsidRDefault="0022276D"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ir nodrošinājuši atklātības principa ievērošanu pret maksātnespējas procesā iesaistītajām personām.</w:t>
            </w:r>
          </w:p>
          <w:p w14:paraId="4E002FC5" w14:textId="7FB37006" w:rsidR="003D4ABE" w:rsidRPr="0083189D" w:rsidRDefault="003D4ABE"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4111" w:type="dxa"/>
          </w:tcPr>
          <w:p w14:paraId="6E1F02B3" w14:textId="658966DE" w:rsidR="0022276D" w:rsidRPr="0083189D" w:rsidRDefault="003458A8" w:rsidP="00627C36">
            <w:pPr>
              <w:pStyle w:val="Sarakstarindkopa"/>
              <w:numPr>
                <w:ilvl w:val="0"/>
                <w:numId w:val="21"/>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Reizi gadā </w:t>
            </w:r>
            <w:r w:rsidR="0022276D" w:rsidRPr="0083189D">
              <w:rPr>
                <w:rFonts w:asciiTheme="majorHAnsi" w:hAnsiTheme="majorHAnsi" w:cstheme="majorHAnsi"/>
                <w:sz w:val="24"/>
                <w:szCs w:val="24"/>
              </w:rPr>
              <w:t>veikta tematiskā pārbaude par atklātības</w:t>
            </w:r>
            <w:r w:rsidRPr="0083189D">
              <w:rPr>
                <w:rFonts w:asciiTheme="majorHAnsi" w:hAnsiTheme="majorHAnsi" w:cstheme="majorHAnsi"/>
                <w:sz w:val="24"/>
                <w:szCs w:val="24"/>
              </w:rPr>
              <w:t xml:space="preserve"> principa</w:t>
            </w:r>
            <w:r w:rsidR="0022276D" w:rsidRPr="0083189D">
              <w:rPr>
                <w:rFonts w:asciiTheme="majorHAnsi" w:hAnsiTheme="majorHAnsi" w:cstheme="majorHAnsi"/>
                <w:sz w:val="24"/>
                <w:szCs w:val="24"/>
              </w:rPr>
              <w:t xml:space="preserve"> nodrošināšanu maksātnespējas proces</w:t>
            </w:r>
            <w:r w:rsidRPr="0083189D">
              <w:rPr>
                <w:rFonts w:asciiTheme="majorHAnsi" w:hAnsiTheme="majorHAnsi" w:cstheme="majorHAnsi"/>
                <w:sz w:val="24"/>
                <w:szCs w:val="24"/>
              </w:rPr>
              <w:t>ā</w:t>
            </w:r>
          </w:p>
          <w:p w14:paraId="6C99CA3B" w14:textId="77777777" w:rsidR="003D4ABE" w:rsidRPr="0083189D" w:rsidRDefault="003458A8" w:rsidP="00627C36">
            <w:pPr>
              <w:pStyle w:val="Sarakstarindkopa"/>
              <w:numPr>
                <w:ilvl w:val="0"/>
                <w:numId w:val="21"/>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I</w:t>
            </w:r>
            <w:r w:rsidR="0022276D" w:rsidRPr="0083189D">
              <w:rPr>
                <w:rFonts w:asciiTheme="majorHAnsi" w:hAnsiTheme="majorHAnsi" w:cstheme="majorHAnsi"/>
                <w:sz w:val="24"/>
                <w:szCs w:val="24"/>
              </w:rPr>
              <w:t xml:space="preserve">zstrādāts informatīvais materiāls par atklātības principa </w:t>
            </w:r>
            <w:r w:rsidRPr="0083189D">
              <w:rPr>
                <w:rFonts w:asciiTheme="majorHAnsi" w:hAnsiTheme="majorHAnsi" w:cstheme="majorHAnsi"/>
                <w:sz w:val="24"/>
                <w:szCs w:val="24"/>
              </w:rPr>
              <w:t>nodrošināšanu</w:t>
            </w:r>
            <w:r w:rsidR="0022276D" w:rsidRPr="0083189D">
              <w:rPr>
                <w:rFonts w:asciiTheme="majorHAnsi" w:hAnsiTheme="majorHAnsi" w:cstheme="majorHAnsi"/>
                <w:sz w:val="24"/>
                <w:szCs w:val="24"/>
              </w:rPr>
              <w:t xml:space="preserve"> maksātnespējas proces</w:t>
            </w:r>
            <w:r w:rsidRPr="0083189D">
              <w:rPr>
                <w:rFonts w:asciiTheme="majorHAnsi" w:hAnsiTheme="majorHAnsi" w:cstheme="majorHAnsi"/>
                <w:sz w:val="24"/>
                <w:szCs w:val="24"/>
              </w:rPr>
              <w:t>ā</w:t>
            </w:r>
          </w:p>
          <w:p w14:paraId="7835783F" w14:textId="54460EE7" w:rsidR="003B5876" w:rsidRPr="0083189D" w:rsidRDefault="003B5876" w:rsidP="00627C36">
            <w:pPr>
              <w:pStyle w:val="Sarakstarindkopa"/>
              <w:numPr>
                <w:ilvl w:val="0"/>
                <w:numId w:val="21"/>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lastRenderedPageBreak/>
              <w:t>Rīkotas apmācības administratoriem par atklātības principa nodrošināšanu maksātnespējas procesā</w:t>
            </w:r>
          </w:p>
        </w:tc>
      </w:tr>
      <w:tr w:rsidR="003D4ABE" w:rsidRPr="0083189D" w14:paraId="0B002C64"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14:paraId="7913751C" w14:textId="0C38F5FE" w:rsidR="003D4ABE" w:rsidRPr="0083189D" w:rsidRDefault="0022276D"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lastRenderedPageBreak/>
              <w:t>4</w:t>
            </w:r>
          </w:p>
        </w:tc>
        <w:tc>
          <w:tcPr>
            <w:tcW w:w="3788" w:type="dxa"/>
          </w:tcPr>
          <w:p w14:paraId="2A4E6C01" w14:textId="2B40E865" w:rsidR="003D4ABE" w:rsidRPr="00D346DF" w:rsidRDefault="0022276D"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4"/>
                <w:szCs w:val="24"/>
              </w:rPr>
            </w:pPr>
            <w:r w:rsidRPr="00D346DF">
              <w:rPr>
                <w:rFonts w:asciiTheme="majorHAnsi" w:hAnsiTheme="majorHAnsi" w:cstheme="majorHAnsi"/>
                <w:b/>
                <w:bCs/>
                <w:color w:val="2F5496" w:themeColor="accent1" w:themeShade="BF"/>
                <w:sz w:val="24"/>
                <w:szCs w:val="24"/>
              </w:rPr>
              <w:t>Administratori parādnieka mantas apzināšanas, pārņemšanas, atgūšanas, novērtēšanas un pārdošanas procesā ir rīkojušies likumīgi un efektīvi.</w:t>
            </w:r>
          </w:p>
        </w:tc>
        <w:tc>
          <w:tcPr>
            <w:tcW w:w="4111" w:type="dxa"/>
          </w:tcPr>
          <w:p w14:paraId="7B517069" w14:textId="0AA0DD86" w:rsidR="0022276D" w:rsidRPr="0083189D" w:rsidRDefault="007B1ED2" w:rsidP="00627C36">
            <w:pPr>
              <w:pStyle w:val="Sarakstarindkopa"/>
              <w:numPr>
                <w:ilvl w:val="0"/>
                <w:numId w:val="2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Veiktas </w:t>
            </w:r>
            <w:r w:rsidR="0022276D" w:rsidRPr="0083189D">
              <w:rPr>
                <w:rFonts w:asciiTheme="majorHAnsi" w:hAnsiTheme="majorHAnsi" w:cstheme="majorHAnsi"/>
                <w:sz w:val="24"/>
                <w:szCs w:val="24"/>
              </w:rPr>
              <w:t>padziļināt</w:t>
            </w:r>
            <w:r w:rsidRPr="0083189D">
              <w:rPr>
                <w:rFonts w:asciiTheme="majorHAnsi" w:hAnsiTheme="majorHAnsi" w:cstheme="majorHAnsi"/>
                <w:sz w:val="24"/>
                <w:szCs w:val="24"/>
              </w:rPr>
              <w:t>ā</w:t>
            </w:r>
            <w:r w:rsidR="0022276D" w:rsidRPr="0083189D">
              <w:rPr>
                <w:rFonts w:asciiTheme="majorHAnsi" w:hAnsiTheme="majorHAnsi" w:cstheme="majorHAnsi"/>
                <w:sz w:val="24"/>
                <w:szCs w:val="24"/>
              </w:rPr>
              <w:t xml:space="preserve">s pārbaudes </w:t>
            </w:r>
            <w:r w:rsidRPr="0083189D">
              <w:rPr>
                <w:rFonts w:asciiTheme="majorHAnsi" w:hAnsiTheme="majorHAnsi" w:cstheme="majorHAnsi"/>
                <w:sz w:val="24"/>
                <w:szCs w:val="24"/>
              </w:rPr>
              <w:t>tādu parādnieku maksātnespējas procesos, kuru</w:t>
            </w:r>
            <w:r w:rsidR="00626921" w:rsidRPr="0083189D">
              <w:rPr>
                <w:rFonts w:asciiTheme="majorHAnsi" w:hAnsiTheme="majorHAnsi" w:cstheme="majorHAnsi"/>
                <w:sz w:val="24"/>
                <w:szCs w:val="24"/>
              </w:rPr>
              <w:t xml:space="preserve"> aktīvu apmērs ir virs </w:t>
            </w:r>
            <w:r w:rsidR="0027083C" w:rsidRPr="0083189D">
              <w:rPr>
                <w:rFonts w:asciiTheme="majorHAnsi" w:hAnsiTheme="majorHAnsi" w:cstheme="majorHAnsi"/>
                <w:sz w:val="24"/>
                <w:szCs w:val="24"/>
              </w:rPr>
              <w:t>100 tūkst. eiro</w:t>
            </w:r>
          </w:p>
          <w:p w14:paraId="492292BE" w14:textId="66D814BF" w:rsidR="00E83945" w:rsidRPr="0083189D" w:rsidRDefault="00E83945" w:rsidP="00627C36">
            <w:pPr>
              <w:pStyle w:val="Sarakstarindkopa"/>
              <w:numPr>
                <w:ilvl w:val="0"/>
                <w:numId w:val="2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Reizi gadā veikta tematiskā pārbaude par </w:t>
            </w:r>
            <w:r w:rsidR="00A629C1" w:rsidRPr="0083189D">
              <w:rPr>
                <w:rFonts w:asciiTheme="majorHAnsi" w:hAnsiTheme="majorHAnsi" w:cstheme="majorHAnsi"/>
                <w:sz w:val="24"/>
                <w:szCs w:val="24"/>
              </w:rPr>
              <w:t>mantas apzināšanu, pārņemšanu, atgūšanu, novērtēšanu un pārdošanu</w:t>
            </w:r>
          </w:p>
          <w:p w14:paraId="7E5259E9" w14:textId="585F1400" w:rsidR="0022276D" w:rsidRPr="0083189D" w:rsidRDefault="00C36AEC" w:rsidP="00627C36">
            <w:pPr>
              <w:pStyle w:val="Sarakstarindkopa"/>
              <w:numPr>
                <w:ilvl w:val="0"/>
                <w:numId w:val="2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P</w:t>
            </w:r>
            <w:r w:rsidR="0022276D" w:rsidRPr="0083189D">
              <w:rPr>
                <w:rFonts w:asciiTheme="majorHAnsi" w:hAnsiTheme="majorHAnsi" w:cstheme="majorHAnsi"/>
                <w:sz w:val="24"/>
                <w:szCs w:val="24"/>
              </w:rPr>
              <w:t>apildināts informatīvais materiāls efektīvākai rīcībai ar parādnieka mantu</w:t>
            </w:r>
          </w:p>
          <w:p w14:paraId="385043E5" w14:textId="528F384A" w:rsidR="0022276D" w:rsidRPr="0083189D" w:rsidRDefault="00650831" w:rsidP="00627C36">
            <w:pPr>
              <w:pStyle w:val="Sarakstarindkopa"/>
              <w:numPr>
                <w:ilvl w:val="0"/>
                <w:numId w:val="22"/>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Rīkotas apmācības administratoriem </w:t>
            </w:r>
            <w:r w:rsidR="0022276D" w:rsidRPr="0083189D">
              <w:rPr>
                <w:rFonts w:asciiTheme="majorHAnsi" w:hAnsiTheme="majorHAnsi" w:cstheme="majorHAnsi"/>
                <w:sz w:val="24"/>
                <w:szCs w:val="24"/>
              </w:rPr>
              <w:t>par biežāk konstatētajām kļūdām parādnieka mantas apzināšanā,</w:t>
            </w:r>
            <w:r w:rsidRPr="0083189D">
              <w:rPr>
                <w:rFonts w:asciiTheme="majorHAnsi" w:hAnsiTheme="majorHAnsi" w:cstheme="majorHAnsi"/>
                <w:sz w:val="24"/>
                <w:szCs w:val="24"/>
              </w:rPr>
              <w:t xml:space="preserve"> pārņemšanā,</w:t>
            </w:r>
            <w:r w:rsidR="0022276D" w:rsidRPr="0083189D">
              <w:rPr>
                <w:rFonts w:asciiTheme="majorHAnsi" w:hAnsiTheme="majorHAnsi" w:cstheme="majorHAnsi"/>
                <w:sz w:val="24"/>
                <w:szCs w:val="24"/>
              </w:rPr>
              <w:t xml:space="preserve"> atgūšanā</w:t>
            </w:r>
            <w:r w:rsidRPr="0083189D">
              <w:rPr>
                <w:rFonts w:asciiTheme="majorHAnsi" w:hAnsiTheme="majorHAnsi" w:cstheme="majorHAnsi"/>
                <w:sz w:val="24"/>
                <w:szCs w:val="24"/>
              </w:rPr>
              <w:t>, novērtēšanā</w:t>
            </w:r>
            <w:r w:rsidR="0022276D" w:rsidRPr="0083189D">
              <w:rPr>
                <w:rFonts w:asciiTheme="majorHAnsi" w:hAnsiTheme="majorHAnsi" w:cstheme="majorHAnsi"/>
                <w:sz w:val="24"/>
                <w:szCs w:val="24"/>
              </w:rPr>
              <w:t xml:space="preserve"> un pārdošanā</w:t>
            </w:r>
          </w:p>
          <w:p w14:paraId="1D922773" w14:textId="77777777" w:rsidR="003D4ABE" w:rsidRPr="0083189D" w:rsidRDefault="003D4ABE"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3D4ABE" w:rsidRPr="0083189D" w14:paraId="6F6757F0"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279F87DC" w14:textId="0041C534" w:rsidR="003D4ABE" w:rsidRPr="0083189D" w:rsidRDefault="0022276D"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5</w:t>
            </w:r>
          </w:p>
        </w:tc>
        <w:tc>
          <w:tcPr>
            <w:tcW w:w="3788" w:type="dxa"/>
          </w:tcPr>
          <w:p w14:paraId="3D68EB69" w14:textId="77777777" w:rsidR="0022276D" w:rsidRPr="00D346DF" w:rsidRDefault="0022276D"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un uzraugošās personas lieto EMUS atbilstoši normatīvo aktu prasībām un ievadīto datu kvalitāte atbilst faktiskajai situācijai.</w:t>
            </w:r>
          </w:p>
          <w:p w14:paraId="20B3A1FE" w14:textId="30257252" w:rsidR="003D4ABE" w:rsidRPr="0083189D" w:rsidRDefault="003D4ABE"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4111" w:type="dxa"/>
          </w:tcPr>
          <w:p w14:paraId="12829E8F" w14:textId="1636CBE8" w:rsidR="00C26C9C" w:rsidRPr="0083189D" w:rsidRDefault="00C26C9C" w:rsidP="00627C36">
            <w:pPr>
              <w:pStyle w:val="Sarakstarindkopa"/>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Reizi gadā veikta</w:t>
            </w:r>
            <w:r w:rsidR="00824892" w:rsidRPr="0083189D">
              <w:rPr>
                <w:rFonts w:asciiTheme="majorHAnsi" w:hAnsiTheme="majorHAnsi" w:cstheme="majorHAnsi"/>
                <w:sz w:val="24"/>
                <w:szCs w:val="24"/>
              </w:rPr>
              <w:t xml:space="preserve"> tematiskā pārbaude </w:t>
            </w:r>
            <w:r w:rsidR="00D236D2" w:rsidRPr="0083189D">
              <w:rPr>
                <w:rFonts w:asciiTheme="majorHAnsi" w:hAnsiTheme="majorHAnsi" w:cstheme="majorHAnsi"/>
                <w:sz w:val="24"/>
                <w:szCs w:val="24"/>
              </w:rPr>
              <w:t>par datu ievadi EMUS</w:t>
            </w:r>
            <w:r w:rsidR="001D1E0B" w:rsidRPr="0083189D">
              <w:rPr>
                <w:rFonts w:asciiTheme="majorHAnsi" w:hAnsiTheme="majorHAnsi" w:cstheme="majorHAnsi"/>
                <w:sz w:val="24"/>
                <w:szCs w:val="24"/>
              </w:rPr>
              <w:t xml:space="preserve"> administratoriem un uzraugošajām personām</w:t>
            </w:r>
          </w:p>
          <w:p w14:paraId="43036016" w14:textId="20AADF26" w:rsidR="0022276D" w:rsidRPr="0083189D" w:rsidRDefault="00D236D2" w:rsidP="00627C36">
            <w:pPr>
              <w:pStyle w:val="Sarakstarindkopa"/>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Reizi gadā rīkots</w:t>
            </w:r>
            <w:r w:rsidR="0022276D" w:rsidRPr="0083189D">
              <w:rPr>
                <w:rFonts w:asciiTheme="majorHAnsi" w:hAnsiTheme="majorHAnsi" w:cstheme="majorHAnsi"/>
                <w:sz w:val="24"/>
                <w:szCs w:val="24"/>
              </w:rPr>
              <w:t xml:space="preserve"> informatīvais pasākums administratoriem par biežāk pieļautajām kļūdām datu ievadē EMUS</w:t>
            </w:r>
          </w:p>
          <w:p w14:paraId="7389FC9D" w14:textId="7DB1D7DC" w:rsidR="0022276D" w:rsidRPr="0083189D" w:rsidRDefault="00557AC1" w:rsidP="00627C36">
            <w:pPr>
              <w:pStyle w:val="Sarakstarindkopa"/>
              <w:numPr>
                <w:ilvl w:val="0"/>
                <w:numId w:val="2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I</w:t>
            </w:r>
            <w:r w:rsidR="0022276D" w:rsidRPr="0083189D">
              <w:rPr>
                <w:rFonts w:asciiTheme="majorHAnsi" w:hAnsiTheme="majorHAnsi" w:cstheme="majorHAnsi"/>
                <w:sz w:val="24"/>
                <w:szCs w:val="24"/>
              </w:rPr>
              <w:t xml:space="preserve">eviestas </w:t>
            </w:r>
            <w:r w:rsidRPr="0083189D">
              <w:rPr>
                <w:rFonts w:asciiTheme="majorHAnsi" w:hAnsiTheme="majorHAnsi" w:cstheme="majorHAnsi"/>
                <w:sz w:val="24"/>
                <w:szCs w:val="24"/>
              </w:rPr>
              <w:t xml:space="preserve">automātiskas </w:t>
            </w:r>
            <w:r w:rsidR="0022276D" w:rsidRPr="0083189D">
              <w:rPr>
                <w:rFonts w:asciiTheme="majorHAnsi" w:hAnsiTheme="majorHAnsi" w:cstheme="majorHAnsi"/>
                <w:sz w:val="24"/>
                <w:szCs w:val="24"/>
              </w:rPr>
              <w:t>kontroles EMUS, kas ziņo administratoriem par datu kļūdām</w:t>
            </w:r>
            <w:r w:rsidR="001D1E0B" w:rsidRPr="0083189D">
              <w:rPr>
                <w:rFonts w:asciiTheme="majorHAnsi" w:hAnsiTheme="majorHAnsi" w:cstheme="majorHAnsi"/>
                <w:sz w:val="24"/>
                <w:szCs w:val="24"/>
              </w:rPr>
              <w:t xml:space="preserve"> un at</w:t>
            </w:r>
            <w:r w:rsidR="00B82025" w:rsidRPr="0083189D">
              <w:rPr>
                <w:rFonts w:asciiTheme="majorHAnsi" w:hAnsiTheme="majorHAnsi" w:cstheme="majorHAnsi"/>
                <w:sz w:val="24"/>
                <w:szCs w:val="24"/>
              </w:rPr>
              <w:t>gādina par termiņu notecējumu</w:t>
            </w:r>
          </w:p>
          <w:p w14:paraId="265A4074" w14:textId="77777777" w:rsidR="003D4ABE" w:rsidRPr="0083189D" w:rsidRDefault="003D4ABE"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r>
      <w:tr w:rsidR="003D4ABE" w:rsidRPr="0083189D" w14:paraId="1D8FEDD8"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14:paraId="49D1EEBA" w14:textId="76370AA5" w:rsidR="003D4ABE" w:rsidRPr="0083189D" w:rsidRDefault="0022276D"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6</w:t>
            </w:r>
          </w:p>
        </w:tc>
        <w:tc>
          <w:tcPr>
            <w:tcW w:w="3788" w:type="dxa"/>
          </w:tcPr>
          <w:p w14:paraId="3893EADE" w14:textId="77777777" w:rsidR="0022276D" w:rsidRPr="00D346DF" w:rsidRDefault="0022276D"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ir izvērtējuši parādnieka – fiziskās personas godprātību, un rīkojušies atbilstoši Maksātnespējas likumam, ja konstatējuši, ka parādnieks nav bijis godprātīgs.</w:t>
            </w:r>
          </w:p>
          <w:p w14:paraId="6AA57C0F" w14:textId="0CAFA823" w:rsidR="003D4ABE" w:rsidRPr="00D346DF" w:rsidRDefault="003D4ABE"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F5496" w:themeColor="accent1" w:themeShade="BF"/>
                <w:sz w:val="24"/>
                <w:szCs w:val="24"/>
              </w:rPr>
            </w:pPr>
          </w:p>
        </w:tc>
        <w:tc>
          <w:tcPr>
            <w:tcW w:w="4111" w:type="dxa"/>
          </w:tcPr>
          <w:p w14:paraId="634B2DF7" w14:textId="30C8F72C" w:rsidR="001154D3" w:rsidRPr="0083189D" w:rsidRDefault="00B82025" w:rsidP="00627C36">
            <w:pPr>
              <w:pStyle w:val="Sarakstarindkopa"/>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Reizi gadā </w:t>
            </w:r>
            <w:r w:rsidR="0022276D" w:rsidRPr="0083189D">
              <w:rPr>
                <w:rFonts w:asciiTheme="majorHAnsi" w:hAnsiTheme="majorHAnsi" w:cstheme="majorHAnsi"/>
                <w:sz w:val="24"/>
                <w:szCs w:val="24"/>
              </w:rPr>
              <w:t xml:space="preserve">veikta tematiskā pārbaude </w:t>
            </w:r>
            <w:r w:rsidR="001154D3" w:rsidRPr="0083189D">
              <w:rPr>
                <w:rFonts w:asciiTheme="majorHAnsi" w:hAnsiTheme="majorHAnsi" w:cstheme="majorHAnsi"/>
                <w:sz w:val="24"/>
                <w:szCs w:val="24"/>
              </w:rPr>
              <w:t>par administratora rīcību fiziskās personas maksātnespējas procesā, vērtējot parādnieka godprātību</w:t>
            </w:r>
          </w:p>
          <w:p w14:paraId="0C976D4B" w14:textId="3FB6ADD8" w:rsidR="0022276D" w:rsidRPr="0083189D" w:rsidRDefault="00B82025" w:rsidP="00627C36">
            <w:pPr>
              <w:pStyle w:val="Sarakstarindkopa"/>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S</w:t>
            </w:r>
            <w:r w:rsidR="0022276D" w:rsidRPr="0083189D">
              <w:rPr>
                <w:rFonts w:asciiTheme="majorHAnsi" w:hAnsiTheme="majorHAnsi" w:cstheme="majorHAnsi"/>
                <w:sz w:val="24"/>
                <w:szCs w:val="24"/>
              </w:rPr>
              <w:t>agatavot</w:t>
            </w:r>
            <w:r w:rsidRPr="0083189D">
              <w:rPr>
                <w:rFonts w:asciiTheme="majorHAnsi" w:hAnsiTheme="majorHAnsi" w:cstheme="majorHAnsi"/>
                <w:sz w:val="24"/>
                <w:szCs w:val="24"/>
              </w:rPr>
              <w:t>s</w:t>
            </w:r>
            <w:r w:rsidR="0022276D" w:rsidRPr="0083189D">
              <w:rPr>
                <w:rFonts w:asciiTheme="majorHAnsi" w:hAnsiTheme="majorHAnsi" w:cstheme="majorHAnsi"/>
                <w:sz w:val="24"/>
                <w:szCs w:val="24"/>
              </w:rPr>
              <w:t xml:space="preserve"> apkārtrakst</w:t>
            </w:r>
            <w:r w:rsidRPr="0083189D">
              <w:rPr>
                <w:rFonts w:asciiTheme="majorHAnsi" w:hAnsiTheme="majorHAnsi" w:cstheme="majorHAnsi"/>
                <w:sz w:val="24"/>
                <w:szCs w:val="24"/>
              </w:rPr>
              <w:t>s</w:t>
            </w:r>
            <w:r w:rsidR="0022276D" w:rsidRPr="0083189D">
              <w:rPr>
                <w:rFonts w:asciiTheme="majorHAnsi" w:hAnsiTheme="majorHAnsi" w:cstheme="majorHAnsi"/>
                <w:sz w:val="24"/>
                <w:szCs w:val="24"/>
              </w:rPr>
              <w:t xml:space="preserve"> par </w:t>
            </w:r>
            <w:r w:rsidR="00A703C5" w:rsidRPr="0083189D">
              <w:rPr>
                <w:rFonts w:asciiTheme="majorHAnsi" w:hAnsiTheme="majorHAnsi" w:cstheme="majorHAnsi"/>
                <w:sz w:val="24"/>
                <w:szCs w:val="24"/>
              </w:rPr>
              <w:t xml:space="preserve">administratora pienākumu izvērtēt </w:t>
            </w:r>
            <w:r w:rsidR="00A703C5" w:rsidRPr="0083189D">
              <w:rPr>
                <w:rFonts w:asciiTheme="majorHAnsi" w:hAnsiTheme="majorHAnsi" w:cstheme="majorHAnsi"/>
                <w:sz w:val="24"/>
                <w:szCs w:val="24"/>
              </w:rPr>
              <w:lastRenderedPageBreak/>
              <w:t>parādnieka – fiziskās personas, godprātību</w:t>
            </w:r>
          </w:p>
          <w:p w14:paraId="28488A66" w14:textId="6D8DA080" w:rsidR="0022276D" w:rsidRPr="0083189D" w:rsidRDefault="001154D3" w:rsidP="00627C36">
            <w:pPr>
              <w:pStyle w:val="Sarakstarindkopa"/>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Izstrādāts </w:t>
            </w:r>
            <w:r w:rsidR="0022276D" w:rsidRPr="0083189D">
              <w:rPr>
                <w:rFonts w:asciiTheme="majorHAnsi" w:hAnsiTheme="majorHAnsi" w:cstheme="majorHAnsi"/>
                <w:sz w:val="24"/>
                <w:szCs w:val="24"/>
              </w:rPr>
              <w:t>informatīv</w:t>
            </w:r>
            <w:r w:rsidR="001B40C2" w:rsidRPr="0083189D">
              <w:rPr>
                <w:rFonts w:asciiTheme="majorHAnsi" w:hAnsiTheme="majorHAnsi" w:cstheme="majorHAnsi"/>
                <w:sz w:val="24"/>
                <w:szCs w:val="24"/>
              </w:rPr>
              <w:t>ai</w:t>
            </w:r>
            <w:r w:rsidR="0022276D" w:rsidRPr="0083189D">
              <w:rPr>
                <w:rFonts w:asciiTheme="majorHAnsi" w:hAnsiTheme="majorHAnsi" w:cstheme="majorHAnsi"/>
                <w:sz w:val="24"/>
                <w:szCs w:val="24"/>
              </w:rPr>
              <w:t>s materiāls fiziskajām personām par godprātīgu maksātnespējas proces</w:t>
            </w:r>
            <w:r w:rsidR="009312AC" w:rsidRPr="0083189D">
              <w:rPr>
                <w:rFonts w:asciiTheme="majorHAnsi" w:hAnsiTheme="majorHAnsi" w:cstheme="majorHAnsi"/>
                <w:sz w:val="24"/>
                <w:szCs w:val="24"/>
              </w:rPr>
              <w:t>a</w:t>
            </w:r>
            <w:r w:rsidR="0022276D" w:rsidRPr="0083189D">
              <w:rPr>
                <w:rFonts w:asciiTheme="majorHAnsi" w:hAnsiTheme="majorHAnsi" w:cstheme="majorHAnsi"/>
                <w:sz w:val="24"/>
                <w:szCs w:val="24"/>
              </w:rPr>
              <w:t xml:space="preserve"> izmantošanu</w:t>
            </w:r>
          </w:p>
          <w:p w14:paraId="69953E9D" w14:textId="77777777" w:rsidR="003D4ABE" w:rsidRPr="0083189D" w:rsidRDefault="003D4ABE"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r>
      <w:tr w:rsidR="0022276D" w:rsidRPr="0083189D" w14:paraId="5B85B9E1"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26096308" w14:textId="3F11804E" w:rsidR="0022276D" w:rsidRPr="0083189D" w:rsidRDefault="0022276D"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lastRenderedPageBreak/>
              <w:t>7</w:t>
            </w:r>
          </w:p>
        </w:tc>
        <w:tc>
          <w:tcPr>
            <w:tcW w:w="3788" w:type="dxa"/>
          </w:tcPr>
          <w:p w14:paraId="05E586F9" w14:textId="77777777" w:rsidR="0022276D" w:rsidRPr="00D346DF" w:rsidRDefault="0022276D"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TAP noris atbilstoši normatīvo aktu prasībām. Uzraugošās personas rīkojas atbilstoši normatīvo aktu prasībām, pienākumus pildot un tiesības izlietojot pēc būtības, nevis formāli.</w:t>
            </w:r>
          </w:p>
          <w:p w14:paraId="5128FC2D" w14:textId="77777777" w:rsidR="0022276D" w:rsidRPr="0083189D" w:rsidRDefault="0022276D"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u w:val="single"/>
              </w:rPr>
            </w:pPr>
          </w:p>
        </w:tc>
        <w:tc>
          <w:tcPr>
            <w:tcW w:w="4111" w:type="dxa"/>
          </w:tcPr>
          <w:p w14:paraId="46841E48" w14:textId="7EA28A95" w:rsidR="0022276D" w:rsidRPr="0083189D" w:rsidRDefault="001D559A" w:rsidP="00627C36">
            <w:pPr>
              <w:pStyle w:val="Sarakstarindkop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Veiktas </w:t>
            </w:r>
            <w:r w:rsidR="0022276D" w:rsidRPr="0083189D">
              <w:rPr>
                <w:rFonts w:asciiTheme="majorHAnsi" w:hAnsiTheme="majorHAnsi" w:cstheme="majorHAnsi"/>
                <w:sz w:val="24"/>
                <w:szCs w:val="24"/>
              </w:rPr>
              <w:t>padziļināt</w:t>
            </w:r>
            <w:r w:rsidRPr="0083189D">
              <w:rPr>
                <w:rFonts w:asciiTheme="majorHAnsi" w:hAnsiTheme="majorHAnsi" w:cstheme="majorHAnsi"/>
                <w:sz w:val="24"/>
                <w:szCs w:val="24"/>
              </w:rPr>
              <w:t>ā</w:t>
            </w:r>
            <w:r w:rsidR="0022276D" w:rsidRPr="0083189D">
              <w:rPr>
                <w:rFonts w:asciiTheme="majorHAnsi" w:hAnsiTheme="majorHAnsi" w:cstheme="majorHAnsi"/>
                <w:sz w:val="24"/>
                <w:szCs w:val="24"/>
              </w:rPr>
              <w:t xml:space="preserve">s pārbaudes par uzraugošo personu </w:t>
            </w:r>
            <w:r w:rsidRPr="0083189D">
              <w:rPr>
                <w:rFonts w:asciiTheme="majorHAnsi" w:hAnsiTheme="majorHAnsi" w:cstheme="majorHAnsi"/>
                <w:sz w:val="24"/>
                <w:szCs w:val="24"/>
              </w:rPr>
              <w:t>rīcības atbilstību Maksātnespējas likumam</w:t>
            </w:r>
            <w:r w:rsidR="00511DB7" w:rsidRPr="0083189D">
              <w:rPr>
                <w:rFonts w:asciiTheme="majorHAnsi" w:hAnsiTheme="majorHAnsi" w:cstheme="majorHAnsi"/>
                <w:sz w:val="24"/>
                <w:szCs w:val="24"/>
              </w:rPr>
              <w:t xml:space="preserve"> TAP, kas uzsākti sākot no 2023. gada 15. septembra</w:t>
            </w:r>
          </w:p>
          <w:p w14:paraId="1F3438C0" w14:textId="77777777" w:rsidR="00C43B0C" w:rsidRPr="0083189D" w:rsidRDefault="00F231EF" w:rsidP="00627C36">
            <w:pPr>
              <w:pStyle w:val="Sarakstarindkop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Veikta tematiskā pārbaude par uzraugošo personu civiltiesisko apdrošināšanu</w:t>
            </w:r>
          </w:p>
          <w:p w14:paraId="2C5F351F" w14:textId="2AFD1AD1" w:rsidR="00C43B0C" w:rsidRPr="0083189D" w:rsidRDefault="00C43B0C" w:rsidP="00627C36">
            <w:pPr>
              <w:pStyle w:val="Sarakstarindkop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Izstrādāts informatīv</w:t>
            </w:r>
            <w:r w:rsidR="001B40C2" w:rsidRPr="0083189D">
              <w:rPr>
                <w:rFonts w:asciiTheme="majorHAnsi" w:hAnsiTheme="majorHAnsi" w:cstheme="majorHAnsi"/>
                <w:sz w:val="24"/>
                <w:szCs w:val="24"/>
              </w:rPr>
              <w:t>ai</w:t>
            </w:r>
            <w:r w:rsidRPr="0083189D">
              <w:rPr>
                <w:rFonts w:asciiTheme="majorHAnsi" w:hAnsiTheme="majorHAnsi" w:cstheme="majorHAnsi"/>
                <w:sz w:val="24"/>
                <w:szCs w:val="24"/>
              </w:rPr>
              <w:t>s materiāls par uzraugošās personas kvalifikācijas prasībām un tiesībām un pienākumiem TAP</w:t>
            </w:r>
          </w:p>
        </w:tc>
      </w:tr>
      <w:tr w:rsidR="00562D22" w:rsidRPr="0083189D" w14:paraId="74E63879"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gridSpan w:val="3"/>
          </w:tcPr>
          <w:p w14:paraId="66480B4B" w14:textId="446BA2CD" w:rsidR="00562D22" w:rsidRPr="00D346DF" w:rsidRDefault="00690DA1" w:rsidP="00D346DF">
            <w:pPr>
              <w:spacing w:line="276" w:lineRule="auto"/>
              <w:jc w:val="both"/>
              <w:rPr>
                <w:rFonts w:asciiTheme="majorHAnsi" w:hAnsiTheme="majorHAnsi" w:cstheme="majorHAnsi"/>
                <w:sz w:val="24"/>
                <w:szCs w:val="24"/>
              </w:rPr>
            </w:pPr>
            <w:r w:rsidRPr="00D346DF">
              <w:rPr>
                <w:rFonts w:asciiTheme="majorHAnsi" w:hAnsiTheme="majorHAnsi" w:cstheme="majorHAnsi"/>
                <w:color w:val="2F5496" w:themeColor="accent1" w:themeShade="BF"/>
                <w:sz w:val="24"/>
                <w:szCs w:val="24"/>
              </w:rPr>
              <w:t xml:space="preserve">Uzraudzība saskaņā ar </w:t>
            </w:r>
            <w:r w:rsidR="00562D22" w:rsidRPr="00D346DF">
              <w:rPr>
                <w:rFonts w:asciiTheme="majorHAnsi" w:hAnsiTheme="majorHAnsi" w:cstheme="majorHAnsi"/>
                <w:color w:val="2F5496" w:themeColor="accent1" w:themeShade="BF"/>
                <w:sz w:val="24"/>
                <w:szCs w:val="24"/>
              </w:rPr>
              <w:t>Novēršanas likum</w:t>
            </w:r>
            <w:r w:rsidRPr="00D346DF">
              <w:rPr>
                <w:rFonts w:asciiTheme="majorHAnsi" w:hAnsiTheme="majorHAnsi" w:cstheme="majorHAnsi"/>
                <w:color w:val="2F5496" w:themeColor="accent1" w:themeShade="BF"/>
                <w:sz w:val="24"/>
                <w:szCs w:val="24"/>
              </w:rPr>
              <w:t>u</w:t>
            </w:r>
            <w:r w:rsidR="00562D22" w:rsidRPr="00D346DF">
              <w:rPr>
                <w:rFonts w:asciiTheme="majorHAnsi" w:hAnsiTheme="majorHAnsi" w:cstheme="majorHAnsi"/>
                <w:color w:val="2F5496" w:themeColor="accent1" w:themeShade="BF"/>
                <w:sz w:val="24"/>
                <w:szCs w:val="24"/>
              </w:rPr>
              <w:t>:</w:t>
            </w:r>
          </w:p>
        </w:tc>
      </w:tr>
      <w:tr w:rsidR="0022276D" w:rsidRPr="0083189D" w14:paraId="7E2D3112"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4191CD5B" w14:textId="7978095B" w:rsidR="0022276D" w:rsidRPr="0083189D" w:rsidRDefault="00626276"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8</w:t>
            </w:r>
          </w:p>
        </w:tc>
        <w:tc>
          <w:tcPr>
            <w:tcW w:w="3788" w:type="dxa"/>
          </w:tcPr>
          <w:p w14:paraId="4B0657D3" w14:textId="77777777" w:rsidR="00626276" w:rsidRPr="00D346DF" w:rsidRDefault="00626276"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ir veikuši savas darbības risku novērtējumu un izveidojuši efektīvu IKS.</w:t>
            </w:r>
          </w:p>
          <w:p w14:paraId="118001D0" w14:textId="77777777" w:rsidR="0022276D" w:rsidRPr="0083189D" w:rsidRDefault="0022276D"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u w:val="single"/>
              </w:rPr>
            </w:pPr>
          </w:p>
        </w:tc>
        <w:tc>
          <w:tcPr>
            <w:tcW w:w="4111" w:type="dxa"/>
          </w:tcPr>
          <w:p w14:paraId="6EBF32F3" w14:textId="01DDE756" w:rsidR="00626276" w:rsidRPr="0083189D" w:rsidRDefault="00412A60" w:rsidP="00627C36">
            <w:pPr>
              <w:pStyle w:val="Sarakstarindkop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Reizi gadā </w:t>
            </w:r>
            <w:r w:rsidR="00626276" w:rsidRPr="0083189D">
              <w:rPr>
                <w:rFonts w:asciiTheme="majorHAnsi" w:hAnsiTheme="majorHAnsi" w:cstheme="majorHAnsi"/>
                <w:sz w:val="24"/>
                <w:szCs w:val="24"/>
              </w:rPr>
              <w:t>veikta tematiskā pārbaude par administratoru</w:t>
            </w:r>
            <w:r w:rsidR="00A81980" w:rsidRPr="0083189D">
              <w:rPr>
                <w:rFonts w:asciiTheme="majorHAnsi" w:hAnsiTheme="majorHAnsi" w:cstheme="majorHAnsi"/>
                <w:sz w:val="24"/>
                <w:szCs w:val="24"/>
              </w:rPr>
              <w:t xml:space="preserve"> darbības risku novērtējuma un</w:t>
            </w:r>
            <w:r w:rsidR="00626276" w:rsidRPr="0083189D">
              <w:rPr>
                <w:rFonts w:asciiTheme="majorHAnsi" w:hAnsiTheme="majorHAnsi" w:cstheme="majorHAnsi"/>
                <w:sz w:val="24"/>
                <w:szCs w:val="24"/>
              </w:rPr>
              <w:t xml:space="preserve"> IKS atbilstību Novēršanas likuma prasībām</w:t>
            </w:r>
          </w:p>
          <w:p w14:paraId="77F75DB4" w14:textId="77777777" w:rsidR="0022276D" w:rsidRPr="0083189D" w:rsidRDefault="00412A60" w:rsidP="00627C36">
            <w:pPr>
              <w:pStyle w:val="Sarakstarindkop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I</w:t>
            </w:r>
            <w:r w:rsidR="00626276" w:rsidRPr="0083189D">
              <w:rPr>
                <w:rFonts w:asciiTheme="majorHAnsi" w:hAnsiTheme="majorHAnsi" w:cstheme="majorHAnsi"/>
                <w:sz w:val="24"/>
                <w:szCs w:val="24"/>
              </w:rPr>
              <w:t>zstrādāts informatīvais materiāls efektīvai IKS izmantošanai</w:t>
            </w:r>
          </w:p>
          <w:p w14:paraId="76D255A9" w14:textId="18AB83F9" w:rsidR="00A601C6" w:rsidRPr="0083189D" w:rsidRDefault="00A601C6" w:rsidP="00627C36">
            <w:pPr>
              <w:pStyle w:val="Sarakstarindkop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Rīkots informatīvais pasākums par biežāk pieļautajām kļūdām</w:t>
            </w:r>
            <w:r w:rsidR="00A81980" w:rsidRPr="0083189D">
              <w:rPr>
                <w:rFonts w:asciiTheme="majorHAnsi" w:hAnsiTheme="majorHAnsi" w:cstheme="majorHAnsi"/>
                <w:sz w:val="24"/>
                <w:szCs w:val="24"/>
              </w:rPr>
              <w:t xml:space="preserve"> savas darbības risku novērtējumā un</w:t>
            </w:r>
            <w:r w:rsidRPr="0083189D">
              <w:rPr>
                <w:rFonts w:asciiTheme="majorHAnsi" w:hAnsiTheme="majorHAnsi" w:cstheme="majorHAnsi"/>
                <w:sz w:val="24"/>
                <w:szCs w:val="24"/>
              </w:rPr>
              <w:t xml:space="preserve"> IKS izstrādē</w:t>
            </w:r>
          </w:p>
        </w:tc>
      </w:tr>
      <w:tr w:rsidR="0022276D" w:rsidRPr="0083189D" w14:paraId="031BFBEB"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14:paraId="02EAC64D" w14:textId="0D0BD3BC" w:rsidR="0022276D" w:rsidRPr="0083189D" w:rsidRDefault="00626276"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9</w:t>
            </w:r>
          </w:p>
        </w:tc>
        <w:tc>
          <w:tcPr>
            <w:tcW w:w="3788" w:type="dxa"/>
          </w:tcPr>
          <w:p w14:paraId="3CFCE560" w14:textId="77777777" w:rsidR="00626276" w:rsidRPr="00D346DF" w:rsidRDefault="00626276"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ir veikuši klienta izpēti un dokumentējuši to atbilstoši normatīvo aktu prasībām (gan paša parādnieka, gan darījuma partnera pie mantas pārdošanas, ja tas ir nepieciešams).</w:t>
            </w:r>
          </w:p>
          <w:p w14:paraId="03C633D8" w14:textId="77777777" w:rsidR="0022276D" w:rsidRPr="0083189D" w:rsidRDefault="0022276D" w:rsidP="00627C3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u w:val="single"/>
              </w:rPr>
            </w:pPr>
          </w:p>
        </w:tc>
        <w:tc>
          <w:tcPr>
            <w:tcW w:w="4111" w:type="dxa"/>
          </w:tcPr>
          <w:p w14:paraId="65579B38" w14:textId="20301B27" w:rsidR="00626276" w:rsidRPr="0083189D" w:rsidRDefault="008D355F" w:rsidP="00627C36">
            <w:pPr>
              <w:pStyle w:val="Sarakstarindkopa"/>
              <w:numPr>
                <w:ilvl w:val="0"/>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Veiktas </w:t>
            </w:r>
            <w:r w:rsidR="00626276" w:rsidRPr="0083189D">
              <w:rPr>
                <w:rFonts w:asciiTheme="majorHAnsi" w:hAnsiTheme="majorHAnsi" w:cstheme="majorHAnsi"/>
                <w:sz w:val="24"/>
                <w:szCs w:val="24"/>
              </w:rPr>
              <w:t>padziļināt</w:t>
            </w:r>
            <w:r w:rsidRPr="0083189D">
              <w:rPr>
                <w:rFonts w:asciiTheme="majorHAnsi" w:hAnsiTheme="majorHAnsi" w:cstheme="majorHAnsi"/>
                <w:sz w:val="24"/>
                <w:szCs w:val="24"/>
              </w:rPr>
              <w:t>ā</w:t>
            </w:r>
            <w:r w:rsidR="00626276" w:rsidRPr="0083189D">
              <w:rPr>
                <w:rFonts w:asciiTheme="majorHAnsi" w:hAnsiTheme="majorHAnsi" w:cstheme="majorHAnsi"/>
                <w:sz w:val="24"/>
                <w:szCs w:val="24"/>
              </w:rPr>
              <w:t>s pārbaudes par Novēršanas likuma prasību izpildi darījumu uzraudzības jomā</w:t>
            </w:r>
          </w:p>
          <w:p w14:paraId="6CEA9FC3" w14:textId="708E6B80" w:rsidR="00626276" w:rsidRPr="0083189D" w:rsidRDefault="008D355F" w:rsidP="00627C36">
            <w:pPr>
              <w:pStyle w:val="Sarakstarindkopa"/>
              <w:numPr>
                <w:ilvl w:val="0"/>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Reizi gadā v</w:t>
            </w:r>
            <w:r w:rsidR="00626276" w:rsidRPr="0083189D">
              <w:rPr>
                <w:rFonts w:asciiTheme="majorHAnsi" w:hAnsiTheme="majorHAnsi" w:cstheme="majorHAnsi"/>
                <w:sz w:val="24"/>
                <w:szCs w:val="24"/>
              </w:rPr>
              <w:t>eikta tematiskā pārbaude par parādnieka mantas ieguvēja izpēti un naudas līdzekļu izcelsmes izpēti</w:t>
            </w:r>
          </w:p>
          <w:p w14:paraId="65BF9DF7" w14:textId="37B6D84B" w:rsidR="0022276D" w:rsidRPr="0083189D" w:rsidRDefault="008D355F" w:rsidP="00627C36">
            <w:pPr>
              <w:pStyle w:val="Sarakstarindkopa"/>
              <w:numPr>
                <w:ilvl w:val="0"/>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Rīkots </w:t>
            </w:r>
            <w:r w:rsidR="00626276" w:rsidRPr="0083189D">
              <w:rPr>
                <w:rFonts w:asciiTheme="majorHAnsi" w:hAnsiTheme="majorHAnsi" w:cstheme="majorHAnsi"/>
                <w:sz w:val="24"/>
                <w:szCs w:val="24"/>
              </w:rPr>
              <w:t>informatīvais pasākums administratoriem par biežāk konstatētajām kļūdām klienta izpētē un darījumu uzraudzībā</w:t>
            </w:r>
          </w:p>
        </w:tc>
      </w:tr>
      <w:tr w:rsidR="00626276" w:rsidRPr="0083189D" w14:paraId="3DD7728D"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478E3E83" w14:textId="7A9E84F2" w:rsidR="00626276" w:rsidRPr="0083189D" w:rsidRDefault="00626276"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lastRenderedPageBreak/>
              <w:t>10</w:t>
            </w:r>
          </w:p>
        </w:tc>
        <w:tc>
          <w:tcPr>
            <w:tcW w:w="3788" w:type="dxa"/>
          </w:tcPr>
          <w:p w14:paraId="5AE059D8" w14:textId="77777777" w:rsidR="00626276" w:rsidRPr="00D346DF" w:rsidRDefault="00626276"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ir savlaicīgi un atbilstoši likuma prasībām iesnieguši ziņojumus Finanšu izlūkošanas dienestā.</w:t>
            </w:r>
          </w:p>
          <w:p w14:paraId="3700FBBC" w14:textId="77777777" w:rsidR="00626276" w:rsidRPr="0083189D" w:rsidRDefault="00626276"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u w:val="single"/>
              </w:rPr>
            </w:pPr>
          </w:p>
        </w:tc>
        <w:tc>
          <w:tcPr>
            <w:tcW w:w="4111" w:type="dxa"/>
          </w:tcPr>
          <w:p w14:paraId="605DEFDF" w14:textId="25C38292" w:rsidR="00626276" w:rsidRPr="0083189D" w:rsidRDefault="00690A0C" w:rsidP="00627C36">
            <w:pPr>
              <w:pStyle w:val="Sarakstarindkopa"/>
              <w:numPr>
                <w:ilvl w:val="0"/>
                <w:numId w:val="2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Veiktas p</w:t>
            </w:r>
            <w:r w:rsidR="00626276" w:rsidRPr="0083189D">
              <w:rPr>
                <w:rFonts w:asciiTheme="majorHAnsi" w:hAnsiTheme="majorHAnsi" w:cstheme="majorHAnsi"/>
                <w:sz w:val="24"/>
                <w:szCs w:val="24"/>
              </w:rPr>
              <w:t>adziļinātas pārbaudes par Novēršanas likuma prasību izpildi darījumu uzraudzības jomā</w:t>
            </w:r>
          </w:p>
          <w:p w14:paraId="3BC63476" w14:textId="02BFCB2C" w:rsidR="00626276" w:rsidRPr="0083189D" w:rsidRDefault="00690A0C" w:rsidP="00627C36">
            <w:pPr>
              <w:pStyle w:val="Sarakstarindkopa"/>
              <w:numPr>
                <w:ilvl w:val="0"/>
                <w:numId w:val="28"/>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P</w:t>
            </w:r>
            <w:r w:rsidR="00626276" w:rsidRPr="0083189D">
              <w:rPr>
                <w:rFonts w:asciiTheme="majorHAnsi" w:hAnsiTheme="majorHAnsi" w:cstheme="majorHAnsi"/>
                <w:sz w:val="24"/>
                <w:szCs w:val="24"/>
              </w:rPr>
              <w:t xml:space="preserve">apildināts informatīvais materiāls par </w:t>
            </w:r>
            <w:r w:rsidR="00626276" w:rsidRPr="0083189D">
              <w:rPr>
                <w:rFonts w:asciiTheme="majorHAnsi" w:hAnsiTheme="majorHAnsi" w:cstheme="majorHAnsi"/>
                <w:kern w:val="0"/>
                <w:sz w:val="24"/>
                <w:szCs w:val="24"/>
              </w:rPr>
              <w:t>maksātnespējas procesu uzraudzībā konstatētām noziedzīgi iegūtu līdzekļu legalizācijas tipoloģijām un pazīmēm</w:t>
            </w:r>
          </w:p>
        </w:tc>
      </w:tr>
      <w:tr w:rsidR="00626276" w:rsidRPr="0083189D" w14:paraId="3C9E69F0" w14:textId="77777777" w:rsidTr="008B4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gridSpan w:val="3"/>
          </w:tcPr>
          <w:p w14:paraId="2ADB5D7E" w14:textId="486CAE9C" w:rsidR="00626276" w:rsidRPr="00D346DF" w:rsidRDefault="00690DA1" w:rsidP="00627C36">
            <w:pPr>
              <w:spacing w:line="276" w:lineRule="auto"/>
              <w:jc w:val="both"/>
              <w:rPr>
                <w:rFonts w:asciiTheme="majorHAnsi" w:hAnsiTheme="majorHAnsi" w:cstheme="majorHAnsi"/>
                <w:sz w:val="24"/>
                <w:szCs w:val="24"/>
              </w:rPr>
            </w:pPr>
            <w:r w:rsidRPr="00D346DF">
              <w:rPr>
                <w:rFonts w:asciiTheme="majorHAnsi" w:hAnsiTheme="majorHAnsi" w:cstheme="majorHAnsi"/>
                <w:color w:val="2F5496" w:themeColor="accent1" w:themeShade="BF"/>
                <w:sz w:val="24"/>
                <w:szCs w:val="24"/>
              </w:rPr>
              <w:t xml:space="preserve">Uzraudzība saskaņā ar </w:t>
            </w:r>
            <w:r w:rsidR="00626276" w:rsidRPr="00D346DF">
              <w:rPr>
                <w:rFonts w:asciiTheme="majorHAnsi" w:hAnsiTheme="majorHAnsi" w:cstheme="majorHAnsi"/>
                <w:color w:val="2F5496" w:themeColor="accent1" w:themeShade="BF"/>
                <w:sz w:val="24"/>
                <w:szCs w:val="24"/>
              </w:rPr>
              <w:t>Sankciju likum</w:t>
            </w:r>
            <w:r w:rsidRPr="00D346DF">
              <w:rPr>
                <w:rFonts w:asciiTheme="majorHAnsi" w:hAnsiTheme="majorHAnsi" w:cstheme="majorHAnsi"/>
                <w:color w:val="2F5496" w:themeColor="accent1" w:themeShade="BF"/>
                <w:sz w:val="24"/>
                <w:szCs w:val="24"/>
              </w:rPr>
              <w:t>u</w:t>
            </w:r>
            <w:r w:rsidR="00626276" w:rsidRPr="00D346DF">
              <w:rPr>
                <w:rFonts w:asciiTheme="majorHAnsi" w:hAnsiTheme="majorHAnsi" w:cstheme="majorHAnsi"/>
                <w:color w:val="2F5496" w:themeColor="accent1" w:themeShade="BF"/>
                <w:sz w:val="24"/>
                <w:szCs w:val="24"/>
              </w:rPr>
              <w:t>:</w:t>
            </w:r>
          </w:p>
        </w:tc>
      </w:tr>
      <w:tr w:rsidR="00626276" w:rsidRPr="0083189D" w14:paraId="1CB6A313" w14:textId="77777777" w:rsidTr="008B4644">
        <w:tc>
          <w:tcPr>
            <w:cnfStyle w:val="001000000000" w:firstRow="0" w:lastRow="0" w:firstColumn="1" w:lastColumn="0" w:oddVBand="0" w:evenVBand="0" w:oddHBand="0" w:evenHBand="0" w:firstRowFirstColumn="0" w:firstRowLastColumn="0" w:lastRowFirstColumn="0" w:lastRowLastColumn="0"/>
            <w:tcW w:w="460" w:type="dxa"/>
          </w:tcPr>
          <w:p w14:paraId="6E85AF91" w14:textId="6A0D2F8E" w:rsidR="00626276" w:rsidRPr="0083189D" w:rsidRDefault="00626276" w:rsidP="00627C36">
            <w:pPr>
              <w:spacing w:line="276" w:lineRule="auto"/>
              <w:jc w:val="both"/>
              <w:rPr>
                <w:rFonts w:asciiTheme="majorHAnsi" w:hAnsiTheme="majorHAnsi" w:cstheme="majorHAnsi"/>
                <w:sz w:val="24"/>
                <w:szCs w:val="24"/>
              </w:rPr>
            </w:pPr>
            <w:r w:rsidRPr="0083189D">
              <w:rPr>
                <w:rFonts w:asciiTheme="majorHAnsi" w:hAnsiTheme="majorHAnsi" w:cstheme="majorHAnsi"/>
                <w:sz w:val="24"/>
                <w:szCs w:val="24"/>
              </w:rPr>
              <w:t>11</w:t>
            </w:r>
          </w:p>
        </w:tc>
        <w:tc>
          <w:tcPr>
            <w:tcW w:w="3788" w:type="dxa"/>
          </w:tcPr>
          <w:p w14:paraId="1E93A43E" w14:textId="77777777" w:rsidR="00626276" w:rsidRPr="00D346DF" w:rsidRDefault="00626276"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2F5496" w:themeColor="accent1" w:themeShade="BF"/>
                <w:sz w:val="24"/>
                <w:szCs w:val="24"/>
              </w:rPr>
            </w:pPr>
            <w:r w:rsidRPr="00D346DF">
              <w:rPr>
                <w:rFonts w:asciiTheme="majorHAnsi" w:hAnsiTheme="majorHAnsi" w:cstheme="majorHAnsi"/>
                <w:b/>
                <w:bCs/>
                <w:color w:val="2F5496" w:themeColor="accent1" w:themeShade="BF"/>
                <w:sz w:val="24"/>
                <w:szCs w:val="24"/>
              </w:rPr>
              <w:t>Administratori nodrošina pienācīgu un efektīvu sankciju riska pārvaldību – ir veikuši un dokumentējuši starptautisko un nacionālo sankciju riska novērtējumu un, pamatojoties uz to, izstrādājuši IKS.</w:t>
            </w:r>
          </w:p>
          <w:p w14:paraId="19AD49E9" w14:textId="77777777" w:rsidR="00626276" w:rsidRPr="0083189D" w:rsidRDefault="00626276" w:rsidP="00627C3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u w:val="single"/>
              </w:rPr>
            </w:pPr>
          </w:p>
        </w:tc>
        <w:tc>
          <w:tcPr>
            <w:tcW w:w="4111" w:type="dxa"/>
          </w:tcPr>
          <w:p w14:paraId="4994F871" w14:textId="53595EF5" w:rsidR="00626276" w:rsidRPr="0083189D" w:rsidRDefault="00DE7B5B" w:rsidP="00627C36">
            <w:pPr>
              <w:pStyle w:val="Sarakstarindkopa"/>
              <w:numPr>
                <w:ilvl w:val="0"/>
                <w:numId w:val="2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I</w:t>
            </w:r>
            <w:r w:rsidR="00626276" w:rsidRPr="0083189D">
              <w:rPr>
                <w:rFonts w:asciiTheme="majorHAnsi" w:hAnsiTheme="majorHAnsi" w:cstheme="majorHAnsi"/>
                <w:sz w:val="24"/>
                <w:szCs w:val="24"/>
              </w:rPr>
              <w:t>zstrādāta kārtība, kurā ir noteikts pasākumu kopums, kas administratoram jāveic Sankciju likuma prasību izpildes nodrošināšanai</w:t>
            </w:r>
          </w:p>
          <w:p w14:paraId="730BE53C" w14:textId="436F787A" w:rsidR="00626276" w:rsidRPr="0083189D" w:rsidRDefault="00DE7B5B" w:rsidP="00627C36">
            <w:pPr>
              <w:pStyle w:val="Sarakstarindkopa"/>
              <w:numPr>
                <w:ilvl w:val="0"/>
                <w:numId w:val="2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P</w:t>
            </w:r>
            <w:r w:rsidR="00626276" w:rsidRPr="0083189D">
              <w:rPr>
                <w:rFonts w:asciiTheme="majorHAnsi" w:hAnsiTheme="majorHAnsi" w:cstheme="majorHAnsi"/>
                <w:sz w:val="24"/>
                <w:szCs w:val="24"/>
              </w:rPr>
              <w:t>apildināts informatīvais materiāls par sankciju piemērošanu maksātnespējas procesā</w:t>
            </w:r>
          </w:p>
          <w:p w14:paraId="27F9296B" w14:textId="3BAC2395" w:rsidR="00626276" w:rsidRPr="0083189D" w:rsidRDefault="00DE7B5B" w:rsidP="00627C36">
            <w:pPr>
              <w:pStyle w:val="Sarakstarindkopa"/>
              <w:numPr>
                <w:ilvl w:val="0"/>
                <w:numId w:val="29"/>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83189D">
              <w:rPr>
                <w:rFonts w:asciiTheme="majorHAnsi" w:hAnsiTheme="majorHAnsi" w:cstheme="majorHAnsi"/>
                <w:sz w:val="24"/>
                <w:szCs w:val="24"/>
              </w:rPr>
              <w:t xml:space="preserve">Reizi gadā </w:t>
            </w:r>
            <w:r w:rsidR="00626276" w:rsidRPr="0083189D">
              <w:rPr>
                <w:rFonts w:asciiTheme="majorHAnsi" w:hAnsiTheme="majorHAnsi" w:cstheme="majorHAnsi"/>
                <w:sz w:val="24"/>
                <w:szCs w:val="24"/>
              </w:rPr>
              <w:t>veikta tematiskā pārbaude par administratoru izstrādātajiem dokumentiem sankciju risku pārvaldībai</w:t>
            </w:r>
          </w:p>
        </w:tc>
      </w:tr>
    </w:tbl>
    <w:p w14:paraId="7AEA8E07" w14:textId="77777777" w:rsidR="003D4ABE" w:rsidRPr="0083189D" w:rsidRDefault="003D4ABE" w:rsidP="00627C36">
      <w:pPr>
        <w:spacing w:line="276" w:lineRule="auto"/>
        <w:jc w:val="both"/>
        <w:rPr>
          <w:rFonts w:asciiTheme="majorHAnsi" w:hAnsiTheme="majorHAnsi" w:cstheme="majorHAnsi"/>
          <w:sz w:val="24"/>
          <w:szCs w:val="24"/>
        </w:rPr>
      </w:pPr>
    </w:p>
    <w:p w14:paraId="339B2F8C" w14:textId="2D9C0955" w:rsidR="00AF4768" w:rsidRPr="0083189D" w:rsidRDefault="00AF4768" w:rsidP="00627C36">
      <w:pPr>
        <w:spacing w:line="276" w:lineRule="auto"/>
        <w:jc w:val="both"/>
        <w:rPr>
          <w:rFonts w:asciiTheme="majorHAnsi" w:hAnsiTheme="majorHAnsi" w:cstheme="majorHAnsi"/>
          <w:sz w:val="24"/>
          <w:szCs w:val="24"/>
        </w:rPr>
      </w:pPr>
    </w:p>
    <w:sectPr w:rsidR="00AF4768" w:rsidRPr="0083189D" w:rsidSect="00DB246C">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9D700" w14:textId="77777777" w:rsidR="005B1495" w:rsidRDefault="005B1495" w:rsidP="00FD4F1F">
      <w:pPr>
        <w:spacing w:after="0" w:line="240" w:lineRule="auto"/>
      </w:pPr>
      <w:r>
        <w:separator/>
      </w:r>
    </w:p>
  </w:endnote>
  <w:endnote w:type="continuationSeparator" w:id="0">
    <w:p w14:paraId="12CD1DF3" w14:textId="77777777" w:rsidR="005B1495" w:rsidRDefault="005B1495" w:rsidP="00FD4F1F">
      <w:pPr>
        <w:spacing w:after="0" w:line="240" w:lineRule="auto"/>
      </w:pPr>
      <w:r>
        <w:continuationSeparator/>
      </w:r>
    </w:p>
  </w:endnote>
  <w:endnote w:type="continuationNotice" w:id="1">
    <w:p w14:paraId="1DA10ACF" w14:textId="77777777" w:rsidR="005B1495" w:rsidRDefault="005B1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20384889"/>
      <w:docPartObj>
        <w:docPartGallery w:val="Page Numbers (Bottom of Page)"/>
        <w:docPartUnique/>
      </w:docPartObj>
    </w:sdtPr>
    <w:sdtEndPr/>
    <w:sdtContent>
      <w:p w14:paraId="7C419E85" w14:textId="4ADD502E" w:rsidR="002F762A" w:rsidRPr="004A4403" w:rsidRDefault="00332DB3">
        <w:pPr>
          <w:pStyle w:val="Kjene"/>
          <w:rPr>
            <w:rFonts w:ascii="Times New Roman" w:hAnsi="Times New Roman" w:cs="Times New Roman"/>
          </w:rPr>
        </w:pPr>
        <w:r w:rsidRPr="00332DB3">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CA26ACC" wp14:editId="435987FE">
                  <wp:simplePos x="0" y="0"/>
                  <wp:positionH relativeFrom="page">
                    <wp:posOffset>5883215</wp:posOffset>
                  </wp:positionH>
                  <wp:positionV relativeFrom="page">
                    <wp:posOffset>9092242</wp:posOffset>
                  </wp:positionV>
                  <wp:extent cx="1668780" cy="1597660"/>
                  <wp:effectExtent l="0" t="0" r="7620" b="2540"/>
                  <wp:wrapNone/>
                  <wp:docPr id="1986042817" name="Vienādsānu trīsstūris 198604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597660"/>
                          </a:xfrm>
                          <a:prstGeom prst="triangle">
                            <a:avLst>
                              <a:gd name="adj" fmla="val 100000"/>
                            </a:avLst>
                          </a:prstGeom>
                          <a:solidFill>
                            <a:schemeClr val="accent5">
                              <a:lumMod val="20000"/>
                              <a:lumOff val="80000"/>
                            </a:schemeClr>
                          </a:solidFill>
                          <a:ln>
                            <a:noFill/>
                          </a:ln>
                        </wps:spPr>
                        <wps:txbx>
                          <w:txbxContent>
                            <w:p w14:paraId="3DE7F2F8" w14:textId="77777777" w:rsidR="00332DB3" w:rsidRPr="005153AB" w:rsidRDefault="00332DB3">
                              <w:pPr>
                                <w:jc w:val="center"/>
                                <w:rPr>
                                  <w:sz w:val="40"/>
                                  <w:szCs w:val="40"/>
                                </w:rPr>
                              </w:pPr>
                              <w:r w:rsidRPr="005153AB">
                                <w:rPr>
                                  <w:rFonts w:eastAsiaTheme="minorEastAsia" w:cs="Times New Roman"/>
                                  <w:sz w:val="40"/>
                                  <w:szCs w:val="40"/>
                                </w:rPr>
                                <w:fldChar w:fldCharType="begin"/>
                              </w:r>
                              <w:r w:rsidRPr="005153AB">
                                <w:rPr>
                                  <w:sz w:val="40"/>
                                  <w:szCs w:val="40"/>
                                </w:rPr>
                                <w:instrText>PAGE    \* MERGEFORMAT</w:instrText>
                              </w:r>
                              <w:r w:rsidRPr="005153AB">
                                <w:rPr>
                                  <w:rFonts w:eastAsiaTheme="minorEastAsia" w:cs="Times New Roman"/>
                                  <w:sz w:val="40"/>
                                  <w:szCs w:val="40"/>
                                </w:rPr>
                                <w:fldChar w:fldCharType="separate"/>
                              </w:r>
                              <w:r w:rsidRPr="005153AB">
                                <w:rPr>
                                  <w:rFonts w:asciiTheme="majorHAnsi" w:eastAsiaTheme="majorEastAsia" w:hAnsiTheme="majorHAnsi" w:cstheme="majorBidi"/>
                                  <w:color w:val="FFFFFF" w:themeColor="background1"/>
                                  <w:sz w:val="40"/>
                                  <w:szCs w:val="40"/>
                                </w:rPr>
                                <w:t>2</w:t>
                              </w:r>
                              <w:r w:rsidRPr="005153AB">
                                <w:rPr>
                                  <w:rFonts w:asciiTheme="majorHAnsi" w:eastAsiaTheme="majorEastAsia" w:hAnsiTheme="majorHAnsi" w:cstheme="majorBidi"/>
                                  <w:color w:val="FFFFFF" w:themeColor="background1"/>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26A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ienādsānu trīsstūris 1986042817" o:spid="_x0000_s1032" type="#_x0000_t5" style="position:absolute;margin-left:463.25pt;margin-top:715.9pt;width:131.4pt;height:12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" adj="21600" fillcolor="#deeaf6 [664]" stroked="f">
                  <v:textbox>
                    <w:txbxContent>
                      <w:p w14:paraId="3DE7F2F8" w14:textId="77777777" w:rsidR="00332DB3" w:rsidRPr="005153AB" w:rsidRDefault="00332DB3">
                        <w:pPr>
                          <w:jc w:val="center"/>
                          <w:rPr>
                            <w:sz w:val="40"/>
                            <w:szCs w:val="40"/>
                          </w:rPr>
                        </w:pPr>
                        <w:r w:rsidRPr="005153AB">
                          <w:rPr>
                            <w:rFonts w:eastAsiaTheme="minorEastAsia" w:cs="Times New Roman"/>
                            <w:sz w:val="40"/>
                            <w:szCs w:val="40"/>
                          </w:rPr>
                          <w:fldChar w:fldCharType="begin"/>
                        </w:r>
                        <w:r w:rsidRPr="005153AB">
                          <w:rPr>
                            <w:sz w:val="40"/>
                            <w:szCs w:val="40"/>
                          </w:rPr>
                          <w:instrText>PAGE    \* MERGEFORMAT</w:instrText>
                        </w:r>
                        <w:r w:rsidRPr="005153AB">
                          <w:rPr>
                            <w:rFonts w:eastAsiaTheme="minorEastAsia" w:cs="Times New Roman"/>
                            <w:sz w:val="40"/>
                            <w:szCs w:val="40"/>
                          </w:rPr>
                          <w:fldChar w:fldCharType="separate"/>
                        </w:r>
                        <w:r w:rsidRPr="005153AB">
                          <w:rPr>
                            <w:rFonts w:asciiTheme="majorHAnsi" w:eastAsiaTheme="majorEastAsia" w:hAnsiTheme="majorHAnsi" w:cstheme="majorBidi"/>
                            <w:color w:val="FFFFFF" w:themeColor="background1"/>
                            <w:sz w:val="40"/>
                            <w:szCs w:val="40"/>
                          </w:rPr>
                          <w:t>2</w:t>
                        </w:r>
                        <w:r w:rsidRPr="005153AB">
                          <w:rPr>
                            <w:rFonts w:asciiTheme="majorHAnsi" w:eastAsiaTheme="majorEastAsia" w:hAnsiTheme="majorHAnsi" w:cstheme="majorBidi"/>
                            <w:color w:val="FFFFFF" w:themeColor="background1"/>
                            <w:sz w:val="40"/>
                            <w:szCs w:val="4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675E8" w14:textId="77777777" w:rsidR="005B1495" w:rsidRDefault="005B1495" w:rsidP="00FD4F1F">
      <w:pPr>
        <w:spacing w:after="0" w:line="240" w:lineRule="auto"/>
      </w:pPr>
      <w:r>
        <w:separator/>
      </w:r>
    </w:p>
  </w:footnote>
  <w:footnote w:type="continuationSeparator" w:id="0">
    <w:p w14:paraId="4F000DE8" w14:textId="77777777" w:rsidR="005B1495" w:rsidRDefault="005B1495" w:rsidP="00FD4F1F">
      <w:pPr>
        <w:spacing w:after="0" w:line="240" w:lineRule="auto"/>
      </w:pPr>
      <w:r>
        <w:continuationSeparator/>
      </w:r>
    </w:p>
  </w:footnote>
  <w:footnote w:type="continuationNotice" w:id="1">
    <w:p w14:paraId="50723210" w14:textId="77777777" w:rsidR="005B1495" w:rsidRDefault="005B1495">
      <w:pPr>
        <w:spacing w:after="0" w:line="240" w:lineRule="auto"/>
      </w:pPr>
    </w:p>
  </w:footnote>
  <w:footnote w:id="2">
    <w:p w14:paraId="69345F58" w14:textId="5AD71402" w:rsidR="00FD4F1F" w:rsidRPr="00B7704C" w:rsidRDefault="00FD4F1F"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2F3B1C" w:rsidRPr="00B7704C">
        <w:rPr>
          <w:rFonts w:asciiTheme="majorHAnsi" w:hAnsiTheme="majorHAnsi" w:cstheme="majorHAnsi"/>
        </w:rPr>
        <w:t>Maksātnespējas likuma 173. pant</w:t>
      </w:r>
      <w:r w:rsidR="00F6113F" w:rsidRPr="00B7704C">
        <w:rPr>
          <w:rFonts w:asciiTheme="majorHAnsi" w:hAnsiTheme="majorHAnsi" w:cstheme="majorHAnsi"/>
        </w:rPr>
        <w:t>a pirmā daļa</w:t>
      </w:r>
      <w:r w:rsidR="002F3B1C" w:rsidRPr="00B7704C">
        <w:rPr>
          <w:rFonts w:asciiTheme="majorHAnsi" w:hAnsiTheme="majorHAnsi" w:cstheme="majorHAnsi"/>
        </w:rPr>
        <w:t>.</w:t>
      </w:r>
    </w:p>
  </w:footnote>
  <w:footnote w:id="3">
    <w:p w14:paraId="0513664E" w14:textId="055AE442" w:rsidR="00161760" w:rsidRPr="00B7704C" w:rsidRDefault="00161760"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Maksātnespējas likuma 174. panta 1. punkts</w:t>
      </w:r>
      <w:r w:rsidR="00B7704C">
        <w:rPr>
          <w:rFonts w:asciiTheme="majorHAnsi" w:hAnsiTheme="majorHAnsi" w:cstheme="majorHAnsi"/>
        </w:rPr>
        <w:t>.</w:t>
      </w:r>
    </w:p>
  </w:footnote>
  <w:footnote w:id="4">
    <w:p w14:paraId="6F859C6D" w14:textId="3ACA7B98" w:rsidR="00F6113F" w:rsidRPr="00B7704C" w:rsidRDefault="00F6113F"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0678FD" w:rsidRPr="00B7704C">
        <w:rPr>
          <w:rFonts w:asciiTheme="majorHAnsi" w:hAnsiTheme="majorHAnsi" w:cstheme="majorHAnsi"/>
        </w:rPr>
        <w:t>Novēršanas likuma 77. panta pirmā daļa.</w:t>
      </w:r>
    </w:p>
  </w:footnote>
  <w:footnote w:id="5">
    <w:p w14:paraId="46D6B0C7" w14:textId="1F0C6F9D" w:rsidR="00962384" w:rsidRPr="00B7704C" w:rsidRDefault="00962384"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0A1467" w:rsidRPr="00B7704C">
        <w:rPr>
          <w:rFonts w:asciiTheme="majorHAnsi" w:hAnsiTheme="majorHAnsi" w:cstheme="majorHAnsi"/>
        </w:rPr>
        <w:t>Sankciju likuma 13.</w:t>
      </w:r>
      <w:r w:rsidR="000A1467" w:rsidRPr="00B7704C">
        <w:rPr>
          <w:rFonts w:asciiTheme="majorHAnsi" w:hAnsiTheme="majorHAnsi" w:cstheme="majorHAnsi"/>
          <w:vertAlign w:val="superscript"/>
        </w:rPr>
        <w:t>2</w:t>
      </w:r>
      <w:r w:rsidR="000A1467" w:rsidRPr="00B7704C">
        <w:rPr>
          <w:rFonts w:asciiTheme="majorHAnsi" w:hAnsiTheme="majorHAnsi" w:cstheme="majorHAnsi"/>
        </w:rPr>
        <w:t xml:space="preserve"> panta </w:t>
      </w:r>
      <w:r w:rsidR="00CC11DE" w:rsidRPr="00B7704C">
        <w:rPr>
          <w:rFonts w:asciiTheme="majorHAnsi" w:hAnsiTheme="majorHAnsi" w:cstheme="majorHAnsi"/>
        </w:rPr>
        <w:t>pirmā daļa.</w:t>
      </w:r>
      <w:r w:rsidR="00555246" w:rsidRPr="00B7704C">
        <w:rPr>
          <w:rFonts w:asciiTheme="majorHAnsi" w:hAnsiTheme="majorHAnsi" w:cstheme="majorHAnsi"/>
        </w:rPr>
        <w:t xml:space="preserve"> Grozījumi Sankciju likumā, kas noteic MKD kompetenci veikt uzraudzību šajā likumā noteiktajā kārtībā stājas spēkā 2024. gada 1. aprīlī.</w:t>
      </w:r>
    </w:p>
  </w:footnote>
  <w:footnote w:id="6">
    <w:p w14:paraId="495CC954" w14:textId="37E6CD62" w:rsidR="0097429A" w:rsidRPr="00B7704C" w:rsidRDefault="003B53B1"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97429A" w:rsidRPr="00B7704C">
        <w:rPr>
          <w:rFonts w:asciiTheme="majorHAnsi" w:hAnsiTheme="majorHAnsi" w:cstheme="majorHAnsi"/>
        </w:rPr>
        <w:t xml:space="preserve">Pieejama: </w:t>
      </w:r>
      <w:hyperlink r:id="rId1" w:anchor="mkd-darbibas-strategija-2021-2025gadam" w:history="1">
        <w:r w:rsidR="0097429A" w:rsidRPr="00B7704C">
          <w:rPr>
            <w:rStyle w:val="Hipersaite"/>
            <w:rFonts w:asciiTheme="majorHAnsi" w:hAnsiTheme="majorHAnsi" w:cstheme="majorHAnsi"/>
          </w:rPr>
          <w:t>https://www.mkd.gov.lv/lv/par-mums#mkd-darbibas-strategija-2021-2025gadam</w:t>
        </w:r>
      </w:hyperlink>
      <w:r w:rsidR="00B7704C">
        <w:rPr>
          <w:rFonts w:asciiTheme="majorHAnsi" w:hAnsiTheme="majorHAnsi" w:cstheme="majorHAnsi"/>
        </w:rPr>
        <w:t>.</w:t>
      </w:r>
    </w:p>
  </w:footnote>
  <w:footnote w:id="7">
    <w:p w14:paraId="6B79790C" w14:textId="38E096AB" w:rsidR="00DB79E9" w:rsidRPr="00B7704C" w:rsidRDefault="00DB79E9"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D718E9" w:rsidRPr="00B7704C">
        <w:rPr>
          <w:rFonts w:asciiTheme="majorHAnsi" w:hAnsiTheme="majorHAnsi" w:cstheme="majorHAnsi"/>
        </w:rPr>
        <w:t xml:space="preserve">Saskaņā ar maksātnespējas reģistra datiem </w:t>
      </w:r>
      <w:r w:rsidRPr="00B7704C">
        <w:rPr>
          <w:rFonts w:asciiTheme="majorHAnsi" w:hAnsiTheme="majorHAnsi" w:cstheme="majorHAnsi"/>
        </w:rPr>
        <w:t>202</w:t>
      </w:r>
      <w:r w:rsidR="00267F1A" w:rsidRPr="00B7704C">
        <w:rPr>
          <w:rFonts w:asciiTheme="majorHAnsi" w:hAnsiTheme="majorHAnsi" w:cstheme="majorHAnsi"/>
        </w:rPr>
        <w:t xml:space="preserve">3. gada 11. decembrī </w:t>
      </w:r>
      <w:r w:rsidR="00D718E9" w:rsidRPr="00B7704C">
        <w:rPr>
          <w:rFonts w:asciiTheme="majorHAnsi" w:hAnsiTheme="majorHAnsi" w:cstheme="majorHAnsi"/>
        </w:rPr>
        <w:t xml:space="preserve">amatā ir 149 administratori, </w:t>
      </w:r>
      <w:r w:rsidR="00774627" w:rsidRPr="00B7704C">
        <w:rPr>
          <w:rFonts w:asciiTheme="majorHAnsi" w:hAnsiTheme="majorHAnsi" w:cstheme="majorHAnsi"/>
        </w:rPr>
        <w:t>kuri administrē 2211 maksātnespējas procesus</w:t>
      </w:r>
      <w:r w:rsidR="00981248" w:rsidRPr="00B7704C">
        <w:rPr>
          <w:rFonts w:asciiTheme="majorHAnsi" w:hAnsiTheme="majorHAnsi" w:cstheme="majorHAnsi"/>
        </w:rPr>
        <w:t xml:space="preserve">, </w:t>
      </w:r>
      <w:r w:rsidR="002B08B7" w:rsidRPr="00B7704C">
        <w:rPr>
          <w:rFonts w:asciiTheme="majorHAnsi" w:hAnsiTheme="majorHAnsi" w:cstheme="majorHAnsi"/>
        </w:rPr>
        <w:t>ar tiesas lēmumu TAP ir ieceltas</w:t>
      </w:r>
      <w:r w:rsidR="00CA3C00" w:rsidRPr="00B7704C">
        <w:rPr>
          <w:rFonts w:asciiTheme="majorHAnsi" w:hAnsiTheme="majorHAnsi" w:cstheme="majorHAnsi"/>
        </w:rPr>
        <w:t xml:space="preserve"> 70 uzraugošās personas un ierosinātas </w:t>
      </w:r>
      <w:r w:rsidR="00797EF4" w:rsidRPr="00B7704C">
        <w:rPr>
          <w:rFonts w:asciiTheme="majorHAnsi" w:hAnsiTheme="majorHAnsi" w:cstheme="majorHAnsi"/>
        </w:rPr>
        <w:t>76 TAP lietas.</w:t>
      </w:r>
      <w:r w:rsidR="00267F1A" w:rsidRPr="00B7704C">
        <w:rPr>
          <w:rFonts w:asciiTheme="majorHAnsi" w:hAnsiTheme="majorHAnsi" w:cstheme="majorHAnsi"/>
        </w:rPr>
        <w:t xml:space="preserve"> </w:t>
      </w:r>
    </w:p>
  </w:footnote>
  <w:footnote w:id="8">
    <w:p w14:paraId="1B4AB17D" w14:textId="22664CC4" w:rsidR="006C328D" w:rsidRPr="00B7704C" w:rsidRDefault="006C328D"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4102AE" w:rsidRPr="00B7704C">
        <w:rPr>
          <w:rFonts w:asciiTheme="majorHAnsi" w:hAnsiTheme="majorHAnsi" w:cstheme="majorHAnsi"/>
        </w:rPr>
        <w:t xml:space="preserve">Grozījumi Sankciju likumā, kas noteic MKD kompetenci veikt uzraudzību </w:t>
      </w:r>
      <w:r w:rsidR="00555246" w:rsidRPr="00B7704C">
        <w:rPr>
          <w:rFonts w:asciiTheme="majorHAnsi" w:hAnsiTheme="majorHAnsi" w:cstheme="majorHAnsi"/>
        </w:rPr>
        <w:t xml:space="preserve">šajā likumā noteiktajā kārtībā stājas spēkā </w:t>
      </w:r>
      <w:r w:rsidR="006F5047" w:rsidRPr="00B7704C">
        <w:rPr>
          <w:rFonts w:asciiTheme="majorHAnsi" w:hAnsiTheme="majorHAnsi" w:cstheme="majorHAnsi"/>
        </w:rPr>
        <w:t>2024. gada 1. aprī</w:t>
      </w:r>
      <w:r w:rsidR="00555246" w:rsidRPr="00B7704C">
        <w:rPr>
          <w:rFonts w:asciiTheme="majorHAnsi" w:hAnsiTheme="majorHAnsi" w:cstheme="majorHAnsi"/>
        </w:rPr>
        <w:t>lī.</w:t>
      </w:r>
    </w:p>
  </w:footnote>
  <w:footnote w:id="9">
    <w:p w14:paraId="7352A615" w14:textId="512B45D2" w:rsidR="009B0DA5" w:rsidRPr="00B7704C" w:rsidRDefault="009B0DA5" w:rsidP="0020332E">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w:t>
      </w:r>
      <w:r w:rsidR="00CF666E" w:rsidRPr="00B7704C">
        <w:rPr>
          <w:rFonts w:asciiTheme="majorHAnsi" w:hAnsiTheme="majorHAnsi" w:cstheme="majorHAnsi"/>
        </w:rPr>
        <w:t>Pārkāpumi konstatēti 12 lēmumos par sankciju piemērošanu un 11 skaidrojumos par administratora rīcības nepareizību.</w:t>
      </w:r>
    </w:p>
  </w:footnote>
  <w:footnote w:id="10">
    <w:p w14:paraId="50270486" w14:textId="638421B6" w:rsidR="00F87D91" w:rsidRPr="00B7704C" w:rsidRDefault="00F87D91"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Krimināllikuma 84. pants.</w:t>
      </w:r>
    </w:p>
  </w:footnote>
  <w:footnote w:id="11">
    <w:p w14:paraId="4C11BCB5" w14:textId="77777777" w:rsidR="00A55D2C" w:rsidRPr="00B7704C" w:rsidRDefault="00A55D2C" w:rsidP="0020332E">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Grozījumi Sankciju likumā stājas spēkā 2024. gada 1. aprīlī.</w:t>
      </w:r>
    </w:p>
  </w:footnote>
  <w:footnote w:id="12">
    <w:p w14:paraId="24083F2C" w14:textId="77777777" w:rsidR="00AA2029" w:rsidRPr="00B7704C" w:rsidRDefault="00AA2029"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Tieslietu ministrijas (sadarbībā ar MKD) izstrādātais Ziņojums  par Covid-19 infekcijas un tās seku mazināšanas pasākumu ietekmi uz maksātnespējas jomu, identificētie riski un to iespējamie risinājumi. Apstiprināts Maksātnespējas jautājumu konsultatīvās padomes 2021. gada 14. oktobra sēdē. Pieejams: </w:t>
      </w:r>
      <w:hyperlink r:id="rId2" w:anchor="zinojums-par-covid-19-infekcijas-un-tas-seku-mazinasanas-pasakumu-ietekmi-uz-maksatnespejas-jomu-identificetie-riski-un-iespejamie-risinajumi" w:history="1">
        <w:r w:rsidRPr="00B7704C">
          <w:rPr>
            <w:rStyle w:val="Hipersaite"/>
            <w:rFonts w:asciiTheme="majorHAnsi" w:hAnsiTheme="majorHAnsi" w:cstheme="majorHAnsi"/>
          </w:rPr>
          <w:t>https://www.tm.gov.lv/lv/2021-gads#zinojums-par-covid-19-infekcijas-un-tas-seku-mazinasanas-pasakumu-ietekmi-uz-maksatnespejas-jomu-identificetie-riski-un-iespejamie-risinajumi</w:t>
        </w:r>
      </w:hyperlink>
      <w:r w:rsidRPr="00B7704C">
        <w:rPr>
          <w:rFonts w:asciiTheme="majorHAnsi" w:hAnsiTheme="majorHAnsi" w:cstheme="majorHAnsi"/>
        </w:rPr>
        <w:t xml:space="preserve"> </w:t>
      </w:r>
    </w:p>
  </w:footnote>
  <w:footnote w:id="13">
    <w:p w14:paraId="62AD3D1F" w14:textId="603F624D" w:rsidR="00C72CCE" w:rsidRPr="00B7704C" w:rsidRDefault="00C72CCE" w:rsidP="00555246">
      <w:pPr>
        <w:pStyle w:val="Vresteksts"/>
        <w:jc w:val="both"/>
        <w:rPr>
          <w:rFonts w:asciiTheme="majorHAnsi" w:hAnsiTheme="majorHAnsi" w:cstheme="majorHAnsi"/>
        </w:rPr>
      </w:pPr>
      <w:r w:rsidRPr="00B7704C">
        <w:rPr>
          <w:rStyle w:val="Vresatsauce"/>
          <w:rFonts w:asciiTheme="majorHAnsi" w:hAnsiTheme="majorHAnsi" w:cstheme="majorHAnsi"/>
        </w:rPr>
        <w:footnoteRef/>
      </w:r>
      <w:r w:rsidRPr="00B7704C">
        <w:rPr>
          <w:rFonts w:asciiTheme="majorHAnsi" w:hAnsiTheme="majorHAnsi" w:cstheme="majorHAnsi"/>
        </w:rPr>
        <w:t xml:space="preserve"> Aptverot uzraudzības pasākumus, kas tiek īstenoti uz Maksātnespējas likuma, Novēršanas likuma un Sankciju likuma pamata.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5B2D"/>
    <w:multiLevelType w:val="hybridMultilevel"/>
    <w:tmpl w:val="4B2E85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3130BA"/>
    <w:multiLevelType w:val="hybridMultilevel"/>
    <w:tmpl w:val="9998D00E"/>
    <w:lvl w:ilvl="0" w:tplc="23A6F45A">
      <w:start w:val="1"/>
      <w:numFmt w:val="decimal"/>
      <w:lvlText w:val="%1."/>
      <w:lvlJc w:val="left"/>
      <w:pPr>
        <w:ind w:left="360" w:hanging="360"/>
      </w:pPr>
      <w:rPr>
        <w:rFonts w:hint="default"/>
        <w:b/>
        <w:bCs/>
        <w:color w:val="2F5496" w:themeColor="accent1" w:themeShade="BF"/>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C6D6B9E"/>
    <w:multiLevelType w:val="hybridMultilevel"/>
    <w:tmpl w:val="64848F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427927"/>
    <w:multiLevelType w:val="hybridMultilevel"/>
    <w:tmpl w:val="576053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6E60B4"/>
    <w:multiLevelType w:val="hybridMultilevel"/>
    <w:tmpl w:val="7EF033D8"/>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FA2830"/>
    <w:multiLevelType w:val="hybridMultilevel"/>
    <w:tmpl w:val="B1FA33EA"/>
    <w:lvl w:ilvl="0" w:tplc="FA3673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C9C4BF6"/>
    <w:multiLevelType w:val="hybridMultilevel"/>
    <w:tmpl w:val="93047382"/>
    <w:lvl w:ilvl="0" w:tplc="9DA8E39E">
      <w:start w:val="1"/>
      <w:numFmt w:val="bullet"/>
      <w:lvlText w:val=""/>
      <w:lvlJc w:val="left"/>
      <w:pPr>
        <w:ind w:left="720" w:hanging="360"/>
      </w:pPr>
      <w:rPr>
        <w:rFonts w:ascii="Wingdings" w:hAnsi="Wingdings" w:hint="default"/>
        <w:color w:val="2F5496" w:themeColor="accent1"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0D58FE"/>
    <w:multiLevelType w:val="multilevel"/>
    <w:tmpl w:val="850E1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E7488D"/>
    <w:multiLevelType w:val="hybridMultilevel"/>
    <w:tmpl w:val="15FCD84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0D5FA7"/>
    <w:multiLevelType w:val="hybridMultilevel"/>
    <w:tmpl w:val="BF9C5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B84F95"/>
    <w:multiLevelType w:val="hybridMultilevel"/>
    <w:tmpl w:val="B610FB8C"/>
    <w:lvl w:ilvl="0" w:tplc="ABC63668">
      <w:start w:val="1"/>
      <w:numFmt w:val="decimal"/>
      <w:lvlText w:val="%1."/>
      <w:lvlJc w:val="left"/>
      <w:pPr>
        <w:ind w:left="360" w:hanging="360"/>
      </w:pPr>
      <w:rPr>
        <w:b/>
        <w:bCs/>
        <w:color w:val="2F5496" w:themeColor="accent1" w:themeShade="BF"/>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9155511"/>
    <w:multiLevelType w:val="hybridMultilevel"/>
    <w:tmpl w:val="90326F0E"/>
    <w:lvl w:ilvl="0" w:tplc="A6023A0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D577239"/>
    <w:multiLevelType w:val="hybridMultilevel"/>
    <w:tmpl w:val="8472A34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A57663"/>
    <w:multiLevelType w:val="hybridMultilevel"/>
    <w:tmpl w:val="0AEA2386"/>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0A12DDB"/>
    <w:multiLevelType w:val="hybridMultilevel"/>
    <w:tmpl w:val="235E1950"/>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BA42A03"/>
    <w:multiLevelType w:val="hybridMultilevel"/>
    <w:tmpl w:val="8D28CF5A"/>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385572A"/>
    <w:multiLevelType w:val="hybridMultilevel"/>
    <w:tmpl w:val="39EC8428"/>
    <w:lvl w:ilvl="0" w:tplc="979CDBEE">
      <w:start w:val="1"/>
      <w:numFmt w:val="decimal"/>
      <w:lvlText w:val="%1."/>
      <w:lvlJc w:val="left"/>
      <w:pPr>
        <w:ind w:left="360" w:hanging="360"/>
      </w:pPr>
      <w:rPr>
        <w:rFonts w:hint="default"/>
        <w:b/>
        <w:bCs/>
        <w:color w:val="2F5496" w:themeColor="accent1" w:themeShade="BF"/>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EE95ED1"/>
    <w:multiLevelType w:val="hybridMultilevel"/>
    <w:tmpl w:val="FEBE5FEE"/>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F73089E"/>
    <w:multiLevelType w:val="hybridMultilevel"/>
    <w:tmpl w:val="6180E20C"/>
    <w:lvl w:ilvl="0" w:tplc="9470F3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119393E"/>
    <w:multiLevelType w:val="hybridMultilevel"/>
    <w:tmpl w:val="DC5C38A8"/>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23022DD"/>
    <w:multiLevelType w:val="hybridMultilevel"/>
    <w:tmpl w:val="B4824D8C"/>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DC37B8"/>
    <w:multiLevelType w:val="hybridMultilevel"/>
    <w:tmpl w:val="EADC8DA4"/>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52451FA"/>
    <w:multiLevelType w:val="hybridMultilevel"/>
    <w:tmpl w:val="8BB2BBAA"/>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57F07CD"/>
    <w:multiLevelType w:val="hybridMultilevel"/>
    <w:tmpl w:val="39B2CCF0"/>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98A246E"/>
    <w:multiLevelType w:val="hybridMultilevel"/>
    <w:tmpl w:val="AA421F0E"/>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864FFC"/>
    <w:multiLevelType w:val="hybridMultilevel"/>
    <w:tmpl w:val="E852510E"/>
    <w:lvl w:ilvl="0" w:tplc="F356EC2A">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C83B56"/>
    <w:multiLevelType w:val="hybridMultilevel"/>
    <w:tmpl w:val="AE26540A"/>
    <w:lvl w:ilvl="0" w:tplc="61CAEB82">
      <w:start w:val="1"/>
      <w:numFmt w:val="decimal"/>
      <w:lvlText w:val="%1."/>
      <w:lvlJc w:val="left"/>
      <w:pPr>
        <w:ind w:left="360" w:hanging="360"/>
      </w:pPr>
      <w:rPr>
        <w:rFonts w:hint="default"/>
        <w:b/>
        <w:bCs/>
        <w:color w:val="2F5496" w:themeColor="accent1" w:themeShade="B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76F3EEC"/>
    <w:multiLevelType w:val="hybridMultilevel"/>
    <w:tmpl w:val="581802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875A17"/>
    <w:multiLevelType w:val="hybridMultilevel"/>
    <w:tmpl w:val="AF3E8C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B220FB"/>
    <w:multiLevelType w:val="hybridMultilevel"/>
    <w:tmpl w:val="C4B26B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2556C8"/>
    <w:multiLevelType w:val="hybridMultilevel"/>
    <w:tmpl w:val="E852510E"/>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E15CB8"/>
    <w:multiLevelType w:val="hybridMultilevel"/>
    <w:tmpl w:val="006A63F4"/>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9209036">
    <w:abstractNumId w:val="7"/>
  </w:num>
  <w:num w:numId="2" w16cid:durableId="974411315">
    <w:abstractNumId w:val="27"/>
  </w:num>
  <w:num w:numId="3" w16cid:durableId="1086537884">
    <w:abstractNumId w:val="11"/>
  </w:num>
  <w:num w:numId="4" w16cid:durableId="643631088">
    <w:abstractNumId w:val="10"/>
  </w:num>
  <w:num w:numId="5" w16cid:durableId="21249940">
    <w:abstractNumId w:val="18"/>
  </w:num>
  <w:num w:numId="6" w16cid:durableId="1246038186">
    <w:abstractNumId w:val="16"/>
  </w:num>
  <w:num w:numId="7" w16cid:durableId="1099522215">
    <w:abstractNumId w:val="1"/>
  </w:num>
  <w:num w:numId="8" w16cid:durableId="1476333990">
    <w:abstractNumId w:val="2"/>
  </w:num>
  <w:num w:numId="9" w16cid:durableId="542982283">
    <w:abstractNumId w:val="28"/>
  </w:num>
  <w:num w:numId="10" w16cid:durableId="1100370205">
    <w:abstractNumId w:val="25"/>
  </w:num>
  <w:num w:numId="11" w16cid:durableId="140122739">
    <w:abstractNumId w:val="9"/>
  </w:num>
  <w:num w:numId="12" w16cid:durableId="1697541722">
    <w:abstractNumId w:val="12"/>
  </w:num>
  <w:num w:numId="13" w16cid:durableId="411777265">
    <w:abstractNumId w:val="8"/>
  </w:num>
  <w:num w:numId="14" w16cid:durableId="689455878">
    <w:abstractNumId w:val="0"/>
  </w:num>
  <w:num w:numId="15" w16cid:durableId="2011443409">
    <w:abstractNumId w:val="29"/>
  </w:num>
  <w:num w:numId="16" w16cid:durableId="14113424">
    <w:abstractNumId w:val="3"/>
  </w:num>
  <w:num w:numId="17" w16cid:durableId="463041835">
    <w:abstractNumId w:val="15"/>
  </w:num>
  <w:num w:numId="18" w16cid:durableId="2041082580">
    <w:abstractNumId w:val="30"/>
  </w:num>
  <w:num w:numId="19" w16cid:durableId="1296984457">
    <w:abstractNumId w:val="21"/>
  </w:num>
  <w:num w:numId="20" w16cid:durableId="875386388">
    <w:abstractNumId w:val="17"/>
  </w:num>
  <w:num w:numId="21" w16cid:durableId="1119689888">
    <w:abstractNumId w:val="19"/>
  </w:num>
  <w:num w:numId="22" w16cid:durableId="1176073005">
    <w:abstractNumId w:val="24"/>
  </w:num>
  <w:num w:numId="23" w16cid:durableId="651494941">
    <w:abstractNumId w:val="22"/>
  </w:num>
  <w:num w:numId="24" w16cid:durableId="327368030">
    <w:abstractNumId w:val="13"/>
  </w:num>
  <w:num w:numId="25" w16cid:durableId="1730112152">
    <w:abstractNumId w:val="23"/>
  </w:num>
  <w:num w:numId="26" w16cid:durableId="909967625">
    <w:abstractNumId w:val="20"/>
  </w:num>
  <w:num w:numId="27" w16cid:durableId="1132670414">
    <w:abstractNumId w:val="31"/>
  </w:num>
  <w:num w:numId="28" w16cid:durableId="1676692108">
    <w:abstractNumId w:val="14"/>
  </w:num>
  <w:num w:numId="29" w16cid:durableId="756755156">
    <w:abstractNumId w:val="4"/>
  </w:num>
  <w:num w:numId="30" w16cid:durableId="1745376839">
    <w:abstractNumId w:val="6"/>
  </w:num>
  <w:num w:numId="31" w16cid:durableId="745610444">
    <w:abstractNumId w:val="5"/>
  </w:num>
  <w:num w:numId="32" w16cid:durableId="422176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A5"/>
    <w:rsid w:val="0000232C"/>
    <w:rsid w:val="00002906"/>
    <w:rsid w:val="00003D98"/>
    <w:rsid w:val="00004FE4"/>
    <w:rsid w:val="000062BB"/>
    <w:rsid w:val="00010DC4"/>
    <w:rsid w:val="00011BA3"/>
    <w:rsid w:val="00012023"/>
    <w:rsid w:val="000132B1"/>
    <w:rsid w:val="000158EA"/>
    <w:rsid w:val="00016B22"/>
    <w:rsid w:val="0001731E"/>
    <w:rsid w:val="0002051C"/>
    <w:rsid w:val="00023D0F"/>
    <w:rsid w:val="000242E3"/>
    <w:rsid w:val="00024A9C"/>
    <w:rsid w:val="00025108"/>
    <w:rsid w:val="00026D6A"/>
    <w:rsid w:val="00030B29"/>
    <w:rsid w:val="0003660D"/>
    <w:rsid w:val="00036F01"/>
    <w:rsid w:val="0004069D"/>
    <w:rsid w:val="00041327"/>
    <w:rsid w:val="00042763"/>
    <w:rsid w:val="00043F0B"/>
    <w:rsid w:val="00045829"/>
    <w:rsid w:val="000460A1"/>
    <w:rsid w:val="000469D2"/>
    <w:rsid w:val="0004727B"/>
    <w:rsid w:val="000525E5"/>
    <w:rsid w:val="000547AC"/>
    <w:rsid w:val="00055D56"/>
    <w:rsid w:val="00056E33"/>
    <w:rsid w:val="00056F68"/>
    <w:rsid w:val="00060192"/>
    <w:rsid w:val="00062CE6"/>
    <w:rsid w:val="00063D3F"/>
    <w:rsid w:val="000669F6"/>
    <w:rsid w:val="000678FD"/>
    <w:rsid w:val="000734BA"/>
    <w:rsid w:val="00073953"/>
    <w:rsid w:val="00074958"/>
    <w:rsid w:val="000752B1"/>
    <w:rsid w:val="00075C6D"/>
    <w:rsid w:val="00076B5E"/>
    <w:rsid w:val="00081A4C"/>
    <w:rsid w:val="00081FC4"/>
    <w:rsid w:val="00083412"/>
    <w:rsid w:val="00086A1B"/>
    <w:rsid w:val="00086AB2"/>
    <w:rsid w:val="00091826"/>
    <w:rsid w:val="00091CD8"/>
    <w:rsid w:val="00094495"/>
    <w:rsid w:val="000A07AF"/>
    <w:rsid w:val="000A1467"/>
    <w:rsid w:val="000A7340"/>
    <w:rsid w:val="000A79C7"/>
    <w:rsid w:val="000B0059"/>
    <w:rsid w:val="000B00B1"/>
    <w:rsid w:val="000B05BF"/>
    <w:rsid w:val="000C150D"/>
    <w:rsid w:val="000C1A22"/>
    <w:rsid w:val="000C1E64"/>
    <w:rsid w:val="000C220D"/>
    <w:rsid w:val="000C7955"/>
    <w:rsid w:val="000D11BE"/>
    <w:rsid w:val="000D3767"/>
    <w:rsid w:val="000D39C3"/>
    <w:rsid w:val="000D3B7D"/>
    <w:rsid w:val="000D4836"/>
    <w:rsid w:val="000E05CD"/>
    <w:rsid w:val="000E0ED3"/>
    <w:rsid w:val="000F13DB"/>
    <w:rsid w:val="000F26F1"/>
    <w:rsid w:val="000F2BA3"/>
    <w:rsid w:val="000F57D7"/>
    <w:rsid w:val="000F6E5F"/>
    <w:rsid w:val="00100A13"/>
    <w:rsid w:val="00102D2F"/>
    <w:rsid w:val="00104E11"/>
    <w:rsid w:val="00106E8B"/>
    <w:rsid w:val="00110D51"/>
    <w:rsid w:val="001116D1"/>
    <w:rsid w:val="001135DE"/>
    <w:rsid w:val="0011517E"/>
    <w:rsid w:val="001154D3"/>
    <w:rsid w:val="001160D7"/>
    <w:rsid w:val="00117B08"/>
    <w:rsid w:val="001200C7"/>
    <w:rsid w:val="001225DD"/>
    <w:rsid w:val="00133D45"/>
    <w:rsid w:val="00135F36"/>
    <w:rsid w:val="00136294"/>
    <w:rsid w:val="001366C0"/>
    <w:rsid w:val="00140C65"/>
    <w:rsid w:val="00141486"/>
    <w:rsid w:val="0014378F"/>
    <w:rsid w:val="00143F59"/>
    <w:rsid w:val="001458E8"/>
    <w:rsid w:val="00146573"/>
    <w:rsid w:val="00150526"/>
    <w:rsid w:val="001507F7"/>
    <w:rsid w:val="001515C7"/>
    <w:rsid w:val="00152ECF"/>
    <w:rsid w:val="0015422C"/>
    <w:rsid w:val="00154DAE"/>
    <w:rsid w:val="00156387"/>
    <w:rsid w:val="001569C5"/>
    <w:rsid w:val="00157CAA"/>
    <w:rsid w:val="00160E89"/>
    <w:rsid w:val="00161760"/>
    <w:rsid w:val="001617A3"/>
    <w:rsid w:val="001652E5"/>
    <w:rsid w:val="001656E8"/>
    <w:rsid w:val="001667A6"/>
    <w:rsid w:val="00174EE5"/>
    <w:rsid w:val="0018034A"/>
    <w:rsid w:val="00181C14"/>
    <w:rsid w:val="001828EB"/>
    <w:rsid w:val="00184AA7"/>
    <w:rsid w:val="00190283"/>
    <w:rsid w:val="00191815"/>
    <w:rsid w:val="00196549"/>
    <w:rsid w:val="001969C2"/>
    <w:rsid w:val="00197564"/>
    <w:rsid w:val="00197AED"/>
    <w:rsid w:val="001A0C21"/>
    <w:rsid w:val="001A2672"/>
    <w:rsid w:val="001A28FD"/>
    <w:rsid w:val="001A3ED5"/>
    <w:rsid w:val="001A3F20"/>
    <w:rsid w:val="001A4347"/>
    <w:rsid w:val="001A4616"/>
    <w:rsid w:val="001A4B8C"/>
    <w:rsid w:val="001A5C23"/>
    <w:rsid w:val="001A733F"/>
    <w:rsid w:val="001A7C04"/>
    <w:rsid w:val="001B140F"/>
    <w:rsid w:val="001B2935"/>
    <w:rsid w:val="001B2F8A"/>
    <w:rsid w:val="001B338B"/>
    <w:rsid w:val="001B35FE"/>
    <w:rsid w:val="001B40C2"/>
    <w:rsid w:val="001B6519"/>
    <w:rsid w:val="001B72C0"/>
    <w:rsid w:val="001C109F"/>
    <w:rsid w:val="001C1A8B"/>
    <w:rsid w:val="001C4546"/>
    <w:rsid w:val="001C4DE9"/>
    <w:rsid w:val="001C74D1"/>
    <w:rsid w:val="001C7CC4"/>
    <w:rsid w:val="001D031A"/>
    <w:rsid w:val="001D1E0B"/>
    <w:rsid w:val="001D204C"/>
    <w:rsid w:val="001D499D"/>
    <w:rsid w:val="001D559A"/>
    <w:rsid w:val="001D55A3"/>
    <w:rsid w:val="001E556A"/>
    <w:rsid w:val="001F0104"/>
    <w:rsid w:val="001F6715"/>
    <w:rsid w:val="001F732B"/>
    <w:rsid w:val="002010E2"/>
    <w:rsid w:val="00201CEE"/>
    <w:rsid w:val="00202492"/>
    <w:rsid w:val="0020332E"/>
    <w:rsid w:val="00205CCF"/>
    <w:rsid w:val="00206534"/>
    <w:rsid w:val="00207846"/>
    <w:rsid w:val="00212448"/>
    <w:rsid w:val="00215453"/>
    <w:rsid w:val="0021690D"/>
    <w:rsid w:val="00220263"/>
    <w:rsid w:val="0022276D"/>
    <w:rsid w:val="00225652"/>
    <w:rsid w:val="00225D6A"/>
    <w:rsid w:val="00231531"/>
    <w:rsid w:val="002355B7"/>
    <w:rsid w:val="00235773"/>
    <w:rsid w:val="0024239A"/>
    <w:rsid w:val="00243370"/>
    <w:rsid w:val="0024640B"/>
    <w:rsid w:val="00247458"/>
    <w:rsid w:val="00247888"/>
    <w:rsid w:val="00260443"/>
    <w:rsid w:val="00261D3D"/>
    <w:rsid w:val="002621D0"/>
    <w:rsid w:val="00263B05"/>
    <w:rsid w:val="00265419"/>
    <w:rsid w:val="002656C3"/>
    <w:rsid w:val="00267F1A"/>
    <w:rsid w:val="0027083C"/>
    <w:rsid w:val="00271C04"/>
    <w:rsid w:val="00272630"/>
    <w:rsid w:val="002731B5"/>
    <w:rsid w:val="00273B47"/>
    <w:rsid w:val="00274EC8"/>
    <w:rsid w:val="00275C15"/>
    <w:rsid w:val="002812D5"/>
    <w:rsid w:val="00281464"/>
    <w:rsid w:val="002832DE"/>
    <w:rsid w:val="002853FA"/>
    <w:rsid w:val="00285D67"/>
    <w:rsid w:val="00286808"/>
    <w:rsid w:val="00287721"/>
    <w:rsid w:val="00287A44"/>
    <w:rsid w:val="00291438"/>
    <w:rsid w:val="00292926"/>
    <w:rsid w:val="00292F58"/>
    <w:rsid w:val="00293EE6"/>
    <w:rsid w:val="00294380"/>
    <w:rsid w:val="002967D8"/>
    <w:rsid w:val="002A113C"/>
    <w:rsid w:val="002A2FB2"/>
    <w:rsid w:val="002A374A"/>
    <w:rsid w:val="002A4597"/>
    <w:rsid w:val="002B0147"/>
    <w:rsid w:val="002B06BD"/>
    <w:rsid w:val="002B08B7"/>
    <w:rsid w:val="002B36ED"/>
    <w:rsid w:val="002B3DF8"/>
    <w:rsid w:val="002B4B14"/>
    <w:rsid w:val="002B633D"/>
    <w:rsid w:val="002C7625"/>
    <w:rsid w:val="002D13DA"/>
    <w:rsid w:val="002D14FA"/>
    <w:rsid w:val="002D1756"/>
    <w:rsid w:val="002D3E36"/>
    <w:rsid w:val="002D62D4"/>
    <w:rsid w:val="002D6417"/>
    <w:rsid w:val="002D7C10"/>
    <w:rsid w:val="002E08A0"/>
    <w:rsid w:val="002E201D"/>
    <w:rsid w:val="002E22B9"/>
    <w:rsid w:val="002E28E4"/>
    <w:rsid w:val="002E47BC"/>
    <w:rsid w:val="002E55DD"/>
    <w:rsid w:val="002E5874"/>
    <w:rsid w:val="002E6483"/>
    <w:rsid w:val="002E77ED"/>
    <w:rsid w:val="002F083B"/>
    <w:rsid w:val="002F1B05"/>
    <w:rsid w:val="002F3B1C"/>
    <w:rsid w:val="002F762A"/>
    <w:rsid w:val="002F7781"/>
    <w:rsid w:val="003002F5"/>
    <w:rsid w:val="00302032"/>
    <w:rsid w:val="00302775"/>
    <w:rsid w:val="003057EA"/>
    <w:rsid w:val="00306FA8"/>
    <w:rsid w:val="003134D4"/>
    <w:rsid w:val="0031400A"/>
    <w:rsid w:val="003149C1"/>
    <w:rsid w:val="00314FED"/>
    <w:rsid w:val="0031540A"/>
    <w:rsid w:val="00324C6D"/>
    <w:rsid w:val="003251A7"/>
    <w:rsid w:val="00327D6D"/>
    <w:rsid w:val="00332A4A"/>
    <w:rsid w:val="00332DB3"/>
    <w:rsid w:val="003348AB"/>
    <w:rsid w:val="003361D8"/>
    <w:rsid w:val="00337C6C"/>
    <w:rsid w:val="0034120D"/>
    <w:rsid w:val="003458A8"/>
    <w:rsid w:val="003515BA"/>
    <w:rsid w:val="00352FE8"/>
    <w:rsid w:val="00354023"/>
    <w:rsid w:val="00357AB9"/>
    <w:rsid w:val="00360AEF"/>
    <w:rsid w:val="003664DC"/>
    <w:rsid w:val="0037133A"/>
    <w:rsid w:val="00373BA5"/>
    <w:rsid w:val="0037617F"/>
    <w:rsid w:val="00381BF2"/>
    <w:rsid w:val="0039441A"/>
    <w:rsid w:val="00395227"/>
    <w:rsid w:val="00395B37"/>
    <w:rsid w:val="003962DD"/>
    <w:rsid w:val="00397B5D"/>
    <w:rsid w:val="003A1723"/>
    <w:rsid w:val="003A379F"/>
    <w:rsid w:val="003A4601"/>
    <w:rsid w:val="003A4E57"/>
    <w:rsid w:val="003A552B"/>
    <w:rsid w:val="003B0D6A"/>
    <w:rsid w:val="003B1F23"/>
    <w:rsid w:val="003B53B1"/>
    <w:rsid w:val="003B5876"/>
    <w:rsid w:val="003B592D"/>
    <w:rsid w:val="003C3232"/>
    <w:rsid w:val="003C3A97"/>
    <w:rsid w:val="003D4ABE"/>
    <w:rsid w:val="003D5AB6"/>
    <w:rsid w:val="003D71B1"/>
    <w:rsid w:val="003E0420"/>
    <w:rsid w:val="003E13BC"/>
    <w:rsid w:val="003E2AD4"/>
    <w:rsid w:val="003E35B1"/>
    <w:rsid w:val="003E38F4"/>
    <w:rsid w:val="003E4468"/>
    <w:rsid w:val="003F013F"/>
    <w:rsid w:val="003F244F"/>
    <w:rsid w:val="003F2EB2"/>
    <w:rsid w:val="003F46B3"/>
    <w:rsid w:val="003F6152"/>
    <w:rsid w:val="003F7965"/>
    <w:rsid w:val="004042B1"/>
    <w:rsid w:val="004073E9"/>
    <w:rsid w:val="004102AE"/>
    <w:rsid w:val="00410573"/>
    <w:rsid w:val="00412A60"/>
    <w:rsid w:val="00413D4D"/>
    <w:rsid w:val="004147C6"/>
    <w:rsid w:val="00415BC9"/>
    <w:rsid w:val="00423B36"/>
    <w:rsid w:val="00423E11"/>
    <w:rsid w:val="004241E3"/>
    <w:rsid w:val="00424B52"/>
    <w:rsid w:val="00425009"/>
    <w:rsid w:val="0043302C"/>
    <w:rsid w:val="00433810"/>
    <w:rsid w:val="00433ED7"/>
    <w:rsid w:val="0043434C"/>
    <w:rsid w:val="004366F9"/>
    <w:rsid w:val="00437A75"/>
    <w:rsid w:val="0044178E"/>
    <w:rsid w:val="00442873"/>
    <w:rsid w:val="004450EC"/>
    <w:rsid w:val="004503AF"/>
    <w:rsid w:val="00450F68"/>
    <w:rsid w:val="0045187F"/>
    <w:rsid w:val="004518DA"/>
    <w:rsid w:val="00451CEA"/>
    <w:rsid w:val="00454018"/>
    <w:rsid w:val="00455271"/>
    <w:rsid w:val="004557EC"/>
    <w:rsid w:val="00460329"/>
    <w:rsid w:val="00460A1E"/>
    <w:rsid w:val="004612E6"/>
    <w:rsid w:val="004617AA"/>
    <w:rsid w:val="00461CD1"/>
    <w:rsid w:val="00482396"/>
    <w:rsid w:val="00483984"/>
    <w:rsid w:val="00483B6D"/>
    <w:rsid w:val="0048591B"/>
    <w:rsid w:val="004860E8"/>
    <w:rsid w:val="00491039"/>
    <w:rsid w:val="00492F30"/>
    <w:rsid w:val="004954F2"/>
    <w:rsid w:val="00497AAB"/>
    <w:rsid w:val="004A1A8F"/>
    <w:rsid w:val="004A4403"/>
    <w:rsid w:val="004A7FC8"/>
    <w:rsid w:val="004B0820"/>
    <w:rsid w:val="004B395D"/>
    <w:rsid w:val="004B69AC"/>
    <w:rsid w:val="004B7D93"/>
    <w:rsid w:val="004C6B16"/>
    <w:rsid w:val="004C7F4B"/>
    <w:rsid w:val="004D233E"/>
    <w:rsid w:val="004D35BF"/>
    <w:rsid w:val="004D5093"/>
    <w:rsid w:val="004D5328"/>
    <w:rsid w:val="004D5A42"/>
    <w:rsid w:val="004D5C67"/>
    <w:rsid w:val="004D5F01"/>
    <w:rsid w:val="004D6EDC"/>
    <w:rsid w:val="004E3FEE"/>
    <w:rsid w:val="004E4115"/>
    <w:rsid w:val="004E41AE"/>
    <w:rsid w:val="004E5027"/>
    <w:rsid w:val="004E5AD9"/>
    <w:rsid w:val="004E7083"/>
    <w:rsid w:val="004F00AF"/>
    <w:rsid w:val="004F24D3"/>
    <w:rsid w:val="004F2C16"/>
    <w:rsid w:val="004F40E6"/>
    <w:rsid w:val="004F45FC"/>
    <w:rsid w:val="004F4BF8"/>
    <w:rsid w:val="004F4FC2"/>
    <w:rsid w:val="004F7D4A"/>
    <w:rsid w:val="004F7E27"/>
    <w:rsid w:val="004F7ED7"/>
    <w:rsid w:val="0050101F"/>
    <w:rsid w:val="005025C0"/>
    <w:rsid w:val="005026DF"/>
    <w:rsid w:val="005068F1"/>
    <w:rsid w:val="00506FAD"/>
    <w:rsid w:val="00511DB7"/>
    <w:rsid w:val="005153AB"/>
    <w:rsid w:val="00515D78"/>
    <w:rsid w:val="00517CE4"/>
    <w:rsid w:val="00521ACC"/>
    <w:rsid w:val="005232F5"/>
    <w:rsid w:val="0052360B"/>
    <w:rsid w:val="005300A2"/>
    <w:rsid w:val="005309A5"/>
    <w:rsid w:val="005316AD"/>
    <w:rsid w:val="00532BA9"/>
    <w:rsid w:val="00535EC6"/>
    <w:rsid w:val="00544BA5"/>
    <w:rsid w:val="0054506A"/>
    <w:rsid w:val="00546EAD"/>
    <w:rsid w:val="005471DB"/>
    <w:rsid w:val="00554323"/>
    <w:rsid w:val="00554413"/>
    <w:rsid w:val="00555246"/>
    <w:rsid w:val="00555A17"/>
    <w:rsid w:val="00557951"/>
    <w:rsid w:val="00557AC1"/>
    <w:rsid w:val="00557BDE"/>
    <w:rsid w:val="00562C48"/>
    <w:rsid w:val="00562D22"/>
    <w:rsid w:val="00564D5B"/>
    <w:rsid w:val="0056567E"/>
    <w:rsid w:val="005673A7"/>
    <w:rsid w:val="00570BF0"/>
    <w:rsid w:val="0057256F"/>
    <w:rsid w:val="005770AC"/>
    <w:rsid w:val="00580F2A"/>
    <w:rsid w:val="005823E4"/>
    <w:rsid w:val="005843E5"/>
    <w:rsid w:val="00585ED0"/>
    <w:rsid w:val="0059117B"/>
    <w:rsid w:val="00593C10"/>
    <w:rsid w:val="005940C0"/>
    <w:rsid w:val="00594D1C"/>
    <w:rsid w:val="005966B2"/>
    <w:rsid w:val="005A0C0B"/>
    <w:rsid w:val="005A1341"/>
    <w:rsid w:val="005A1BCB"/>
    <w:rsid w:val="005A24A2"/>
    <w:rsid w:val="005A328E"/>
    <w:rsid w:val="005A415D"/>
    <w:rsid w:val="005B07F1"/>
    <w:rsid w:val="005B1495"/>
    <w:rsid w:val="005B1BA0"/>
    <w:rsid w:val="005B2B9B"/>
    <w:rsid w:val="005B3E66"/>
    <w:rsid w:val="005B5543"/>
    <w:rsid w:val="005B701E"/>
    <w:rsid w:val="005C027E"/>
    <w:rsid w:val="005C3760"/>
    <w:rsid w:val="005C49AB"/>
    <w:rsid w:val="005C4FA5"/>
    <w:rsid w:val="005C71CA"/>
    <w:rsid w:val="005D2737"/>
    <w:rsid w:val="005D2963"/>
    <w:rsid w:val="005D2DAB"/>
    <w:rsid w:val="005D370A"/>
    <w:rsid w:val="005D78B7"/>
    <w:rsid w:val="005E123A"/>
    <w:rsid w:val="005E6A9A"/>
    <w:rsid w:val="005F328B"/>
    <w:rsid w:val="006101EA"/>
    <w:rsid w:val="00611417"/>
    <w:rsid w:val="00611FBE"/>
    <w:rsid w:val="00620335"/>
    <w:rsid w:val="00622AAC"/>
    <w:rsid w:val="00623D13"/>
    <w:rsid w:val="00624984"/>
    <w:rsid w:val="006251EE"/>
    <w:rsid w:val="006259AB"/>
    <w:rsid w:val="00626276"/>
    <w:rsid w:val="00626921"/>
    <w:rsid w:val="00627C36"/>
    <w:rsid w:val="006302AE"/>
    <w:rsid w:val="00631A77"/>
    <w:rsid w:val="00632725"/>
    <w:rsid w:val="00632846"/>
    <w:rsid w:val="00633B94"/>
    <w:rsid w:val="00633EE5"/>
    <w:rsid w:val="00640738"/>
    <w:rsid w:val="00640D90"/>
    <w:rsid w:val="00641807"/>
    <w:rsid w:val="006479A6"/>
    <w:rsid w:val="00650831"/>
    <w:rsid w:val="00652748"/>
    <w:rsid w:val="00655AC6"/>
    <w:rsid w:val="006575EC"/>
    <w:rsid w:val="0066112C"/>
    <w:rsid w:val="00662F30"/>
    <w:rsid w:val="006641DF"/>
    <w:rsid w:val="00664F8B"/>
    <w:rsid w:val="0066602A"/>
    <w:rsid w:val="00667B49"/>
    <w:rsid w:val="006706AE"/>
    <w:rsid w:val="006709F1"/>
    <w:rsid w:val="00670B0D"/>
    <w:rsid w:val="00672CFD"/>
    <w:rsid w:val="0067526D"/>
    <w:rsid w:val="00675954"/>
    <w:rsid w:val="00676BF6"/>
    <w:rsid w:val="00683DAA"/>
    <w:rsid w:val="00684D83"/>
    <w:rsid w:val="006862B4"/>
    <w:rsid w:val="00687251"/>
    <w:rsid w:val="00690A0C"/>
    <w:rsid w:val="00690DA1"/>
    <w:rsid w:val="006926A9"/>
    <w:rsid w:val="00693694"/>
    <w:rsid w:val="006A0112"/>
    <w:rsid w:val="006A4AF7"/>
    <w:rsid w:val="006A7B22"/>
    <w:rsid w:val="006B209E"/>
    <w:rsid w:val="006B463F"/>
    <w:rsid w:val="006C328D"/>
    <w:rsid w:val="006C3D93"/>
    <w:rsid w:val="006C45E7"/>
    <w:rsid w:val="006C5766"/>
    <w:rsid w:val="006C59B0"/>
    <w:rsid w:val="006D44E2"/>
    <w:rsid w:val="006D4CE6"/>
    <w:rsid w:val="006D5BB8"/>
    <w:rsid w:val="006E5B5F"/>
    <w:rsid w:val="006E5F84"/>
    <w:rsid w:val="006F1189"/>
    <w:rsid w:val="006F124C"/>
    <w:rsid w:val="006F2933"/>
    <w:rsid w:val="006F450F"/>
    <w:rsid w:val="006F4DBC"/>
    <w:rsid w:val="006F5047"/>
    <w:rsid w:val="006F532F"/>
    <w:rsid w:val="006F5B41"/>
    <w:rsid w:val="00700B73"/>
    <w:rsid w:val="00704D4B"/>
    <w:rsid w:val="00704F17"/>
    <w:rsid w:val="00705F26"/>
    <w:rsid w:val="00706D04"/>
    <w:rsid w:val="00711AE7"/>
    <w:rsid w:val="00712BF2"/>
    <w:rsid w:val="00716A92"/>
    <w:rsid w:val="00716D51"/>
    <w:rsid w:val="00716F6E"/>
    <w:rsid w:val="00723B27"/>
    <w:rsid w:val="00724820"/>
    <w:rsid w:val="00724CA5"/>
    <w:rsid w:val="0073167C"/>
    <w:rsid w:val="00737565"/>
    <w:rsid w:val="00741712"/>
    <w:rsid w:val="0074230C"/>
    <w:rsid w:val="00743D0E"/>
    <w:rsid w:val="0074709A"/>
    <w:rsid w:val="00747CEC"/>
    <w:rsid w:val="00747CF5"/>
    <w:rsid w:val="00754D7B"/>
    <w:rsid w:val="00755267"/>
    <w:rsid w:val="00760639"/>
    <w:rsid w:val="00760649"/>
    <w:rsid w:val="007702B6"/>
    <w:rsid w:val="00774627"/>
    <w:rsid w:val="00774E78"/>
    <w:rsid w:val="00776495"/>
    <w:rsid w:val="007769C2"/>
    <w:rsid w:val="00777B51"/>
    <w:rsid w:val="00777C7A"/>
    <w:rsid w:val="00780825"/>
    <w:rsid w:val="00780F76"/>
    <w:rsid w:val="00783F02"/>
    <w:rsid w:val="00783F11"/>
    <w:rsid w:val="0078496B"/>
    <w:rsid w:val="007852C2"/>
    <w:rsid w:val="00787F82"/>
    <w:rsid w:val="007920FC"/>
    <w:rsid w:val="00792775"/>
    <w:rsid w:val="00793E40"/>
    <w:rsid w:val="00797EF4"/>
    <w:rsid w:val="007A2602"/>
    <w:rsid w:val="007A3396"/>
    <w:rsid w:val="007A44DD"/>
    <w:rsid w:val="007A7A27"/>
    <w:rsid w:val="007B0ED3"/>
    <w:rsid w:val="007B1ED2"/>
    <w:rsid w:val="007B4275"/>
    <w:rsid w:val="007B4444"/>
    <w:rsid w:val="007C475C"/>
    <w:rsid w:val="007C4C1C"/>
    <w:rsid w:val="007C5759"/>
    <w:rsid w:val="007C7FD3"/>
    <w:rsid w:val="007D4E60"/>
    <w:rsid w:val="007D5A3B"/>
    <w:rsid w:val="007E0652"/>
    <w:rsid w:val="007E2A6A"/>
    <w:rsid w:val="007E3708"/>
    <w:rsid w:val="007E3AA8"/>
    <w:rsid w:val="007E63CF"/>
    <w:rsid w:val="007F0ED1"/>
    <w:rsid w:val="00800194"/>
    <w:rsid w:val="00804523"/>
    <w:rsid w:val="00807CF9"/>
    <w:rsid w:val="00807D71"/>
    <w:rsid w:val="008116B5"/>
    <w:rsid w:val="008129DF"/>
    <w:rsid w:val="00813799"/>
    <w:rsid w:val="0081690C"/>
    <w:rsid w:val="00816E7E"/>
    <w:rsid w:val="008170B6"/>
    <w:rsid w:val="0082018A"/>
    <w:rsid w:val="00821D66"/>
    <w:rsid w:val="00824892"/>
    <w:rsid w:val="00825373"/>
    <w:rsid w:val="00827C14"/>
    <w:rsid w:val="00827E7B"/>
    <w:rsid w:val="008307AE"/>
    <w:rsid w:val="00830EE9"/>
    <w:rsid w:val="0083189D"/>
    <w:rsid w:val="00832E9F"/>
    <w:rsid w:val="00833EAB"/>
    <w:rsid w:val="00835761"/>
    <w:rsid w:val="008367A9"/>
    <w:rsid w:val="00840FF5"/>
    <w:rsid w:val="008435AB"/>
    <w:rsid w:val="00845D96"/>
    <w:rsid w:val="00846F5D"/>
    <w:rsid w:val="00847AEA"/>
    <w:rsid w:val="00850906"/>
    <w:rsid w:val="00853CE7"/>
    <w:rsid w:val="00857A86"/>
    <w:rsid w:val="00857F06"/>
    <w:rsid w:val="00866868"/>
    <w:rsid w:val="00867BD8"/>
    <w:rsid w:val="00867F2C"/>
    <w:rsid w:val="0087012C"/>
    <w:rsid w:val="008706E6"/>
    <w:rsid w:val="00871A09"/>
    <w:rsid w:val="0087267D"/>
    <w:rsid w:val="0087774D"/>
    <w:rsid w:val="008855DA"/>
    <w:rsid w:val="008900D1"/>
    <w:rsid w:val="00891B53"/>
    <w:rsid w:val="00892D08"/>
    <w:rsid w:val="008A1D8D"/>
    <w:rsid w:val="008A23D4"/>
    <w:rsid w:val="008A6AEB"/>
    <w:rsid w:val="008B1A16"/>
    <w:rsid w:val="008B27FF"/>
    <w:rsid w:val="008B393B"/>
    <w:rsid w:val="008B4644"/>
    <w:rsid w:val="008B5415"/>
    <w:rsid w:val="008B5F0E"/>
    <w:rsid w:val="008B6A4B"/>
    <w:rsid w:val="008B7BF7"/>
    <w:rsid w:val="008C2FE6"/>
    <w:rsid w:val="008D21FA"/>
    <w:rsid w:val="008D355F"/>
    <w:rsid w:val="008D74B4"/>
    <w:rsid w:val="008E4DEF"/>
    <w:rsid w:val="008E585B"/>
    <w:rsid w:val="008E7C22"/>
    <w:rsid w:val="008F0CE8"/>
    <w:rsid w:val="008F25F0"/>
    <w:rsid w:val="008F3723"/>
    <w:rsid w:val="008F46CA"/>
    <w:rsid w:val="008F54A0"/>
    <w:rsid w:val="008F633F"/>
    <w:rsid w:val="008F759B"/>
    <w:rsid w:val="00905BE1"/>
    <w:rsid w:val="00906541"/>
    <w:rsid w:val="009070BE"/>
    <w:rsid w:val="009143B8"/>
    <w:rsid w:val="0091575F"/>
    <w:rsid w:val="009176AA"/>
    <w:rsid w:val="00920931"/>
    <w:rsid w:val="00921E7F"/>
    <w:rsid w:val="009235DC"/>
    <w:rsid w:val="00924273"/>
    <w:rsid w:val="009312AC"/>
    <w:rsid w:val="0093708F"/>
    <w:rsid w:val="00937E33"/>
    <w:rsid w:val="009439E8"/>
    <w:rsid w:val="00947795"/>
    <w:rsid w:val="00947DCC"/>
    <w:rsid w:val="009508C8"/>
    <w:rsid w:val="00950969"/>
    <w:rsid w:val="009529A0"/>
    <w:rsid w:val="009530DF"/>
    <w:rsid w:val="0095579A"/>
    <w:rsid w:val="00957F1E"/>
    <w:rsid w:val="00962384"/>
    <w:rsid w:val="00965FBF"/>
    <w:rsid w:val="00966B41"/>
    <w:rsid w:val="009703F6"/>
    <w:rsid w:val="00970D1E"/>
    <w:rsid w:val="009710B4"/>
    <w:rsid w:val="00973BD5"/>
    <w:rsid w:val="0097429A"/>
    <w:rsid w:val="00975D32"/>
    <w:rsid w:val="00981248"/>
    <w:rsid w:val="0098181C"/>
    <w:rsid w:val="009858F0"/>
    <w:rsid w:val="0099013C"/>
    <w:rsid w:val="00991DF0"/>
    <w:rsid w:val="00997273"/>
    <w:rsid w:val="009A1B38"/>
    <w:rsid w:val="009A287F"/>
    <w:rsid w:val="009A2BD7"/>
    <w:rsid w:val="009A2D36"/>
    <w:rsid w:val="009A2E10"/>
    <w:rsid w:val="009A59F3"/>
    <w:rsid w:val="009A664D"/>
    <w:rsid w:val="009A78F0"/>
    <w:rsid w:val="009B0DA5"/>
    <w:rsid w:val="009B355F"/>
    <w:rsid w:val="009B42A9"/>
    <w:rsid w:val="009B5B1E"/>
    <w:rsid w:val="009B7ED5"/>
    <w:rsid w:val="009C4867"/>
    <w:rsid w:val="009C4D87"/>
    <w:rsid w:val="009C4F95"/>
    <w:rsid w:val="009C5388"/>
    <w:rsid w:val="009D0075"/>
    <w:rsid w:val="009D59E8"/>
    <w:rsid w:val="009D7ACB"/>
    <w:rsid w:val="009E1BF3"/>
    <w:rsid w:val="009E374B"/>
    <w:rsid w:val="009E7E11"/>
    <w:rsid w:val="009F299C"/>
    <w:rsid w:val="009F5915"/>
    <w:rsid w:val="009F5A5F"/>
    <w:rsid w:val="009F664D"/>
    <w:rsid w:val="009F7703"/>
    <w:rsid w:val="00A02FE7"/>
    <w:rsid w:val="00A063B6"/>
    <w:rsid w:val="00A068C6"/>
    <w:rsid w:val="00A06B9F"/>
    <w:rsid w:val="00A06FD4"/>
    <w:rsid w:val="00A07598"/>
    <w:rsid w:val="00A1004E"/>
    <w:rsid w:val="00A12B6A"/>
    <w:rsid w:val="00A15E59"/>
    <w:rsid w:val="00A1659A"/>
    <w:rsid w:val="00A17698"/>
    <w:rsid w:val="00A205DA"/>
    <w:rsid w:val="00A21F33"/>
    <w:rsid w:val="00A26411"/>
    <w:rsid w:val="00A27FC7"/>
    <w:rsid w:val="00A30851"/>
    <w:rsid w:val="00A36139"/>
    <w:rsid w:val="00A377EF"/>
    <w:rsid w:val="00A43F60"/>
    <w:rsid w:val="00A4452E"/>
    <w:rsid w:val="00A464F0"/>
    <w:rsid w:val="00A47277"/>
    <w:rsid w:val="00A514E5"/>
    <w:rsid w:val="00A5171D"/>
    <w:rsid w:val="00A55D2C"/>
    <w:rsid w:val="00A56A2A"/>
    <w:rsid w:val="00A57052"/>
    <w:rsid w:val="00A601C6"/>
    <w:rsid w:val="00A629C1"/>
    <w:rsid w:val="00A6322F"/>
    <w:rsid w:val="00A636EE"/>
    <w:rsid w:val="00A703C5"/>
    <w:rsid w:val="00A80468"/>
    <w:rsid w:val="00A8057F"/>
    <w:rsid w:val="00A80EC2"/>
    <w:rsid w:val="00A81980"/>
    <w:rsid w:val="00A85C98"/>
    <w:rsid w:val="00A85F7F"/>
    <w:rsid w:val="00A90227"/>
    <w:rsid w:val="00A97454"/>
    <w:rsid w:val="00AA14A2"/>
    <w:rsid w:val="00AA2029"/>
    <w:rsid w:val="00AB0105"/>
    <w:rsid w:val="00AB2513"/>
    <w:rsid w:val="00AB35FD"/>
    <w:rsid w:val="00AB64FA"/>
    <w:rsid w:val="00AC50D2"/>
    <w:rsid w:val="00AC667A"/>
    <w:rsid w:val="00AC7884"/>
    <w:rsid w:val="00AC78CA"/>
    <w:rsid w:val="00AD2182"/>
    <w:rsid w:val="00AD4615"/>
    <w:rsid w:val="00AD495A"/>
    <w:rsid w:val="00AD7582"/>
    <w:rsid w:val="00AD7A3E"/>
    <w:rsid w:val="00AE0B51"/>
    <w:rsid w:val="00AE0EA5"/>
    <w:rsid w:val="00AE16BC"/>
    <w:rsid w:val="00AE36FA"/>
    <w:rsid w:val="00AE5205"/>
    <w:rsid w:val="00AF41E3"/>
    <w:rsid w:val="00AF4768"/>
    <w:rsid w:val="00AF4803"/>
    <w:rsid w:val="00AF4F0B"/>
    <w:rsid w:val="00AF5EAA"/>
    <w:rsid w:val="00B0050F"/>
    <w:rsid w:val="00B012C0"/>
    <w:rsid w:val="00B057D0"/>
    <w:rsid w:val="00B06948"/>
    <w:rsid w:val="00B072D0"/>
    <w:rsid w:val="00B07F00"/>
    <w:rsid w:val="00B112F1"/>
    <w:rsid w:val="00B11321"/>
    <w:rsid w:val="00B11CDC"/>
    <w:rsid w:val="00B13858"/>
    <w:rsid w:val="00B1493E"/>
    <w:rsid w:val="00B15AB3"/>
    <w:rsid w:val="00B16DB6"/>
    <w:rsid w:val="00B1703D"/>
    <w:rsid w:val="00B20BA9"/>
    <w:rsid w:val="00B23E9D"/>
    <w:rsid w:val="00B254F5"/>
    <w:rsid w:val="00B263E1"/>
    <w:rsid w:val="00B271AC"/>
    <w:rsid w:val="00B3199B"/>
    <w:rsid w:val="00B3204D"/>
    <w:rsid w:val="00B330E6"/>
    <w:rsid w:val="00B33BB1"/>
    <w:rsid w:val="00B371C3"/>
    <w:rsid w:val="00B37718"/>
    <w:rsid w:val="00B42DA3"/>
    <w:rsid w:val="00B475D4"/>
    <w:rsid w:val="00B47C87"/>
    <w:rsid w:val="00B51970"/>
    <w:rsid w:val="00B51D28"/>
    <w:rsid w:val="00B54CBF"/>
    <w:rsid w:val="00B54D09"/>
    <w:rsid w:val="00B5717B"/>
    <w:rsid w:val="00B57ACE"/>
    <w:rsid w:val="00B6114C"/>
    <w:rsid w:val="00B61B10"/>
    <w:rsid w:val="00B63D3E"/>
    <w:rsid w:val="00B6417B"/>
    <w:rsid w:val="00B6417F"/>
    <w:rsid w:val="00B64A42"/>
    <w:rsid w:val="00B679EB"/>
    <w:rsid w:val="00B704DD"/>
    <w:rsid w:val="00B73BE3"/>
    <w:rsid w:val="00B75032"/>
    <w:rsid w:val="00B75340"/>
    <w:rsid w:val="00B75AA2"/>
    <w:rsid w:val="00B75BC7"/>
    <w:rsid w:val="00B7704C"/>
    <w:rsid w:val="00B77B97"/>
    <w:rsid w:val="00B80179"/>
    <w:rsid w:val="00B80935"/>
    <w:rsid w:val="00B82025"/>
    <w:rsid w:val="00B83347"/>
    <w:rsid w:val="00B858D8"/>
    <w:rsid w:val="00B87103"/>
    <w:rsid w:val="00B87BAA"/>
    <w:rsid w:val="00B90D4A"/>
    <w:rsid w:val="00B91F3B"/>
    <w:rsid w:val="00B9356F"/>
    <w:rsid w:val="00B941A1"/>
    <w:rsid w:val="00B96228"/>
    <w:rsid w:val="00BA0068"/>
    <w:rsid w:val="00BA1449"/>
    <w:rsid w:val="00BA1B18"/>
    <w:rsid w:val="00BA29B8"/>
    <w:rsid w:val="00BA345D"/>
    <w:rsid w:val="00BA696F"/>
    <w:rsid w:val="00BB3677"/>
    <w:rsid w:val="00BB67C6"/>
    <w:rsid w:val="00BC040A"/>
    <w:rsid w:val="00BC3A10"/>
    <w:rsid w:val="00BC406B"/>
    <w:rsid w:val="00BC6449"/>
    <w:rsid w:val="00BC7A7C"/>
    <w:rsid w:val="00BD2717"/>
    <w:rsid w:val="00BD3770"/>
    <w:rsid w:val="00BD4903"/>
    <w:rsid w:val="00BD4A14"/>
    <w:rsid w:val="00BD4A96"/>
    <w:rsid w:val="00BD554F"/>
    <w:rsid w:val="00BD6A83"/>
    <w:rsid w:val="00BE6289"/>
    <w:rsid w:val="00BE7BE9"/>
    <w:rsid w:val="00BF13AA"/>
    <w:rsid w:val="00BF29FC"/>
    <w:rsid w:val="00BF306E"/>
    <w:rsid w:val="00BF3C7E"/>
    <w:rsid w:val="00BF4907"/>
    <w:rsid w:val="00BF56A1"/>
    <w:rsid w:val="00BF61E1"/>
    <w:rsid w:val="00C00DCC"/>
    <w:rsid w:val="00C04221"/>
    <w:rsid w:val="00C10514"/>
    <w:rsid w:val="00C111D7"/>
    <w:rsid w:val="00C114BE"/>
    <w:rsid w:val="00C11667"/>
    <w:rsid w:val="00C17496"/>
    <w:rsid w:val="00C21A95"/>
    <w:rsid w:val="00C23AE1"/>
    <w:rsid w:val="00C243D6"/>
    <w:rsid w:val="00C26C9C"/>
    <w:rsid w:val="00C2702A"/>
    <w:rsid w:val="00C27EA2"/>
    <w:rsid w:val="00C31C08"/>
    <w:rsid w:val="00C356D1"/>
    <w:rsid w:val="00C3635C"/>
    <w:rsid w:val="00C36AEC"/>
    <w:rsid w:val="00C375E9"/>
    <w:rsid w:val="00C40A83"/>
    <w:rsid w:val="00C43B0C"/>
    <w:rsid w:val="00C44800"/>
    <w:rsid w:val="00C45241"/>
    <w:rsid w:val="00C46041"/>
    <w:rsid w:val="00C4608F"/>
    <w:rsid w:val="00C46291"/>
    <w:rsid w:val="00C46FCA"/>
    <w:rsid w:val="00C476F4"/>
    <w:rsid w:val="00C477B2"/>
    <w:rsid w:val="00C501D7"/>
    <w:rsid w:val="00C52B72"/>
    <w:rsid w:val="00C52FB4"/>
    <w:rsid w:val="00C52FB8"/>
    <w:rsid w:val="00C549E1"/>
    <w:rsid w:val="00C576FF"/>
    <w:rsid w:val="00C60332"/>
    <w:rsid w:val="00C6042B"/>
    <w:rsid w:val="00C62608"/>
    <w:rsid w:val="00C65A9D"/>
    <w:rsid w:val="00C703ED"/>
    <w:rsid w:val="00C72CCE"/>
    <w:rsid w:val="00C74E2C"/>
    <w:rsid w:val="00C772C4"/>
    <w:rsid w:val="00C80298"/>
    <w:rsid w:val="00C8074E"/>
    <w:rsid w:val="00C816D8"/>
    <w:rsid w:val="00C838AA"/>
    <w:rsid w:val="00C844CA"/>
    <w:rsid w:val="00C93C6A"/>
    <w:rsid w:val="00C94C28"/>
    <w:rsid w:val="00C968C8"/>
    <w:rsid w:val="00C973EC"/>
    <w:rsid w:val="00CA2151"/>
    <w:rsid w:val="00CA3C00"/>
    <w:rsid w:val="00CA3C7B"/>
    <w:rsid w:val="00CA3FB2"/>
    <w:rsid w:val="00CA41ED"/>
    <w:rsid w:val="00CA46E0"/>
    <w:rsid w:val="00CA4CDD"/>
    <w:rsid w:val="00CB091F"/>
    <w:rsid w:val="00CB2263"/>
    <w:rsid w:val="00CB57F4"/>
    <w:rsid w:val="00CB6618"/>
    <w:rsid w:val="00CB6EE8"/>
    <w:rsid w:val="00CB7A6E"/>
    <w:rsid w:val="00CC11DE"/>
    <w:rsid w:val="00CC1374"/>
    <w:rsid w:val="00CC2C8D"/>
    <w:rsid w:val="00CC2F88"/>
    <w:rsid w:val="00CC4093"/>
    <w:rsid w:val="00CC6244"/>
    <w:rsid w:val="00CC6408"/>
    <w:rsid w:val="00CC702A"/>
    <w:rsid w:val="00CD0D7C"/>
    <w:rsid w:val="00CD31E2"/>
    <w:rsid w:val="00CD3B15"/>
    <w:rsid w:val="00CD4BFD"/>
    <w:rsid w:val="00CD55F7"/>
    <w:rsid w:val="00CD63EB"/>
    <w:rsid w:val="00CD75A8"/>
    <w:rsid w:val="00CD7EBB"/>
    <w:rsid w:val="00CE0C7B"/>
    <w:rsid w:val="00CE1D76"/>
    <w:rsid w:val="00CE263E"/>
    <w:rsid w:val="00CE57E1"/>
    <w:rsid w:val="00CE5FCB"/>
    <w:rsid w:val="00CF28B4"/>
    <w:rsid w:val="00CF3B3D"/>
    <w:rsid w:val="00CF3CA5"/>
    <w:rsid w:val="00CF5696"/>
    <w:rsid w:val="00CF666E"/>
    <w:rsid w:val="00D0132A"/>
    <w:rsid w:val="00D01767"/>
    <w:rsid w:val="00D05848"/>
    <w:rsid w:val="00D07C1A"/>
    <w:rsid w:val="00D11DE8"/>
    <w:rsid w:val="00D12CBA"/>
    <w:rsid w:val="00D2064E"/>
    <w:rsid w:val="00D208AD"/>
    <w:rsid w:val="00D229CD"/>
    <w:rsid w:val="00D2321C"/>
    <w:rsid w:val="00D236D2"/>
    <w:rsid w:val="00D24244"/>
    <w:rsid w:val="00D3063A"/>
    <w:rsid w:val="00D343A9"/>
    <w:rsid w:val="00D346DF"/>
    <w:rsid w:val="00D35B0C"/>
    <w:rsid w:val="00D44038"/>
    <w:rsid w:val="00D446F5"/>
    <w:rsid w:val="00D44EF9"/>
    <w:rsid w:val="00D46BD2"/>
    <w:rsid w:val="00D50AEE"/>
    <w:rsid w:val="00D50E92"/>
    <w:rsid w:val="00D53318"/>
    <w:rsid w:val="00D54E8F"/>
    <w:rsid w:val="00D606E4"/>
    <w:rsid w:val="00D655DF"/>
    <w:rsid w:val="00D7091A"/>
    <w:rsid w:val="00D70D70"/>
    <w:rsid w:val="00D718E9"/>
    <w:rsid w:val="00D71B81"/>
    <w:rsid w:val="00D71F8A"/>
    <w:rsid w:val="00D735FD"/>
    <w:rsid w:val="00D77537"/>
    <w:rsid w:val="00D80DDD"/>
    <w:rsid w:val="00D85644"/>
    <w:rsid w:val="00D862E7"/>
    <w:rsid w:val="00D86EC8"/>
    <w:rsid w:val="00D902BD"/>
    <w:rsid w:val="00D92819"/>
    <w:rsid w:val="00D95872"/>
    <w:rsid w:val="00D96046"/>
    <w:rsid w:val="00DA19D7"/>
    <w:rsid w:val="00DA3C5F"/>
    <w:rsid w:val="00DA46B9"/>
    <w:rsid w:val="00DA495B"/>
    <w:rsid w:val="00DA5A71"/>
    <w:rsid w:val="00DA5BCC"/>
    <w:rsid w:val="00DB1D3B"/>
    <w:rsid w:val="00DB246C"/>
    <w:rsid w:val="00DB26F8"/>
    <w:rsid w:val="00DB36F5"/>
    <w:rsid w:val="00DB3926"/>
    <w:rsid w:val="00DB5AA9"/>
    <w:rsid w:val="00DB786E"/>
    <w:rsid w:val="00DB79E9"/>
    <w:rsid w:val="00DB7C15"/>
    <w:rsid w:val="00DC03EB"/>
    <w:rsid w:val="00DC0521"/>
    <w:rsid w:val="00DC1150"/>
    <w:rsid w:val="00DC1921"/>
    <w:rsid w:val="00DC1996"/>
    <w:rsid w:val="00DC1B4A"/>
    <w:rsid w:val="00DC4798"/>
    <w:rsid w:val="00DC4E17"/>
    <w:rsid w:val="00DC7309"/>
    <w:rsid w:val="00DC7BF0"/>
    <w:rsid w:val="00DD4783"/>
    <w:rsid w:val="00DD5613"/>
    <w:rsid w:val="00DD586F"/>
    <w:rsid w:val="00DD668B"/>
    <w:rsid w:val="00DE1E9A"/>
    <w:rsid w:val="00DE30B9"/>
    <w:rsid w:val="00DE5D4A"/>
    <w:rsid w:val="00DE7B5B"/>
    <w:rsid w:val="00DF1B7C"/>
    <w:rsid w:val="00DF4652"/>
    <w:rsid w:val="00E00313"/>
    <w:rsid w:val="00E00CB8"/>
    <w:rsid w:val="00E06B7D"/>
    <w:rsid w:val="00E131B0"/>
    <w:rsid w:val="00E15782"/>
    <w:rsid w:val="00E209C4"/>
    <w:rsid w:val="00E21E21"/>
    <w:rsid w:val="00E22EF9"/>
    <w:rsid w:val="00E23C94"/>
    <w:rsid w:val="00E23D9A"/>
    <w:rsid w:val="00E23DF6"/>
    <w:rsid w:val="00E24FFC"/>
    <w:rsid w:val="00E3112D"/>
    <w:rsid w:val="00E318F7"/>
    <w:rsid w:val="00E34BA2"/>
    <w:rsid w:val="00E3553D"/>
    <w:rsid w:val="00E35582"/>
    <w:rsid w:val="00E36F66"/>
    <w:rsid w:val="00E37948"/>
    <w:rsid w:val="00E37EFF"/>
    <w:rsid w:val="00E4155B"/>
    <w:rsid w:val="00E42E78"/>
    <w:rsid w:val="00E44074"/>
    <w:rsid w:val="00E44D6C"/>
    <w:rsid w:val="00E47EAD"/>
    <w:rsid w:val="00E500A8"/>
    <w:rsid w:val="00E53BB9"/>
    <w:rsid w:val="00E542A1"/>
    <w:rsid w:val="00E55372"/>
    <w:rsid w:val="00E55717"/>
    <w:rsid w:val="00E60AC7"/>
    <w:rsid w:val="00E64BEA"/>
    <w:rsid w:val="00E65924"/>
    <w:rsid w:val="00E65F59"/>
    <w:rsid w:val="00E67329"/>
    <w:rsid w:val="00E677D7"/>
    <w:rsid w:val="00E70671"/>
    <w:rsid w:val="00E73A5C"/>
    <w:rsid w:val="00E762DD"/>
    <w:rsid w:val="00E763E7"/>
    <w:rsid w:val="00E76B9C"/>
    <w:rsid w:val="00E80B7C"/>
    <w:rsid w:val="00E83005"/>
    <w:rsid w:val="00E83727"/>
    <w:rsid w:val="00E83945"/>
    <w:rsid w:val="00E839B9"/>
    <w:rsid w:val="00E83D02"/>
    <w:rsid w:val="00E850CE"/>
    <w:rsid w:val="00E91248"/>
    <w:rsid w:val="00E95802"/>
    <w:rsid w:val="00EA0A03"/>
    <w:rsid w:val="00EA1376"/>
    <w:rsid w:val="00EA2274"/>
    <w:rsid w:val="00EA4825"/>
    <w:rsid w:val="00EA532D"/>
    <w:rsid w:val="00EA73E5"/>
    <w:rsid w:val="00EB411F"/>
    <w:rsid w:val="00EB47C4"/>
    <w:rsid w:val="00EB78F3"/>
    <w:rsid w:val="00EC2DA2"/>
    <w:rsid w:val="00EC35FA"/>
    <w:rsid w:val="00EC43F9"/>
    <w:rsid w:val="00EC477A"/>
    <w:rsid w:val="00EC552D"/>
    <w:rsid w:val="00ED02ED"/>
    <w:rsid w:val="00ED1196"/>
    <w:rsid w:val="00ED2666"/>
    <w:rsid w:val="00ED285C"/>
    <w:rsid w:val="00ED29E9"/>
    <w:rsid w:val="00ED3160"/>
    <w:rsid w:val="00ED3BA2"/>
    <w:rsid w:val="00ED7118"/>
    <w:rsid w:val="00EE1EB2"/>
    <w:rsid w:val="00EE4369"/>
    <w:rsid w:val="00EE4961"/>
    <w:rsid w:val="00EE52FE"/>
    <w:rsid w:val="00EE5713"/>
    <w:rsid w:val="00EE7A76"/>
    <w:rsid w:val="00EF043B"/>
    <w:rsid w:val="00EF66D8"/>
    <w:rsid w:val="00F022D1"/>
    <w:rsid w:val="00F03774"/>
    <w:rsid w:val="00F05374"/>
    <w:rsid w:val="00F12F75"/>
    <w:rsid w:val="00F133DD"/>
    <w:rsid w:val="00F14D41"/>
    <w:rsid w:val="00F16028"/>
    <w:rsid w:val="00F165E8"/>
    <w:rsid w:val="00F167AA"/>
    <w:rsid w:val="00F176BD"/>
    <w:rsid w:val="00F228B5"/>
    <w:rsid w:val="00F22BCE"/>
    <w:rsid w:val="00F231EF"/>
    <w:rsid w:val="00F27530"/>
    <w:rsid w:val="00F33167"/>
    <w:rsid w:val="00F332C1"/>
    <w:rsid w:val="00F35087"/>
    <w:rsid w:val="00F374BD"/>
    <w:rsid w:val="00F37ABA"/>
    <w:rsid w:val="00F406EB"/>
    <w:rsid w:val="00F4164A"/>
    <w:rsid w:val="00F41BA8"/>
    <w:rsid w:val="00F43141"/>
    <w:rsid w:val="00F43346"/>
    <w:rsid w:val="00F45A03"/>
    <w:rsid w:val="00F47FA4"/>
    <w:rsid w:val="00F509F0"/>
    <w:rsid w:val="00F51768"/>
    <w:rsid w:val="00F54316"/>
    <w:rsid w:val="00F546EB"/>
    <w:rsid w:val="00F575F5"/>
    <w:rsid w:val="00F6036C"/>
    <w:rsid w:val="00F6113F"/>
    <w:rsid w:val="00F638D1"/>
    <w:rsid w:val="00F6485F"/>
    <w:rsid w:val="00F66D47"/>
    <w:rsid w:val="00F67041"/>
    <w:rsid w:val="00F67DF9"/>
    <w:rsid w:val="00F700F4"/>
    <w:rsid w:val="00F71967"/>
    <w:rsid w:val="00F7343C"/>
    <w:rsid w:val="00F73611"/>
    <w:rsid w:val="00F73C90"/>
    <w:rsid w:val="00F7484B"/>
    <w:rsid w:val="00F75D10"/>
    <w:rsid w:val="00F774C7"/>
    <w:rsid w:val="00F77537"/>
    <w:rsid w:val="00F80999"/>
    <w:rsid w:val="00F87D91"/>
    <w:rsid w:val="00F910E1"/>
    <w:rsid w:val="00F91707"/>
    <w:rsid w:val="00F91B7E"/>
    <w:rsid w:val="00F93812"/>
    <w:rsid w:val="00F93ACF"/>
    <w:rsid w:val="00F9448E"/>
    <w:rsid w:val="00F9536B"/>
    <w:rsid w:val="00F97B67"/>
    <w:rsid w:val="00F97EC9"/>
    <w:rsid w:val="00FA0CA2"/>
    <w:rsid w:val="00FA37FB"/>
    <w:rsid w:val="00FA4B1B"/>
    <w:rsid w:val="00FB081D"/>
    <w:rsid w:val="00FB0FE5"/>
    <w:rsid w:val="00FB1F8B"/>
    <w:rsid w:val="00FB3E22"/>
    <w:rsid w:val="00FB45FF"/>
    <w:rsid w:val="00FB5718"/>
    <w:rsid w:val="00FB5C13"/>
    <w:rsid w:val="00FC24B8"/>
    <w:rsid w:val="00FC49D8"/>
    <w:rsid w:val="00FC4F07"/>
    <w:rsid w:val="00FC76CE"/>
    <w:rsid w:val="00FD05D8"/>
    <w:rsid w:val="00FD3E89"/>
    <w:rsid w:val="00FD4F1F"/>
    <w:rsid w:val="00FD6E91"/>
    <w:rsid w:val="00FD7518"/>
    <w:rsid w:val="00FE0B89"/>
    <w:rsid w:val="00FE1066"/>
    <w:rsid w:val="00FE7CAE"/>
    <w:rsid w:val="00FF0031"/>
    <w:rsid w:val="00FF0B40"/>
    <w:rsid w:val="00FF0C2C"/>
    <w:rsid w:val="00FF1344"/>
    <w:rsid w:val="00FF35D0"/>
    <w:rsid w:val="00FF74D4"/>
    <w:rsid w:val="04E35558"/>
    <w:rsid w:val="08082C7B"/>
    <w:rsid w:val="0913817A"/>
    <w:rsid w:val="0EA98939"/>
    <w:rsid w:val="132848B1"/>
    <w:rsid w:val="14CA71EB"/>
    <w:rsid w:val="15D2C85E"/>
    <w:rsid w:val="1A1548DB"/>
    <w:rsid w:val="1DD88F5A"/>
    <w:rsid w:val="1E24B409"/>
    <w:rsid w:val="25B81F63"/>
    <w:rsid w:val="2D9DE9EA"/>
    <w:rsid w:val="2E0B4D00"/>
    <w:rsid w:val="32B18F92"/>
    <w:rsid w:val="365CF4A9"/>
    <w:rsid w:val="37FA202D"/>
    <w:rsid w:val="3883194E"/>
    <w:rsid w:val="396CC418"/>
    <w:rsid w:val="3A6EB44C"/>
    <w:rsid w:val="3AAF189A"/>
    <w:rsid w:val="3E068565"/>
    <w:rsid w:val="4FC117C5"/>
    <w:rsid w:val="51D7936B"/>
    <w:rsid w:val="56F7D353"/>
    <w:rsid w:val="5CD20DC3"/>
    <w:rsid w:val="5EA7EA4D"/>
    <w:rsid w:val="619CFAE3"/>
    <w:rsid w:val="624FAE20"/>
    <w:rsid w:val="62E40AEF"/>
    <w:rsid w:val="6338CB44"/>
    <w:rsid w:val="645F91C7"/>
    <w:rsid w:val="6979BA98"/>
    <w:rsid w:val="6C27F836"/>
    <w:rsid w:val="7312CF04"/>
    <w:rsid w:val="76666F0D"/>
    <w:rsid w:val="7C01AE41"/>
    <w:rsid w:val="7E195C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1F91"/>
  <w15:chartTrackingRefBased/>
  <w15:docId w15:val="{36F71DA7-D9A7-49C1-94EF-FA759A6D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E3A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606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065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FD4F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D4F1F"/>
    <w:rPr>
      <w:sz w:val="20"/>
      <w:szCs w:val="20"/>
    </w:rPr>
  </w:style>
  <w:style w:type="character" w:styleId="Vresatsauce">
    <w:name w:val="footnote reference"/>
    <w:basedOn w:val="Noklusjumarindkopasfonts"/>
    <w:uiPriority w:val="99"/>
    <w:semiHidden/>
    <w:unhideWhenUsed/>
    <w:rsid w:val="00FD4F1F"/>
    <w:rPr>
      <w:vertAlign w:val="superscript"/>
    </w:rPr>
  </w:style>
  <w:style w:type="character" w:styleId="Komentraatsauce">
    <w:name w:val="annotation reference"/>
    <w:basedOn w:val="Noklusjumarindkopasfonts"/>
    <w:uiPriority w:val="99"/>
    <w:semiHidden/>
    <w:unhideWhenUsed/>
    <w:rsid w:val="00D96046"/>
    <w:rPr>
      <w:sz w:val="16"/>
      <w:szCs w:val="16"/>
    </w:rPr>
  </w:style>
  <w:style w:type="paragraph" w:styleId="Komentrateksts">
    <w:name w:val="annotation text"/>
    <w:basedOn w:val="Parasts"/>
    <w:link w:val="KomentratekstsRakstz"/>
    <w:uiPriority w:val="99"/>
    <w:unhideWhenUsed/>
    <w:rsid w:val="00D960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D96046"/>
    <w:rPr>
      <w:sz w:val="20"/>
      <w:szCs w:val="20"/>
    </w:rPr>
  </w:style>
  <w:style w:type="paragraph" w:styleId="Komentratma">
    <w:name w:val="annotation subject"/>
    <w:basedOn w:val="Komentrateksts"/>
    <w:next w:val="Komentrateksts"/>
    <w:link w:val="KomentratmaRakstz"/>
    <w:uiPriority w:val="99"/>
    <w:semiHidden/>
    <w:unhideWhenUsed/>
    <w:rsid w:val="00D96046"/>
    <w:rPr>
      <w:b/>
      <w:bCs/>
    </w:rPr>
  </w:style>
  <w:style w:type="character" w:customStyle="1" w:styleId="KomentratmaRakstz">
    <w:name w:val="Komentāra tēma Rakstz."/>
    <w:basedOn w:val="KomentratekstsRakstz"/>
    <w:link w:val="Komentratma"/>
    <w:uiPriority w:val="99"/>
    <w:semiHidden/>
    <w:rsid w:val="00D96046"/>
    <w:rPr>
      <w:b/>
      <w:bCs/>
      <w:sz w:val="20"/>
      <w:szCs w:val="20"/>
    </w:rPr>
  </w:style>
  <w:style w:type="character" w:customStyle="1" w:styleId="Virsraksts1Rakstz">
    <w:name w:val="Virsraksts 1 Rakstz."/>
    <w:basedOn w:val="Noklusjumarindkopasfonts"/>
    <w:link w:val="Virsraksts1"/>
    <w:uiPriority w:val="9"/>
    <w:rsid w:val="007E3AA8"/>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unhideWhenUsed/>
    <w:rsid w:val="0097429A"/>
    <w:rPr>
      <w:color w:val="0563C1" w:themeColor="hyperlink"/>
      <w:u w:val="single"/>
    </w:rPr>
  </w:style>
  <w:style w:type="character" w:styleId="Neatrisintapieminana">
    <w:name w:val="Unresolved Mention"/>
    <w:basedOn w:val="Noklusjumarindkopasfonts"/>
    <w:uiPriority w:val="99"/>
    <w:semiHidden/>
    <w:unhideWhenUsed/>
    <w:rsid w:val="0097429A"/>
    <w:rPr>
      <w:color w:val="605E5C"/>
      <w:shd w:val="clear" w:color="auto" w:fill="E1DFDD"/>
    </w:rPr>
  </w:style>
  <w:style w:type="paragraph" w:styleId="Sarakstarindkopa">
    <w:name w:val="List Paragraph"/>
    <w:basedOn w:val="Parasts"/>
    <w:uiPriority w:val="34"/>
    <w:qFormat/>
    <w:rsid w:val="00C703ED"/>
    <w:pPr>
      <w:ind w:left="720"/>
      <w:contextualSpacing/>
    </w:pPr>
  </w:style>
  <w:style w:type="character" w:customStyle="1" w:styleId="Virsraksts2Rakstz">
    <w:name w:val="Virsraksts 2 Rakstz."/>
    <w:basedOn w:val="Noklusjumarindkopasfonts"/>
    <w:link w:val="Virsraksts2"/>
    <w:uiPriority w:val="9"/>
    <w:rsid w:val="0076064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206534"/>
    <w:rPr>
      <w:rFonts w:asciiTheme="majorHAnsi" w:eastAsiaTheme="majorEastAsia" w:hAnsiTheme="majorHAnsi" w:cstheme="majorBidi"/>
      <w:color w:val="1F3763" w:themeColor="accent1" w:themeShade="7F"/>
      <w:sz w:val="24"/>
      <w:szCs w:val="24"/>
    </w:rPr>
  </w:style>
  <w:style w:type="paragraph" w:styleId="Saturardtjavirsraksts">
    <w:name w:val="TOC Heading"/>
    <w:basedOn w:val="Virsraksts1"/>
    <w:next w:val="Parasts"/>
    <w:uiPriority w:val="39"/>
    <w:unhideWhenUsed/>
    <w:qFormat/>
    <w:rsid w:val="00850906"/>
    <w:pPr>
      <w:outlineLvl w:val="9"/>
    </w:pPr>
    <w:rPr>
      <w:kern w:val="0"/>
      <w:lang w:eastAsia="lv-LV"/>
      <w14:ligatures w14:val="none"/>
    </w:rPr>
  </w:style>
  <w:style w:type="paragraph" w:styleId="Saturs1">
    <w:name w:val="toc 1"/>
    <w:basedOn w:val="Parasts"/>
    <w:next w:val="Parasts"/>
    <w:autoRedefine/>
    <w:uiPriority w:val="39"/>
    <w:unhideWhenUsed/>
    <w:rsid w:val="00850906"/>
    <w:pPr>
      <w:spacing w:after="100"/>
    </w:pPr>
  </w:style>
  <w:style w:type="paragraph" w:styleId="Saturs2">
    <w:name w:val="toc 2"/>
    <w:basedOn w:val="Parasts"/>
    <w:next w:val="Parasts"/>
    <w:autoRedefine/>
    <w:uiPriority w:val="39"/>
    <w:unhideWhenUsed/>
    <w:rsid w:val="00850906"/>
    <w:pPr>
      <w:spacing w:after="100"/>
      <w:ind w:left="220"/>
    </w:pPr>
  </w:style>
  <w:style w:type="paragraph" w:styleId="Saturs3">
    <w:name w:val="toc 3"/>
    <w:basedOn w:val="Parasts"/>
    <w:next w:val="Parasts"/>
    <w:autoRedefine/>
    <w:uiPriority w:val="39"/>
    <w:unhideWhenUsed/>
    <w:rsid w:val="00850906"/>
    <w:pPr>
      <w:spacing w:after="100"/>
      <w:ind w:left="440"/>
    </w:pPr>
  </w:style>
  <w:style w:type="table" w:styleId="Reatabula">
    <w:name w:val="Table Grid"/>
    <w:basedOn w:val="Parastatabula"/>
    <w:uiPriority w:val="39"/>
    <w:rsid w:val="00EA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41B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7103"/>
  </w:style>
  <w:style w:type="paragraph" w:styleId="Kjene">
    <w:name w:val="footer"/>
    <w:basedOn w:val="Parasts"/>
    <w:link w:val="KjeneRakstz"/>
    <w:uiPriority w:val="99"/>
    <w:unhideWhenUsed/>
    <w:rsid w:val="00F41B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7103"/>
  </w:style>
  <w:style w:type="paragraph" w:styleId="Prskatjums">
    <w:name w:val="Revision"/>
    <w:hidden/>
    <w:uiPriority w:val="99"/>
    <w:semiHidden/>
    <w:rsid w:val="00C27EA2"/>
    <w:pPr>
      <w:spacing w:after="0" w:line="240" w:lineRule="auto"/>
    </w:pPr>
  </w:style>
  <w:style w:type="table" w:styleId="Reatabula1gaia-izclums5">
    <w:name w:val="Grid Table 1 Light Accent 5"/>
    <w:basedOn w:val="Parastatabula"/>
    <w:uiPriority w:val="46"/>
    <w:rsid w:val="0015638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eatabula3-izclums5">
    <w:name w:val="Grid Table 3 Accent 5"/>
    <w:basedOn w:val="Parastatabula"/>
    <w:uiPriority w:val="48"/>
    <w:rsid w:val="009A287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eatabula4-izclums5">
    <w:name w:val="Grid Table 4 Accent 5"/>
    <w:basedOn w:val="Parastatabula"/>
    <w:uiPriority w:val="49"/>
    <w:rsid w:val="008B46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www.tm.gov.lv/lv/2021-gads" TargetMode="External"/><Relationship Id="rId1" Type="http://schemas.openxmlformats.org/officeDocument/2006/relationships/hyperlink" Target="https://www.mkd.gov.lv/lv/par-mum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rts-my.sharepoint.com/personal/abarojana_ts_gov_lv/Documents/Documents/UZRAUDZ&#298;BAS%20PL&#256;NI/Uzraudz&#299;bas%20strat&#275;&#291;ija%202024-2025/Uzraudzibas_dati_2022_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rts-my.sharepoint.com/personal/abarojana_ts_gov_lv/Documents/Documents/UZRAUDZ&#298;BAS%20PL&#256;NI/Uzraudz&#299;bas%20strat&#275;&#291;ija%202024-2025/Uzraudzibas_dati_2022_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accent1">
                    <a:lumMod val="75000"/>
                  </a:schemeClr>
                </a:solidFill>
                <a:latin typeface="+mj-lt"/>
                <a:ea typeface="+mn-ea"/>
                <a:cs typeface="+mn-cs"/>
              </a:defRPr>
            </a:pPr>
            <a:r>
              <a:rPr lang="lv-LV">
                <a:solidFill>
                  <a:schemeClr val="accent1">
                    <a:lumMod val="75000"/>
                  </a:schemeClr>
                </a:solidFill>
                <a:latin typeface="+mj-lt"/>
              </a:rPr>
              <a:t>Pārkāpumi Maksātnespējas likuma jomā </a:t>
            </a:r>
          </a:p>
          <a:p>
            <a:pPr>
              <a:defRPr>
                <a:solidFill>
                  <a:schemeClr val="accent1">
                    <a:lumMod val="75000"/>
                  </a:schemeClr>
                </a:solidFill>
                <a:latin typeface="+mj-lt"/>
              </a:defRPr>
            </a:pPr>
            <a:r>
              <a:rPr lang="lv-LV">
                <a:solidFill>
                  <a:schemeClr val="accent1">
                    <a:lumMod val="75000"/>
                  </a:schemeClr>
                </a:solidFill>
                <a:latin typeface="+mj-lt"/>
              </a:rPr>
              <a:t>2022 - 2023 (I-IX)</a:t>
            </a:r>
            <a:endParaRPr lang="en-US">
              <a:solidFill>
                <a:schemeClr val="accent1">
                  <a:lumMod val="75000"/>
                </a:schemeClr>
              </a:solidFill>
              <a:latin typeface="+mj-l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accent1">
                  <a:lumMod val="75000"/>
                </a:schemeClr>
              </a:solidFill>
              <a:latin typeface="+mj-lt"/>
              <a:ea typeface="+mn-ea"/>
              <a:cs typeface="+mn-cs"/>
            </a:defRPr>
          </a:pPr>
          <a:endParaRPr lang="lv-LV"/>
        </a:p>
      </c:txPr>
    </c:title>
    <c:autoTitleDeleted val="0"/>
    <c:plotArea>
      <c:layout/>
      <c:barChart>
        <c:barDir val="bar"/>
        <c:grouping val="clustered"/>
        <c:varyColors val="0"/>
        <c:ser>
          <c:idx val="0"/>
          <c:order val="0"/>
          <c:tx>
            <c:strRef>
              <c:f>'MNL grafiks'!$B$1</c:f>
              <c:strCache>
                <c:ptCount val="1"/>
                <c:pt idx="0">
                  <c:v>Kopā</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E-A12F-48BF-B30E-E24A00202FF0}"/>
              </c:ext>
            </c:extLst>
          </c:dPt>
          <c:dPt>
            <c:idx val="2"/>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D-A12F-48BF-B30E-E24A00202FF0}"/>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C-A12F-48BF-B30E-E24A00202FF0}"/>
              </c:ext>
            </c:extLst>
          </c:dPt>
          <c:dPt>
            <c:idx val="4"/>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B-A12F-48BF-B30E-E24A00202FF0}"/>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A-A12F-48BF-B30E-E24A00202FF0}"/>
              </c:ext>
            </c:extLst>
          </c:dPt>
          <c:dPt>
            <c:idx val="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A12F-48BF-B30E-E24A00202FF0}"/>
              </c:ext>
            </c:extLst>
          </c:dPt>
          <c:dPt>
            <c:idx val="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8-A12F-48BF-B30E-E24A00202FF0}"/>
              </c:ext>
            </c:extLst>
          </c:dPt>
          <c:dPt>
            <c:idx val="8"/>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7-A12F-48BF-B30E-E24A00202FF0}"/>
              </c:ext>
            </c:extLst>
          </c:dPt>
          <c:dPt>
            <c:idx val="9"/>
            <c:invertIfNegative val="0"/>
            <c:bubble3D val="0"/>
            <c:extLst>
              <c:ext xmlns:c16="http://schemas.microsoft.com/office/drawing/2014/chart" uri="{C3380CC4-5D6E-409C-BE32-E72D297353CC}">
                <c16:uniqueId val="{00000000-A12F-48BF-B30E-E24A00202FF0}"/>
              </c:ext>
            </c:extLst>
          </c:dPt>
          <c:dPt>
            <c:idx val="10"/>
            <c:invertIfNegative val="0"/>
            <c:bubble3D val="0"/>
            <c:extLst>
              <c:ext xmlns:c16="http://schemas.microsoft.com/office/drawing/2014/chart" uri="{C3380CC4-5D6E-409C-BE32-E72D297353CC}">
                <c16:uniqueId val="{00000001-A12F-48BF-B30E-E24A00202FF0}"/>
              </c:ext>
            </c:extLst>
          </c:dPt>
          <c:dPt>
            <c:idx val="11"/>
            <c:invertIfNegative val="0"/>
            <c:bubble3D val="0"/>
            <c:extLst>
              <c:ext xmlns:c16="http://schemas.microsoft.com/office/drawing/2014/chart" uri="{C3380CC4-5D6E-409C-BE32-E72D297353CC}">
                <c16:uniqueId val="{00000002-A12F-48BF-B30E-E24A00202FF0}"/>
              </c:ext>
            </c:extLst>
          </c:dPt>
          <c:dPt>
            <c:idx val="12"/>
            <c:invertIfNegative val="0"/>
            <c:bubble3D val="0"/>
            <c:extLst>
              <c:ext xmlns:c16="http://schemas.microsoft.com/office/drawing/2014/chart" uri="{C3380CC4-5D6E-409C-BE32-E72D297353CC}">
                <c16:uniqueId val="{00000003-A12F-48BF-B30E-E24A00202FF0}"/>
              </c:ext>
            </c:extLst>
          </c:dPt>
          <c:dPt>
            <c:idx val="1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6-A12F-48BF-B30E-E24A00202FF0}"/>
              </c:ext>
            </c:extLst>
          </c:dPt>
          <c:dPt>
            <c:idx val="14"/>
            <c:invertIfNegative val="0"/>
            <c:bubble3D val="0"/>
            <c:extLst>
              <c:ext xmlns:c16="http://schemas.microsoft.com/office/drawing/2014/chart" uri="{C3380CC4-5D6E-409C-BE32-E72D297353CC}">
                <c16:uniqueId val="{00000004-A12F-48BF-B30E-E24A00202F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'MNL grafiks'!$A$2:$A$16</c:f>
              <c:strCache>
                <c:ptCount val="15"/>
                <c:pt idx="0">
                  <c:v>Grāmatvedība</c:v>
                </c:pt>
                <c:pt idx="1">
                  <c:v>Tiesiskā pienākuma neizpilde</c:v>
                </c:pt>
                <c:pt idx="2">
                  <c:v>Pilnvarojumi</c:v>
                </c:pt>
                <c:pt idx="3">
                  <c:v>Kreditoru prasījumu izvērtēšana, t.sk. Regula</c:v>
                </c:pt>
                <c:pt idx="4">
                  <c:v>Interešu konflikts, šaubas par objektivitāti, ļaunprātība</c:v>
                </c:pt>
                <c:pt idx="5">
                  <c:v>MPA atlīdzība</c:v>
                </c:pt>
                <c:pt idx="6">
                  <c:v>Informācijas sniegšana tiesībaizsardzības iestādēm (t.sk. MKD)</c:v>
                </c:pt>
                <c:pt idx="7">
                  <c:v>Maksātnespējas procesa izdevumi</c:v>
                </c:pt>
                <c:pt idx="8">
                  <c:v>Informācijas sniegšana MKD uzraudzības ietvaros</c:v>
                </c:pt>
                <c:pt idx="9">
                  <c:v>EMUS</c:v>
                </c:pt>
                <c:pt idx="10">
                  <c:v>Darījumu izvērtēšana</c:v>
                </c:pt>
                <c:pt idx="11">
                  <c:v>MPP/ZPMN saturs, termiņš, iebildumi</c:v>
                </c:pt>
                <c:pt idx="12">
                  <c:v>Rīcība ar parādnieka mantu</c:v>
                </c:pt>
                <c:pt idx="13">
                  <c:v>Citi</c:v>
                </c:pt>
                <c:pt idx="14">
                  <c:v>Informācijas sniegšana procesa dalībniekiem</c:v>
                </c:pt>
              </c:strCache>
            </c:strRef>
          </c:cat>
          <c:val>
            <c:numRef>
              <c:f>'MNL grafiks'!$B$2:$B$16</c:f>
              <c:numCache>
                <c:formatCode>General</c:formatCode>
                <c:ptCount val="15"/>
                <c:pt idx="0">
                  <c:v>0</c:v>
                </c:pt>
                <c:pt idx="1">
                  <c:v>1</c:v>
                </c:pt>
                <c:pt idx="2">
                  <c:v>4</c:v>
                </c:pt>
                <c:pt idx="3">
                  <c:v>7</c:v>
                </c:pt>
                <c:pt idx="4">
                  <c:v>8</c:v>
                </c:pt>
                <c:pt idx="5">
                  <c:v>9</c:v>
                </c:pt>
                <c:pt idx="6">
                  <c:v>10</c:v>
                </c:pt>
                <c:pt idx="7">
                  <c:v>10</c:v>
                </c:pt>
                <c:pt idx="8">
                  <c:v>11</c:v>
                </c:pt>
                <c:pt idx="9">
                  <c:v>22</c:v>
                </c:pt>
                <c:pt idx="10">
                  <c:v>22</c:v>
                </c:pt>
                <c:pt idx="11">
                  <c:v>24</c:v>
                </c:pt>
                <c:pt idx="12">
                  <c:v>30</c:v>
                </c:pt>
                <c:pt idx="13">
                  <c:v>32</c:v>
                </c:pt>
                <c:pt idx="14">
                  <c:v>46</c:v>
                </c:pt>
              </c:numCache>
            </c:numRef>
          </c:val>
          <c:extLst>
            <c:ext xmlns:c16="http://schemas.microsoft.com/office/drawing/2014/chart" uri="{C3380CC4-5D6E-409C-BE32-E72D297353CC}">
              <c16:uniqueId val="{00000005-A12F-48BF-B30E-E24A00202FF0}"/>
            </c:ext>
          </c:extLst>
        </c:ser>
        <c:dLbls>
          <c:dLblPos val="outEnd"/>
          <c:showLegendKey val="0"/>
          <c:showVal val="1"/>
          <c:showCatName val="0"/>
          <c:showSerName val="0"/>
          <c:showPercent val="0"/>
          <c:showBubbleSize val="0"/>
        </c:dLbls>
        <c:gapWidth val="100"/>
        <c:axId val="734622560"/>
        <c:axId val="734615000"/>
      </c:barChart>
      <c:catAx>
        <c:axId val="73462256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j-lt"/>
                <a:ea typeface="+mn-ea"/>
                <a:cs typeface="+mn-cs"/>
              </a:defRPr>
            </a:pPr>
            <a:endParaRPr lang="lv-LV"/>
          </a:p>
        </c:txPr>
        <c:crossAx val="734615000"/>
        <c:crosses val="autoZero"/>
        <c:auto val="1"/>
        <c:lblAlgn val="ctr"/>
        <c:lblOffset val="100"/>
        <c:noMultiLvlLbl val="0"/>
      </c:catAx>
      <c:valAx>
        <c:axId val="73461500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73462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j-lt"/>
                <a:ea typeface="+mn-ea"/>
                <a:cs typeface="+mn-cs"/>
              </a:defRPr>
            </a:pPr>
            <a:r>
              <a:rPr lang="lv-LV">
                <a:solidFill>
                  <a:schemeClr val="accent1">
                    <a:lumMod val="75000"/>
                  </a:schemeClr>
                </a:solidFill>
                <a:latin typeface="+mj-lt"/>
              </a:rPr>
              <a:t>Pārkāpumi NILLTPFN jomā 2022 - 2023 (I-IX)</a:t>
            </a:r>
            <a:endParaRPr lang="en-US">
              <a:solidFill>
                <a:schemeClr val="accent1">
                  <a:lumMod val="75000"/>
                </a:schemeClr>
              </a:solidFill>
              <a:latin typeface="+mj-l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j-lt"/>
              <a:ea typeface="+mn-ea"/>
              <a:cs typeface="+mn-cs"/>
            </a:defRPr>
          </a:pPr>
          <a:endParaRPr lang="lv-LV"/>
        </a:p>
      </c:txPr>
    </c:title>
    <c:autoTitleDeleted val="0"/>
    <c:plotArea>
      <c:layout>
        <c:manualLayout>
          <c:layoutTarget val="inner"/>
          <c:xMode val="edge"/>
          <c:yMode val="edge"/>
          <c:x val="0.57837131543115539"/>
          <c:y val="0.16984541872088146"/>
          <c:w val="0.3887148823477975"/>
          <c:h val="0.72392326572468157"/>
        </c:manualLayout>
      </c:layout>
      <c:barChart>
        <c:barDir val="bar"/>
        <c:grouping val="clustered"/>
        <c:varyColors val="0"/>
        <c:ser>
          <c:idx val="0"/>
          <c:order val="0"/>
          <c:tx>
            <c:strRef>
              <c:f>'NILL grafiks'!$B$1</c:f>
              <c:strCache>
                <c:ptCount val="1"/>
                <c:pt idx="0">
                  <c:v>Skaits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C-569E-47C2-8FE6-402A91A7ECBC}"/>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B-569E-47C2-8FE6-402A91A7ECBC}"/>
              </c:ext>
            </c:extLst>
          </c:dPt>
          <c:dPt>
            <c:idx val="2"/>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A-569E-47C2-8FE6-402A91A7ECBC}"/>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569E-47C2-8FE6-402A91A7ECBC}"/>
              </c:ext>
            </c:extLst>
          </c:dPt>
          <c:dPt>
            <c:idx val="4"/>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8-569E-47C2-8FE6-402A91A7ECBC}"/>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7-569E-47C2-8FE6-402A91A7ECBC}"/>
              </c:ext>
            </c:extLst>
          </c:dPt>
          <c:dPt>
            <c:idx val="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6-569E-47C2-8FE6-402A91A7ECBC}"/>
              </c:ext>
            </c:extLst>
          </c:dPt>
          <c:dPt>
            <c:idx val="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5-569E-47C2-8FE6-402A91A7ECBC}"/>
              </c:ext>
            </c:extLst>
          </c:dPt>
          <c:dPt>
            <c:idx val="8"/>
            <c:invertIfNegative val="0"/>
            <c:bubble3D val="0"/>
            <c:extLst>
              <c:ext xmlns:c16="http://schemas.microsoft.com/office/drawing/2014/chart" uri="{C3380CC4-5D6E-409C-BE32-E72D297353CC}">
                <c16:uniqueId val="{00000000-569E-47C2-8FE6-402A91A7ECBC}"/>
              </c:ext>
            </c:extLst>
          </c:dPt>
          <c:dPt>
            <c:idx val="9"/>
            <c:invertIfNegative val="0"/>
            <c:bubble3D val="0"/>
            <c:extLst>
              <c:ext xmlns:c16="http://schemas.microsoft.com/office/drawing/2014/chart" uri="{C3380CC4-5D6E-409C-BE32-E72D297353CC}">
                <c16:uniqueId val="{00000001-569E-47C2-8FE6-402A91A7ECBC}"/>
              </c:ext>
            </c:extLst>
          </c:dPt>
          <c:dPt>
            <c:idx val="10"/>
            <c:invertIfNegative val="0"/>
            <c:bubble3D val="0"/>
            <c:extLst>
              <c:ext xmlns:c16="http://schemas.microsoft.com/office/drawing/2014/chart" uri="{C3380CC4-5D6E-409C-BE32-E72D297353CC}">
                <c16:uniqueId val="{00000002-569E-47C2-8FE6-402A91A7ECBC}"/>
              </c:ext>
            </c:extLst>
          </c:dPt>
          <c:dPt>
            <c:idx val="11"/>
            <c:invertIfNegative val="0"/>
            <c:bubble3D val="0"/>
            <c:extLst>
              <c:ext xmlns:c16="http://schemas.microsoft.com/office/drawing/2014/chart" uri="{C3380CC4-5D6E-409C-BE32-E72D297353CC}">
                <c16:uniqueId val="{00000003-569E-47C2-8FE6-402A91A7EC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'NILL grafiks'!$A$2:$A$13</c:f>
              <c:strCache>
                <c:ptCount val="12"/>
                <c:pt idx="0">
                  <c:v>Cits</c:v>
                </c:pt>
                <c:pt idx="1">
                  <c:v>Ziņošanas fakta izpaušana</c:v>
                </c:pt>
                <c:pt idx="2">
                  <c:v>Parādnieka darījumu uzraudzība un tās dokumentēšana</c:v>
                </c:pt>
                <c:pt idx="3">
                  <c:v>PLG izpēte</c:v>
                </c:pt>
                <c:pt idx="4">
                  <c:v>IKS novēlota izstrāde</c:v>
                </c:pt>
                <c:pt idx="5">
                  <c:v>MPA profesionālās darbības risku novērtējums</c:v>
                </c:pt>
                <c:pt idx="6">
                  <c:v>Parādnieka izpēte</c:v>
                </c:pt>
                <c:pt idx="7">
                  <c:v>Sankciju risku pārvaldība</c:v>
                </c:pt>
                <c:pt idx="8">
                  <c:v>Ziņojumu sniegšana FID</c:v>
                </c:pt>
                <c:pt idx="9">
                  <c:v>Parādnieka riska līmeņa noteikšana</c:v>
                </c:pt>
                <c:pt idx="10">
                  <c:v>Parādnieka izpētes dokumentēšana</c:v>
                </c:pt>
                <c:pt idx="11">
                  <c:v>Trūkumi IKS</c:v>
                </c:pt>
              </c:strCache>
            </c:strRef>
          </c:cat>
          <c:val>
            <c:numRef>
              <c:f>'NILL grafiks'!$B$2:$B$13</c:f>
              <c:numCache>
                <c:formatCode>General</c:formatCode>
                <c:ptCount val="12"/>
                <c:pt idx="0">
                  <c:v>2</c:v>
                </c:pt>
                <c:pt idx="1">
                  <c:v>2</c:v>
                </c:pt>
                <c:pt idx="2">
                  <c:v>2</c:v>
                </c:pt>
                <c:pt idx="3">
                  <c:v>3</c:v>
                </c:pt>
                <c:pt idx="4">
                  <c:v>4</c:v>
                </c:pt>
                <c:pt idx="5">
                  <c:v>5</c:v>
                </c:pt>
                <c:pt idx="6">
                  <c:v>5</c:v>
                </c:pt>
                <c:pt idx="7">
                  <c:v>6</c:v>
                </c:pt>
                <c:pt idx="8">
                  <c:v>7</c:v>
                </c:pt>
                <c:pt idx="9">
                  <c:v>9</c:v>
                </c:pt>
                <c:pt idx="10">
                  <c:v>10</c:v>
                </c:pt>
                <c:pt idx="11">
                  <c:v>15</c:v>
                </c:pt>
              </c:numCache>
            </c:numRef>
          </c:val>
          <c:extLst>
            <c:ext xmlns:c16="http://schemas.microsoft.com/office/drawing/2014/chart" uri="{C3380CC4-5D6E-409C-BE32-E72D297353CC}">
              <c16:uniqueId val="{00000004-569E-47C2-8FE6-402A91A7ECBC}"/>
            </c:ext>
          </c:extLst>
        </c:ser>
        <c:dLbls>
          <c:dLblPos val="outEnd"/>
          <c:showLegendKey val="0"/>
          <c:showVal val="1"/>
          <c:showCatName val="0"/>
          <c:showSerName val="0"/>
          <c:showPercent val="0"/>
          <c:showBubbleSize val="0"/>
        </c:dLbls>
        <c:gapWidth val="100"/>
        <c:axId val="877059848"/>
        <c:axId val="877061648"/>
      </c:barChart>
      <c:catAx>
        <c:axId val="8770598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j-lt"/>
                <a:ea typeface="+mn-ea"/>
                <a:cs typeface="+mn-cs"/>
              </a:defRPr>
            </a:pPr>
            <a:endParaRPr lang="lv-LV"/>
          </a:p>
        </c:txPr>
        <c:crossAx val="877061648"/>
        <c:crosses val="autoZero"/>
        <c:auto val="1"/>
        <c:lblAlgn val="ctr"/>
        <c:lblOffset val="100"/>
        <c:noMultiLvlLbl val="0"/>
      </c:catAx>
      <c:valAx>
        <c:axId val="87706164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877059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D7B04-71FA-4064-B276-AA3F9B0C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17</Pages>
  <Words>17749</Words>
  <Characters>10118</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27812</CharactersWithSpaces>
  <SharedDoc>false</SharedDoc>
  <HLinks>
    <vt:vector size="84" baseType="variant">
      <vt:variant>
        <vt:i4>1114161</vt:i4>
      </vt:variant>
      <vt:variant>
        <vt:i4>68</vt:i4>
      </vt:variant>
      <vt:variant>
        <vt:i4>0</vt:i4>
      </vt:variant>
      <vt:variant>
        <vt:i4>5</vt:i4>
      </vt:variant>
      <vt:variant>
        <vt:lpwstr/>
      </vt:variant>
      <vt:variant>
        <vt:lpwstr>_Toc154665207</vt:lpwstr>
      </vt:variant>
      <vt:variant>
        <vt:i4>1114161</vt:i4>
      </vt:variant>
      <vt:variant>
        <vt:i4>62</vt:i4>
      </vt:variant>
      <vt:variant>
        <vt:i4>0</vt:i4>
      </vt:variant>
      <vt:variant>
        <vt:i4>5</vt:i4>
      </vt:variant>
      <vt:variant>
        <vt:lpwstr/>
      </vt:variant>
      <vt:variant>
        <vt:lpwstr>_Toc154665206</vt:lpwstr>
      </vt:variant>
      <vt:variant>
        <vt:i4>1114161</vt:i4>
      </vt:variant>
      <vt:variant>
        <vt:i4>56</vt:i4>
      </vt:variant>
      <vt:variant>
        <vt:i4>0</vt:i4>
      </vt:variant>
      <vt:variant>
        <vt:i4>5</vt:i4>
      </vt:variant>
      <vt:variant>
        <vt:lpwstr/>
      </vt:variant>
      <vt:variant>
        <vt:lpwstr>_Toc154665205</vt:lpwstr>
      </vt:variant>
      <vt:variant>
        <vt:i4>1114161</vt:i4>
      </vt:variant>
      <vt:variant>
        <vt:i4>50</vt:i4>
      </vt:variant>
      <vt:variant>
        <vt:i4>0</vt:i4>
      </vt:variant>
      <vt:variant>
        <vt:i4>5</vt:i4>
      </vt:variant>
      <vt:variant>
        <vt:lpwstr/>
      </vt:variant>
      <vt:variant>
        <vt:lpwstr>_Toc154665204</vt:lpwstr>
      </vt:variant>
      <vt:variant>
        <vt:i4>1114161</vt:i4>
      </vt:variant>
      <vt:variant>
        <vt:i4>44</vt:i4>
      </vt:variant>
      <vt:variant>
        <vt:i4>0</vt:i4>
      </vt:variant>
      <vt:variant>
        <vt:i4>5</vt:i4>
      </vt:variant>
      <vt:variant>
        <vt:lpwstr/>
      </vt:variant>
      <vt:variant>
        <vt:lpwstr>_Toc154665203</vt:lpwstr>
      </vt:variant>
      <vt:variant>
        <vt:i4>1114161</vt:i4>
      </vt:variant>
      <vt:variant>
        <vt:i4>38</vt:i4>
      </vt:variant>
      <vt:variant>
        <vt:i4>0</vt:i4>
      </vt:variant>
      <vt:variant>
        <vt:i4>5</vt:i4>
      </vt:variant>
      <vt:variant>
        <vt:lpwstr/>
      </vt:variant>
      <vt:variant>
        <vt:lpwstr>_Toc154665202</vt:lpwstr>
      </vt:variant>
      <vt:variant>
        <vt:i4>1114161</vt:i4>
      </vt:variant>
      <vt:variant>
        <vt:i4>32</vt:i4>
      </vt:variant>
      <vt:variant>
        <vt:i4>0</vt:i4>
      </vt:variant>
      <vt:variant>
        <vt:i4>5</vt:i4>
      </vt:variant>
      <vt:variant>
        <vt:lpwstr/>
      </vt:variant>
      <vt:variant>
        <vt:lpwstr>_Toc154665201</vt:lpwstr>
      </vt:variant>
      <vt:variant>
        <vt:i4>1114161</vt:i4>
      </vt:variant>
      <vt:variant>
        <vt:i4>26</vt:i4>
      </vt:variant>
      <vt:variant>
        <vt:i4>0</vt:i4>
      </vt:variant>
      <vt:variant>
        <vt:i4>5</vt:i4>
      </vt:variant>
      <vt:variant>
        <vt:lpwstr/>
      </vt:variant>
      <vt:variant>
        <vt:lpwstr>_Toc154665200</vt:lpwstr>
      </vt:variant>
      <vt:variant>
        <vt:i4>1572914</vt:i4>
      </vt:variant>
      <vt:variant>
        <vt:i4>20</vt:i4>
      </vt:variant>
      <vt:variant>
        <vt:i4>0</vt:i4>
      </vt:variant>
      <vt:variant>
        <vt:i4>5</vt:i4>
      </vt:variant>
      <vt:variant>
        <vt:lpwstr/>
      </vt:variant>
      <vt:variant>
        <vt:lpwstr>_Toc154665199</vt:lpwstr>
      </vt:variant>
      <vt:variant>
        <vt:i4>1572914</vt:i4>
      </vt:variant>
      <vt:variant>
        <vt:i4>14</vt:i4>
      </vt:variant>
      <vt:variant>
        <vt:i4>0</vt:i4>
      </vt:variant>
      <vt:variant>
        <vt:i4>5</vt:i4>
      </vt:variant>
      <vt:variant>
        <vt:lpwstr/>
      </vt:variant>
      <vt:variant>
        <vt:lpwstr>_Toc154665198</vt:lpwstr>
      </vt:variant>
      <vt:variant>
        <vt:i4>1572914</vt:i4>
      </vt:variant>
      <vt:variant>
        <vt:i4>8</vt:i4>
      </vt:variant>
      <vt:variant>
        <vt:i4>0</vt:i4>
      </vt:variant>
      <vt:variant>
        <vt:i4>5</vt:i4>
      </vt:variant>
      <vt:variant>
        <vt:lpwstr/>
      </vt:variant>
      <vt:variant>
        <vt:lpwstr>_Toc154665197</vt:lpwstr>
      </vt:variant>
      <vt:variant>
        <vt:i4>1572914</vt:i4>
      </vt:variant>
      <vt:variant>
        <vt:i4>2</vt:i4>
      </vt:variant>
      <vt:variant>
        <vt:i4>0</vt:i4>
      </vt:variant>
      <vt:variant>
        <vt:i4>5</vt:i4>
      </vt:variant>
      <vt:variant>
        <vt:lpwstr/>
      </vt:variant>
      <vt:variant>
        <vt:lpwstr>_Toc154665196</vt:lpwstr>
      </vt:variant>
      <vt:variant>
        <vt:i4>2818166</vt:i4>
      </vt:variant>
      <vt:variant>
        <vt:i4>3</vt:i4>
      </vt:variant>
      <vt:variant>
        <vt:i4>0</vt:i4>
      </vt:variant>
      <vt:variant>
        <vt:i4>5</vt:i4>
      </vt:variant>
      <vt:variant>
        <vt:lpwstr>https://www.tm.gov.lv/lv/2021-gads</vt:lpwstr>
      </vt:variant>
      <vt:variant>
        <vt:lpwstr>zinojums-par-covid-19-infekcijas-un-tas-seku-mazinasanas-pasakumu-ietekmi-uz-maksatnespejas-jomu-identificetie-riski-un-iespejamie-risinajumi</vt:lpwstr>
      </vt:variant>
      <vt:variant>
        <vt:i4>6094853</vt:i4>
      </vt:variant>
      <vt:variant>
        <vt:i4>0</vt:i4>
      </vt:variant>
      <vt:variant>
        <vt:i4>0</vt:i4>
      </vt:variant>
      <vt:variant>
        <vt:i4>5</vt:i4>
      </vt:variant>
      <vt:variant>
        <vt:lpwstr>https://www.mkd.gov.lv/lv/par-mums</vt:lpwstr>
      </vt:variant>
      <vt:variant>
        <vt:lpwstr>mkd-darbibas-strategija-2021-2025gadam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Barojana</dc:creator>
  <cp:keywords/>
  <dc:description/>
  <cp:lastModifiedBy>Agnese Barojana</cp:lastModifiedBy>
  <cp:revision>836</cp:revision>
  <cp:lastPrinted>2023-12-29T00:44:00Z</cp:lastPrinted>
  <dcterms:created xsi:type="dcterms:W3CDTF">2023-11-14T19:36:00Z</dcterms:created>
  <dcterms:modified xsi:type="dcterms:W3CDTF">2024-03-14T10:10:00Z</dcterms:modified>
</cp:coreProperties>
</file>